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7764" w14:textId="3EE8D61B" w:rsidR="00352AEA" w:rsidRPr="00D111DA" w:rsidRDefault="00352AEA" w:rsidP="00352AEA">
      <w:pPr>
        <w:jc w:val="both"/>
        <w:rPr>
          <w:rFonts w:ascii="Times New Roman" w:eastAsia="AdvTimes" w:hAnsi="Times New Roman" w:cs="Times New Roman"/>
          <w:kern w:val="0"/>
          <w:szCs w:val="24"/>
        </w:rPr>
      </w:pPr>
      <w:r w:rsidRPr="00D111DA">
        <w:rPr>
          <w:rFonts w:ascii="Times New Roman" w:eastAsia="AdvTimes" w:hAnsi="Times New Roman" w:cs="Times New Roman"/>
          <w:b/>
          <w:kern w:val="0"/>
          <w:szCs w:val="24"/>
        </w:rPr>
        <w:t>TABLE 1.</w:t>
      </w:r>
      <w:r w:rsidRPr="00D111DA">
        <w:rPr>
          <w:rFonts w:ascii="Times New Roman" w:eastAsia="AdvTimes" w:hAnsi="Times New Roman" w:cs="Times New Roman" w:hint="eastAsia"/>
          <w:b/>
          <w:kern w:val="0"/>
          <w:szCs w:val="24"/>
        </w:rPr>
        <w:t xml:space="preserve"> </w:t>
      </w:r>
      <w:bookmarkStart w:id="0" w:name="_Hlk210764023"/>
      <w:r w:rsidRPr="006D2D56">
        <w:rPr>
          <w:rFonts w:ascii="Times New Roman" w:eastAsia="AdvTimes" w:hAnsi="Times New Roman" w:cs="Times New Roman"/>
          <w:kern w:val="0"/>
          <w:szCs w:val="24"/>
        </w:rPr>
        <w:t xml:space="preserve">SWOT </w:t>
      </w:r>
      <w:r>
        <w:rPr>
          <w:rFonts w:ascii="Times New Roman" w:eastAsia="AdvTimes" w:hAnsi="Times New Roman" w:cs="Times New Roman"/>
          <w:kern w:val="0"/>
          <w:szCs w:val="24"/>
        </w:rPr>
        <w:t>matrix</w:t>
      </w:r>
      <w:r w:rsidRPr="006D2D56">
        <w:rPr>
          <w:rFonts w:ascii="Times New Roman" w:eastAsia="AdvTimes" w:hAnsi="Times New Roman" w:cs="Times New Roman"/>
          <w:kern w:val="0"/>
          <w:szCs w:val="24"/>
        </w:rPr>
        <w:t xml:space="preserve"> </w:t>
      </w:r>
      <w:r>
        <w:rPr>
          <w:rFonts w:ascii="Times New Roman" w:eastAsia="AdvTimes" w:hAnsi="Times New Roman" w:cs="Times New Roman"/>
          <w:kern w:val="0"/>
          <w:szCs w:val="24"/>
        </w:rPr>
        <w:t>and</w:t>
      </w:r>
      <w:r w:rsidRPr="006D2D56">
        <w:rPr>
          <w:rFonts w:ascii="Times New Roman" w:eastAsia="AdvTimes" w:hAnsi="Times New Roman" w:cs="Times New Roman"/>
          <w:kern w:val="0"/>
          <w:szCs w:val="24"/>
        </w:rPr>
        <w:t xml:space="preserve"> corresponding strategies</w:t>
      </w:r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1086"/>
        <w:gridCol w:w="1937"/>
        <w:gridCol w:w="1056"/>
        <w:gridCol w:w="2118"/>
        <w:gridCol w:w="1053"/>
      </w:tblGrid>
      <w:tr w:rsidR="00352AEA" w:rsidRPr="00A5138B" w14:paraId="2306562B" w14:textId="77777777" w:rsidTr="00A9004D">
        <w:tc>
          <w:tcPr>
            <w:tcW w:w="34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F5E4" w14:textId="77777777" w:rsidR="00352AEA" w:rsidRPr="00D111DA" w:rsidRDefault="00352AEA" w:rsidP="00D93A6A">
            <w:pPr>
              <w:spacing w:line="0" w:lineRule="atLeast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14:paraId="74461F5D" w14:textId="77777777" w:rsidR="00352AEA" w:rsidRPr="009914F8" w:rsidRDefault="00352AEA" w:rsidP="00D93A6A">
            <w:pPr>
              <w:spacing w:line="0" w:lineRule="atLeast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9914F8">
              <w:rPr>
                <w:rFonts w:ascii="Times New Roman" w:eastAsia="新細明體" w:hAnsi="Times New Roman" w:cs="Times New Roman"/>
                <w:b/>
                <w:szCs w:val="24"/>
              </w:rPr>
              <w:t>Strengths</w:t>
            </w:r>
          </w:p>
        </w:tc>
        <w:tc>
          <w:tcPr>
            <w:tcW w:w="1056" w:type="dxa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12E3696" w14:textId="77777777" w:rsidR="00352AEA" w:rsidRPr="00D111DA" w:rsidRDefault="00352AEA" w:rsidP="00D93A6A">
            <w:pPr>
              <w:spacing w:line="0" w:lineRule="atLeast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proofErr w:type="gramStart"/>
            <w:r w:rsidRPr="00D111DA">
              <w:rPr>
                <w:rFonts w:ascii="Times New Roman" w:eastAsia="新細明體" w:hAnsi="Times New Roman" w:cs="Times New Roman"/>
                <w:sz w:val="16"/>
                <w:szCs w:val="16"/>
              </w:rPr>
              <w:t>INTERNAL  FACTORS</w:t>
            </w:r>
            <w:proofErr w:type="gramEnd"/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14:paraId="24F0DF74" w14:textId="77777777" w:rsidR="00352AEA" w:rsidRPr="009914F8" w:rsidRDefault="00352AEA" w:rsidP="00D93A6A">
            <w:pPr>
              <w:spacing w:line="0" w:lineRule="atLeast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9914F8">
              <w:rPr>
                <w:rFonts w:ascii="Times New Roman" w:eastAsia="新細明體" w:hAnsi="Times New Roman" w:cs="Times New Roman"/>
                <w:b/>
                <w:szCs w:val="24"/>
              </w:rPr>
              <w:t>Weaknesses</w:t>
            </w:r>
          </w:p>
        </w:tc>
        <w:tc>
          <w:tcPr>
            <w:tcW w:w="1053" w:type="dxa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7B91924" w14:textId="77777777" w:rsidR="00352AEA" w:rsidRPr="00D111DA" w:rsidRDefault="00352AEA" w:rsidP="00D93A6A">
            <w:pPr>
              <w:spacing w:line="0" w:lineRule="atLeast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proofErr w:type="gramStart"/>
            <w:r w:rsidRPr="00D111DA">
              <w:rPr>
                <w:rFonts w:ascii="Times New Roman" w:eastAsia="新細明體" w:hAnsi="Times New Roman" w:cs="Times New Roman"/>
                <w:sz w:val="16"/>
                <w:szCs w:val="16"/>
              </w:rPr>
              <w:t>INTERNAL  FACTORS</w:t>
            </w:r>
            <w:proofErr w:type="gramEnd"/>
          </w:p>
        </w:tc>
      </w:tr>
      <w:tr w:rsidR="00A9004D" w:rsidRPr="00A5138B" w14:paraId="0525AED5" w14:textId="77777777" w:rsidTr="0076515F">
        <w:trPr>
          <w:trHeight w:val="1086"/>
        </w:trPr>
        <w:tc>
          <w:tcPr>
            <w:tcW w:w="3458" w:type="dxa"/>
            <w:gridSpan w:val="2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6C2A" w14:textId="77777777" w:rsidR="00A9004D" w:rsidRPr="00D111DA" w:rsidRDefault="00A9004D" w:rsidP="00D93A6A">
            <w:pPr>
              <w:spacing w:line="0" w:lineRule="atLeast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993" w:type="dxa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563B6021" w14:textId="77777777" w:rsidR="00A9004D" w:rsidRPr="00A9004D" w:rsidRDefault="00A9004D" w:rsidP="00A9004D">
            <w:pPr>
              <w:pStyle w:val="a8"/>
              <w:numPr>
                <w:ilvl w:val="0"/>
                <w:numId w:val="6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Established blood supply and safety system</w:t>
            </w:r>
          </w:p>
          <w:p w14:paraId="3EE3BCC3" w14:textId="67F80490" w:rsidR="00A9004D" w:rsidRPr="00A9004D" w:rsidRDefault="00A9004D" w:rsidP="00A9004D">
            <w:pPr>
              <w:pStyle w:val="a8"/>
              <w:numPr>
                <w:ilvl w:val="0"/>
                <w:numId w:val="6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Strong voluntary donation culture</w:t>
            </w:r>
          </w:p>
          <w:p w14:paraId="087EDD47" w14:textId="2EB3BB51" w:rsidR="00A9004D" w:rsidRPr="00A9004D" w:rsidRDefault="00A9004D" w:rsidP="00A9004D">
            <w:pPr>
              <w:pStyle w:val="a8"/>
              <w:numPr>
                <w:ilvl w:val="0"/>
                <w:numId w:val="6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Advanced medical technology and transfusion safety</w:t>
            </w:r>
          </w:p>
        </w:tc>
        <w:tc>
          <w:tcPr>
            <w:tcW w:w="3171" w:type="dxa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09E80BD6" w14:textId="77777777" w:rsidR="00A9004D" w:rsidRPr="00A9004D" w:rsidRDefault="00A9004D" w:rsidP="00D93A6A">
            <w:pPr>
              <w:pStyle w:val="a8"/>
              <w:numPr>
                <w:ilvl w:val="0"/>
                <w:numId w:val="6"/>
              </w:numPr>
              <w:spacing w:line="0" w:lineRule="atLeast"/>
              <w:ind w:leftChars="0" w:left="96" w:hanging="96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Blood product wastage (over-ordering, expiration)</w:t>
            </w:r>
          </w:p>
          <w:p w14:paraId="261ABA7B" w14:textId="2B661656" w:rsidR="00A9004D" w:rsidRPr="00A9004D" w:rsidRDefault="00A9004D" w:rsidP="00D93A6A">
            <w:pPr>
              <w:pStyle w:val="a8"/>
              <w:numPr>
                <w:ilvl w:val="0"/>
                <w:numId w:val="6"/>
              </w:numPr>
              <w:spacing w:line="0" w:lineRule="atLeast"/>
              <w:ind w:leftChars="0" w:left="96" w:hanging="96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Low engagement of younger donors</w:t>
            </w:r>
          </w:p>
          <w:p w14:paraId="208E10C2" w14:textId="46229948" w:rsidR="00A9004D" w:rsidRPr="00A9004D" w:rsidRDefault="00A9004D" w:rsidP="00D93A6A">
            <w:pPr>
              <w:pStyle w:val="a8"/>
              <w:numPr>
                <w:ilvl w:val="0"/>
                <w:numId w:val="6"/>
              </w:numPr>
              <w:spacing w:line="0" w:lineRule="atLeast"/>
              <w:ind w:leftChars="0" w:left="96" w:hanging="96"/>
              <w:rPr>
                <w:rFonts w:ascii="Times New Roman" w:eastAsia="新細明體" w:hAnsi="Times New Roman" w:cs="Times New Roman"/>
                <w:sz w:val="14"/>
                <w:szCs w:val="14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Lack of real-time cross-hospital inventory</w:t>
            </w:r>
          </w:p>
        </w:tc>
      </w:tr>
      <w:tr w:rsidR="00352AEA" w:rsidRPr="00226586" w14:paraId="749FA855" w14:textId="77777777" w:rsidTr="00A9004D">
        <w:trPr>
          <w:trHeight w:val="190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ashed" w:sz="4" w:space="0" w:color="auto"/>
            </w:tcBorders>
            <w:shd w:val="clear" w:color="auto" w:fill="DEEAF6" w:themeFill="accent5" w:themeFillTint="33"/>
            <w:vAlign w:val="center"/>
          </w:tcPr>
          <w:p w14:paraId="77E1F17D" w14:textId="77777777" w:rsidR="00352AEA" w:rsidRPr="009914F8" w:rsidRDefault="00352AEA" w:rsidP="00D93A6A">
            <w:pPr>
              <w:spacing w:line="0" w:lineRule="atLeast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9914F8">
              <w:rPr>
                <w:rFonts w:ascii="Times New Roman" w:eastAsia="新細明體" w:hAnsi="Times New Roman" w:cs="Times New Roman"/>
                <w:b/>
                <w:szCs w:val="24"/>
              </w:rPr>
              <w:t>Opportunities</w:t>
            </w:r>
          </w:p>
        </w:tc>
        <w:tc>
          <w:tcPr>
            <w:tcW w:w="1086" w:type="dxa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31FA429F" w14:textId="77777777" w:rsidR="00352AEA" w:rsidRPr="00D111DA" w:rsidRDefault="00352AEA" w:rsidP="00D93A6A">
            <w:pPr>
              <w:spacing w:line="0" w:lineRule="atLeast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proofErr w:type="gramStart"/>
            <w:r w:rsidRPr="00D111DA">
              <w:rPr>
                <w:rFonts w:ascii="Times New Roman" w:eastAsia="新細明體" w:hAnsi="Times New Roman" w:cs="Times New Roman"/>
                <w:sz w:val="16"/>
                <w:szCs w:val="16"/>
              </w:rPr>
              <w:t>EXTERNAL  FACTORS</w:t>
            </w:r>
            <w:proofErr w:type="gramEnd"/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68DA8B20" w14:textId="77777777" w:rsidR="00352AEA" w:rsidRPr="009914F8" w:rsidRDefault="00352AEA" w:rsidP="00D93A6A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9914F8">
              <w:rPr>
                <w:rFonts w:ascii="Times New Roman" w:eastAsia="新細明體" w:hAnsi="Times New Roman" w:cs="Times New Roman"/>
                <w:b/>
                <w:szCs w:val="24"/>
              </w:rPr>
              <w:t>S/O Strategies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231841C3" w14:textId="77777777" w:rsidR="00352AEA" w:rsidRPr="009914F8" w:rsidRDefault="00352AEA" w:rsidP="00D93A6A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9914F8">
              <w:rPr>
                <w:rFonts w:ascii="Times New Roman" w:eastAsia="新細明體" w:hAnsi="Times New Roman" w:cs="Times New Roman"/>
                <w:b/>
                <w:szCs w:val="24"/>
              </w:rPr>
              <w:t>W/O Strategies</w:t>
            </w:r>
          </w:p>
        </w:tc>
      </w:tr>
      <w:tr w:rsidR="00A9004D" w:rsidRPr="00A5138B" w14:paraId="7953C442" w14:textId="77777777" w:rsidTr="0076515F">
        <w:trPr>
          <w:trHeight w:val="1907"/>
        </w:trPr>
        <w:tc>
          <w:tcPr>
            <w:tcW w:w="3458" w:type="dxa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5FEA7FB8" w14:textId="77777777" w:rsidR="00A9004D" w:rsidRPr="00D111DA" w:rsidRDefault="00A9004D" w:rsidP="00A9004D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65" w:hanging="16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AI and big data for supply-demand forecasting</w:t>
            </w:r>
          </w:p>
          <w:p w14:paraId="42329959" w14:textId="77777777" w:rsidR="00A9004D" w:rsidRPr="00D111DA" w:rsidRDefault="00A9004D" w:rsidP="00A9004D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65" w:hanging="16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International collaboration and best practices</w:t>
            </w:r>
          </w:p>
          <w:p w14:paraId="2A31CD91" w14:textId="0FD78C2C" w:rsidR="00A9004D" w:rsidRDefault="00A9004D" w:rsidP="00A9004D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65" w:hanging="16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Emerging technologies (synthetic blood, cell therapies)</w:t>
            </w:r>
          </w:p>
          <w:p w14:paraId="0DC66936" w14:textId="03B3881C" w:rsidR="00A9004D" w:rsidRP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65" w:hanging="165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Integration with long-term care and public health policies</w:t>
            </w:r>
          </w:p>
        </w:tc>
        <w:tc>
          <w:tcPr>
            <w:tcW w:w="2993" w:type="dxa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2263B9CB" w14:textId="77777777" w:rsidR="00A9004D" w:rsidRPr="00D111DA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Apply AI-driven demand forecasting in Taiwan’s blood system</w:t>
            </w:r>
          </w:p>
          <w:p w14:paraId="66DB64DB" w14:textId="77777777" w:rsidR="00A9004D" w:rsidRP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Expand voluntary donation via digital platforms, peer networks, campuses, and heal</w:t>
            </w: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th education</w:t>
            </w:r>
          </w:p>
          <w:p w14:paraId="09B903AC" w14:textId="1361C427" w:rsidR="00A9004D" w:rsidRP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Leverage international collaboration for synthetic blood and advanced medical technologies</w:t>
            </w:r>
          </w:p>
          <w:p w14:paraId="0FBEE621" w14:textId="547AD05A" w:rsidR="00A9004D" w:rsidRPr="00A9004D" w:rsidRDefault="00A9004D" w:rsidP="00A9004D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Use intraoperative autotransfusion and minimally invasive surgery</w:t>
            </w:r>
          </w:p>
        </w:tc>
        <w:tc>
          <w:tcPr>
            <w:tcW w:w="3171" w:type="dxa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5ADB481E" w14:textId="77777777" w:rsidR="00A9004D" w:rsidRP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96" w:hanging="96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Enhance education/outreach to boost youth donation</w:t>
            </w:r>
          </w:p>
          <w:p w14:paraId="296A841C" w14:textId="77777777" w:rsidR="00A9004D" w:rsidRP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96" w:hanging="96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Build AI-supported, real-time cross-hospital inventory system</w:t>
            </w:r>
          </w:p>
          <w:p w14:paraId="765AFE82" w14:textId="77777777" w:rsidR="00A9004D" w:rsidRP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96" w:hanging="96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Adopt international best practices to reduce inefficiencies</w:t>
            </w:r>
          </w:p>
          <w:p w14:paraId="1BE2C75A" w14:textId="417F8478" w:rsid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96" w:hanging="96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Develop proactive donor recruitment, including older healthy individuals</w:t>
            </w:r>
          </w:p>
          <w:p w14:paraId="298F4B98" w14:textId="49DCCC64" w:rsidR="00A9004D" w:rsidRPr="00A9004D" w:rsidRDefault="00A9004D" w:rsidP="00A9004D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96" w:hanging="96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Reconsider transfusion eligibility criteria</w:t>
            </w:r>
          </w:p>
        </w:tc>
      </w:tr>
      <w:tr w:rsidR="00352AEA" w:rsidRPr="00A5138B" w14:paraId="4BAFC095" w14:textId="77777777" w:rsidTr="00A9004D"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636D3C39" w14:textId="77777777" w:rsidR="00352AEA" w:rsidRPr="009914F8" w:rsidRDefault="00352AEA" w:rsidP="00D93A6A">
            <w:pPr>
              <w:spacing w:line="0" w:lineRule="atLeast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9914F8">
              <w:rPr>
                <w:rFonts w:ascii="Times New Roman" w:eastAsia="新細明體" w:hAnsi="Times New Roman" w:cs="Times New Roman"/>
                <w:b/>
                <w:szCs w:val="24"/>
              </w:rPr>
              <w:t>Threats</w:t>
            </w:r>
          </w:p>
        </w:tc>
        <w:tc>
          <w:tcPr>
            <w:tcW w:w="1086" w:type="dxa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0AC3749" w14:textId="77777777" w:rsidR="00352AEA" w:rsidRPr="00D111DA" w:rsidRDefault="00352AEA" w:rsidP="00D93A6A">
            <w:pPr>
              <w:spacing w:line="0" w:lineRule="atLeast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proofErr w:type="gramStart"/>
            <w:r w:rsidRPr="00D111DA">
              <w:rPr>
                <w:rFonts w:ascii="Times New Roman" w:eastAsia="新細明體" w:hAnsi="Times New Roman" w:cs="Times New Roman"/>
                <w:sz w:val="16"/>
                <w:szCs w:val="16"/>
              </w:rPr>
              <w:t>EXTERNAL  FACTORS</w:t>
            </w:r>
            <w:proofErr w:type="gramEnd"/>
          </w:p>
        </w:tc>
        <w:tc>
          <w:tcPr>
            <w:tcW w:w="299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19D1F0E5" w14:textId="77777777" w:rsidR="00352AEA" w:rsidRPr="009914F8" w:rsidRDefault="00352AEA" w:rsidP="00D93A6A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9914F8">
              <w:rPr>
                <w:rFonts w:ascii="Times New Roman" w:eastAsia="新細明體" w:hAnsi="Times New Roman" w:cs="Times New Roman"/>
                <w:b/>
                <w:szCs w:val="24"/>
              </w:rPr>
              <w:t>S/T Strategies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261340F5" w14:textId="77777777" w:rsidR="00352AEA" w:rsidRPr="009914F8" w:rsidRDefault="00352AEA" w:rsidP="00D93A6A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9914F8">
              <w:rPr>
                <w:rFonts w:ascii="Times New Roman" w:eastAsia="新細明體" w:hAnsi="Times New Roman" w:cs="Times New Roman"/>
                <w:b/>
                <w:szCs w:val="24"/>
              </w:rPr>
              <w:t>W/T Strategies</w:t>
            </w:r>
          </w:p>
        </w:tc>
      </w:tr>
      <w:tr w:rsidR="00A9004D" w:rsidRPr="00A5138B" w14:paraId="78A03646" w14:textId="77777777" w:rsidTr="00F27CA6">
        <w:trPr>
          <w:trHeight w:val="1109"/>
        </w:trPr>
        <w:tc>
          <w:tcPr>
            <w:tcW w:w="3458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5FB0A2B3" w14:textId="77777777" w:rsidR="00A9004D" w:rsidRPr="00D111DA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68" w:hanging="168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Declining eligible donors (17–65 years)</w:t>
            </w:r>
          </w:p>
          <w:p w14:paraId="165E8F69" w14:textId="77777777" w:rsidR="00A9004D" w:rsidRPr="00D111DA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68" w:hanging="168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Rising demand from population aging</w:t>
            </w:r>
          </w:p>
          <w:p w14:paraId="44B07594" w14:textId="7A23A401" w:rsid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68" w:hanging="168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Vulnerability to pandemics/disasters</w:t>
            </w:r>
          </w:p>
          <w:p w14:paraId="1F873C32" w14:textId="30ED8E25" w:rsidR="00A9004D" w:rsidRP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68" w:hanging="168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Changing social values affecting donation</w:t>
            </w:r>
          </w:p>
        </w:tc>
        <w:tc>
          <w:tcPr>
            <w:tcW w:w="2993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45EC001D" w14:textId="77777777" w:rsidR="00A9004D" w:rsidRP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Use strong infrastructure to maintain supply in emergencies</w:t>
            </w:r>
          </w:p>
          <w:p w14:paraId="09CD30A8" w14:textId="77777777" w:rsidR="00A9004D" w:rsidRP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Promote donor retention to counter shrinking donor pool</w:t>
            </w:r>
          </w:p>
          <w:p w14:paraId="1FD04186" w14:textId="2B797FF0" w:rsid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Improve preservation to extend shelf life and ease shortages</w:t>
            </w:r>
          </w:p>
          <w:p w14:paraId="221D13D2" w14:textId="6EA50438" w:rsidR="00A9004D" w:rsidRPr="00A9004D" w:rsidRDefault="00A9004D" w:rsidP="00A9004D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24" w:hanging="12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A9004D">
              <w:rPr>
                <w:rFonts w:ascii="Times New Roman" w:eastAsia="標楷體" w:hAnsi="Times New Roman" w:cs="Times New Roman"/>
                <w:sz w:val="16"/>
                <w:szCs w:val="16"/>
              </w:rPr>
              <w:t>Implement patient blood management, optimize surgical techniques, and enforce stricter transfusion guidelines</w:t>
            </w:r>
          </w:p>
        </w:tc>
        <w:tc>
          <w:tcPr>
            <w:tcW w:w="3171" w:type="dxa"/>
            <w:gridSpan w:val="2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07DD7A5E" w14:textId="77777777" w:rsidR="00A9004D" w:rsidRPr="00D111DA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96" w:hanging="96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Reduce wastage via optimized transfusion practices</w:t>
            </w:r>
          </w:p>
          <w:p w14:paraId="56AC297C" w14:textId="2424BB3D" w:rsid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96" w:hanging="96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Increase donor engagement to offset population decline</w:t>
            </w:r>
          </w:p>
          <w:p w14:paraId="302FDF97" w14:textId="067DC836" w:rsidR="00A9004D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96" w:hanging="96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Prepare contingency plans for outbreaks/disasters</w:t>
            </w:r>
          </w:p>
          <w:p w14:paraId="508E27F8" w14:textId="32E8D339" w:rsidR="00A9004D" w:rsidRPr="00A9004D" w:rsidRDefault="00A9004D" w:rsidP="00A9004D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96" w:hanging="96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D111DA">
              <w:rPr>
                <w:rFonts w:ascii="Times New Roman" w:eastAsia="標楷體" w:hAnsi="Times New Roman" w:cs="Times New Roman"/>
                <w:sz w:val="16"/>
                <w:szCs w:val="16"/>
              </w:rPr>
              <w:t>Reevaluate transfusion eligibility criteria</w:t>
            </w:r>
          </w:p>
        </w:tc>
      </w:tr>
      <w:tr w:rsidR="00A9004D" w:rsidRPr="00A5138B" w14:paraId="1788E250" w14:textId="77777777" w:rsidTr="0076515F">
        <w:trPr>
          <w:trHeight w:val="503"/>
        </w:trPr>
        <w:tc>
          <w:tcPr>
            <w:tcW w:w="34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9EBF" w14:textId="6F98BCAE" w:rsidR="00A9004D" w:rsidRPr="00D111DA" w:rsidRDefault="00A9004D" w:rsidP="00D93A6A">
            <w:pPr>
              <w:spacing w:line="0" w:lineRule="atLeast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CCCB" w14:textId="5492F380" w:rsidR="00A9004D" w:rsidRPr="00D111DA" w:rsidRDefault="00A9004D" w:rsidP="00D93A6A">
            <w:pPr>
              <w:pStyle w:val="a8"/>
              <w:numPr>
                <w:ilvl w:val="0"/>
                <w:numId w:val="7"/>
              </w:numPr>
              <w:spacing w:line="0" w:lineRule="atLeast"/>
              <w:ind w:leftChars="0" w:left="124" w:hanging="124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7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658E" w14:textId="6D5C2C35" w:rsidR="00A9004D" w:rsidRPr="00D111DA" w:rsidRDefault="00A9004D" w:rsidP="006D19E2">
            <w:pPr>
              <w:pStyle w:val="a8"/>
              <w:spacing w:line="0" w:lineRule="atLeast"/>
              <w:ind w:leftChars="0" w:left="96"/>
              <w:rPr>
                <w:rFonts w:ascii="Times New Roman" w:eastAsia="新細明體" w:hAnsi="Times New Roman" w:cs="Times New Roman" w:hint="eastAsia"/>
              </w:rPr>
            </w:pPr>
          </w:p>
        </w:tc>
      </w:tr>
    </w:tbl>
    <w:p w14:paraId="795ED5D9" w14:textId="463EEE47" w:rsidR="00352AEA" w:rsidRDefault="00352AEA" w:rsidP="00352AEA">
      <w:pPr>
        <w:rPr>
          <w:rFonts w:ascii="Calibri" w:eastAsia="新細明體" w:hAnsi="Calibri" w:cs="Times New Roman"/>
        </w:rPr>
      </w:pPr>
    </w:p>
    <w:sectPr w:rsidR="00352AEA" w:rsidSect="005E2C0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10F3" w14:textId="77777777" w:rsidR="00B65A30" w:rsidRDefault="00B65A30" w:rsidP="00A05BA9">
      <w:r>
        <w:separator/>
      </w:r>
    </w:p>
  </w:endnote>
  <w:endnote w:type="continuationSeparator" w:id="0">
    <w:p w14:paraId="0A025DD1" w14:textId="77777777" w:rsidR="00B65A30" w:rsidRDefault="00B65A30" w:rsidP="00A0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v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DD02" w14:textId="77777777" w:rsidR="00B65A30" w:rsidRDefault="00B65A30" w:rsidP="00A05BA9">
      <w:r>
        <w:separator/>
      </w:r>
    </w:p>
  </w:footnote>
  <w:footnote w:type="continuationSeparator" w:id="0">
    <w:p w14:paraId="04B6C87A" w14:textId="77777777" w:rsidR="00B65A30" w:rsidRDefault="00B65A30" w:rsidP="00A0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4AFA"/>
    <w:multiLevelType w:val="hybridMultilevel"/>
    <w:tmpl w:val="3370A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ED7171"/>
    <w:multiLevelType w:val="hybridMultilevel"/>
    <w:tmpl w:val="994C6EDE"/>
    <w:lvl w:ilvl="0" w:tplc="2A1E351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1C6893"/>
    <w:multiLevelType w:val="hybridMultilevel"/>
    <w:tmpl w:val="5694EA88"/>
    <w:lvl w:ilvl="0" w:tplc="A392B94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EB4300B"/>
    <w:multiLevelType w:val="hybridMultilevel"/>
    <w:tmpl w:val="7F24FDDE"/>
    <w:lvl w:ilvl="0" w:tplc="A392B94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8A307E"/>
    <w:multiLevelType w:val="hybridMultilevel"/>
    <w:tmpl w:val="CB004B80"/>
    <w:lvl w:ilvl="0" w:tplc="2A1E351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5441562"/>
    <w:multiLevelType w:val="hybridMultilevel"/>
    <w:tmpl w:val="E41EEA1A"/>
    <w:lvl w:ilvl="0" w:tplc="2A1E351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9B49C3"/>
    <w:multiLevelType w:val="hybridMultilevel"/>
    <w:tmpl w:val="E0B052D4"/>
    <w:lvl w:ilvl="0" w:tplc="A392B94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85"/>
    <w:rsid w:val="00003B2F"/>
    <w:rsid w:val="00036432"/>
    <w:rsid w:val="00044DE2"/>
    <w:rsid w:val="00092FF0"/>
    <w:rsid w:val="000A333C"/>
    <w:rsid w:val="000B35F5"/>
    <w:rsid w:val="000B3FBE"/>
    <w:rsid w:val="000D6E32"/>
    <w:rsid w:val="000E5DCE"/>
    <w:rsid w:val="00117BB8"/>
    <w:rsid w:val="001310F7"/>
    <w:rsid w:val="00147DA0"/>
    <w:rsid w:val="00171985"/>
    <w:rsid w:val="0017451F"/>
    <w:rsid w:val="00191616"/>
    <w:rsid w:val="0019327E"/>
    <w:rsid w:val="002120E0"/>
    <w:rsid w:val="002150C0"/>
    <w:rsid w:val="00226586"/>
    <w:rsid w:val="002304A9"/>
    <w:rsid w:val="00231E57"/>
    <w:rsid w:val="002326D1"/>
    <w:rsid w:val="002435DC"/>
    <w:rsid w:val="002542B7"/>
    <w:rsid w:val="00260B62"/>
    <w:rsid w:val="00277B6D"/>
    <w:rsid w:val="002828D5"/>
    <w:rsid w:val="00282DE7"/>
    <w:rsid w:val="0029590F"/>
    <w:rsid w:val="002A0A7C"/>
    <w:rsid w:val="002D7A95"/>
    <w:rsid w:val="00312C4E"/>
    <w:rsid w:val="003163BD"/>
    <w:rsid w:val="00341D78"/>
    <w:rsid w:val="00352AEA"/>
    <w:rsid w:val="003726B0"/>
    <w:rsid w:val="0038563C"/>
    <w:rsid w:val="003B5F84"/>
    <w:rsid w:val="003F480D"/>
    <w:rsid w:val="00400A83"/>
    <w:rsid w:val="00403AD0"/>
    <w:rsid w:val="0043635B"/>
    <w:rsid w:val="0044341A"/>
    <w:rsid w:val="00457033"/>
    <w:rsid w:val="00471E34"/>
    <w:rsid w:val="004B2103"/>
    <w:rsid w:val="004F217A"/>
    <w:rsid w:val="00507D85"/>
    <w:rsid w:val="0056034D"/>
    <w:rsid w:val="00565B6C"/>
    <w:rsid w:val="005679BE"/>
    <w:rsid w:val="005A22F3"/>
    <w:rsid w:val="005C7871"/>
    <w:rsid w:val="005D3D20"/>
    <w:rsid w:val="005D604B"/>
    <w:rsid w:val="005E2C09"/>
    <w:rsid w:val="005F3A57"/>
    <w:rsid w:val="005F5F8D"/>
    <w:rsid w:val="006414A6"/>
    <w:rsid w:val="006446E9"/>
    <w:rsid w:val="00646E2A"/>
    <w:rsid w:val="006512CC"/>
    <w:rsid w:val="0065386C"/>
    <w:rsid w:val="00655606"/>
    <w:rsid w:val="00662C60"/>
    <w:rsid w:val="006878BD"/>
    <w:rsid w:val="006A6D16"/>
    <w:rsid w:val="006D19E2"/>
    <w:rsid w:val="006D2D56"/>
    <w:rsid w:val="00720EAF"/>
    <w:rsid w:val="0076515F"/>
    <w:rsid w:val="0077184E"/>
    <w:rsid w:val="007A41ED"/>
    <w:rsid w:val="007C3F9B"/>
    <w:rsid w:val="007D5D51"/>
    <w:rsid w:val="007E5C8D"/>
    <w:rsid w:val="007F41A7"/>
    <w:rsid w:val="007F589E"/>
    <w:rsid w:val="00806273"/>
    <w:rsid w:val="00853C97"/>
    <w:rsid w:val="00861C6A"/>
    <w:rsid w:val="008C1083"/>
    <w:rsid w:val="008C4535"/>
    <w:rsid w:val="008D2650"/>
    <w:rsid w:val="008F4B2B"/>
    <w:rsid w:val="00910312"/>
    <w:rsid w:val="00922A32"/>
    <w:rsid w:val="009242C6"/>
    <w:rsid w:val="00951CA9"/>
    <w:rsid w:val="009914F8"/>
    <w:rsid w:val="00993628"/>
    <w:rsid w:val="009B561F"/>
    <w:rsid w:val="009D504D"/>
    <w:rsid w:val="00A029E1"/>
    <w:rsid w:val="00A05BA9"/>
    <w:rsid w:val="00A5138B"/>
    <w:rsid w:val="00A659DB"/>
    <w:rsid w:val="00A7036A"/>
    <w:rsid w:val="00A803E8"/>
    <w:rsid w:val="00A9004D"/>
    <w:rsid w:val="00AA164E"/>
    <w:rsid w:val="00AE54ED"/>
    <w:rsid w:val="00B602EC"/>
    <w:rsid w:val="00B65A30"/>
    <w:rsid w:val="00BA205C"/>
    <w:rsid w:val="00BA2177"/>
    <w:rsid w:val="00BB0BBA"/>
    <w:rsid w:val="00BB5898"/>
    <w:rsid w:val="00BC17BD"/>
    <w:rsid w:val="00BD3832"/>
    <w:rsid w:val="00BE02E0"/>
    <w:rsid w:val="00BE7E1B"/>
    <w:rsid w:val="00C74607"/>
    <w:rsid w:val="00C92519"/>
    <w:rsid w:val="00C927AE"/>
    <w:rsid w:val="00C93EB8"/>
    <w:rsid w:val="00CD4C18"/>
    <w:rsid w:val="00CE1C63"/>
    <w:rsid w:val="00CF4073"/>
    <w:rsid w:val="00D111DA"/>
    <w:rsid w:val="00D27AD0"/>
    <w:rsid w:val="00DB42EA"/>
    <w:rsid w:val="00E07747"/>
    <w:rsid w:val="00E111DB"/>
    <w:rsid w:val="00E633FF"/>
    <w:rsid w:val="00E80A7B"/>
    <w:rsid w:val="00EA24D0"/>
    <w:rsid w:val="00EB7BBE"/>
    <w:rsid w:val="00ED7612"/>
    <w:rsid w:val="00F05F98"/>
    <w:rsid w:val="00F11609"/>
    <w:rsid w:val="00FA21D4"/>
    <w:rsid w:val="00FA4E83"/>
    <w:rsid w:val="00FC6F4B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6B475"/>
  <w15:chartTrackingRefBased/>
  <w15:docId w15:val="{4258D7BD-BF2A-456A-9F63-23E3B9B0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B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BA9"/>
    <w:rPr>
      <w:sz w:val="20"/>
      <w:szCs w:val="20"/>
    </w:rPr>
  </w:style>
  <w:style w:type="table" w:styleId="a7">
    <w:name w:val="Table Grid"/>
    <w:basedOn w:val="a1"/>
    <w:uiPriority w:val="39"/>
    <w:rsid w:val="00FC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0BBA"/>
    <w:pPr>
      <w:ind w:leftChars="200" w:left="480"/>
    </w:pPr>
  </w:style>
  <w:style w:type="character" w:styleId="a9">
    <w:name w:val="Hyperlink"/>
    <w:basedOn w:val="a0"/>
    <w:uiPriority w:val="99"/>
    <w:unhideWhenUsed/>
    <w:rsid w:val="00C7460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74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tfho</dc:creator>
  <cp:keywords/>
  <dc:description/>
  <cp:lastModifiedBy>tfho</cp:lastModifiedBy>
  <cp:revision>5</cp:revision>
  <cp:lastPrinted>2025-10-07T12:10:00Z</cp:lastPrinted>
  <dcterms:created xsi:type="dcterms:W3CDTF">2025-10-07T13:26:00Z</dcterms:created>
  <dcterms:modified xsi:type="dcterms:W3CDTF">2025-10-07T13:53:00Z</dcterms:modified>
</cp:coreProperties>
</file>