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53FCA" w14:textId="77777777" w:rsidR="00751C33" w:rsidRPr="00751C33" w:rsidRDefault="00751C33" w:rsidP="00751C33">
      <w:pPr>
        <w:rPr>
          <w:b/>
          <w:bCs/>
          <w:lang w:val="en-US"/>
        </w:rPr>
      </w:pPr>
      <w:r w:rsidRPr="00751C33">
        <w:rPr>
          <w:b/>
          <w:bCs/>
          <w:lang w:val="en-US"/>
        </w:rPr>
        <w:t>Appendix</w:t>
      </w:r>
    </w:p>
    <w:p w14:paraId="743CFF4C" w14:textId="77777777" w:rsidR="00751C33" w:rsidRPr="00751C33" w:rsidRDefault="00751C33" w:rsidP="00751C33">
      <w:pPr>
        <w:rPr>
          <w:b/>
          <w:bCs/>
          <w:lang w:val="en-US"/>
        </w:rPr>
      </w:pPr>
      <w:r w:rsidRPr="00751C33">
        <w:rPr>
          <w:b/>
          <w:bCs/>
          <w:lang w:val="en-US"/>
        </w:rPr>
        <w:t xml:space="preserve">Appendix A: Uncertainty of Absolute Locations Prior to Relocation </w:t>
      </w:r>
    </w:p>
    <w:p w14:paraId="631AFB6C" w14:textId="77777777" w:rsidR="00751C33" w:rsidRPr="00751C33" w:rsidRDefault="00751C33" w:rsidP="00751C33">
      <w:pPr>
        <w:rPr>
          <w:lang w:val="en-US"/>
        </w:rPr>
      </w:pPr>
      <w:r w:rsidRPr="00751C33">
        <w:rPr>
          <w:lang w:val="en-US"/>
        </w:rPr>
        <w:t xml:space="preserve">To assess the quality of the input absolute locations prior to relative relocation, we analyzed the formal errors from </w:t>
      </w:r>
      <w:proofErr w:type="spellStart"/>
      <w:r w:rsidRPr="00751C33">
        <w:rPr>
          <w:lang w:val="en-US"/>
        </w:rPr>
        <w:t>NonLinLoc</w:t>
      </w:r>
      <w:proofErr w:type="spellEnd"/>
      <w:r w:rsidRPr="00751C33">
        <w:rPr>
          <w:lang w:val="en-US"/>
        </w:rPr>
        <w:t xml:space="preserve"> solutions for events recorded during the 2014, 2017, and 2018 swarm sequences (13,000 events). These three sequences were selected because they represent the most energetic and best-recorded swarms in the catalog, combining dense station coverage with large numbers of closely spaced events. Such conditions are particularly suitable for evaluating the typical absolute-location uncertainties relevant to subsequent relative relocation. Each event location provides a full covariance matrix, from which the standard deviations in X, Y, and Z directions were extracted.</w:t>
      </w:r>
    </w:p>
    <w:p w14:paraId="1D2C3EF8" w14:textId="77777777" w:rsidR="00751C33" w:rsidRPr="00751C33" w:rsidRDefault="00751C33" w:rsidP="00751C33">
      <w:pPr>
        <w:rPr>
          <w:lang w:val="en-US"/>
        </w:rPr>
      </w:pPr>
      <w:r w:rsidRPr="00751C33">
        <w:rPr>
          <w:lang w:val="en-US"/>
        </w:rPr>
        <w:t>The distributions of these standard deviations are shown in the electronic supplement Figure S1. Most events exhibit horizontal uncertainties below 1 km, with modal values around 0.5–0.9 km. Vertical uncertainties are of similar magnitude but with a broader distribution. These values represent the typical absolute location errors of the input dataset used for subsequent relative relocation.</w:t>
      </w:r>
    </w:p>
    <w:p w14:paraId="457876AD" w14:textId="77777777" w:rsidR="00751C33" w:rsidRPr="00751C33" w:rsidRDefault="00751C33" w:rsidP="00751C33">
      <w:pPr>
        <w:rPr>
          <w:lang w:val="en-US"/>
        </w:rPr>
      </w:pPr>
      <w:r w:rsidRPr="00751C33">
        <w:rPr>
          <w:lang w:val="en-US"/>
        </w:rPr>
        <w:t xml:space="preserve">The input locations used for the relative relocation were associated with horizontal and vertical uncertainties mostly below 1 km (see Figure S1 in the electronic supplement). While this level of accuracy is sufficient for the application of methods such as the multi-master approach or </w:t>
      </w:r>
      <w:proofErr w:type="spellStart"/>
      <w:r w:rsidRPr="00751C33">
        <w:rPr>
          <w:lang w:val="en-US"/>
        </w:rPr>
        <w:t>GrowClust</w:t>
      </w:r>
      <w:proofErr w:type="spellEnd"/>
      <w:r w:rsidRPr="00751C33">
        <w:rPr>
          <w:lang w:val="en-US"/>
        </w:rPr>
        <w:t>, it also highlights the importance of relative techniques in refining the structural interpretation beyond the resolution of absolute locations.</w:t>
      </w:r>
    </w:p>
    <w:p w14:paraId="396DA8BC" w14:textId="77777777" w:rsidR="00751C33" w:rsidRPr="00751C33" w:rsidRDefault="00751C33" w:rsidP="00751C33">
      <w:pPr>
        <w:rPr>
          <w:b/>
          <w:bCs/>
          <w:lang w:val="en-US"/>
        </w:rPr>
      </w:pPr>
      <w:r w:rsidRPr="00751C33">
        <w:rPr>
          <w:b/>
          <w:bCs/>
          <w:lang w:val="en-US"/>
        </w:rPr>
        <w:t>Appendix B: Relocation Quality and Event Shifts</w:t>
      </w:r>
    </w:p>
    <w:p w14:paraId="3EEEFEA0" w14:textId="77777777" w:rsidR="00751C33" w:rsidRPr="00751C33" w:rsidRDefault="00751C33" w:rsidP="00751C33">
      <w:pPr>
        <w:rPr>
          <w:lang w:val="en-US"/>
        </w:rPr>
      </w:pPr>
      <w:r w:rsidRPr="00751C33">
        <w:rPr>
          <w:lang w:val="en-US"/>
        </w:rPr>
        <w:t>The quality of the multi-master relative locations was assessed using the normalized residuals (</w:t>
      </w:r>
      <w:proofErr w:type="spellStart"/>
      <w:r w:rsidRPr="00751C33">
        <w:rPr>
          <w:i/>
          <w:iCs/>
          <w:lang w:val="en-US"/>
        </w:rPr>
        <w:t>res_norm</w:t>
      </w:r>
      <w:proofErr w:type="spellEnd"/>
      <w:r w:rsidRPr="00751C33">
        <w:rPr>
          <w:lang w:val="en-US"/>
        </w:rPr>
        <w:t xml:space="preserve">) and by quantifying the event shifts relative to the original catalog. The distribution of residuals is narrow, with a median value of 0.0047 and an interquartile range of 0.0084. </w:t>
      </w:r>
      <w:proofErr w:type="gramStart"/>
      <w:r w:rsidRPr="00751C33">
        <w:rPr>
          <w:lang w:val="en-US"/>
        </w:rPr>
        <w:t>The majority of</w:t>
      </w:r>
      <w:proofErr w:type="gramEnd"/>
      <w:r w:rsidRPr="00751C33">
        <w:rPr>
          <w:lang w:val="en-US"/>
        </w:rPr>
        <w:t xml:space="preserve"> events fall below 0.05, which indicates a stable and consistent fit across the dataset (Figure S6 in the electronic supplement).</w:t>
      </w:r>
    </w:p>
    <w:p w14:paraId="71AB2128" w14:textId="77777777" w:rsidR="00751C33" w:rsidRPr="00751C33" w:rsidRDefault="00751C33" w:rsidP="00751C33">
      <w:pPr>
        <w:rPr>
          <w:lang w:val="en-US"/>
        </w:rPr>
      </w:pPr>
      <w:r w:rsidRPr="00751C33">
        <w:rPr>
          <w:lang w:val="en-US"/>
        </w:rPr>
        <w:t xml:space="preserve">Horizontal shifts are typically less than 1 km, with a median of 0.38 km and a 95th percentile of 1.0 km. Vertical shifts </w:t>
      </w:r>
      <w:proofErr w:type="gramStart"/>
      <w:r w:rsidRPr="00751C33">
        <w:rPr>
          <w:lang w:val="en-US"/>
        </w:rPr>
        <w:t>are</w:t>
      </w:r>
      <w:proofErr w:type="gramEnd"/>
      <w:r w:rsidRPr="00751C33">
        <w:rPr>
          <w:lang w:val="en-US"/>
        </w:rPr>
        <w:t xml:space="preserve"> symmetrically distributed around zero, with a median of 0.06 km and most events within ±0.75 km. This suggests that the relative locations </w:t>
      </w:r>
      <w:proofErr w:type="gramStart"/>
      <w:r w:rsidRPr="00751C33">
        <w:rPr>
          <w:lang w:val="en-US"/>
        </w:rPr>
        <w:t>correct</w:t>
      </w:r>
      <w:proofErr w:type="gramEnd"/>
      <w:r w:rsidRPr="00751C33">
        <w:rPr>
          <w:lang w:val="en-US"/>
        </w:rPr>
        <w:t xml:space="preserve"> for local </w:t>
      </w:r>
      <w:proofErr w:type="spellStart"/>
      <w:r w:rsidRPr="00751C33">
        <w:rPr>
          <w:lang w:val="en-US"/>
        </w:rPr>
        <w:t>mislocations</w:t>
      </w:r>
      <w:proofErr w:type="spellEnd"/>
      <w:r w:rsidRPr="00751C33">
        <w:rPr>
          <w:lang w:val="en-US"/>
        </w:rPr>
        <w:t xml:space="preserve"> without introducing a systematic bias in depth (Figure S7 in the electronic supplement).</w:t>
      </w:r>
    </w:p>
    <w:p w14:paraId="4D23DDFD" w14:textId="77777777" w:rsidR="00751C33" w:rsidRPr="00751C33" w:rsidRDefault="00751C33" w:rsidP="00751C33">
      <w:pPr>
        <w:rPr>
          <w:lang w:val="en-US"/>
        </w:rPr>
      </w:pPr>
      <w:r w:rsidRPr="00751C33">
        <w:rPr>
          <w:lang w:val="en-US"/>
        </w:rPr>
        <w:t>Overall, the multi-master approach produces stable solutions with small residuals and moderate shifts relative to the catalog, indicating that the method effectively refines the relative locations of events while preserving the large-scale structure.</w:t>
      </w:r>
    </w:p>
    <w:p w14:paraId="74080075" w14:textId="77777777" w:rsidR="00751C33" w:rsidRPr="00751C33" w:rsidRDefault="00751C33" w:rsidP="00751C33">
      <w:pPr>
        <w:rPr>
          <w:lang w:val="en-US"/>
        </w:rPr>
      </w:pPr>
      <w:r w:rsidRPr="00751C33">
        <w:rPr>
          <w:lang w:val="en-US"/>
        </w:rPr>
        <w:lastRenderedPageBreak/>
        <w:t xml:space="preserve">The quality of the </w:t>
      </w:r>
      <w:proofErr w:type="spellStart"/>
      <w:r w:rsidRPr="00751C33">
        <w:rPr>
          <w:lang w:val="en-US"/>
        </w:rPr>
        <w:t>GrowClust</w:t>
      </w:r>
      <w:proofErr w:type="spellEnd"/>
      <w:r w:rsidRPr="00751C33">
        <w:rPr>
          <w:lang w:val="en-US"/>
        </w:rPr>
        <w:t xml:space="preserve"> relative locations was evaluated using the RMS of P- and S-wave residuals and by quantifying the shifts relative to the original catalog locations (Figure S8 in the electronic supplement). Most events exhibit very low RMS values (median ~0.01 s for P and ~0.02 s for S), indicating an excellent fit of the arrival times. Only a small fraction of events exceeds RMS values of 0.1 s.</w:t>
      </w:r>
    </w:p>
    <w:p w14:paraId="720688A1" w14:textId="77777777" w:rsidR="00751C33" w:rsidRPr="00751C33" w:rsidRDefault="00751C33" w:rsidP="00751C33">
      <w:pPr>
        <w:rPr>
          <w:lang w:val="en-US"/>
        </w:rPr>
      </w:pPr>
      <w:r w:rsidRPr="00751C33">
        <w:rPr>
          <w:lang w:val="en-US"/>
        </w:rPr>
        <w:t>Horizontal shifts are generally less than 0.5 km (median ~0.25 km), with a long tail reflecting a few cases of larger relocations. Vertical shifts are symmetrically distributed around zero, with typical values within ±0.5 km. This indicates that the relative locations do not introduce a systematic bias towards shallower or deeper depths, but rather correct individual hypocenters upwards or downwards (Figure S9 in the electronic supplement).</w:t>
      </w:r>
    </w:p>
    <w:p w14:paraId="7FB479B4" w14:textId="77777777" w:rsidR="00751C33" w:rsidRPr="00751C33" w:rsidRDefault="00751C33" w:rsidP="00751C33">
      <w:pPr>
        <w:rPr>
          <w:lang w:val="en-US"/>
        </w:rPr>
      </w:pPr>
      <w:r w:rsidRPr="00751C33">
        <w:rPr>
          <w:lang w:val="en-US"/>
        </w:rPr>
        <w:t xml:space="preserve">Overall, the </w:t>
      </w:r>
      <w:proofErr w:type="spellStart"/>
      <w:r w:rsidRPr="00751C33">
        <w:rPr>
          <w:lang w:val="en-US"/>
        </w:rPr>
        <w:t>GrowClust</w:t>
      </w:r>
      <w:proofErr w:type="spellEnd"/>
      <w:r w:rsidRPr="00751C33">
        <w:rPr>
          <w:lang w:val="en-US"/>
        </w:rPr>
        <w:t xml:space="preserve"> results demonstrate a clear improvement </w:t>
      </w:r>
      <w:proofErr w:type="gramStart"/>
      <w:r w:rsidRPr="00751C33">
        <w:rPr>
          <w:lang w:val="en-US"/>
        </w:rPr>
        <w:t>of</w:t>
      </w:r>
      <w:proofErr w:type="gramEnd"/>
      <w:r w:rsidRPr="00751C33">
        <w:rPr>
          <w:lang w:val="en-US"/>
        </w:rPr>
        <w:t xml:space="preserve"> the relative locations compared to the absolute catalog, with most events relocated by less than 1 km.</w:t>
      </w:r>
    </w:p>
    <w:p w14:paraId="49ADD9EA" w14:textId="77777777" w:rsidR="00751C33" w:rsidRPr="00751C33" w:rsidRDefault="00751C33" w:rsidP="00751C33">
      <w:pPr>
        <w:rPr>
          <w:b/>
          <w:bCs/>
          <w:lang w:val="en-US"/>
        </w:rPr>
      </w:pPr>
      <w:r w:rsidRPr="00751C33">
        <w:rPr>
          <w:b/>
          <w:bCs/>
          <w:lang w:val="en-US"/>
        </w:rPr>
        <w:t>Appendix C: Sensitivity to Network Geometry</w:t>
      </w:r>
    </w:p>
    <w:p w14:paraId="2D8DB2A9" w14:textId="77777777" w:rsidR="00751C33" w:rsidRPr="00751C33" w:rsidRDefault="00751C33" w:rsidP="00751C33">
      <w:pPr>
        <w:rPr>
          <w:lang w:val="en-US"/>
        </w:rPr>
      </w:pPr>
      <w:r w:rsidRPr="00751C33">
        <w:rPr>
          <w:lang w:val="en-US"/>
        </w:rPr>
        <w:t>To evaluate the sensitivity of the relocation results to station coverage, we repeated the multi-master relocation without using the NKC station, which represents one of the central and most important stations in the WEBNET network. For this test, the absolute event locations remained unchanged, but the NKC station was excluded from the input bulletin used for computing differential times. The removal of this key station did not significantly degrade the quality of the relocation results. The overall spatial patterns and structural resolution were preserved (Figure S10 in the electronic supplement), suggesting a certain robustness of the multi-master approach, even when partial network coverage or station outages occur. It should be noted, however, that since the underlying absolute locations were still determined using NKC, the test does not fully capture the potential absolute shift of the entire cluster that could arise if NKC were missing already at the absolute location stage.</w:t>
      </w:r>
    </w:p>
    <w:p w14:paraId="300BD044" w14:textId="77777777" w:rsidR="00751C33" w:rsidRPr="00751C33" w:rsidRDefault="00751C33" w:rsidP="00751C33">
      <w:pPr>
        <w:rPr>
          <w:b/>
          <w:bCs/>
          <w:lang w:val="en-US"/>
        </w:rPr>
      </w:pPr>
    </w:p>
    <w:p w14:paraId="445A75F7"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C33"/>
    <w:rsid w:val="00751C33"/>
    <w:rsid w:val="00767E38"/>
    <w:rsid w:val="00866F7D"/>
    <w:rsid w:val="00B958E8"/>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6E2E3"/>
  <w15:chartTrackingRefBased/>
  <w15:docId w15:val="{9752143C-5F10-4633-A6D0-1AF119234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1C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1C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1C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1C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1C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1C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1C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1C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1C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1C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1C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1C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1C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1C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1C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1C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1C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1C33"/>
    <w:rPr>
      <w:rFonts w:eastAsiaTheme="majorEastAsia" w:cstheme="majorBidi"/>
      <w:color w:val="272727" w:themeColor="text1" w:themeTint="D8"/>
    </w:rPr>
  </w:style>
  <w:style w:type="paragraph" w:styleId="Title">
    <w:name w:val="Title"/>
    <w:basedOn w:val="Normal"/>
    <w:next w:val="Normal"/>
    <w:link w:val="TitleChar"/>
    <w:uiPriority w:val="10"/>
    <w:qFormat/>
    <w:rsid w:val="00751C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1C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1C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1C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1C33"/>
    <w:pPr>
      <w:spacing w:before="160"/>
      <w:jc w:val="center"/>
    </w:pPr>
    <w:rPr>
      <w:i/>
      <w:iCs/>
      <w:color w:val="404040" w:themeColor="text1" w:themeTint="BF"/>
    </w:rPr>
  </w:style>
  <w:style w:type="character" w:customStyle="1" w:styleId="QuoteChar">
    <w:name w:val="Quote Char"/>
    <w:basedOn w:val="DefaultParagraphFont"/>
    <w:link w:val="Quote"/>
    <w:uiPriority w:val="29"/>
    <w:rsid w:val="00751C33"/>
    <w:rPr>
      <w:i/>
      <w:iCs/>
      <w:color w:val="404040" w:themeColor="text1" w:themeTint="BF"/>
    </w:rPr>
  </w:style>
  <w:style w:type="paragraph" w:styleId="ListParagraph">
    <w:name w:val="List Paragraph"/>
    <w:basedOn w:val="Normal"/>
    <w:uiPriority w:val="34"/>
    <w:qFormat/>
    <w:rsid w:val="00751C33"/>
    <w:pPr>
      <w:ind w:left="720"/>
      <w:contextualSpacing/>
    </w:pPr>
  </w:style>
  <w:style w:type="character" w:styleId="IntenseEmphasis">
    <w:name w:val="Intense Emphasis"/>
    <w:basedOn w:val="DefaultParagraphFont"/>
    <w:uiPriority w:val="21"/>
    <w:qFormat/>
    <w:rsid w:val="00751C33"/>
    <w:rPr>
      <w:i/>
      <w:iCs/>
      <w:color w:val="0F4761" w:themeColor="accent1" w:themeShade="BF"/>
    </w:rPr>
  </w:style>
  <w:style w:type="paragraph" w:styleId="IntenseQuote">
    <w:name w:val="Intense Quote"/>
    <w:basedOn w:val="Normal"/>
    <w:next w:val="Normal"/>
    <w:link w:val="IntenseQuoteChar"/>
    <w:uiPriority w:val="30"/>
    <w:qFormat/>
    <w:rsid w:val="00751C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1C33"/>
    <w:rPr>
      <w:i/>
      <w:iCs/>
      <w:color w:val="0F4761" w:themeColor="accent1" w:themeShade="BF"/>
    </w:rPr>
  </w:style>
  <w:style w:type="character" w:styleId="IntenseReference">
    <w:name w:val="Intense Reference"/>
    <w:basedOn w:val="DefaultParagraphFont"/>
    <w:uiPriority w:val="32"/>
    <w:qFormat/>
    <w:rsid w:val="00751C3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6829242">
      <w:bodyDiv w:val="1"/>
      <w:marLeft w:val="0"/>
      <w:marRight w:val="0"/>
      <w:marTop w:val="0"/>
      <w:marBottom w:val="0"/>
      <w:divBdr>
        <w:top w:val="none" w:sz="0" w:space="0" w:color="auto"/>
        <w:left w:val="none" w:sz="0" w:space="0" w:color="auto"/>
        <w:bottom w:val="none" w:sz="0" w:space="0" w:color="auto"/>
        <w:right w:val="none" w:sz="0" w:space="0" w:color="auto"/>
      </w:divBdr>
    </w:div>
    <w:div w:id="167760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758</Words>
  <Characters>4034</Characters>
  <Application>Microsoft Office Word</Application>
  <DocSecurity>0</DocSecurity>
  <Lines>192</Lines>
  <Paragraphs>154</Paragraphs>
  <ScaleCrop>false</ScaleCrop>
  <Company/>
  <LinksUpToDate>false</LinksUpToDate>
  <CharactersWithSpaces>4638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2025-10-27T13:29:00Z</dcterms:created>
  <dcterms:modified xsi:type="dcterms:W3CDTF">2025-10-27T13:29:00Z</dcterms:modified>
</cp:coreProperties>
</file>