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64C4CC" w14:textId="77777777" w:rsidR="008D4C96" w:rsidRDefault="008D4C96" w:rsidP="008D4C96">
      <w:r>
        <w:rPr>
          <w:noProof/>
        </w:rPr>
        <w:drawing>
          <wp:inline distT="0" distB="0" distL="0" distR="0" wp14:anchorId="6BC05572" wp14:editId="4C9AF2A5">
            <wp:extent cx="5318760" cy="2724855"/>
            <wp:effectExtent l="0" t="0" r="15240" b="18415"/>
            <wp:docPr id="413116743" name="Diagramm 1">
              <a:extLst xmlns:a="http://schemas.openxmlformats.org/drawingml/2006/main">
                <a:ext uri="{FF2B5EF4-FFF2-40B4-BE49-F238E27FC236}">
                  <a16:creationId xmlns:a16="http://schemas.microsoft.com/office/drawing/2014/main" id="{BCAF292E-3538-B44B-8027-91E5A97C4D2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42DEA0B3" w14:textId="77777777" w:rsidR="008D4C96" w:rsidRPr="00BC215C" w:rsidRDefault="008D4C96" w:rsidP="008D4C96">
      <w:pPr>
        <w:keepNext/>
        <w:spacing w:line="360" w:lineRule="auto"/>
        <w:jc w:val="both"/>
      </w:pPr>
    </w:p>
    <w:p w14:paraId="71C7BDA7" w14:textId="77777777" w:rsidR="008D4C96" w:rsidRPr="00BC215C" w:rsidRDefault="008D4C96" w:rsidP="008D4C96">
      <w:pPr>
        <w:spacing w:line="360" w:lineRule="auto"/>
        <w:jc w:val="both"/>
        <w:rPr>
          <w:lang w:val="en-US"/>
        </w:rPr>
      </w:pPr>
      <w:r w:rsidRPr="00BC215C">
        <w:rPr>
          <w:b/>
          <w:bCs/>
          <w:lang w:val="en-US"/>
        </w:rPr>
        <w:t>Diagram I.</w:t>
      </w:r>
      <w:r w:rsidRPr="00BC215C">
        <w:rPr>
          <w:lang w:val="en-US"/>
        </w:rPr>
        <w:t xml:space="preserve"> Correlation Age/Failure Rate</w:t>
      </w:r>
    </w:p>
    <w:p w14:paraId="16C3AC94" w14:textId="77777777" w:rsidR="008D4C96" w:rsidRPr="00BC215C" w:rsidRDefault="008D4C96" w:rsidP="008D4C96">
      <w:pPr>
        <w:spacing w:line="360" w:lineRule="auto"/>
        <w:jc w:val="both"/>
        <w:rPr>
          <w:lang w:val="en-US"/>
        </w:rPr>
      </w:pPr>
    </w:p>
    <w:p w14:paraId="6FD8AC71" w14:textId="77777777" w:rsidR="008D4C96" w:rsidRPr="00BC215C" w:rsidRDefault="008D4C96" w:rsidP="008D4C96">
      <w:pPr>
        <w:keepNext/>
        <w:spacing w:line="360" w:lineRule="auto"/>
        <w:jc w:val="both"/>
      </w:pPr>
      <w:r>
        <w:rPr>
          <w:noProof/>
        </w:rPr>
        <w:drawing>
          <wp:inline distT="0" distB="0" distL="0" distR="0" wp14:anchorId="7ECE397F" wp14:editId="4880C20F">
            <wp:extent cx="5814060" cy="3061335"/>
            <wp:effectExtent l="0" t="0" r="15240" b="12065"/>
            <wp:docPr id="499871048" name="Grafico 1">
              <a:extLst xmlns:a="http://schemas.openxmlformats.org/drawingml/2006/main">
                <a:ext uri="{FF2B5EF4-FFF2-40B4-BE49-F238E27FC236}">
                  <a16:creationId xmlns:a16="http://schemas.microsoft.com/office/drawing/2014/main" id="{0FE63DF3-DE5C-E845-8C69-F2E0E52B537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665C524D" w14:textId="77777777" w:rsidR="008D4C96" w:rsidRPr="00D26502" w:rsidRDefault="008D4C96" w:rsidP="008D4C96">
      <w:pPr>
        <w:pStyle w:val="Heading5"/>
        <w:spacing w:line="360" w:lineRule="auto"/>
        <w:jc w:val="both"/>
        <w:rPr>
          <w:rFonts w:cs="Times New Roman"/>
          <w:color w:val="000000" w:themeColor="text1"/>
          <w:lang w:val="en-US"/>
        </w:rPr>
      </w:pPr>
      <w:r w:rsidRPr="00D86D8B">
        <w:rPr>
          <w:rFonts w:cs="Times New Roman"/>
          <w:b/>
          <w:bCs/>
          <w:color w:val="000000" w:themeColor="text1"/>
          <w:lang w:val="en-US"/>
        </w:rPr>
        <w:t>Diagram II.</w:t>
      </w:r>
      <w:r w:rsidRPr="00D86D8B">
        <w:rPr>
          <w:rFonts w:cs="Times New Roman"/>
          <w:color w:val="000000" w:themeColor="text1"/>
          <w:lang w:val="en-US"/>
        </w:rPr>
        <w:t xml:space="preserve"> Correlation Practitioner/Failure Rate</w:t>
      </w:r>
    </w:p>
    <w:p w14:paraId="56EFF3D4" w14:textId="77777777" w:rsidR="00E023F9" w:rsidRDefault="00E023F9"/>
    <w:p w14:paraId="3E3F426A" w14:textId="77777777" w:rsidR="008D4C96" w:rsidRDefault="008D4C96"/>
    <w:p w14:paraId="1294817F" w14:textId="77777777" w:rsidR="008D4C96" w:rsidRPr="00BC215C" w:rsidRDefault="008D4C96" w:rsidP="008D4C96">
      <w:pPr>
        <w:spacing w:line="360" w:lineRule="auto"/>
        <w:jc w:val="both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26267AFB" wp14:editId="2D48C6C7">
            <wp:extent cx="5247861" cy="2930360"/>
            <wp:effectExtent l="0" t="0" r="10160" b="16510"/>
            <wp:docPr id="1258425076" name="Diagramm 1">
              <a:extLst xmlns:a="http://schemas.openxmlformats.org/drawingml/2006/main">
                <a:ext uri="{FF2B5EF4-FFF2-40B4-BE49-F238E27FC236}">
                  <a16:creationId xmlns:a16="http://schemas.microsoft.com/office/drawing/2014/main" id="{AF527E3F-9881-3BB7-8DAB-336FE31D5E9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6638A533" w14:textId="77777777" w:rsidR="008D4C96" w:rsidRPr="00BC215C" w:rsidRDefault="008D4C96" w:rsidP="008D4C96">
      <w:pPr>
        <w:pStyle w:val="Heading5"/>
        <w:spacing w:line="360" w:lineRule="auto"/>
        <w:jc w:val="both"/>
        <w:rPr>
          <w:rFonts w:cs="Times New Roman"/>
          <w:color w:val="000000" w:themeColor="text1"/>
          <w:lang w:val="en-US"/>
        </w:rPr>
      </w:pPr>
      <w:r w:rsidRPr="00BC215C">
        <w:rPr>
          <w:rFonts w:cs="Times New Roman"/>
          <w:b/>
          <w:bCs/>
          <w:color w:val="000000" w:themeColor="text1"/>
          <w:lang w:val="en-US"/>
        </w:rPr>
        <w:t>Diagram III.</w:t>
      </w:r>
      <w:r w:rsidRPr="00BC215C">
        <w:rPr>
          <w:rFonts w:cs="Times New Roman"/>
          <w:color w:val="000000" w:themeColor="text1"/>
          <w:lang w:val="en-US"/>
        </w:rPr>
        <w:t xml:space="preserve"> Correlation Insertion Site/Failure Rate</w:t>
      </w:r>
    </w:p>
    <w:p w14:paraId="0BB75069" w14:textId="77777777" w:rsidR="008D4C96" w:rsidRDefault="008D4C96"/>
    <w:p w14:paraId="5068DE62" w14:textId="77777777" w:rsidR="008D4C96" w:rsidRDefault="008D4C96"/>
    <w:p w14:paraId="3D517576" w14:textId="77777777" w:rsidR="008D4C96" w:rsidRDefault="008D4C96"/>
    <w:p w14:paraId="3BDE5D72" w14:textId="77777777" w:rsidR="008D4C96" w:rsidRPr="00BC215C" w:rsidRDefault="008D4C96" w:rsidP="008D4C96">
      <w:pPr>
        <w:spacing w:line="360" w:lineRule="auto"/>
        <w:ind w:left="720" w:hanging="720"/>
        <w:jc w:val="both"/>
        <w:rPr>
          <w:lang w:val="en-US"/>
        </w:rPr>
      </w:pPr>
      <w:r w:rsidRPr="00BC215C">
        <w:rPr>
          <w:noProof/>
        </w:rPr>
        <w:drawing>
          <wp:inline distT="0" distB="0" distL="0" distR="0" wp14:anchorId="424CA116" wp14:editId="10CCADEC">
            <wp:extent cx="5774635" cy="3211830"/>
            <wp:effectExtent l="0" t="0" r="17145" b="13970"/>
            <wp:docPr id="1808381966" name="Diagramm 1">
              <a:extLst xmlns:a="http://schemas.openxmlformats.org/drawingml/2006/main">
                <a:ext uri="{FF2B5EF4-FFF2-40B4-BE49-F238E27FC236}">
                  <a16:creationId xmlns:a16="http://schemas.microsoft.com/office/drawing/2014/main" id="{E7B03C3F-B21F-D745-BCC3-F277F90C6C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5CB3C477" w14:textId="77777777" w:rsidR="008D4C96" w:rsidRPr="00BC215C" w:rsidRDefault="008D4C96" w:rsidP="008D4C96">
      <w:pPr>
        <w:keepNext/>
        <w:spacing w:line="360" w:lineRule="auto"/>
        <w:ind w:left="720"/>
        <w:jc w:val="both"/>
      </w:pPr>
    </w:p>
    <w:p w14:paraId="7784F234" w14:textId="77777777" w:rsidR="008D4C96" w:rsidRDefault="008D4C96" w:rsidP="008D4C96">
      <w:pPr>
        <w:pStyle w:val="Caption"/>
        <w:spacing w:line="360" w:lineRule="auto"/>
        <w:jc w:val="both"/>
        <w:rPr>
          <w:i w:val="0"/>
          <w:iCs w:val="0"/>
          <w:sz w:val="24"/>
          <w:szCs w:val="24"/>
          <w:lang w:val="en-US"/>
        </w:rPr>
      </w:pPr>
      <w:r w:rsidRPr="00930D34">
        <w:rPr>
          <w:b/>
          <w:bCs/>
          <w:i w:val="0"/>
          <w:iCs w:val="0"/>
          <w:sz w:val="24"/>
          <w:szCs w:val="24"/>
          <w:lang w:val="en-US"/>
        </w:rPr>
        <w:t xml:space="preserve">Diagram IV. </w:t>
      </w:r>
      <w:r w:rsidRPr="00930D34">
        <w:rPr>
          <w:i w:val="0"/>
          <w:iCs w:val="0"/>
          <w:sz w:val="24"/>
          <w:szCs w:val="24"/>
          <w:lang w:val="en-US"/>
        </w:rPr>
        <w:t>Correlation Insertion Site/Failure Rate (12 years old and younger)</w:t>
      </w:r>
    </w:p>
    <w:p w14:paraId="0FEAC042" w14:textId="77777777" w:rsidR="008D4C96" w:rsidRDefault="008D4C96"/>
    <w:p w14:paraId="75F8CD58" w14:textId="77777777" w:rsidR="008D4C96" w:rsidRDefault="008D4C96"/>
    <w:p w14:paraId="1671F0E0" w14:textId="77777777" w:rsidR="008D4C96" w:rsidRDefault="008D4C96"/>
    <w:p w14:paraId="76E75668" w14:textId="77777777" w:rsidR="008D4C96" w:rsidRPr="00BC215C" w:rsidRDefault="008D4C96" w:rsidP="008D4C96">
      <w:pPr>
        <w:keepNext/>
        <w:spacing w:line="360" w:lineRule="auto"/>
        <w:jc w:val="both"/>
      </w:pPr>
      <w:r w:rsidRPr="00BC215C">
        <w:rPr>
          <w:noProof/>
        </w:rPr>
        <w:lastRenderedPageBreak/>
        <w:drawing>
          <wp:inline distT="0" distB="0" distL="0" distR="0" wp14:anchorId="7F0D67BE" wp14:editId="4051EE57">
            <wp:extent cx="5834270" cy="2995019"/>
            <wp:effectExtent l="0" t="0" r="8255" b="15240"/>
            <wp:docPr id="761336857" name="Diagramm 1">
              <a:extLst xmlns:a="http://schemas.openxmlformats.org/drawingml/2006/main">
                <a:ext uri="{FF2B5EF4-FFF2-40B4-BE49-F238E27FC236}">
                  <a16:creationId xmlns:a16="http://schemas.microsoft.com/office/drawing/2014/main" id="{BAEC35A1-4CA7-2A4A-B71E-48EB4EF7759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23EABACF" w14:textId="77777777" w:rsidR="008D4C96" w:rsidRPr="00BC215C" w:rsidRDefault="008D4C96" w:rsidP="008D4C96">
      <w:pPr>
        <w:pStyle w:val="Heading5"/>
        <w:spacing w:line="360" w:lineRule="auto"/>
        <w:jc w:val="both"/>
        <w:rPr>
          <w:rFonts w:cs="Times New Roman"/>
          <w:b/>
          <w:bCs/>
          <w:color w:val="000000" w:themeColor="text1"/>
          <w:lang w:val="en-US"/>
        </w:rPr>
      </w:pPr>
      <w:r w:rsidRPr="00BC215C">
        <w:rPr>
          <w:rFonts w:cs="Times New Roman"/>
          <w:b/>
          <w:bCs/>
          <w:color w:val="000000" w:themeColor="text1"/>
          <w:lang w:val="en-US"/>
        </w:rPr>
        <w:t xml:space="preserve">Diagram V. </w:t>
      </w:r>
      <w:r w:rsidRPr="00BC215C">
        <w:rPr>
          <w:rFonts w:cs="Times New Roman"/>
          <w:color w:val="000000" w:themeColor="text1"/>
          <w:lang w:val="en-US"/>
        </w:rPr>
        <w:t>Correlation Insertion Site/Failure Rate (13 years old and older)</w:t>
      </w:r>
    </w:p>
    <w:p w14:paraId="29C49DD2" w14:textId="77777777" w:rsidR="008D4C96" w:rsidRDefault="008D4C96"/>
    <w:p w14:paraId="37B6A404" w14:textId="77777777" w:rsidR="008D4C96" w:rsidRDefault="008D4C96"/>
    <w:p w14:paraId="5C9F1B69" w14:textId="77777777" w:rsidR="008D4C96" w:rsidRDefault="008D4C96"/>
    <w:p w14:paraId="1CA4F540" w14:textId="77777777" w:rsidR="008D4C96" w:rsidRPr="00BC215C" w:rsidRDefault="008D4C96" w:rsidP="008D4C96">
      <w:pPr>
        <w:keepNext/>
        <w:shd w:val="clear" w:color="auto" w:fill="FFFFFF" w:themeFill="background1"/>
        <w:spacing w:line="360" w:lineRule="auto"/>
        <w:jc w:val="both"/>
      </w:pPr>
      <w:r w:rsidRPr="00BC215C">
        <w:rPr>
          <w:noProof/>
        </w:rPr>
        <w:drawing>
          <wp:inline distT="0" distB="0" distL="0" distR="0" wp14:anchorId="57011DEF" wp14:editId="60E63B74">
            <wp:extent cx="5973418" cy="3631123"/>
            <wp:effectExtent l="0" t="0" r="8890" b="13970"/>
            <wp:docPr id="1873785703" name="Diagramm 1">
              <a:extLst xmlns:a="http://schemas.openxmlformats.org/drawingml/2006/main">
                <a:ext uri="{FF2B5EF4-FFF2-40B4-BE49-F238E27FC236}">
                  <a16:creationId xmlns:a16="http://schemas.microsoft.com/office/drawing/2014/main" id="{1FF884E4-2DBB-7944-8C8B-705124489AB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7F6168DF" w14:textId="77777777" w:rsidR="008D4C96" w:rsidRPr="00BC215C" w:rsidRDefault="008D4C96" w:rsidP="008D4C96">
      <w:pPr>
        <w:pStyle w:val="Heading5"/>
        <w:spacing w:line="360" w:lineRule="auto"/>
        <w:jc w:val="both"/>
        <w:rPr>
          <w:rFonts w:cs="Times New Roman"/>
          <w:b/>
          <w:bCs/>
          <w:color w:val="000000" w:themeColor="text1"/>
          <w:lang w:val="en-US"/>
        </w:rPr>
      </w:pPr>
      <w:r w:rsidRPr="00BC215C">
        <w:rPr>
          <w:rFonts w:cs="Times New Roman"/>
          <w:b/>
          <w:bCs/>
          <w:color w:val="000000" w:themeColor="text1"/>
          <w:lang w:val="en-US"/>
        </w:rPr>
        <w:t xml:space="preserve">Diagram VI. </w:t>
      </w:r>
      <w:r w:rsidRPr="00BC215C">
        <w:rPr>
          <w:rFonts w:cs="Times New Roman"/>
          <w:color w:val="000000" w:themeColor="text1"/>
          <w:lang w:val="en-US"/>
        </w:rPr>
        <w:t>Correlation Number of Inserted Mini-Implants/Failure Rate</w:t>
      </w:r>
    </w:p>
    <w:p w14:paraId="0C39B36C" w14:textId="77777777" w:rsidR="008D4C96" w:rsidRDefault="008D4C96"/>
    <w:p w14:paraId="6FDAB4AB" w14:textId="77777777" w:rsidR="008D4C96" w:rsidRDefault="008D4C96"/>
    <w:p w14:paraId="48BEFE6F" w14:textId="77777777" w:rsidR="008D4C96" w:rsidRDefault="008D4C96"/>
    <w:p w14:paraId="782AE5BA" w14:textId="77777777" w:rsidR="008D4C96" w:rsidRDefault="008D4C96"/>
    <w:p w14:paraId="5B8A5CCE" w14:textId="77777777" w:rsidR="008D4C96" w:rsidRPr="00BC215C" w:rsidRDefault="008D4C96" w:rsidP="008D4C96">
      <w:pPr>
        <w:spacing w:line="360" w:lineRule="auto"/>
        <w:jc w:val="both"/>
        <w:rPr>
          <w:lang w:val="en-US"/>
        </w:rPr>
      </w:pPr>
      <w:r w:rsidRPr="00BC215C">
        <w:rPr>
          <w:noProof/>
        </w:rPr>
        <w:lastRenderedPageBreak/>
        <w:drawing>
          <wp:inline distT="0" distB="0" distL="0" distR="0" wp14:anchorId="3C80965D" wp14:editId="2C1539C4">
            <wp:extent cx="5774635" cy="3124228"/>
            <wp:effectExtent l="0" t="0" r="17145" b="12700"/>
            <wp:docPr id="4618833" name="Diagramm 1">
              <a:extLst xmlns:a="http://schemas.openxmlformats.org/drawingml/2006/main">
                <a:ext uri="{FF2B5EF4-FFF2-40B4-BE49-F238E27FC236}">
                  <a16:creationId xmlns:a16="http://schemas.microsoft.com/office/drawing/2014/main" id="{D668E0C5-4347-FC45-BBF5-9C9C243B569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66172439" w14:textId="77777777" w:rsidR="008D4C96" w:rsidRPr="00BC215C" w:rsidRDefault="008D4C96" w:rsidP="008D4C96">
      <w:pPr>
        <w:keepNext/>
        <w:spacing w:line="360" w:lineRule="auto"/>
        <w:jc w:val="both"/>
      </w:pPr>
    </w:p>
    <w:p w14:paraId="20D5934C" w14:textId="77777777" w:rsidR="008D4C96" w:rsidRPr="00BC215C" w:rsidRDefault="008D4C96" w:rsidP="008D4C96">
      <w:pPr>
        <w:pStyle w:val="Heading5"/>
        <w:spacing w:line="360" w:lineRule="auto"/>
        <w:jc w:val="both"/>
        <w:rPr>
          <w:rFonts w:cs="Times New Roman"/>
          <w:b/>
          <w:bCs/>
          <w:lang w:val="en-US"/>
        </w:rPr>
      </w:pPr>
      <w:r w:rsidRPr="00BC215C">
        <w:rPr>
          <w:rFonts w:cs="Times New Roman"/>
          <w:b/>
          <w:bCs/>
          <w:color w:val="000000" w:themeColor="text1"/>
          <w:lang w:val="en-US"/>
        </w:rPr>
        <w:t xml:space="preserve">Diagram VII. </w:t>
      </w:r>
      <w:r w:rsidRPr="00BC215C">
        <w:rPr>
          <w:rFonts w:cs="Times New Roman"/>
          <w:color w:val="000000" w:themeColor="text1"/>
          <w:lang w:val="en-US"/>
        </w:rPr>
        <w:t>Correlation Anchorage Type/Failure Rate</w:t>
      </w:r>
    </w:p>
    <w:p w14:paraId="68248189" w14:textId="77777777" w:rsidR="008D4C96" w:rsidRDefault="008D4C96"/>
    <w:sectPr w:rsidR="008D4C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C96"/>
    <w:rsid w:val="000C4033"/>
    <w:rsid w:val="002E1564"/>
    <w:rsid w:val="004B42CB"/>
    <w:rsid w:val="005F2B46"/>
    <w:rsid w:val="006E1731"/>
    <w:rsid w:val="008D4C96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78C664"/>
  <w15:chartTrackingRefBased/>
  <w15:docId w15:val="{DC9C047F-D2D2-45B1-A2B9-A4CA4C4C7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4C96"/>
    <w:pPr>
      <w:spacing w:after="0" w:line="240" w:lineRule="auto"/>
    </w:pPr>
    <w:rPr>
      <w:rFonts w:ascii="Times New Roman" w:eastAsia="Times New Roman" w:hAnsi="Times New Roman" w:cs="Times New Roman"/>
      <w:kern w:val="0"/>
      <w:lang w:val="it-IT" w:eastAsia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4C9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4C9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4C9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4C9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aliases w:val="Abbildungen"/>
    <w:basedOn w:val="Normal"/>
    <w:next w:val="Normal"/>
    <w:link w:val="Heading5Char"/>
    <w:uiPriority w:val="9"/>
    <w:unhideWhenUsed/>
    <w:qFormat/>
    <w:rsid w:val="008D4C9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4C9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4C9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4C9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4C9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4C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4C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4C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4C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aliases w:val="Abbildungen Char"/>
    <w:basedOn w:val="DefaultParagraphFont"/>
    <w:link w:val="Heading5"/>
    <w:uiPriority w:val="9"/>
    <w:rsid w:val="008D4C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4C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4C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4C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4C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4C9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D4C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4C9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D4C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4C9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D4C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4C9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D4C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4C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4C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4C96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8D4C96"/>
    <w:pPr>
      <w:spacing w:after="200"/>
    </w:pPr>
    <w:rPr>
      <w:i/>
      <w:iCs/>
      <w:color w:val="0E2841" w:themeColor="text2"/>
      <w:kern w:val="2"/>
      <w:sz w:val="18"/>
      <w:szCs w:val="18"/>
      <w:lang w:val="de-DE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fontTable" Target="fontTable.xml"/><Relationship Id="rId5" Type="http://schemas.openxmlformats.org/officeDocument/2006/relationships/chart" Target="charts/chart2.xml"/><Relationship Id="rId10" Type="http://schemas.openxmlformats.org/officeDocument/2006/relationships/chart" Target="charts/chart7.xml"/><Relationship Id="rId4" Type="http://schemas.openxmlformats.org/officeDocument/2006/relationships/chart" Target="charts/chart1.xml"/><Relationship Id="rId9" Type="http://schemas.openxmlformats.org/officeDocument/2006/relationships/chart" Target="charts/chart6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danielabalzert\Desktop\Tabelle%20&amp;%20Diagramme\Diagramme%20Promotion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danielabalzert\Desktop\Tabelle%20&amp;%20Diagramme\Diagramme%20Promotion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danielabalzert\Desktop\Tabelle%20&amp;%20Diagramme\Diagramme%20Promotion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danielabalzert\Desktop\Tabelle%20&amp;%20Diagramme\Diagramme%20Promotion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danielabalzert\Desktop\Tabelle%20&amp;%20Diagramme\Diagramme%20Promotion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danielabalzert\Desktop\Tabelle%20&amp;%20Diagramme\Diagramme%20Promotion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danielabalzert\Desktop\Tabelle%20&amp;%20Diagramme\Diagramme%20Promotion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/>
              <a:t>Correlation Age/Failure</a:t>
            </a:r>
            <a:r>
              <a:rPr lang="de-DE" baseline="0"/>
              <a:t> Rate</a:t>
            </a:r>
            <a:endParaRPr lang="de-DE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Tabelle1!$A$25</c:f>
              <c:strCache>
                <c:ptCount val="1"/>
                <c:pt idx="0">
                  <c:v>Failure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.1056789603839169"/>
                  <c:y val="-5.1268645941218507E-2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5,2%</a:t>
                    </a:r>
                  </a:p>
                  <a:p>
                    <a:fld id="{8795DDEC-552F-5343-ABD2-B9A4E6014776}" type="VALUE">
                      <a:rPr lang="en-US"/>
                      <a:pPr/>
                      <a:t>[VALUE]</a:t>
                    </a:fld>
                    <a:endParaRPr lang="en-IN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0-727A-45AE-B0FF-A74433F9FE3F}"/>
                </c:ext>
              </c:extLst>
            </c:dLbl>
            <c:dLbl>
              <c:idx val="1"/>
              <c:layout>
                <c:manualLayout>
                  <c:x val="0.10537056415764308"/>
                  <c:y val="-5.1268645941218417E-2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4</a:t>
                    </a:r>
                    <a:r>
                      <a:rPr lang="en-US" b="1" u="none"/>
                      <a:t>,0%</a:t>
                    </a:r>
                    <a:endParaRPr lang="en-US" b="1"/>
                  </a:p>
                  <a:p>
                    <a:fld id="{6906DBC5-6CFF-B54C-94BB-0C68F388095E}" type="VALUE">
                      <a:rPr lang="en-US"/>
                      <a:pPr/>
                      <a:t>[VALUE]</a:t>
                    </a:fld>
                    <a:endParaRPr lang="en-IN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727A-45AE-B0FF-A74433F9FE3F}"/>
                </c:ext>
              </c:extLst>
            </c:dLbl>
            <c:dLbl>
              <c:idx val="2"/>
              <c:layout>
                <c:manualLayout>
                  <c:x val="0.10537056415764308"/>
                  <c:y val="-5.1268645941218417E-2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3,0%</a:t>
                    </a:r>
                  </a:p>
                  <a:p>
                    <a:fld id="{673929BB-AC63-EF40-A77A-336B8E702D3A}" type="VALUE">
                      <a:rPr lang="en-US"/>
                      <a:pPr/>
                      <a:t>[VALUE]</a:t>
                    </a:fld>
                    <a:endParaRPr lang="en-IN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2-727A-45AE-B0FF-A74433F9FE3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horzOverflow="clip" vert="horz" wrap="square" lIns="0" tIns="0" rIns="0" bIns="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  <a:noFill/>
                  <a:ln>
                    <a:noFill/>
                  </a:ln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Tabelle1!$B$24:$D$24</c:f>
              <c:strCache>
                <c:ptCount val="3"/>
                <c:pt idx="0">
                  <c:v> ≤ 12 years</c:v>
                </c:pt>
                <c:pt idx="1">
                  <c:v>≥ 13 years and ≤ 17 years</c:v>
                </c:pt>
                <c:pt idx="2">
                  <c:v>≥ 18 years</c:v>
                </c:pt>
              </c:strCache>
            </c:strRef>
          </c:cat>
          <c:val>
            <c:numRef>
              <c:f>Tabelle1!$B$25:$D$25</c:f>
              <c:numCache>
                <c:formatCode>General</c:formatCode>
                <c:ptCount val="3"/>
                <c:pt idx="0">
                  <c:v>22</c:v>
                </c:pt>
                <c:pt idx="1">
                  <c:v>19</c:v>
                </c:pt>
                <c:pt idx="2">
                  <c:v>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727A-45AE-B0FF-A74433F9FE3F}"/>
            </c:ext>
          </c:extLst>
        </c:ser>
        <c:ser>
          <c:idx val="1"/>
          <c:order val="1"/>
          <c:tx>
            <c:strRef>
              <c:f>Tabelle1!$A$26</c:f>
              <c:strCache>
                <c:ptCount val="1"/>
                <c:pt idx="0">
                  <c:v>Success</c:v>
                </c:pt>
              </c:strCache>
            </c:strRef>
          </c:tx>
          <c:spPr>
            <a:solidFill>
              <a:schemeClr val="accent1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.1111477536585694"/>
                  <c:y val="-5.584165705613011E-2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94,8%</a:t>
                    </a:r>
                  </a:p>
                  <a:p>
                    <a:fld id="{94999571-A7BA-3941-8409-792D99361B30}" type="VALUE">
                      <a:rPr lang="en-US"/>
                      <a:pPr/>
                      <a:t>[VALUE]</a:t>
                    </a:fld>
                    <a:endParaRPr lang="en-IN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separator>, </c:separator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4-727A-45AE-B0FF-A74433F9FE3F}"/>
                </c:ext>
              </c:extLst>
            </c:dLbl>
            <c:dLbl>
              <c:idx val="1"/>
              <c:layout>
                <c:manualLayout>
                  <c:x val="0.11385958732649772"/>
                  <c:y val="-5.8174271145354298E-2"/>
                </c:manualLayout>
              </c:layout>
              <c:tx>
                <c:rich>
                  <a:bodyPr rot="0" spcFirstLastPara="1" vertOverflow="overflow" horzOverflow="overflow" vert="horz" wrap="square" lIns="0" tIns="0" rIns="0" bIns="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1"/>
                      <a:t>96,0%</a:t>
                    </a:r>
                  </a:p>
                  <a:p>
                    <a:pPr>
                      <a:defRPr/>
                    </a:pPr>
                    <a:fld id="{D0D03132-8DAD-DA4C-8A94-6973E884D044}" type="VALUE">
                      <a:rPr lang="en-US"/>
                      <a:pPr>
                        <a:defRPr/>
                      </a:pPr>
                      <a:t>[VALUE]</a:t>
                    </a:fld>
                    <a:endParaRPr lang="en-IN"/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overflow" horzOverflow="overflow" vert="horz" wrap="square" lIns="0" tIns="0" rIns="0" bIns="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it-IT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separator>, </c:separator>
              <c:extLst>
                <c:ext xmlns:c15="http://schemas.microsoft.com/office/drawing/2012/chart" uri="{CE6537A1-D6FC-4f65-9D91-7224C49458BB}">
                  <c15:layout>
                    <c:manualLayout>
                      <c:w val="6.6062021860202408E-2"/>
                      <c:h val="0.11630225005961044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5-727A-45AE-B0FF-A74433F9FE3F}"/>
                </c:ext>
              </c:extLst>
            </c:dLbl>
            <c:dLbl>
              <c:idx val="2"/>
              <c:layout>
                <c:manualLayout>
                  <c:x val="0.11123436979701669"/>
                  <c:y val="-5.5929465335752861E-2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97,0%</a:t>
                    </a:r>
                  </a:p>
                  <a:p>
                    <a:fld id="{10D82547-5BB5-CC47-97D9-36329690E0AD}" type="VALUE">
                      <a:rPr lang="en-US"/>
                      <a:pPr/>
                      <a:t>[VALUE]</a:t>
                    </a:fld>
                    <a:endParaRPr lang="en-IN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separator>, </c:separator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6-727A-45AE-B0FF-A74433F9FE3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overflow" horzOverflow="overflow" vert="horz" wrap="square" lIns="0" tIns="0" rIns="0" bIns="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eparator>, </c:separator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  <a:noFill/>
                  <a:ln>
                    <a:noFill/>
                  </a:ln>
                </c15:spPr>
                <c15:showLeaderLines val="1"/>
                <c15:leaderLines>
                  <c:spPr>
                    <a:ln w="9525" cap="rnd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Tabelle1!$B$24:$D$24</c:f>
              <c:strCache>
                <c:ptCount val="3"/>
                <c:pt idx="0">
                  <c:v> ≤ 12 years</c:v>
                </c:pt>
                <c:pt idx="1">
                  <c:v>≥ 13 years and ≤ 17 years</c:v>
                </c:pt>
                <c:pt idx="2">
                  <c:v>≥ 18 years</c:v>
                </c:pt>
              </c:strCache>
            </c:strRef>
          </c:cat>
          <c:val>
            <c:numRef>
              <c:f>Tabelle1!$B$26:$D$26</c:f>
              <c:numCache>
                <c:formatCode>General</c:formatCode>
                <c:ptCount val="3"/>
                <c:pt idx="0">
                  <c:v>402</c:v>
                </c:pt>
                <c:pt idx="1">
                  <c:v>453</c:v>
                </c:pt>
                <c:pt idx="2">
                  <c:v>427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727A-45AE-B0FF-A74433F9FE3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100"/>
        <c:axId val="1567334064"/>
        <c:axId val="1567335712"/>
      </c:barChart>
      <c:catAx>
        <c:axId val="15673340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1567335712"/>
        <c:crosses val="autoZero"/>
        <c:auto val="1"/>
        <c:lblAlgn val="ctr"/>
        <c:lblOffset val="100"/>
        <c:noMultiLvlLbl val="0"/>
      </c:catAx>
      <c:valAx>
        <c:axId val="1567335712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1567334064"/>
        <c:crosses val="autoZero"/>
        <c:crossBetween val="between"/>
      </c:valAx>
      <c:spPr>
        <a:noFill/>
        <a:ln w="25400"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/>
              <a:t>Correlation Practitioner/Failure</a:t>
            </a:r>
            <a:r>
              <a:rPr lang="de-DE" baseline="0"/>
              <a:t> Rate</a:t>
            </a:r>
            <a:endParaRPr lang="de-DE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Tabelle1!$A$3</c:f>
              <c:strCache>
                <c:ptCount val="1"/>
                <c:pt idx="0">
                  <c:v>Failure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.13327232744494513"/>
                  <c:y val="-6.0289114070560194E-2"/>
                </c:manualLayout>
              </c:layout>
              <c:tx>
                <c:rich>
                  <a:bodyPr rot="0" spcFirstLastPara="1" vertOverflow="ellipsis" horzOverflow="clip" vert="horz" wrap="square" lIns="0" tIns="0" rIns="0" bIns="0" anchor="ctr" anchorCtr="0">
                    <a:spAutoFit/>
                  </a:bodyPr>
                  <a:lstStyle/>
                  <a:p>
                    <a:pPr marL="0" marR="0" lvl="0" indent="0" algn="ctr" defTabSz="914400" rtl="0" eaLnBrk="1" fontAlgn="auto" latinLnBrk="0" hangingPunct="1">
                      <a:lnSpc>
                        <a:spcPct val="100000"/>
                      </a:lnSpc>
                      <a:spcBef>
                        <a:spcPts val="0"/>
                      </a:spcBef>
                      <a:spcAft>
                        <a:spcPts val="0"/>
                      </a:spcAft>
                      <a:buClrTx/>
                      <a:buSzTx/>
                      <a:buFontTx/>
                      <a:buNone/>
                      <a:tabLst/>
                      <a:defRPr sz="900" b="0" i="0" u="none" strike="noStrike" kern="1200" baseline="0">
                        <a:solidFill>
                          <a:sysClr val="windowText" lastClr="000000">
                            <a:lumMod val="75000"/>
                            <a:lumOff val="25000"/>
                          </a:sys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900" b="1" i="0" u="none" strike="noStrike" kern="1200" baseline="0">
                        <a:solidFill>
                          <a:sysClr val="windowText" lastClr="000000">
                            <a:lumMod val="75000"/>
                            <a:lumOff val="25000"/>
                          </a:sysClr>
                        </a:solidFill>
                      </a:rPr>
                      <a:t>2,8%</a:t>
                    </a:r>
                    <a:endParaRPr lang="en-US"/>
                  </a:p>
                  <a:p>
                    <a:pPr marL="0" marR="0" lvl="0" indent="0" algn="ctr" defTabSz="914400" rtl="0" eaLnBrk="1" fontAlgn="auto" latinLnBrk="0" hangingPunct="1">
                      <a:lnSpc>
                        <a:spcPct val="100000"/>
                      </a:lnSpc>
                      <a:spcBef>
                        <a:spcPts val="0"/>
                      </a:spcBef>
                      <a:spcAft>
                        <a:spcPts val="0"/>
                      </a:spcAft>
                      <a:buClrTx/>
                      <a:buSzTx/>
                      <a:buFontTx/>
                      <a:buNone/>
                      <a:tabLst/>
                      <a:defRPr>
                        <a:solidFill>
                          <a:sysClr val="windowText" lastClr="000000">
                            <a:lumMod val="75000"/>
                            <a:lumOff val="25000"/>
                          </a:sysClr>
                        </a:solidFill>
                      </a:defRPr>
                    </a:pPr>
                    <a:fld id="{70093F5B-079F-5246-BD9F-68B55A50F6C7}" type="VALUE">
                      <a:rPr lang="en-US"/>
                      <a:pPr marL="0" marR="0" lvl="0" indent="0" algn="ctr" defTabSz="914400" rtl="0" eaLnBrk="1" fontAlgn="auto" latinLnBrk="0" hangingPunct="1">
                        <a:lnSpc>
                          <a:spcPct val="100000"/>
                        </a:lnSpc>
                        <a:spcBef>
                          <a:spcPts val="0"/>
                        </a:spcBef>
                        <a:spcAft>
                          <a:spcPts val="0"/>
                        </a:spcAft>
                        <a:buClrTx/>
                        <a:buSzTx/>
                        <a:buFontTx/>
                        <a:buNone/>
                        <a:tabLst/>
                        <a:defRPr>
                          <a:solidFill>
                            <a:sysClr val="windowText" lastClr="000000">
                              <a:lumMod val="75000"/>
                              <a:lumOff val="25000"/>
                            </a:sysClr>
                          </a:solidFill>
                        </a:defRPr>
                      </a:pPr>
                      <a:t>[VALUE]</a:t>
                    </a:fld>
                    <a:endParaRPr lang="en-IN"/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horzOverflow="clip" vert="horz" wrap="square" lIns="0" tIns="0" rIns="0" bIns="0" anchor="ctr" anchorCtr="0">
                  <a:spAutoFit/>
                </a:bodyPr>
                <a:lstStyle/>
                <a:p>
                  <a:pPr marL="0" marR="0" lvl="0" indent="0" algn="ctr" defTabSz="914400" rtl="0" eaLnBrk="1" fontAlgn="auto" latinLnBrk="0" hangingPunct="1">
                    <a:lnSpc>
                      <a:spcPct val="100000"/>
                    </a:lnSpc>
                    <a:spcBef>
                      <a:spcPts val="0"/>
                    </a:spcBef>
                    <a:spcAft>
                      <a:spcPts val="0"/>
                    </a:spcAft>
                    <a:buClrTx/>
                    <a:buSzTx/>
                    <a:buFontTx/>
                    <a:buNone/>
                    <a:tabLst/>
                    <a:defRPr sz="900" b="0" i="0" u="none" strike="noStrike" kern="1200" baseline="0">
                      <a:solidFill>
                        <a:sysClr val="windowText" lastClr="000000">
                          <a:lumMod val="75000"/>
                          <a:lumOff val="25000"/>
                        </a:sys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  <a:noFill/>
                    <a:ln>
                      <a:noFill/>
                    </a:ln>
                  </c15:spPr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0-F1F9-4DAA-8F93-DC0BC723CC41}"/>
                </c:ext>
              </c:extLst>
            </c:dLbl>
            <c:dLbl>
              <c:idx val="1"/>
              <c:layout>
                <c:manualLayout>
                  <c:x val="0.13121832862517663"/>
                  <c:y val="-5.4563278536170261E-2"/>
                </c:manualLayout>
              </c:layout>
              <c:tx>
                <c:rich>
                  <a:bodyPr rot="0" spcFirstLastPara="1" vertOverflow="ellipsis" horzOverflow="clip" vert="horz" wrap="square" lIns="0" tIns="0" rIns="0" bIns="0" anchor="ctr" anchorCtr="0">
                    <a:spAutoFit/>
                  </a:bodyPr>
                  <a:lstStyle/>
                  <a:p>
                    <a:pPr marL="0" marR="0" lvl="0" indent="0" algn="ctr" defTabSz="914400" rtl="0" eaLnBrk="1" fontAlgn="auto" latinLnBrk="0" hangingPunct="1">
                      <a:lnSpc>
                        <a:spcPct val="100000"/>
                      </a:lnSpc>
                      <a:spcBef>
                        <a:spcPts val="0"/>
                      </a:spcBef>
                      <a:spcAft>
                        <a:spcPts val="0"/>
                      </a:spcAft>
                      <a:buClrTx/>
                      <a:buSzTx/>
                      <a:buFontTx/>
                      <a:buNone/>
                      <a:tabLst/>
                      <a:defRPr sz="900" b="0" i="0" u="none" strike="noStrike" kern="1200" baseline="0">
                        <a:solidFill>
                          <a:sysClr val="windowText" lastClr="000000">
                            <a:lumMod val="75000"/>
                            <a:lumOff val="25000"/>
                          </a:sys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900" b="1" i="0" u="none" strike="noStrike" kern="1200" baseline="0">
                        <a:solidFill>
                          <a:sysClr val="windowText" lastClr="000000">
                            <a:lumMod val="75000"/>
                            <a:lumOff val="25000"/>
                          </a:sysClr>
                        </a:solidFill>
                      </a:rPr>
                      <a:t>4,9%</a:t>
                    </a:r>
                    <a:endParaRPr lang="en-US"/>
                  </a:p>
                  <a:p>
                    <a:pPr marL="0" marR="0" lvl="0" indent="0" algn="ctr" defTabSz="914400" rtl="0" eaLnBrk="1" fontAlgn="auto" latinLnBrk="0" hangingPunct="1">
                      <a:lnSpc>
                        <a:spcPct val="100000"/>
                      </a:lnSpc>
                      <a:spcBef>
                        <a:spcPts val="0"/>
                      </a:spcBef>
                      <a:spcAft>
                        <a:spcPts val="0"/>
                      </a:spcAft>
                      <a:buClrTx/>
                      <a:buSzTx/>
                      <a:buFontTx/>
                      <a:buNone/>
                      <a:tabLst/>
                      <a:defRPr>
                        <a:solidFill>
                          <a:sysClr val="windowText" lastClr="000000">
                            <a:lumMod val="75000"/>
                            <a:lumOff val="25000"/>
                          </a:sysClr>
                        </a:solidFill>
                      </a:defRPr>
                    </a:pPr>
                    <a:fld id="{268C885B-0EEE-FA4F-883D-5B909DB21EAE}" type="VALUE">
                      <a:rPr lang="en-US"/>
                      <a:pPr marL="0" marR="0" lvl="0" indent="0" algn="ctr" defTabSz="914400" rtl="0" eaLnBrk="1" fontAlgn="auto" latinLnBrk="0" hangingPunct="1">
                        <a:lnSpc>
                          <a:spcPct val="100000"/>
                        </a:lnSpc>
                        <a:spcBef>
                          <a:spcPts val="0"/>
                        </a:spcBef>
                        <a:spcAft>
                          <a:spcPts val="0"/>
                        </a:spcAft>
                        <a:buClrTx/>
                        <a:buSzTx/>
                        <a:buFontTx/>
                        <a:buNone/>
                        <a:tabLst/>
                        <a:defRPr>
                          <a:solidFill>
                            <a:sysClr val="windowText" lastClr="000000">
                              <a:lumMod val="75000"/>
                              <a:lumOff val="25000"/>
                            </a:sysClr>
                          </a:solidFill>
                        </a:defRPr>
                      </a:pPr>
                      <a:t>[VALUE]</a:t>
                    </a:fld>
                    <a:endParaRPr lang="en-IN"/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horzOverflow="clip" vert="horz" wrap="square" lIns="0" tIns="0" rIns="0" bIns="0" anchor="ctr" anchorCtr="0">
                  <a:spAutoFit/>
                </a:bodyPr>
                <a:lstStyle/>
                <a:p>
                  <a:pPr marL="0" marR="0" lvl="0" indent="0" algn="ctr" defTabSz="914400" rtl="0" eaLnBrk="1" fontAlgn="auto" latinLnBrk="0" hangingPunct="1">
                    <a:lnSpc>
                      <a:spcPct val="100000"/>
                    </a:lnSpc>
                    <a:spcBef>
                      <a:spcPts val="0"/>
                    </a:spcBef>
                    <a:spcAft>
                      <a:spcPts val="0"/>
                    </a:spcAft>
                    <a:buClrTx/>
                    <a:buSzTx/>
                    <a:buFontTx/>
                    <a:buNone/>
                    <a:tabLst/>
                    <a:defRPr sz="900" b="0" i="0" u="none" strike="noStrike" kern="1200" baseline="0">
                      <a:solidFill>
                        <a:sysClr val="windowText" lastClr="000000">
                          <a:lumMod val="75000"/>
                          <a:lumOff val="25000"/>
                        </a:sys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  <a:noFill/>
                    <a:ln>
                      <a:noFill/>
                    </a:ln>
                  </c15:spPr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F1F9-4DAA-8F93-DC0BC723CC4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horzOverflow="clip" vert="horz" wrap="square" lIns="0" tIns="0" rIns="0" bIns="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  <a:noFill/>
                  <a:ln>
                    <a:noFill/>
                  </a:ln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Tabelle1!$B$2:$C$2</c:f>
              <c:strCache>
                <c:ptCount val="2"/>
                <c:pt idx="0">
                  <c:v>Specialist</c:v>
                </c:pt>
                <c:pt idx="1">
                  <c:v>Resident</c:v>
                </c:pt>
              </c:strCache>
            </c:strRef>
          </c:cat>
          <c:val>
            <c:numRef>
              <c:f>Tabelle1!$B$3:$C$3</c:f>
              <c:numCache>
                <c:formatCode>General</c:formatCode>
                <c:ptCount val="2"/>
                <c:pt idx="0">
                  <c:v>14</c:v>
                </c:pt>
                <c:pt idx="1">
                  <c:v>41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1F9-4DAA-8F93-DC0BC723CC41}"/>
            </c:ext>
          </c:extLst>
        </c:ser>
        <c:ser>
          <c:idx val="1"/>
          <c:order val="1"/>
          <c:tx>
            <c:strRef>
              <c:f>Tabelle1!$A$4</c:f>
              <c:strCache>
                <c:ptCount val="1"/>
                <c:pt idx="0">
                  <c:v>Success</c:v>
                </c:pt>
              </c:strCache>
            </c:strRef>
          </c:tx>
          <c:spPr>
            <a:solidFill>
              <a:schemeClr val="accent1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.13611121034850404"/>
                  <c:y val="-5.5659411851068409E-2"/>
                </c:manualLayout>
              </c:layout>
              <c:tx>
                <c:rich>
                  <a:bodyPr rot="0" spcFirstLastPara="1" vertOverflow="ellipsis" horzOverflow="clip" vert="horz" wrap="square" lIns="0" tIns="0" rIns="0" bIns="0" anchor="ctr" anchorCtr="0">
                    <a:spAutoFit/>
                  </a:bodyPr>
                  <a:lstStyle/>
                  <a:p>
                    <a:pPr marL="0" marR="0" lvl="0" indent="0" algn="ctr" defTabSz="914400" rtl="0" eaLnBrk="1" fontAlgn="auto" latinLnBrk="0" hangingPunct="1">
                      <a:lnSpc>
                        <a:spcPct val="100000"/>
                      </a:lnSpc>
                      <a:spcBef>
                        <a:spcPts val="0"/>
                      </a:spcBef>
                      <a:spcAft>
                        <a:spcPts val="0"/>
                      </a:spcAft>
                      <a:buClrTx/>
                      <a:buSzTx/>
                      <a:buFontTx/>
                      <a:buNone/>
                      <a:tabLst/>
                      <a:defRPr sz="900" b="0" i="0" u="none" strike="noStrike" kern="1200" baseline="0">
                        <a:solidFill>
                          <a:sysClr val="windowText" lastClr="000000">
                            <a:lumMod val="75000"/>
                            <a:lumOff val="25000"/>
                          </a:sys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900" b="1" i="0" u="none" strike="noStrike" kern="1200" baseline="0">
                        <a:solidFill>
                          <a:sysClr val="windowText" lastClr="000000">
                            <a:lumMod val="75000"/>
                            <a:lumOff val="25000"/>
                          </a:sysClr>
                        </a:solidFill>
                      </a:rPr>
                      <a:t>97,2%</a:t>
                    </a:r>
                    <a:endParaRPr lang="en-US"/>
                  </a:p>
                  <a:p>
                    <a:pPr marL="0" marR="0" lvl="0" indent="0" algn="ctr" defTabSz="914400" rtl="0" eaLnBrk="1" fontAlgn="auto" latinLnBrk="0" hangingPunct="1">
                      <a:lnSpc>
                        <a:spcPct val="100000"/>
                      </a:lnSpc>
                      <a:spcBef>
                        <a:spcPts val="0"/>
                      </a:spcBef>
                      <a:spcAft>
                        <a:spcPts val="0"/>
                      </a:spcAft>
                      <a:buClrTx/>
                      <a:buSzTx/>
                      <a:buFontTx/>
                      <a:buNone/>
                      <a:tabLst/>
                      <a:defRPr>
                        <a:solidFill>
                          <a:sysClr val="windowText" lastClr="000000">
                            <a:lumMod val="75000"/>
                            <a:lumOff val="25000"/>
                          </a:sysClr>
                        </a:solidFill>
                      </a:defRPr>
                    </a:pPr>
                    <a:fld id="{1A16761A-1552-DE4D-BC20-CC6DD9C5C128}" type="VALUE">
                      <a:rPr lang="en-US"/>
                      <a:pPr marL="0" marR="0" lvl="0" indent="0" algn="ctr" defTabSz="914400" rtl="0" eaLnBrk="1" fontAlgn="auto" latinLnBrk="0" hangingPunct="1">
                        <a:lnSpc>
                          <a:spcPct val="100000"/>
                        </a:lnSpc>
                        <a:spcBef>
                          <a:spcPts val="0"/>
                        </a:spcBef>
                        <a:spcAft>
                          <a:spcPts val="0"/>
                        </a:spcAft>
                        <a:buClrTx/>
                        <a:buSzTx/>
                        <a:buFontTx/>
                        <a:buNone/>
                        <a:tabLst/>
                        <a:defRPr>
                          <a:solidFill>
                            <a:sysClr val="windowText" lastClr="000000">
                              <a:lumMod val="75000"/>
                              <a:lumOff val="25000"/>
                            </a:sysClr>
                          </a:solidFill>
                        </a:defRPr>
                      </a:pPr>
                      <a:t>[VALUE]</a:t>
                    </a:fld>
                    <a:endParaRPr lang="en-IN"/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horzOverflow="clip" vert="horz" wrap="square" lIns="0" tIns="0" rIns="0" bIns="0" anchor="ctr" anchorCtr="0">
                  <a:spAutoFit/>
                </a:bodyPr>
                <a:lstStyle/>
                <a:p>
                  <a:pPr marL="0" marR="0" lvl="0" indent="0" algn="ctr" defTabSz="914400" rtl="0" eaLnBrk="1" fontAlgn="auto" latinLnBrk="0" hangingPunct="1">
                    <a:lnSpc>
                      <a:spcPct val="100000"/>
                    </a:lnSpc>
                    <a:spcBef>
                      <a:spcPts val="0"/>
                    </a:spcBef>
                    <a:spcAft>
                      <a:spcPts val="0"/>
                    </a:spcAft>
                    <a:buClrTx/>
                    <a:buSzTx/>
                    <a:buFontTx/>
                    <a:buNone/>
                    <a:tabLst/>
                    <a:defRPr sz="900" b="0" i="0" u="none" strike="noStrike" kern="1200" baseline="0">
                      <a:solidFill>
                        <a:sysClr val="windowText" lastClr="000000">
                          <a:lumMod val="75000"/>
                          <a:lumOff val="25000"/>
                        </a:sys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separator>, </c:separator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  <a:noFill/>
                    <a:ln>
                      <a:noFill/>
                    </a:ln>
                  </c15:spPr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F1F9-4DAA-8F93-DC0BC723CC41}"/>
                </c:ext>
              </c:extLst>
            </c:dLbl>
            <c:dLbl>
              <c:idx val="1"/>
              <c:layout>
                <c:manualLayout>
                  <c:x val="0.1382565673513185"/>
                  <c:y val="-5.4552588029197956E-2"/>
                </c:manualLayout>
              </c:layout>
              <c:tx>
                <c:rich>
                  <a:bodyPr rot="0" spcFirstLastPara="1" vertOverflow="ellipsis" vert="horz" wrap="square" lIns="0" tIns="0" rIns="0" bIns="0" anchor="ctr" anchorCtr="0">
                    <a:noAutofit/>
                  </a:bodyPr>
                  <a:lstStyle/>
                  <a:p>
                    <a:pPr marL="0" marR="0" lvl="0" indent="0" algn="ctr" defTabSz="914400" rtl="0" eaLnBrk="1" fontAlgn="auto" latinLnBrk="0" hangingPunct="1">
                      <a:lnSpc>
                        <a:spcPct val="100000"/>
                      </a:lnSpc>
                      <a:spcBef>
                        <a:spcPts val="0"/>
                      </a:spcBef>
                      <a:spcAft>
                        <a:spcPts val="0"/>
                      </a:spcAft>
                      <a:buClrTx/>
                      <a:buSzTx/>
                      <a:buFontTx/>
                      <a:buNone/>
                      <a:tabLst/>
                      <a:defRPr sz="900" b="0" i="0" u="none" strike="noStrike" kern="1200" baseline="0">
                        <a:solidFill>
                          <a:sysClr val="windowText" lastClr="000000">
                            <a:lumMod val="75000"/>
                            <a:lumOff val="25000"/>
                          </a:sys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900" b="1" i="0" u="none" strike="noStrike" kern="1200" baseline="0">
                        <a:solidFill>
                          <a:sysClr val="windowText" lastClr="000000">
                            <a:lumMod val="75000"/>
                            <a:lumOff val="25000"/>
                          </a:sysClr>
                        </a:solidFill>
                      </a:rPr>
                      <a:t>95,1%</a:t>
                    </a:r>
                    <a:endParaRPr lang="en-US"/>
                  </a:p>
                  <a:p>
                    <a:pPr marL="0" marR="0" lvl="0" indent="0" algn="ctr" defTabSz="914400" rtl="0" eaLnBrk="1" fontAlgn="auto" latinLnBrk="0" hangingPunct="1">
                      <a:lnSpc>
                        <a:spcPct val="100000"/>
                      </a:lnSpc>
                      <a:spcBef>
                        <a:spcPts val="0"/>
                      </a:spcBef>
                      <a:spcAft>
                        <a:spcPts val="0"/>
                      </a:spcAft>
                      <a:buClrTx/>
                      <a:buSzTx/>
                      <a:buFontTx/>
                      <a:buNone/>
                      <a:tabLst/>
                      <a:defRPr>
                        <a:solidFill>
                          <a:sysClr val="windowText" lastClr="000000">
                            <a:lumMod val="75000"/>
                            <a:lumOff val="25000"/>
                          </a:sysClr>
                        </a:solidFill>
                      </a:defRPr>
                    </a:pPr>
                    <a:fld id="{3BC9C2BD-474E-8B42-8F1C-A5B7D2C43C59}" type="VALUE">
                      <a:rPr lang="en-US"/>
                      <a:pPr marL="0" marR="0" lvl="0" indent="0" algn="ctr" defTabSz="914400" rtl="0" eaLnBrk="1" fontAlgn="auto" latinLnBrk="0" hangingPunct="1">
                        <a:lnSpc>
                          <a:spcPct val="100000"/>
                        </a:lnSpc>
                        <a:spcBef>
                          <a:spcPts val="0"/>
                        </a:spcBef>
                        <a:spcAft>
                          <a:spcPts val="0"/>
                        </a:spcAft>
                        <a:buClrTx/>
                        <a:buSzTx/>
                        <a:buFontTx/>
                        <a:buNone/>
                        <a:tabLst/>
                        <a:defRPr>
                          <a:solidFill>
                            <a:sysClr val="windowText" lastClr="000000">
                              <a:lumMod val="75000"/>
                              <a:lumOff val="25000"/>
                            </a:sysClr>
                          </a:solidFill>
                        </a:defRPr>
                      </a:pPr>
                      <a:t>[VALUE]</a:t>
                    </a:fld>
                    <a:endParaRPr lang="en-IN"/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ctr" anchorCtr="0">
                  <a:noAutofit/>
                </a:bodyPr>
                <a:lstStyle/>
                <a:p>
                  <a:pPr marL="0" marR="0" lvl="0" indent="0" algn="ctr" defTabSz="914400" rtl="0" eaLnBrk="1" fontAlgn="auto" latinLnBrk="0" hangingPunct="1">
                    <a:lnSpc>
                      <a:spcPct val="100000"/>
                    </a:lnSpc>
                    <a:spcBef>
                      <a:spcPts val="0"/>
                    </a:spcBef>
                    <a:spcAft>
                      <a:spcPts val="0"/>
                    </a:spcAft>
                    <a:buClrTx/>
                    <a:buSzTx/>
                    <a:buFontTx/>
                    <a:buNone/>
                    <a:tabLst/>
                    <a:defRPr sz="900" b="0" i="0" u="none" strike="noStrike" kern="1200" baseline="0">
                      <a:solidFill>
                        <a:sysClr val="windowText" lastClr="000000">
                          <a:lumMod val="75000"/>
                          <a:lumOff val="25000"/>
                        </a:sys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separator>, </c:separator>
              <c:extLst>
                <c:ext xmlns:c15="http://schemas.microsoft.com/office/drawing/2012/chart" uri="{CE6537A1-D6FC-4f65-9D91-7224C49458BB}">
                  <c15:layout>
                    <c:manualLayout>
                      <c:w val="6.9372820155014059E-2"/>
                      <c:h val="0.1090795188416621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4-F1F9-4DAA-8F93-DC0BC723CC4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eparator>, </c:separator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Tabelle1!$B$2:$C$2</c:f>
              <c:strCache>
                <c:ptCount val="2"/>
                <c:pt idx="0">
                  <c:v>Specialist</c:v>
                </c:pt>
                <c:pt idx="1">
                  <c:v>Resident</c:v>
                </c:pt>
              </c:strCache>
            </c:strRef>
          </c:cat>
          <c:val>
            <c:numRef>
              <c:f>Tabelle1!$B$4:$C$4</c:f>
              <c:numCache>
                <c:formatCode>General</c:formatCode>
                <c:ptCount val="2"/>
                <c:pt idx="0">
                  <c:v>489</c:v>
                </c:pt>
                <c:pt idx="1">
                  <c:v>792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F1F9-4DAA-8F93-DC0BC723CC4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100"/>
        <c:axId val="1544550096"/>
        <c:axId val="1544354032"/>
      </c:barChart>
      <c:catAx>
        <c:axId val="15445500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1544354032"/>
        <c:crosses val="autoZero"/>
        <c:auto val="1"/>
        <c:lblAlgn val="ctr"/>
        <c:lblOffset val="100"/>
        <c:noMultiLvlLbl val="0"/>
      </c:catAx>
      <c:valAx>
        <c:axId val="1544354032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154455009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/>
              <a:t>Correlation</a:t>
            </a:r>
            <a:r>
              <a:rPr lang="de-DE" baseline="0"/>
              <a:t> Insertion Site/Failure Rate</a:t>
            </a:r>
            <a:endParaRPr lang="de-DE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Tabelle1!$A$51</c:f>
              <c:strCache>
                <c:ptCount val="1"/>
                <c:pt idx="0">
                  <c:v>Failure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.10902704866844187"/>
                  <c:y val="-6.8676727909011373E-2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4,4%</a:t>
                    </a:r>
                  </a:p>
                  <a:p>
                    <a:fld id="{D3488B0A-11DC-7442-B10E-C221D0E0B73B}" type="VALUE">
                      <a:rPr lang="en-US"/>
                      <a:pPr/>
                      <a:t>[VALUE]</a:t>
                    </a:fld>
                    <a:endParaRPr lang="en-IN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0-CCA4-4A36-AA79-5E3634C0F53D}"/>
                </c:ext>
              </c:extLst>
            </c:dLbl>
            <c:dLbl>
              <c:idx val="1"/>
              <c:layout>
                <c:manualLayout>
                  <c:x val="0.10344565413724166"/>
                  <c:y val="-5.9481262758821811E-2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2,3%</a:t>
                    </a:r>
                  </a:p>
                  <a:p>
                    <a:fld id="{BBA3036F-07CB-0648-A1AC-4DDC4C798FEF}" type="VALUE">
                      <a:rPr lang="en-US"/>
                      <a:pPr/>
                      <a:t>[VALUE]</a:t>
                    </a:fld>
                    <a:endParaRPr lang="en-IN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CCA4-4A36-AA79-5E3634C0F53D}"/>
                </c:ext>
              </c:extLst>
            </c:dLbl>
            <c:dLbl>
              <c:idx val="2"/>
              <c:layout>
                <c:manualLayout>
                  <c:x val="0.10623635140284166"/>
                  <c:y val="-5.4787839020122568E-2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3,6%</a:t>
                    </a:r>
                  </a:p>
                  <a:p>
                    <a:fld id="{CC3B92F8-5EE0-3E40-819C-1ECFAD17033F}" type="VALUE">
                      <a:rPr lang="en-US"/>
                      <a:pPr/>
                      <a:t>[VALUE]</a:t>
                    </a:fld>
                    <a:endParaRPr lang="en-IN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2-CCA4-4A36-AA79-5E3634C0F53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horzOverflow="clip" vert="horz" wrap="square" lIns="0" tIns="0" rIns="0" bIns="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  <a:noFill/>
                  <a:ln>
                    <a:noFill/>
                  </a:ln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Tabelle1!$B$50:$D$50</c:f>
              <c:strCache>
                <c:ptCount val="3"/>
                <c:pt idx="0">
                  <c:v>Median</c:v>
                </c:pt>
                <c:pt idx="1">
                  <c:v>Median and paramedian</c:v>
                </c:pt>
                <c:pt idx="2">
                  <c:v>Paramedian</c:v>
                </c:pt>
              </c:strCache>
            </c:strRef>
          </c:cat>
          <c:val>
            <c:numRef>
              <c:f>Tabelle1!$B$51:$D$51</c:f>
              <c:numCache>
                <c:formatCode>General</c:formatCode>
                <c:ptCount val="3"/>
                <c:pt idx="0">
                  <c:v>40</c:v>
                </c:pt>
                <c:pt idx="1">
                  <c:v>1</c:v>
                </c:pt>
                <c:pt idx="2">
                  <c:v>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CA4-4A36-AA79-5E3634C0F53D}"/>
            </c:ext>
          </c:extLst>
        </c:ser>
        <c:ser>
          <c:idx val="1"/>
          <c:order val="1"/>
          <c:tx>
            <c:strRef>
              <c:f>Tabelle1!$A$52</c:f>
              <c:strCache>
                <c:ptCount val="1"/>
                <c:pt idx="0">
                  <c:v>Success</c:v>
                </c:pt>
              </c:strCache>
            </c:strRef>
          </c:tx>
          <c:spPr>
            <a:solidFill>
              <a:schemeClr val="accent1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.11432585763400725"/>
                  <c:y val="-6.5839530475357247E-2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95,6%</a:t>
                    </a:r>
                  </a:p>
                  <a:p>
                    <a:fld id="{7341E3E7-0F11-3E44-9B91-1E716BB05FB8}" type="VALUE">
                      <a:rPr lang="en-US"/>
                      <a:pPr/>
                      <a:t>[VALUE]</a:t>
                    </a:fld>
                    <a:endParaRPr lang="en-IN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4-CCA4-4A36-AA79-5E3634C0F53D}"/>
                </c:ext>
              </c:extLst>
            </c:dLbl>
            <c:dLbl>
              <c:idx val="1"/>
              <c:layout>
                <c:manualLayout>
                  <c:x val="0.11430981661822866"/>
                  <c:y val="-6.5839530475357247E-2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97,7%</a:t>
                    </a:r>
                  </a:p>
                  <a:p>
                    <a:fld id="{E80207D3-ECFA-A84B-BE20-BE3DCE7A3384}" type="VALUE">
                      <a:rPr lang="en-US"/>
                      <a:pPr/>
                      <a:t>[VALUE]</a:t>
                    </a:fld>
                    <a:endParaRPr lang="en-IN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5-CCA4-4A36-AA79-5E3634C0F53D}"/>
                </c:ext>
              </c:extLst>
            </c:dLbl>
            <c:dLbl>
              <c:idx val="2"/>
              <c:layout>
                <c:manualLayout>
                  <c:x val="0.11710051388382867"/>
                  <c:y val="-7.0213254593175858E-2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96,4%</a:t>
                    </a:r>
                  </a:p>
                  <a:p>
                    <a:fld id="{7B0E01FF-CCE2-5A42-821A-FEC20D95D44E}" type="VALUE">
                      <a:rPr lang="en-US"/>
                      <a:pPr/>
                      <a:t>[VALUE]</a:t>
                    </a:fld>
                    <a:endParaRPr lang="en-IN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6-CCA4-4A36-AA79-5E3634C0F53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horzOverflow="clip" vert="horz" wrap="square" lIns="0" tIns="0" rIns="0" bIns="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  <a:noFill/>
                  <a:ln>
                    <a:noFill/>
                  </a:ln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Tabelle1!$B$50:$D$50</c:f>
              <c:strCache>
                <c:ptCount val="3"/>
                <c:pt idx="0">
                  <c:v>Median</c:v>
                </c:pt>
                <c:pt idx="1">
                  <c:v>Median and paramedian</c:v>
                </c:pt>
                <c:pt idx="2">
                  <c:v>Paramedian</c:v>
                </c:pt>
              </c:strCache>
            </c:strRef>
          </c:cat>
          <c:val>
            <c:numRef>
              <c:f>Tabelle1!$B$52:$D$52</c:f>
              <c:numCache>
                <c:formatCode>General</c:formatCode>
                <c:ptCount val="3"/>
                <c:pt idx="0">
                  <c:v>859</c:v>
                </c:pt>
                <c:pt idx="1">
                  <c:v>43</c:v>
                </c:pt>
                <c:pt idx="2">
                  <c:v>379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CCA4-4A36-AA79-5E3634C0F53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100"/>
        <c:axId val="1619069840"/>
        <c:axId val="1620013488"/>
      </c:barChart>
      <c:catAx>
        <c:axId val="16190698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1620013488"/>
        <c:crosses val="autoZero"/>
        <c:auto val="1"/>
        <c:lblAlgn val="ctr"/>
        <c:lblOffset val="100"/>
        <c:noMultiLvlLbl val="0"/>
      </c:catAx>
      <c:valAx>
        <c:axId val="1620013488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16190698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r>
              <a:rPr lang="de-DE" sz="1400" b="0" i="0" baseline="0">
                <a:effectLst/>
              </a:rPr>
              <a:t>Correlation Insertion Site/Failure Rate</a:t>
            </a:r>
          </a:p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>
                <a:solidFill>
                  <a:sysClr val="windowText" lastClr="000000">
                    <a:lumMod val="65000"/>
                    <a:lumOff val="35000"/>
                  </a:sysClr>
                </a:solidFill>
              </a:defRPr>
            </a:pPr>
            <a:r>
              <a:rPr lang="de-DE" sz="1200" b="0"/>
              <a:t>12</a:t>
            </a:r>
            <a:r>
              <a:rPr lang="de-DE" sz="1200" b="0" baseline="0"/>
              <a:t> years old and younger</a:t>
            </a:r>
            <a:endParaRPr lang="de-DE" sz="1200" b="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marL="0" marR="0" lvl="0" indent="0" algn="ctr" defTabSz="914400" rtl="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 sz="14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defRPr>
          </a:pPr>
          <a:endParaRPr lang="it-IT"/>
        </a:p>
      </c:txPr>
    </c:title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Tabelle1!$A$145</c:f>
              <c:strCache>
                <c:ptCount val="1"/>
                <c:pt idx="0">
                  <c:v>Failure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"/>
                  <c:y val="-0.10801444235556536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7,3%</a:t>
                    </a:r>
                  </a:p>
                  <a:p>
                    <a:fld id="{70ABE08D-15A4-AD49-BE19-66603A231836}" type="VALUE">
                      <a:rPr lang="en-US"/>
                      <a:pPr/>
                      <a:t>[VALUE]</a:t>
                    </a:fld>
                    <a:endParaRPr lang="en-IN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0-F28A-4AE9-A365-DAEFE2A55887}"/>
                </c:ext>
              </c:extLst>
            </c:dLbl>
            <c:dLbl>
              <c:idx val="1"/>
              <c:layout>
                <c:manualLayout>
                  <c:x val="8.2936121554314339E-3"/>
                  <c:y val="-0.11266906814057874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2,7 %</a:t>
                    </a:r>
                  </a:p>
                  <a:p>
                    <a:fld id="{D9245387-94C4-D547-BC6B-D4CC58322CDB}" type="VALUE">
                      <a:rPr lang="en-US"/>
                      <a:pPr/>
                      <a:t>[VALUE]</a:t>
                    </a:fld>
                    <a:endParaRPr lang="en-IN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F28A-4AE9-A365-DAEFE2A5588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Tabelle1!$B$144:$C$144</c:f>
              <c:strCache>
                <c:ptCount val="2"/>
                <c:pt idx="0">
                  <c:v>Median</c:v>
                </c:pt>
                <c:pt idx="1">
                  <c:v>Paramedian</c:v>
                </c:pt>
              </c:strCache>
            </c:strRef>
          </c:cat>
          <c:val>
            <c:numRef>
              <c:f>Tabelle1!$B$145:$C$145</c:f>
              <c:numCache>
                <c:formatCode>General</c:formatCode>
                <c:ptCount val="2"/>
                <c:pt idx="0">
                  <c:v>17</c:v>
                </c:pt>
                <c:pt idx="1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28A-4AE9-A365-DAEFE2A55887}"/>
            </c:ext>
          </c:extLst>
        </c:ser>
        <c:ser>
          <c:idx val="1"/>
          <c:order val="1"/>
          <c:tx>
            <c:strRef>
              <c:f>Tabelle1!$A$146</c:f>
              <c:strCache>
                <c:ptCount val="1"/>
                <c:pt idx="0">
                  <c:v>Success</c:v>
                </c:pt>
              </c:strCache>
            </c:strRef>
          </c:tx>
          <c:spPr>
            <a:solidFill>
              <a:schemeClr val="accent1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"/>
                  <c:y val="-0.10793128044121861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92,7%</a:t>
                    </a:r>
                  </a:p>
                  <a:p>
                    <a:fld id="{EE08755A-876F-554B-8308-7A0B4686818E}" type="VALUE">
                      <a:rPr lang="en-US"/>
                      <a:pPr/>
                      <a:t>[VALUE]</a:t>
                    </a:fld>
                    <a:endParaRPr lang="en-IN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F28A-4AE9-A365-DAEFE2A55887}"/>
                </c:ext>
              </c:extLst>
            </c:dLbl>
            <c:dLbl>
              <c:idx val="1"/>
              <c:layout>
                <c:manualLayout>
                  <c:x val="-1.0136519980916839E-16"/>
                  <c:y val="-0.11262765912997806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97,3%</a:t>
                    </a:r>
                  </a:p>
                  <a:p>
                    <a:fld id="{854B6739-22D3-CB4C-A098-3873EA5319A5}" type="VALUE">
                      <a:rPr lang="en-US"/>
                      <a:pPr/>
                      <a:t>[VALUE]</a:t>
                    </a:fld>
                    <a:endParaRPr lang="en-IN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4-F28A-4AE9-A365-DAEFE2A55887}"/>
                </c:ext>
              </c:extLst>
            </c:dLbl>
            <c:numFmt formatCode="General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Tabelle1!$B$144:$C$144</c:f>
              <c:strCache>
                <c:ptCount val="2"/>
                <c:pt idx="0">
                  <c:v>Median</c:v>
                </c:pt>
                <c:pt idx="1">
                  <c:v>Paramedian</c:v>
                </c:pt>
              </c:strCache>
            </c:strRef>
          </c:cat>
          <c:val>
            <c:numRef>
              <c:f>Tabelle1!$B$146:$C$146</c:f>
              <c:numCache>
                <c:formatCode>General</c:formatCode>
                <c:ptCount val="2"/>
                <c:pt idx="0">
                  <c:v>215</c:v>
                </c:pt>
                <c:pt idx="1">
                  <c:v>180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F28A-4AE9-A365-DAEFE2A5588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overlap val="100"/>
        <c:axId val="1119832144"/>
        <c:axId val="1649428928"/>
      </c:barChart>
      <c:catAx>
        <c:axId val="111983214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1649428928"/>
        <c:crosses val="autoZero"/>
        <c:auto val="1"/>
        <c:lblAlgn val="ctr"/>
        <c:lblOffset val="100"/>
        <c:noMultiLvlLbl val="0"/>
      </c:catAx>
      <c:valAx>
        <c:axId val="1649428928"/>
        <c:scaling>
          <c:orientation val="minMax"/>
        </c:scaling>
        <c:delete val="0"/>
        <c:axPos val="b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11198321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effectLst/>
              </a:rPr>
              <a:t>Correlation Insertion Site/Failure Rate</a:t>
            </a:r>
          </a:p>
          <a:p>
            <a:pPr>
              <a:defRPr/>
            </a:pPr>
            <a:r>
              <a:rPr lang="de-DE" sz="12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</a:rPr>
              <a:t>13 years old and older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title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Tabelle1!$A$162</c:f>
              <c:strCache>
                <c:ptCount val="1"/>
                <c:pt idx="0">
                  <c:v>Failure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5.5370985603543747E-3"/>
                  <c:y val="-0.1111111111111111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3,3%</a:t>
                    </a:r>
                  </a:p>
                  <a:p>
                    <a:fld id="{E1C229D4-C88D-B947-9787-455ED666A76F}" type="VALUE">
                      <a:rPr lang="en-US"/>
                      <a:pPr/>
                      <a:t>[VALUE]</a:t>
                    </a:fld>
                    <a:endParaRPr lang="en-IN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0-7D9D-4EC0-A858-1107E26A3438}"/>
                </c:ext>
              </c:extLst>
            </c:dLbl>
            <c:dLbl>
              <c:idx val="1"/>
              <c:layout>
                <c:manualLayout>
                  <c:x val="0"/>
                  <c:y val="-0.11111111111111113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4,3%</a:t>
                    </a:r>
                  </a:p>
                  <a:p>
                    <a:fld id="{8BA94844-1D1D-4B48-8665-FCB1544595D7}" type="VALUE">
                      <a:rPr lang="en-US"/>
                      <a:pPr/>
                      <a:t>[VALUE]</a:t>
                    </a:fld>
                    <a:endParaRPr lang="en-IN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7D9D-4EC0-A858-1107E26A343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Tabelle1!$B$161:$C$161</c:f>
              <c:strCache>
                <c:ptCount val="2"/>
                <c:pt idx="0">
                  <c:v>Median</c:v>
                </c:pt>
                <c:pt idx="1">
                  <c:v>Paramedian</c:v>
                </c:pt>
              </c:strCache>
            </c:strRef>
          </c:cat>
          <c:val>
            <c:numRef>
              <c:f>Tabelle1!$B$162:$C$162</c:f>
              <c:numCache>
                <c:formatCode>General</c:formatCode>
                <c:ptCount val="2"/>
                <c:pt idx="0">
                  <c:v>22</c:v>
                </c:pt>
                <c:pt idx="1">
                  <c:v>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D9D-4EC0-A858-1107E26A3438}"/>
            </c:ext>
          </c:extLst>
        </c:ser>
        <c:ser>
          <c:idx val="1"/>
          <c:order val="1"/>
          <c:tx>
            <c:strRef>
              <c:f>Tabelle1!$A$163</c:f>
              <c:strCache>
                <c:ptCount val="1"/>
                <c:pt idx="0">
                  <c:v>Success</c:v>
                </c:pt>
              </c:strCache>
            </c:strRef>
          </c:tx>
          <c:spPr>
            <a:solidFill>
              <a:schemeClr val="accent1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"/>
                  <c:y val="-0.11574074074074074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96,7%</a:t>
                    </a:r>
                  </a:p>
                  <a:p>
                    <a:fld id="{AC6DD5CD-3731-D845-952B-682B67A1F842}" type="VALUE">
                      <a:rPr lang="en-US"/>
                      <a:pPr/>
                      <a:t>[VALUE]</a:t>
                    </a:fld>
                    <a:endParaRPr lang="en-IN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7D9D-4EC0-A858-1107E26A3438}"/>
                </c:ext>
              </c:extLst>
            </c:dLbl>
            <c:dLbl>
              <c:idx val="1"/>
              <c:layout>
                <c:manualLayout>
                  <c:x val="0"/>
                  <c:y val="-0.1111111111111111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95,7%</a:t>
                    </a:r>
                  </a:p>
                  <a:p>
                    <a:fld id="{2C195995-68C8-9D4D-9903-5CD7FD94405B}" type="VALUE">
                      <a:rPr lang="en-US"/>
                      <a:pPr/>
                      <a:t>[VALUE]</a:t>
                    </a:fld>
                    <a:endParaRPr lang="en-IN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4-7D9D-4EC0-A858-1107E26A343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Tabelle1!$B$161:$C$161</c:f>
              <c:strCache>
                <c:ptCount val="2"/>
                <c:pt idx="0">
                  <c:v>Median</c:v>
                </c:pt>
                <c:pt idx="1">
                  <c:v>Paramedian</c:v>
                </c:pt>
              </c:strCache>
            </c:strRef>
          </c:cat>
          <c:val>
            <c:numRef>
              <c:f>Tabelle1!$B$163:$C$163</c:f>
              <c:numCache>
                <c:formatCode>General</c:formatCode>
                <c:ptCount val="2"/>
                <c:pt idx="0">
                  <c:v>642</c:v>
                </c:pt>
                <c:pt idx="1">
                  <c:v>199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7D9D-4EC0-A858-1107E26A343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overlap val="100"/>
        <c:axId val="1174723984"/>
        <c:axId val="1396474416"/>
      </c:barChart>
      <c:catAx>
        <c:axId val="117472398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1396474416"/>
        <c:crosses val="autoZero"/>
        <c:auto val="1"/>
        <c:lblAlgn val="ctr"/>
        <c:lblOffset val="100"/>
        <c:noMultiLvlLbl val="0"/>
      </c:catAx>
      <c:valAx>
        <c:axId val="1396474416"/>
        <c:scaling>
          <c:orientation val="minMax"/>
        </c:scaling>
        <c:delete val="0"/>
        <c:axPos val="b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11747239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r>
              <a:rPr lang="de-DE"/>
              <a:t>Correlation Number of Inserted Mini-Implants/</a:t>
            </a:r>
          </a:p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>
                <a:solidFill>
                  <a:sysClr val="windowText" lastClr="000000">
                    <a:lumMod val="65000"/>
                    <a:lumOff val="35000"/>
                  </a:sysClr>
                </a:solidFill>
              </a:defRPr>
            </a:pPr>
            <a:r>
              <a:rPr lang="de-DE"/>
              <a:t>Failure Rate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marL="0" marR="0" lvl="0" indent="0" algn="ctr" defTabSz="914400" rtl="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 sz="14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defRPr>
          </a:pPr>
          <a:endParaRPr lang="it-IT"/>
        </a:p>
      </c:txPr>
    </c:title>
    <c:autoTitleDeleted val="0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Tabelle1!$A$75</c:f>
              <c:strCache>
                <c:ptCount val="1"/>
                <c:pt idx="0">
                  <c:v>Failure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.12777777777777777"/>
                  <c:y val="-5.5555555555555643E-2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1,8%</a:t>
                    </a:r>
                  </a:p>
                  <a:p>
                    <a:fld id="{7BD251B9-46CF-DC44-905A-6BDCAEBE3713}" type="VALUE">
                      <a:rPr lang="en-US"/>
                      <a:pPr/>
                      <a:t>[VALUE]</a:t>
                    </a:fld>
                    <a:endParaRPr lang="en-IN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0-5552-4DEE-A415-1EC2F0B223E6}"/>
                </c:ext>
              </c:extLst>
            </c:dLbl>
            <c:dLbl>
              <c:idx val="1"/>
              <c:layout>
                <c:manualLayout>
                  <c:x val="0.1361111111111111"/>
                  <c:y val="-5.5555555555555643E-2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4,3%</a:t>
                    </a:r>
                  </a:p>
                  <a:p>
                    <a:r>
                      <a:rPr lang="en-US"/>
                      <a:t>50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5552-4DEE-A415-1EC2F0B223E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Tabelle1!$B$74:$C$74</c:f>
              <c:strCache>
                <c:ptCount val="2"/>
                <c:pt idx="0">
                  <c:v>1 mini-implant</c:v>
                </c:pt>
                <c:pt idx="1">
                  <c:v>2 mini-implants</c:v>
                </c:pt>
              </c:strCache>
            </c:strRef>
          </c:cat>
          <c:val>
            <c:numRef>
              <c:f>Tabelle1!$B$75:$C$75</c:f>
              <c:numCache>
                <c:formatCode>General</c:formatCode>
                <c:ptCount val="2"/>
                <c:pt idx="0">
                  <c:v>2</c:v>
                </c:pt>
                <c:pt idx="1">
                  <c:v>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552-4DEE-A415-1EC2F0B223E6}"/>
            </c:ext>
          </c:extLst>
        </c:ser>
        <c:ser>
          <c:idx val="1"/>
          <c:order val="1"/>
          <c:tx>
            <c:strRef>
              <c:f>Tabelle1!$A$76</c:f>
              <c:strCache>
                <c:ptCount val="1"/>
                <c:pt idx="0">
                  <c:v>Success</c:v>
                </c:pt>
              </c:strCache>
            </c:strRef>
          </c:tx>
          <c:spPr>
            <a:solidFill>
              <a:schemeClr val="accent1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.13888888888888895"/>
                  <c:y val="-6.0185185185185272E-2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98,2%</a:t>
                    </a:r>
                    <a:endParaRPr lang="en-US" b="0"/>
                  </a:p>
                  <a:p>
                    <a:r>
                      <a:rPr lang="en-US" b="0"/>
                      <a:t>108</a:t>
                    </a:r>
                    <a:endParaRPr lang="en-US" b="1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separator>, </c:separator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5552-4DEE-A415-1EC2F0B223E6}"/>
                </c:ext>
              </c:extLst>
            </c:dLbl>
            <c:dLbl>
              <c:idx val="1"/>
              <c:layout>
                <c:manualLayout>
                  <c:x val="0.14444444444444443"/>
                  <c:y val="-6.018518518518514E-2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95,7%</a:t>
                    </a:r>
                  </a:p>
                  <a:p>
                    <a:r>
                      <a:rPr lang="en-US"/>
                      <a:t>1124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separator>, </c:separator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5552-4DEE-A415-1EC2F0B223E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eparator>, </c:separator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Tabelle1!$B$74:$C$74</c:f>
              <c:strCache>
                <c:ptCount val="2"/>
                <c:pt idx="0">
                  <c:v>1 mini-implant</c:v>
                </c:pt>
                <c:pt idx="1">
                  <c:v>2 mini-implants</c:v>
                </c:pt>
              </c:strCache>
            </c:strRef>
          </c:cat>
          <c:val>
            <c:numRef>
              <c:f>Tabelle1!$B$76:$C$76</c:f>
              <c:numCache>
                <c:formatCode>General</c:formatCode>
                <c:ptCount val="2"/>
                <c:pt idx="0">
                  <c:v>102</c:v>
                </c:pt>
                <c:pt idx="1">
                  <c:v>745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5552-4DEE-A415-1EC2F0B223E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100"/>
        <c:axId val="1621861840"/>
        <c:axId val="1122847312"/>
      </c:barChart>
      <c:catAx>
        <c:axId val="16218618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1122847312"/>
        <c:crosses val="autoZero"/>
        <c:auto val="1"/>
        <c:lblAlgn val="ctr"/>
        <c:lblOffset val="100"/>
        <c:noMultiLvlLbl val="0"/>
      </c:catAx>
      <c:valAx>
        <c:axId val="1122847312"/>
        <c:scaling>
          <c:orientation val="minMax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16218618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/>
              <a:t>Correlation</a:t>
            </a:r>
            <a:r>
              <a:rPr lang="de-DE" baseline="0"/>
              <a:t> Anchorage Type/Failure Rate</a:t>
            </a:r>
            <a:endParaRPr lang="de-DE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Tabelle1!$A$186</c:f>
              <c:strCache>
                <c:ptCount val="1"/>
                <c:pt idx="0">
                  <c:v>Failure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.14942351675153526"/>
                  <c:y val="-5.101778099311944E-2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4,6%</a:t>
                    </a:r>
                  </a:p>
                  <a:p>
                    <a:fld id="{B165AED4-B100-974F-96BE-E794380EDB73}" type="VALUE">
                      <a:rPr lang="en-US"/>
                      <a:pPr/>
                      <a:t>[VALUE]</a:t>
                    </a:fld>
                    <a:endParaRPr lang="en-IN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0-0E0C-49CC-B981-FD9F3D032ADA}"/>
                </c:ext>
              </c:extLst>
            </c:dLbl>
            <c:dLbl>
              <c:idx val="1"/>
              <c:layout>
                <c:manualLayout>
                  <c:x val="0.14942351675153526"/>
                  <c:y val="-6.4931721263970094E-2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0,6%</a:t>
                    </a:r>
                  </a:p>
                  <a:p>
                    <a:fld id="{E379EC10-AD30-6648-A97C-98DEAC542629}" type="VALUE">
                      <a:rPr lang="en-US"/>
                      <a:pPr/>
                      <a:t>[VALUE]</a:t>
                    </a:fld>
                    <a:endParaRPr lang="en-IN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0E0C-49CC-B981-FD9F3D032AD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Tabelle1!$B$185:$C$185</c:f>
              <c:strCache>
                <c:ptCount val="2"/>
                <c:pt idx="0">
                  <c:v>Directly anchored</c:v>
                </c:pt>
                <c:pt idx="1">
                  <c:v>Indirectly anchored</c:v>
                </c:pt>
              </c:strCache>
            </c:strRef>
          </c:cat>
          <c:val>
            <c:numRef>
              <c:f>Tabelle1!$B$186:$C$186</c:f>
              <c:numCache>
                <c:formatCode>General</c:formatCode>
                <c:ptCount val="2"/>
                <c:pt idx="0">
                  <c:v>50</c:v>
                </c:pt>
                <c:pt idx="1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E0C-49CC-B981-FD9F3D032ADA}"/>
            </c:ext>
          </c:extLst>
        </c:ser>
        <c:ser>
          <c:idx val="1"/>
          <c:order val="1"/>
          <c:tx>
            <c:strRef>
              <c:f>Tabelle1!$A$187</c:f>
              <c:strCache>
                <c:ptCount val="1"/>
                <c:pt idx="0">
                  <c:v>Success</c:v>
                </c:pt>
              </c:strCache>
            </c:strRef>
          </c:tx>
          <c:spPr>
            <a:solidFill>
              <a:schemeClr val="accent1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.15495772107566624"/>
                  <c:y val="-5.1017780993119398E-2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95,4%</a:t>
                    </a:r>
                  </a:p>
                  <a:p>
                    <a:fld id="{BE6F4977-6F26-2844-BB06-BACACD0C88D2}" type="VALUE">
                      <a:rPr lang="en-US"/>
                      <a:pPr/>
                      <a:t>[VALUE]</a:t>
                    </a:fld>
                    <a:endParaRPr lang="en-IN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0E0C-49CC-B981-FD9F3D032ADA}"/>
                </c:ext>
              </c:extLst>
            </c:dLbl>
            <c:dLbl>
              <c:idx val="1"/>
              <c:layout>
                <c:manualLayout>
                  <c:x val="0.15772482323773176"/>
                  <c:y val="-6.4931721263970094E-2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99,4%</a:t>
                    </a:r>
                  </a:p>
                  <a:p>
                    <a:fld id="{E1ABF7C3-8BEA-4547-B513-679D02F85833}" type="VALUE">
                      <a:rPr lang="en-US"/>
                      <a:pPr/>
                      <a:t>[VALUE]</a:t>
                    </a:fld>
                    <a:endParaRPr lang="en-IN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4-0E0C-49CC-B981-FD9F3D032AD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Tabelle1!$B$185:$C$185</c:f>
              <c:strCache>
                <c:ptCount val="2"/>
                <c:pt idx="0">
                  <c:v>Directly anchored</c:v>
                </c:pt>
                <c:pt idx="1">
                  <c:v>Indirectly anchored</c:v>
                </c:pt>
              </c:strCache>
            </c:strRef>
          </c:cat>
          <c:val>
            <c:numRef>
              <c:f>Tabelle1!$B$187:$C$187</c:f>
              <c:numCache>
                <c:formatCode>General</c:formatCode>
                <c:ptCount val="2"/>
                <c:pt idx="0">
                  <c:v>1029</c:v>
                </c:pt>
                <c:pt idx="1">
                  <c:v>174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0E0C-49CC-B981-FD9F3D032AD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755766143"/>
        <c:axId val="1755682143"/>
      </c:barChart>
      <c:catAx>
        <c:axId val="17557661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1755682143"/>
        <c:crosses val="autoZero"/>
        <c:auto val="1"/>
        <c:lblAlgn val="ctr"/>
        <c:lblOffset val="100"/>
        <c:noMultiLvlLbl val="0"/>
      </c:catAx>
      <c:valAx>
        <c:axId val="1755682143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175576614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50</Words>
  <Characters>405</Characters>
  <Application>Microsoft Office Word</Application>
  <DocSecurity>0</DocSecurity>
  <Lines>33</Lines>
  <Paragraphs>10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2026-04-02T14:18:00Z</dcterms:created>
  <dcterms:modified xsi:type="dcterms:W3CDTF">2026-04-02T14:19:00Z</dcterms:modified>
</cp:coreProperties>
</file>