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AB4030" w14:textId="77777777" w:rsidR="003E5E0B" w:rsidRPr="003E5E0B" w:rsidRDefault="003E5E0B" w:rsidP="003E5E0B">
      <w:pPr>
        <w:rPr>
          <w:b/>
          <w:bCs/>
          <w:lang w:val="en-US"/>
        </w:rPr>
      </w:pPr>
      <w:r w:rsidRPr="003E5E0B">
        <w:rPr>
          <w:b/>
          <w:bCs/>
          <w:lang w:val="en-US"/>
        </w:rPr>
        <w:t>SUPPLEMENTARY FIGURES AND FIGURE LEGENDS</w:t>
      </w:r>
    </w:p>
    <w:p w14:paraId="1ECA2F1B" w14:textId="77777777" w:rsidR="003E5E0B" w:rsidRPr="003E5E0B" w:rsidRDefault="003E5E0B" w:rsidP="003E5E0B">
      <w:pPr>
        <w:rPr>
          <w:b/>
          <w:bCs/>
          <w:lang w:val="en-US"/>
        </w:rPr>
      </w:pPr>
      <w:r w:rsidRPr="003E5E0B">
        <w:rPr>
          <w:b/>
          <w:bCs/>
          <w:lang w:val="en-US"/>
        </w:rPr>
        <w:t>Supplementary Figure 1</w:t>
      </w:r>
    </w:p>
    <w:p w14:paraId="4D7DE517" w14:textId="463754AC" w:rsidR="003E5E0B" w:rsidRPr="003E5E0B" w:rsidRDefault="003E5E0B" w:rsidP="003E5E0B">
      <w:pPr>
        <w:rPr>
          <w:b/>
          <w:bCs/>
          <w:lang w:val="en-US"/>
        </w:rPr>
      </w:pPr>
      <w:r w:rsidRPr="003E5E0B">
        <w:rPr>
          <w:lang w:val="en-US"/>
        </w:rPr>
        <w:drawing>
          <wp:inline distT="0" distB="0" distL="0" distR="0" wp14:anchorId="53A25DDA" wp14:editId="5ED24779">
            <wp:extent cx="4800600" cy="6896100"/>
            <wp:effectExtent l="0" t="0" r="0" b="0"/>
            <wp:docPr id="1393366271" name="Picture 6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3366271" name="Picture 6" descr="A screenshot of a compute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0600" cy="689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CA8BBA" w14:textId="77777777" w:rsidR="003E5E0B" w:rsidRPr="003E5E0B" w:rsidRDefault="003E5E0B" w:rsidP="003E5E0B">
      <w:pPr>
        <w:rPr>
          <w:b/>
          <w:bCs/>
          <w:lang w:val="en-US"/>
        </w:rPr>
      </w:pPr>
      <w:r w:rsidRPr="003E5E0B">
        <w:rPr>
          <w:b/>
          <w:bCs/>
          <w:lang w:val="en-US"/>
        </w:rPr>
        <w:t xml:space="preserve">Supplementary Figure 1. Genome-wide CRISPR screens identify </w:t>
      </w:r>
      <w:r w:rsidRPr="003E5E0B">
        <w:rPr>
          <w:b/>
          <w:bCs/>
          <w:i/>
          <w:iCs/>
          <w:lang w:val="en-US"/>
        </w:rPr>
        <w:t>AHR</w:t>
      </w:r>
      <w:r w:rsidRPr="003E5E0B">
        <w:rPr>
          <w:b/>
          <w:bCs/>
          <w:lang w:val="en-US"/>
        </w:rPr>
        <w:t xml:space="preserve"> and </w:t>
      </w:r>
      <w:r w:rsidRPr="003E5E0B">
        <w:rPr>
          <w:b/>
          <w:bCs/>
          <w:i/>
          <w:iCs/>
          <w:lang w:val="en-US"/>
        </w:rPr>
        <w:t>ARNT</w:t>
      </w:r>
      <w:r w:rsidRPr="003E5E0B">
        <w:rPr>
          <w:b/>
          <w:bCs/>
          <w:lang w:val="en-US"/>
        </w:rPr>
        <w:t xml:space="preserve"> as positive regulators of MHC-II expression.</w:t>
      </w:r>
    </w:p>
    <w:p w14:paraId="025F5FC0" w14:textId="77777777" w:rsidR="003E5E0B" w:rsidRPr="003E5E0B" w:rsidRDefault="003E5E0B" w:rsidP="003E5E0B">
      <w:pPr>
        <w:rPr>
          <w:lang w:val="en-US"/>
        </w:rPr>
      </w:pPr>
      <w:r w:rsidRPr="003E5E0B">
        <w:rPr>
          <w:lang w:val="en-US"/>
        </w:rPr>
        <w:t>(</w:t>
      </w:r>
      <w:r w:rsidRPr="003E5E0B">
        <w:rPr>
          <w:b/>
          <w:bCs/>
          <w:lang w:val="en-US"/>
        </w:rPr>
        <w:t>A</w:t>
      </w:r>
      <w:r w:rsidRPr="003E5E0B">
        <w:rPr>
          <w:lang w:val="en-US"/>
        </w:rPr>
        <w:t>) Surface expression of MHC-II (HLA-DR) in A375 and WM115 cells treated with or without 100 ng/mL IFN-γ for 72 hours. Representative flow cytometry plots from three independent experiments.</w:t>
      </w:r>
    </w:p>
    <w:p w14:paraId="1FE901EC" w14:textId="77777777" w:rsidR="003E5E0B" w:rsidRPr="003E5E0B" w:rsidRDefault="003E5E0B" w:rsidP="003E5E0B">
      <w:pPr>
        <w:rPr>
          <w:lang w:val="en-US"/>
        </w:rPr>
      </w:pPr>
      <w:r w:rsidRPr="003E5E0B">
        <w:rPr>
          <w:lang w:val="en-US"/>
        </w:rPr>
        <w:lastRenderedPageBreak/>
        <w:t>(</w:t>
      </w:r>
      <w:r w:rsidRPr="003E5E0B">
        <w:rPr>
          <w:b/>
          <w:bCs/>
          <w:lang w:val="en-US"/>
        </w:rPr>
        <w:t>B</w:t>
      </w:r>
      <w:r w:rsidRPr="003E5E0B">
        <w:rPr>
          <w:lang w:val="en-US"/>
        </w:rPr>
        <w:t>) Scatterplot showing the top 25 enriched (red) and depleted (blue) sgRNAs in the MHC-II (HLA-DR) low population compared to the MHC-II high population in WM115.</w:t>
      </w:r>
    </w:p>
    <w:p w14:paraId="48FB84EA" w14:textId="77777777" w:rsidR="003E5E0B" w:rsidRPr="003E5E0B" w:rsidRDefault="003E5E0B" w:rsidP="003E5E0B">
      <w:pPr>
        <w:rPr>
          <w:lang w:val="en-US"/>
        </w:rPr>
      </w:pPr>
      <w:r w:rsidRPr="003E5E0B">
        <w:rPr>
          <w:lang w:val="en-US"/>
        </w:rPr>
        <w:t>(</w:t>
      </w:r>
      <w:r w:rsidRPr="003E5E0B">
        <w:rPr>
          <w:b/>
          <w:bCs/>
          <w:lang w:val="en-US"/>
        </w:rPr>
        <w:t>C</w:t>
      </w:r>
      <w:r w:rsidRPr="003E5E0B">
        <w:rPr>
          <w:lang w:val="en-US"/>
        </w:rPr>
        <w:t>) Log</w:t>
      </w:r>
      <w:r w:rsidRPr="003E5E0B">
        <w:rPr>
          <w:vertAlign w:val="subscript"/>
          <w:lang w:val="en-US"/>
        </w:rPr>
        <w:t>2</w:t>
      </w:r>
      <w:r w:rsidRPr="003E5E0B">
        <w:rPr>
          <w:lang w:val="en-US"/>
        </w:rPr>
        <w:t xml:space="preserve"> fold change values of individual sgRNAs plotted in (</w:t>
      </w:r>
      <w:r w:rsidRPr="003E5E0B">
        <w:rPr>
          <w:b/>
          <w:bCs/>
          <w:lang w:val="en-US"/>
        </w:rPr>
        <w:t>B</w:t>
      </w:r>
      <w:r w:rsidRPr="003E5E0B">
        <w:rPr>
          <w:lang w:val="en-US"/>
        </w:rPr>
        <w:t xml:space="preserve">), showing the effect of gene </w:t>
      </w:r>
      <w:proofErr w:type="gramStart"/>
      <w:r w:rsidRPr="003E5E0B">
        <w:rPr>
          <w:lang w:val="en-US"/>
        </w:rPr>
        <w:t>perturbations</w:t>
      </w:r>
      <w:proofErr w:type="gramEnd"/>
      <w:r w:rsidRPr="003E5E0B">
        <w:rPr>
          <w:lang w:val="en-US"/>
        </w:rPr>
        <w:t xml:space="preserve"> on HLA-DR expression.</w:t>
      </w:r>
    </w:p>
    <w:p w14:paraId="7426EF1A" w14:textId="77777777" w:rsidR="003E5E0B" w:rsidRPr="003E5E0B" w:rsidRDefault="003E5E0B" w:rsidP="003E5E0B">
      <w:pPr>
        <w:rPr>
          <w:lang w:val="en-US"/>
        </w:rPr>
      </w:pPr>
      <w:r w:rsidRPr="003E5E0B">
        <w:rPr>
          <w:lang w:val="en-US"/>
        </w:rPr>
        <w:t>(</w:t>
      </w:r>
      <w:r w:rsidRPr="003E5E0B">
        <w:rPr>
          <w:b/>
          <w:bCs/>
          <w:lang w:val="en-US"/>
        </w:rPr>
        <w:t>D-E</w:t>
      </w:r>
      <w:r w:rsidRPr="003E5E0B">
        <w:rPr>
          <w:lang w:val="en-US"/>
        </w:rPr>
        <w:t>) Rank plots showing top 20 genes enriched in A375 HLA-</w:t>
      </w:r>
      <w:proofErr w:type="spellStart"/>
      <w:r w:rsidRPr="003E5E0B">
        <w:rPr>
          <w:lang w:val="en-US"/>
        </w:rPr>
        <w:t>DR</w:t>
      </w:r>
      <w:r w:rsidRPr="003E5E0B">
        <w:rPr>
          <w:vertAlign w:val="superscript"/>
          <w:lang w:val="en-US"/>
        </w:rPr>
        <w:t>low</w:t>
      </w:r>
      <w:proofErr w:type="spellEnd"/>
      <w:r w:rsidRPr="003E5E0B">
        <w:rPr>
          <w:lang w:val="en-US"/>
        </w:rPr>
        <w:t xml:space="preserve"> population (</w:t>
      </w:r>
      <w:r w:rsidRPr="003E5E0B">
        <w:rPr>
          <w:b/>
          <w:bCs/>
          <w:lang w:val="en-US"/>
        </w:rPr>
        <w:t>D</w:t>
      </w:r>
      <w:r w:rsidRPr="003E5E0B">
        <w:rPr>
          <w:lang w:val="en-US"/>
        </w:rPr>
        <w:t>) and top 25 genes enriched in WM115 HLA-</w:t>
      </w:r>
      <w:proofErr w:type="spellStart"/>
      <w:r w:rsidRPr="003E5E0B">
        <w:rPr>
          <w:lang w:val="en-US"/>
        </w:rPr>
        <w:t>DR</w:t>
      </w:r>
      <w:r w:rsidRPr="003E5E0B">
        <w:rPr>
          <w:vertAlign w:val="superscript"/>
          <w:lang w:val="en-US"/>
        </w:rPr>
        <w:t>low</w:t>
      </w:r>
      <w:proofErr w:type="spellEnd"/>
      <w:r w:rsidRPr="003E5E0B">
        <w:rPr>
          <w:lang w:val="en-US"/>
        </w:rPr>
        <w:t xml:space="preserve"> population (</w:t>
      </w:r>
      <w:r w:rsidRPr="003E5E0B">
        <w:rPr>
          <w:b/>
          <w:bCs/>
          <w:lang w:val="en-US"/>
        </w:rPr>
        <w:t>E</w:t>
      </w:r>
      <w:r w:rsidRPr="003E5E0B">
        <w:rPr>
          <w:lang w:val="en-US"/>
        </w:rPr>
        <w:t>).</w:t>
      </w:r>
    </w:p>
    <w:p w14:paraId="14AFC071" w14:textId="77777777" w:rsidR="003E5E0B" w:rsidRPr="003E5E0B" w:rsidRDefault="003E5E0B" w:rsidP="003E5E0B">
      <w:pPr>
        <w:rPr>
          <w:lang w:val="en-US"/>
        </w:rPr>
      </w:pPr>
      <w:r w:rsidRPr="003E5E0B">
        <w:rPr>
          <w:lang w:val="en-US"/>
        </w:rPr>
        <w:t>(</w:t>
      </w:r>
      <w:r w:rsidRPr="003E5E0B">
        <w:rPr>
          <w:b/>
          <w:bCs/>
          <w:lang w:val="en-US"/>
        </w:rPr>
        <w:t>F-G</w:t>
      </w:r>
      <w:r w:rsidRPr="003E5E0B">
        <w:rPr>
          <w:lang w:val="en-US"/>
        </w:rPr>
        <w:t>) Heatmaps showing Pearson correlation coefficients between AHR and MHC-II expression at the mRNA level (</w:t>
      </w:r>
      <w:r w:rsidRPr="003E5E0B">
        <w:rPr>
          <w:b/>
          <w:bCs/>
          <w:lang w:val="en-US"/>
        </w:rPr>
        <w:t>F</w:t>
      </w:r>
      <w:r w:rsidRPr="003E5E0B">
        <w:rPr>
          <w:lang w:val="en-US"/>
        </w:rPr>
        <w:t>) and protein level (</w:t>
      </w:r>
      <w:r w:rsidRPr="003E5E0B">
        <w:rPr>
          <w:b/>
          <w:bCs/>
          <w:lang w:val="en-US"/>
        </w:rPr>
        <w:t>G</w:t>
      </w:r>
      <w:r w:rsidRPr="003E5E0B">
        <w:rPr>
          <w:lang w:val="en-US"/>
        </w:rPr>
        <w:t>) across cancer types with more than 30 cell lines in the CCLE.</w:t>
      </w:r>
    </w:p>
    <w:p w14:paraId="35767C9A" w14:textId="77777777" w:rsidR="003E5E0B" w:rsidRPr="003E5E0B" w:rsidRDefault="003E5E0B" w:rsidP="003E5E0B">
      <w:pPr>
        <w:rPr>
          <w:lang w:val="en-US"/>
        </w:rPr>
      </w:pPr>
      <w:r w:rsidRPr="003E5E0B">
        <w:rPr>
          <w:lang w:val="en-US"/>
        </w:rPr>
        <w:t>(</w:t>
      </w:r>
      <w:r w:rsidRPr="003E5E0B">
        <w:rPr>
          <w:b/>
          <w:bCs/>
          <w:lang w:val="en-US"/>
        </w:rPr>
        <w:t>H</w:t>
      </w:r>
      <w:r w:rsidRPr="003E5E0B">
        <w:rPr>
          <w:lang w:val="en-US"/>
        </w:rPr>
        <w:t xml:space="preserve">) Surface MHC-II (HLA-DR) expression in A375-Cas9 cells transduced with sgRNAs targeting </w:t>
      </w:r>
      <w:r w:rsidRPr="003E5E0B">
        <w:rPr>
          <w:i/>
          <w:iCs/>
          <w:lang w:val="en-US"/>
        </w:rPr>
        <w:t>AHR</w:t>
      </w:r>
      <w:r w:rsidRPr="003E5E0B">
        <w:rPr>
          <w:lang w:val="en-US"/>
        </w:rPr>
        <w:t xml:space="preserve">, </w:t>
      </w:r>
      <w:r w:rsidRPr="003E5E0B">
        <w:rPr>
          <w:i/>
          <w:iCs/>
          <w:lang w:val="en-US"/>
        </w:rPr>
        <w:t>ARNT</w:t>
      </w:r>
      <w:r w:rsidRPr="003E5E0B">
        <w:rPr>
          <w:lang w:val="en-US"/>
        </w:rPr>
        <w:t>, or control sgRNAs, with or without IFN-γ treatment (100 ng/mL, 72 h). Representative plots from three independent experiments.</w:t>
      </w:r>
    </w:p>
    <w:p w14:paraId="1D96F9B6" w14:textId="77777777" w:rsidR="003E5E0B" w:rsidRPr="003E5E0B" w:rsidRDefault="003E5E0B" w:rsidP="003E5E0B">
      <w:pPr>
        <w:rPr>
          <w:lang w:val="en-US"/>
        </w:rPr>
      </w:pPr>
      <w:r w:rsidRPr="003E5E0B">
        <w:rPr>
          <w:lang w:val="en-US"/>
        </w:rPr>
        <w:t>(</w:t>
      </w:r>
      <w:r w:rsidRPr="003E5E0B">
        <w:rPr>
          <w:b/>
          <w:bCs/>
          <w:lang w:val="en-US"/>
        </w:rPr>
        <w:t>I</w:t>
      </w:r>
      <w:r w:rsidRPr="003E5E0B">
        <w:rPr>
          <w:lang w:val="en-US"/>
        </w:rPr>
        <w:t>) Mean geometric mean fluorescence intensity (</w:t>
      </w:r>
      <w:proofErr w:type="spellStart"/>
      <w:r w:rsidRPr="003E5E0B">
        <w:rPr>
          <w:lang w:val="en-US"/>
        </w:rPr>
        <w:t>gMFI</w:t>
      </w:r>
      <w:proofErr w:type="spellEnd"/>
      <w:r w:rsidRPr="003E5E0B">
        <w:rPr>
          <w:lang w:val="en-US"/>
        </w:rPr>
        <w:t xml:space="preserve">) of surface MHC-II (HLA-DR) expression in </w:t>
      </w:r>
      <w:r w:rsidRPr="003E5E0B">
        <w:rPr>
          <w:i/>
          <w:iCs/>
          <w:lang w:val="en-US"/>
        </w:rPr>
        <w:t>AHR</w:t>
      </w:r>
      <w:r w:rsidRPr="003E5E0B">
        <w:rPr>
          <w:lang w:val="en-US"/>
        </w:rPr>
        <w:t xml:space="preserve">- and </w:t>
      </w:r>
      <w:r w:rsidRPr="003E5E0B">
        <w:rPr>
          <w:i/>
          <w:iCs/>
          <w:lang w:val="en-US"/>
        </w:rPr>
        <w:t>ARNT</w:t>
      </w:r>
      <w:r w:rsidRPr="003E5E0B">
        <w:rPr>
          <w:lang w:val="en-US"/>
        </w:rPr>
        <w:t>-deficient A375 cells, with or without IFN-γ treatment (100 ng/mL, 72 h), across six independent experiments (normalized to isotype controls).</w:t>
      </w:r>
    </w:p>
    <w:p w14:paraId="43F685D2" w14:textId="77777777" w:rsidR="003E5E0B" w:rsidRPr="003E5E0B" w:rsidRDefault="003E5E0B" w:rsidP="003E5E0B">
      <w:pPr>
        <w:rPr>
          <w:lang w:val="en-US"/>
        </w:rPr>
      </w:pPr>
      <w:r w:rsidRPr="003E5E0B">
        <w:rPr>
          <w:lang w:val="en-US"/>
        </w:rPr>
        <w:t>(</w:t>
      </w:r>
      <w:r w:rsidRPr="003E5E0B">
        <w:rPr>
          <w:b/>
          <w:bCs/>
          <w:lang w:val="en-US"/>
        </w:rPr>
        <w:t>J-M</w:t>
      </w:r>
      <w:r w:rsidRPr="003E5E0B">
        <w:rPr>
          <w:lang w:val="en-US"/>
        </w:rPr>
        <w:t xml:space="preserve">) Mean </w:t>
      </w:r>
      <w:proofErr w:type="spellStart"/>
      <w:r w:rsidRPr="003E5E0B">
        <w:rPr>
          <w:lang w:val="en-US"/>
        </w:rPr>
        <w:t>gMFI</w:t>
      </w:r>
      <w:proofErr w:type="spellEnd"/>
      <w:r w:rsidRPr="003E5E0B">
        <w:rPr>
          <w:lang w:val="en-US"/>
        </w:rPr>
        <w:t xml:space="preserve"> of surface MHC-II (HLA-DR/DP/DQ) (</w:t>
      </w:r>
      <w:r w:rsidRPr="003E5E0B">
        <w:rPr>
          <w:b/>
          <w:bCs/>
          <w:lang w:val="en-US"/>
        </w:rPr>
        <w:t>J, L</w:t>
      </w:r>
      <w:r w:rsidRPr="003E5E0B">
        <w:rPr>
          <w:lang w:val="en-US"/>
        </w:rPr>
        <w:t>) and MHC-I (HLA-A/B/C) (</w:t>
      </w:r>
      <w:r w:rsidRPr="003E5E0B">
        <w:rPr>
          <w:b/>
          <w:bCs/>
          <w:lang w:val="en-US"/>
        </w:rPr>
        <w:t>K, M</w:t>
      </w:r>
      <w:r w:rsidRPr="003E5E0B">
        <w:rPr>
          <w:lang w:val="en-US"/>
        </w:rPr>
        <w:t xml:space="preserve">) in </w:t>
      </w:r>
      <w:r w:rsidRPr="003E5E0B">
        <w:rPr>
          <w:i/>
          <w:iCs/>
          <w:lang w:val="en-US"/>
        </w:rPr>
        <w:t>AHR</w:t>
      </w:r>
      <w:r w:rsidRPr="003E5E0B">
        <w:rPr>
          <w:lang w:val="en-US"/>
        </w:rPr>
        <w:t xml:space="preserve">- and </w:t>
      </w:r>
      <w:r w:rsidRPr="003E5E0B">
        <w:rPr>
          <w:i/>
          <w:iCs/>
          <w:lang w:val="en-US"/>
        </w:rPr>
        <w:t>ARNT</w:t>
      </w:r>
      <w:r w:rsidRPr="003E5E0B">
        <w:rPr>
          <w:lang w:val="en-US"/>
        </w:rPr>
        <w:t>-deficient A375 (</w:t>
      </w:r>
      <w:r w:rsidRPr="003E5E0B">
        <w:rPr>
          <w:b/>
          <w:bCs/>
          <w:lang w:val="en-US"/>
        </w:rPr>
        <w:t>J-K</w:t>
      </w:r>
      <w:r w:rsidRPr="003E5E0B">
        <w:rPr>
          <w:lang w:val="en-US"/>
        </w:rPr>
        <w:t>) and WM115 (</w:t>
      </w:r>
      <w:r w:rsidRPr="003E5E0B">
        <w:rPr>
          <w:b/>
          <w:bCs/>
          <w:lang w:val="en-US"/>
        </w:rPr>
        <w:t>L-M</w:t>
      </w:r>
      <w:r w:rsidRPr="003E5E0B">
        <w:rPr>
          <w:lang w:val="en-US"/>
        </w:rPr>
        <w:t>) cells across six independent experiments (normalized to unstained controls).</w:t>
      </w:r>
    </w:p>
    <w:p w14:paraId="6378A6CC" w14:textId="77777777" w:rsidR="003E5E0B" w:rsidRPr="003E5E0B" w:rsidRDefault="003E5E0B" w:rsidP="003E5E0B">
      <w:pPr>
        <w:rPr>
          <w:lang w:val="en-US"/>
        </w:rPr>
      </w:pPr>
      <w:r w:rsidRPr="003E5E0B">
        <w:rPr>
          <w:lang w:val="en-US"/>
        </w:rPr>
        <w:t>Data are represented as mean ± SD (</w:t>
      </w:r>
      <w:r w:rsidRPr="003E5E0B">
        <w:rPr>
          <w:b/>
          <w:bCs/>
          <w:lang w:val="en-US"/>
        </w:rPr>
        <w:t>I-M</w:t>
      </w:r>
      <w:r w:rsidRPr="003E5E0B">
        <w:rPr>
          <w:lang w:val="en-US"/>
        </w:rPr>
        <w:t>). Statistical analysis by two-way ANOVA (</w:t>
      </w:r>
      <w:r w:rsidRPr="003E5E0B">
        <w:rPr>
          <w:b/>
          <w:bCs/>
          <w:lang w:val="en-US"/>
        </w:rPr>
        <w:t>I</w:t>
      </w:r>
      <w:r w:rsidRPr="003E5E0B">
        <w:rPr>
          <w:lang w:val="en-US"/>
        </w:rPr>
        <w:t>) and one-way ANOVA (</w:t>
      </w:r>
      <w:r w:rsidRPr="003E5E0B">
        <w:rPr>
          <w:b/>
          <w:bCs/>
          <w:lang w:val="en-US"/>
        </w:rPr>
        <w:t>J-M</w:t>
      </w:r>
      <w:r w:rsidRPr="003E5E0B">
        <w:rPr>
          <w:lang w:val="en-US"/>
        </w:rPr>
        <w:t>); *p &lt; 0.05, **p &lt; 0.01, ***p &lt; 0.001, ****p &lt; 0.0001.</w:t>
      </w:r>
      <w:r w:rsidRPr="003E5E0B">
        <w:rPr>
          <w:lang w:val="en-US"/>
        </w:rPr>
        <w:br w:type="page"/>
      </w:r>
    </w:p>
    <w:p w14:paraId="26A3D453" w14:textId="77777777" w:rsidR="003E5E0B" w:rsidRPr="003E5E0B" w:rsidRDefault="003E5E0B" w:rsidP="003E5E0B">
      <w:pPr>
        <w:rPr>
          <w:b/>
          <w:bCs/>
          <w:lang w:val="en-US"/>
        </w:rPr>
      </w:pPr>
      <w:r w:rsidRPr="003E5E0B">
        <w:rPr>
          <w:b/>
          <w:bCs/>
          <w:lang w:val="en-US"/>
        </w:rPr>
        <w:lastRenderedPageBreak/>
        <w:t>Supplementary Figure 2</w:t>
      </w:r>
    </w:p>
    <w:p w14:paraId="7615436C" w14:textId="4E9C1481" w:rsidR="003E5E0B" w:rsidRPr="003E5E0B" w:rsidRDefault="003E5E0B" w:rsidP="003E5E0B">
      <w:pPr>
        <w:rPr>
          <w:lang w:val="en-US"/>
        </w:rPr>
      </w:pPr>
      <w:r w:rsidRPr="003E5E0B">
        <w:rPr>
          <w:lang w:val="en-US"/>
        </w:rPr>
        <w:drawing>
          <wp:inline distT="0" distB="0" distL="0" distR="0" wp14:anchorId="16F761BE" wp14:editId="3952F05C">
            <wp:extent cx="5276850" cy="4619625"/>
            <wp:effectExtent l="0" t="0" r="0" b="9525"/>
            <wp:docPr id="1205033860" name="Picture 5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5033860" name="Picture 5" descr="A screenshot of a compute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461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C88D2F" w14:textId="77777777" w:rsidR="003E5E0B" w:rsidRPr="003E5E0B" w:rsidRDefault="003E5E0B" w:rsidP="003E5E0B">
      <w:pPr>
        <w:rPr>
          <w:b/>
          <w:bCs/>
          <w:lang w:val="en-US"/>
        </w:rPr>
      </w:pPr>
      <w:r w:rsidRPr="003E5E0B">
        <w:rPr>
          <w:b/>
          <w:bCs/>
          <w:lang w:val="en-US"/>
        </w:rPr>
        <w:t>Supplementary Figure 2. Overexpression of AHR or ARNT upregulates MHC-II expression in human melanoma cells.</w:t>
      </w:r>
    </w:p>
    <w:p w14:paraId="30DCFCCC" w14:textId="77777777" w:rsidR="003E5E0B" w:rsidRPr="003E5E0B" w:rsidRDefault="003E5E0B" w:rsidP="003E5E0B">
      <w:pPr>
        <w:rPr>
          <w:lang w:val="en-US"/>
        </w:rPr>
      </w:pPr>
      <w:r w:rsidRPr="003E5E0B">
        <w:rPr>
          <w:lang w:val="en-US"/>
        </w:rPr>
        <w:t>(</w:t>
      </w:r>
      <w:r w:rsidRPr="003E5E0B">
        <w:rPr>
          <w:b/>
          <w:bCs/>
          <w:lang w:val="en-US"/>
        </w:rPr>
        <w:t>A</w:t>
      </w:r>
      <w:r w:rsidRPr="003E5E0B">
        <w:rPr>
          <w:lang w:val="en-US"/>
        </w:rPr>
        <w:t xml:space="preserve">) Schematic showing the introduction of three nonconsecutive synonymous nucleotide substitutions into the sgRNA target site and adjacent PAM sequence of </w:t>
      </w:r>
      <w:r w:rsidRPr="003E5E0B">
        <w:rPr>
          <w:i/>
          <w:iCs/>
          <w:lang w:val="en-US"/>
        </w:rPr>
        <w:t>AHR</w:t>
      </w:r>
      <w:r w:rsidRPr="003E5E0B">
        <w:rPr>
          <w:lang w:val="en-US"/>
        </w:rPr>
        <w:t xml:space="preserve"> and </w:t>
      </w:r>
      <w:r w:rsidRPr="003E5E0B">
        <w:rPr>
          <w:i/>
          <w:iCs/>
          <w:lang w:val="en-US"/>
        </w:rPr>
        <w:t>ARNT</w:t>
      </w:r>
      <w:r w:rsidRPr="003E5E0B">
        <w:rPr>
          <w:lang w:val="en-US"/>
        </w:rPr>
        <w:t>, used to enable re-expression in knockout backgrounds without re-targeting.</w:t>
      </w:r>
    </w:p>
    <w:p w14:paraId="28DAE4D8" w14:textId="77777777" w:rsidR="003E5E0B" w:rsidRPr="003E5E0B" w:rsidRDefault="003E5E0B" w:rsidP="003E5E0B">
      <w:pPr>
        <w:rPr>
          <w:lang w:val="en-US"/>
        </w:rPr>
      </w:pPr>
      <w:r w:rsidRPr="003E5E0B">
        <w:rPr>
          <w:lang w:val="en-US"/>
        </w:rPr>
        <w:t>(</w:t>
      </w:r>
      <w:r w:rsidRPr="003E5E0B">
        <w:rPr>
          <w:b/>
          <w:bCs/>
          <w:lang w:val="en-US"/>
        </w:rPr>
        <w:t>B</w:t>
      </w:r>
      <w:r w:rsidRPr="003E5E0B">
        <w:rPr>
          <w:lang w:val="en-US"/>
        </w:rPr>
        <w:t xml:space="preserve">) Surface MHC-II (I-A/I-E) expression in murine tumor cell lines (B16F10, LLC, and MC38) following overexpression of Ahr, Arnt, or </w:t>
      </w:r>
      <w:proofErr w:type="spellStart"/>
      <w:r w:rsidRPr="003E5E0B">
        <w:rPr>
          <w:lang w:val="en-US"/>
        </w:rPr>
        <w:t>Ciita</w:t>
      </w:r>
      <w:proofErr w:type="spellEnd"/>
      <w:r w:rsidRPr="003E5E0B">
        <w:rPr>
          <w:lang w:val="en-US"/>
        </w:rPr>
        <w:t>. Empty vector (</w:t>
      </w:r>
      <w:proofErr w:type="spellStart"/>
      <w:r w:rsidRPr="003E5E0B">
        <w:rPr>
          <w:lang w:val="en-US"/>
        </w:rPr>
        <w:t>vec</w:t>
      </w:r>
      <w:proofErr w:type="spellEnd"/>
      <w:r w:rsidRPr="003E5E0B">
        <w:rPr>
          <w:lang w:val="en-US"/>
        </w:rPr>
        <w:t>) used as control. Representative plots from three independent experiments.</w:t>
      </w:r>
    </w:p>
    <w:p w14:paraId="7089F7ED" w14:textId="77777777" w:rsidR="003E5E0B" w:rsidRPr="003E5E0B" w:rsidRDefault="003E5E0B" w:rsidP="003E5E0B">
      <w:pPr>
        <w:rPr>
          <w:lang w:val="en-US"/>
        </w:rPr>
      </w:pPr>
      <w:r w:rsidRPr="003E5E0B">
        <w:rPr>
          <w:lang w:val="en-US"/>
        </w:rPr>
        <w:t>(</w:t>
      </w:r>
      <w:r w:rsidRPr="003E5E0B">
        <w:rPr>
          <w:b/>
          <w:bCs/>
          <w:lang w:val="en-US"/>
        </w:rPr>
        <w:t>C</w:t>
      </w:r>
      <w:r w:rsidRPr="003E5E0B">
        <w:rPr>
          <w:lang w:val="en-US"/>
        </w:rPr>
        <w:t xml:space="preserve">) Surface MHC-II (I-A/I-E) expression in murine tumor cell lines (B16F10, LLC, and MC38) treated with 1 </w:t>
      </w:r>
      <w:proofErr w:type="spellStart"/>
      <w:r w:rsidRPr="003E5E0B">
        <w:rPr>
          <w:lang w:val="en-US"/>
        </w:rPr>
        <w:t>μM</w:t>
      </w:r>
      <w:proofErr w:type="spellEnd"/>
      <w:r w:rsidRPr="003E5E0B">
        <w:rPr>
          <w:lang w:val="en-US"/>
        </w:rPr>
        <w:t xml:space="preserve"> FICZ or 0.1% DMSO (vehicle control) for 72 hours. Representative plots from three independent experiments.</w:t>
      </w:r>
      <w:r w:rsidRPr="003E5E0B">
        <w:rPr>
          <w:lang w:val="en-US"/>
        </w:rPr>
        <w:br w:type="page"/>
      </w:r>
    </w:p>
    <w:p w14:paraId="77F9278B" w14:textId="77777777" w:rsidR="003E5E0B" w:rsidRPr="003E5E0B" w:rsidRDefault="003E5E0B" w:rsidP="003E5E0B">
      <w:pPr>
        <w:rPr>
          <w:b/>
          <w:bCs/>
          <w:lang w:val="en-US"/>
        </w:rPr>
      </w:pPr>
      <w:r w:rsidRPr="003E5E0B">
        <w:rPr>
          <w:b/>
          <w:bCs/>
          <w:lang w:val="en-US"/>
        </w:rPr>
        <w:lastRenderedPageBreak/>
        <w:t>Supplementary Figure 3</w:t>
      </w:r>
    </w:p>
    <w:p w14:paraId="2C6F07CB" w14:textId="013D7C8B" w:rsidR="003E5E0B" w:rsidRPr="003E5E0B" w:rsidRDefault="003E5E0B" w:rsidP="003E5E0B">
      <w:pPr>
        <w:rPr>
          <w:lang w:val="en-US"/>
        </w:rPr>
      </w:pPr>
      <w:r w:rsidRPr="003E5E0B">
        <w:rPr>
          <w:lang w:val="en-US"/>
        </w:rPr>
        <w:drawing>
          <wp:inline distT="0" distB="0" distL="0" distR="0" wp14:anchorId="2B6D7EEE" wp14:editId="28A1B610">
            <wp:extent cx="5276850" cy="5543550"/>
            <wp:effectExtent l="0" t="0" r="0" b="0"/>
            <wp:docPr id="799758818" name="Picture 4" descr="A group of graphs showing different types of numb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9758818" name="Picture 4" descr="A group of graphs showing different types of number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554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8AB9CF" w14:textId="77777777" w:rsidR="003E5E0B" w:rsidRPr="003E5E0B" w:rsidRDefault="003E5E0B" w:rsidP="003E5E0B">
      <w:pPr>
        <w:rPr>
          <w:b/>
          <w:bCs/>
          <w:lang w:val="en-US"/>
        </w:rPr>
      </w:pPr>
      <w:r w:rsidRPr="003E5E0B">
        <w:rPr>
          <w:b/>
          <w:bCs/>
          <w:lang w:val="en-US"/>
        </w:rPr>
        <w:t>Supplementary Figure 3. AHR</w:t>
      </w:r>
      <w:r w:rsidRPr="003E5E0B">
        <w:rPr>
          <w:rFonts w:ascii="Arial" w:hAnsi="Arial" w:cs="Arial"/>
          <w:b/>
          <w:bCs/>
          <w:lang w:val="en-US"/>
        </w:rPr>
        <w:t>‒</w:t>
      </w:r>
      <w:r w:rsidRPr="003E5E0B">
        <w:rPr>
          <w:b/>
          <w:bCs/>
          <w:lang w:val="en-US"/>
        </w:rPr>
        <w:t xml:space="preserve">ARNT activation induces transcription of type II, III and IV </w:t>
      </w:r>
      <w:r w:rsidRPr="003E5E0B">
        <w:rPr>
          <w:b/>
          <w:bCs/>
          <w:i/>
          <w:iCs/>
          <w:lang w:val="en-US"/>
        </w:rPr>
        <w:t>CIITA</w:t>
      </w:r>
      <w:r w:rsidRPr="003E5E0B">
        <w:rPr>
          <w:b/>
          <w:bCs/>
          <w:lang w:val="en-US"/>
        </w:rPr>
        <w:t xml:space="preserve"> mRNA isoforms.</w:t>
      </w:r>
    </w:p>
    <w:p w14:paraId="7707037A" w14:textId="77777777" w:rsidR="003E5E0B" w:rsidRPr="003E5E0B" w:rsidRDefault="003E5E0B" w:rsidP="003E5E0B">
      <w:pPr>
        <w:rPr>
          <w:lang w:val="en-US"/>
        </w:rPr>
      </w:pPr>
      <w:r w:rsidRPr="003E5E0B">
        <w:rPr>
          <w:lang w:val="en-US"/>
        </w:rPr>
        <w:t>(</w:t>
      </w:r>
      <w:r w:rsidRPr="003E5E0B">
        <w:rPr>
          <w:b/>
          <w:bCs/>
          <w:lang w:val="en-US"/>
        </w:rPr>
        <w:t>A-C</w:t>
      </w:r>
      <w:r w:rsidRPr="003E5E0B">
        <w:rPr>
          <w:lang w:val="en-US"/>
        </w:rPr>
        <w:t xml:space="preserve">) RT-qPCR analysis of isoform-specific </w:t>
      </w:r>
      <w:r w:rsidRPr="003E5E0B">
        <w:rPr>
          <w:i/>
          <w:iCs/>
          <w:lang w:val="en-US"/>
        </w:rPr>
        <w:t>CIITA</w:t>
      </w:r>
      <w:r w:rsidRPr="003E5E0B">
        <w:rPr>
          <w:lang w:val="en-US"/>
        </w:rPr>
        <w:t xml:space="preserve"> transcripts and </w:t>
      </w:r>
      <w:r w:rsidRPr="003E5E0B">
        <w:rPr>
          <w:i/>
          <w:iCs/>
          <w:lang w:val="en-US"/>
        </w:rPr>
        <w:t>CYP1A1</w:t>
      </w:r>
      <w:r w:rsidRPr="003E5E0B">
        <w:rPr>
          <w:lang w:val="en-US"/>
        </w:rPr>
        <w:t xml:space="preserve"> in A375 (</w:t>
      </w:r>
      <w:r w:rsidRPr="003E5E0B">
        <w:rPr>
          <w:b/>
          <w:bCs/>
          <w:lang w:val="en-US"/>
        </w:rPr>
        <w:t>A</w:t>
      </w:r>
      <w:r w:rsidRPr="003E5E0B">
        <w:rPr>
          <w:lang w:val="en-US"/>
        </w:rPr>
        <w:t>), WM115 (</w:t>
      </w:r>
      <w:r w:rsidRPr="003E5E0B">
        <w:rPr>
          <w:b/>
          <w:bCs/>
          <w:lang w:val="en-US"/>
        </w:rPr>
        <w:t>B</w:t>
      </w:r>
      <w:r w:rsidRPr="003E5E0B">
        <w:rPr>
          <w:lang w:val="en-US"/>
        </w:rPr>
        <w:t>), and SKMEL2 (</w:t>
      </w:r>
      <w:r w:rsidRPr="003E5E0B">
        <w:rPr>
          <w:b/>
          <w:bCs/>
          <w:lang w:val="en-US"/>
        </w:rPr>
        <w:t>C</w:t>
      </w:r>
      <w:r w:rsidRPr="003E5E0B">
        <w:rPr>
          <w:lang w:val="en-US"/>
        </w:rPr>
        <w:t xml:space="preserve">) cells following 72-hour treatment with, 1 </w:t>
      </w:r>
      <w:proofErr w:type="spellStart"/>
      <w:r w:rsidRPr="003E5E0B">
        <w:rPr>
          <w:lang w:val="en-US"/>
        </w:rPr>
        <w:t>μM</w:t>
      </w:r>
      <w:proofErr w:type="spellEnd"/>
      <w:r w:rsidRPr="003E5E0B">
        <w:rPr>
          <w:lang w:val="en-US"/>
        </w:rPr>
        <w:t xml:space="preserve"> FICZ (AHR agonist), 2.5 </w:t>
      </w:r>
      <w:proofErr w:type="spellStart"/>
      <w:r w:rsidRPr="003E5E0B">
        <w:rPr>
          <w:lang w:val="en-US"/>
        </w:rPr>
        <w:t>μM</w:t>
      </w:r>
      <w:proofErr w:type="spellEnd"/>
      <w:r w:rsidRPr="003E5E0B">
        <w:rPr>
          <w:lang w:val="en-US"/>
        </w:rPr>
        <w:t xml:space="preserve"> GNF351 (AHR antagonist), 100 ng/mL IFN-γ, or 0.1% DMSO as vehicle control. Gene expression levels were normalized to </w:t>
      </w:r>
      <w:r w:rsidRPr="003E5E0B">
        <w:rPr>
          <w:i/>
          <w:iCs/>
          <w:lang w:val="en-US"/>
        </w:rPr>
        <w:t>GAPDH</w:t>
      </w:r>
      <w:r w:rsidRPr="003E5E0B">
        <w:rPr>
          <w:lang w:val="en-US"/>
        </w:rPr>
        <w:t xml:space="preserve"> and are presented as log2 fold change (LFC) relative to the DMSO group.</w:t>
      </w:r>
    </w:p>
    <w:p w14:paraId="631D51E2" w14:textId="77777777" w:rsidR="003E5E0B" w:rsidRPr="003E5E0B" w:rsidRDefault="003E5E0B" w:rsidP="003E5E0B">
      <w:pPr>
        <w:rPr>
          <w:lang w:val="en-US"/>
        </w:rPr>
      </w:pPr>
      <w:r w:rsidRPr="003E5E0B">
        <w:rPr>
          <w:lang w:val="en-US"/>
        </w:rPr>
        <w:t>Data are represented as mean ± SD (</w:t>
      </w:r>
      <w:r w:rsidRPr="003E5E0B">
        <w:rPr>
          <w:b/>
          <w:bCs/>
          <w:lang w:val="en-US"/>
        </w:rPr>
        <w:t>A-C</w:t>
      </w:r>
      <w:r w:rsidRPr="003E5E0B">
        <w:rPr>
          <w:lang w:val="en-US"/>
        </w:rPr>
        <w:t>). Each dot represents one technical replicate from triplicate wells (</w:t>
      </w:r>
      <w:r w:rsidRPr="003E5E0B">
        <w:rPr>
          <w:b/>
          <w:bCs/>
          <w:lang w:val="en-US"/>
        </w:rPr>
        <w:t>A-C</w:t>
      </w:r>
      <w:r w:rsidRPr="003E5E0B">
        <w:rPr>
          <w:lang w:val="en-US"/>
        </w:rPr>
        <w:t>). Statistical analysis by one-way ANOVA (</w:t>
      </w:r>
      <w:r w:rsidRPr="003E5E0B">
        <w:rPr>
          <w:b/>
          <w:bCs/>
          <w:lang w:val="en-US"/>
        </w:rPr>
        <w:t>A-C</w:t>
      </w:r>
      <w:r w:rsidRPr="003E5E0B">
        <w:rPr>
          <w:lang w:val="en-US"/>
        </w:rPr>
        <w:t>); *p &lt; 0.05, **p &lt; 0.01, ***p &lt; 0.001, ****p &lt; 0.0001.</w:t>
      </w:r>
      <w:r w:rsidRPr="003E5E0B">
        <w:rPr>
          <w:lang w:val="en-US"/>
        </w:rPr>
        <w:br w:type="page"/>
      </w:r>
    </w:p>
    <w:p w14:paraId="76DB40F6" w14:textId="77777777" w:rsidR="003E5E0B" w:rsidRPr="003E5E0B" w:rsidRDefault="003E5E0B" w:rsidP="003E5E0B">
      <w:pPr>
        <w:rPr>
          <w:b/>
          <w:bCs/>
          <w:lang w:val="en-US"/>
        </w:rPr>
      </w:pPr>
      <w:r w:rsidRPr="003E5E0B">
        <w:rPr>
          <w:b/>
          <w:bCs/>
          <w:lang w:val="en-US"/>
        </w:rPr>
        <w:lastRenderedPageBreak/>
        <w:t>SUPPLEMENTARY TABLES</w:t>
      </w:r>
    </w:p>
    <w:p w14:paraId="545812DB" w14:textId="77777777" w:rsidR="003E5E0B" w:rsidRPr="003E5E0B" w:rsidRDefault="003E5E0B" w:rsidP="003E5E0B">
      <w:pPr>
        <w:rPr>
          <w:b/>
          <w:bCs/>
          <w:lang w:val="en-US"/>
        </w:rPr>
      </w:pPr>
      <w:r w:rsidRPr="003E5E0B">
        <w:rPr>
          <w:b/>
          <w:bCs/>
          <w:lang w:val="en-US"/>
        </w:rPr>
        <w:t>Table S1. Summary of sgRNA sequences used in this study.</w:t>
      </w:r>
    </w:p>
    <w:tbl>
      <w:tblPr>
        <w:tblW w:w="6510" w:type="dxa"/>
        <w:tblLayout w:type="fixed"/>
        <w:tblLook w:val="04A0" w:firstRow="1" w:lastRow="0" w:firstColumn="1" w:lastColumn="0" w:noHBand="0" w:noVBand="1"/>
      </w:tblPr>
      <w:tblGrid>
        <w:gridCol w:w="1836"/>
        <w:gridCol w:w="4674"/>
      </w:tblGrid>
      <w:tr w:rsidR="003E5E0B" w:rsidRPr="003E5E0B" w14:paraId="32B51275" w14:textId="77777777" w:rsidTr="003E5E0B">
        <w:trPr>
          <w:trHeight w:val="506"/>
        </w:trPr>
        <w:tc>
          <w:tcPr>
            <w:tcW w:w="1838" w:type="dxa"/>
            <w:tcBorders>
              <w:top w:val="nil"/>
              <w:left w:val="nil"/>
            </w:tcBorders>
            <w:hideMark/>
          </w:tcPr>
          <w:p w14:paraId="51D82E34" w14:textId="77777777" w:rsidR="003E5E0B" w:rsidRPr="003E5E0B" w:rsidRDefault="003E5E0B" w:rsidP="003E5E0B">
            <w:pPr>
              <w:rPr>
                <w:i/>
                <w:iCs/>
                <w:lang w:val="en-US"/>
              </w:rPr>
            </w:pPr>
            <w:r w:rsidRPr="003E5E0B">
              <w:rPr>
                <w:lang w:val="en-US"/>
              </w:rPr>
              <w:t>sgRNA name</w:t>
            </w:r>
          </w:p>
        </w:tc>
        <w:tc>
          <w:tcPr>
            <w:tcW w:w="4678" w:type="dxa"/>
            <w:tcBorders>
              <w:top w:val="nil"/>
              <w:left w:val="nil"/>
              <w:right w:val="nil"/>
            </w:tcBorders>
            <w:hideMark/>
          </w:tcPr>
          <w:p w14:paraId="6D716824" w14:textId="77777777" w:rsidR="003E5E0B" w:rsidRPr="003E5E0B" w:rsidRDefault="003E5E0B" w:rsidP="003E5E0B">
            <w:pPr>
              <w:rPr>
                <w:i/>
                <w:iCs/>
                <w:lang w:val="en-US"/>
              </w:rPr>
            </w:pPr>
            <w:r w:rsidRPr="003E5E0B">
              <w:rPr>
                <w:lang w:val="en-US"/>
              </w:rPr>
              <w:t>Sequence (5’-3’)</w:t>
            </w:r>
          </w:p>
        </w:tc>
      </w:tr>
      <w:tr w:rsidR="003E5E0B" w:rsidRPr="003E5E0B" w14:paraId="62FD9F4E" w14:textId="77777777" w:rsidTr="003E5E0B">
        <w:trPr>
          <w:trHeight w:val="506"/>
        </w:trPr>
        <w:tc>
          <w:tcPr>
            <w:tcW w:w="1838" w:type="dxa"/>
            <w:tcBorders>
              <w:top w:val="nil"/>
              <w:left w:val="nil"/>
              <w:bottom w:val="nil"/>
            </w:tcBorders>
            <w:hideMark/>
          </w:tcPr>
          <w:p w14:paraId="6791E333" w14:textId="77777777" w:rsidR="003E5E0B" w:rsidRPr="003E5E0B" w:rsidRDefault="003E5E0B" w:rsidP="003E5E0B">
            <w:pPr>
              <w:rPr>
                <w:i/>
                <w:iCs/>
                <w:lang w:val="en-US"/>
              </w:rPr>
            </w:pPr>
            <w:r w:rsidRPr="003E5E0B">
              <w:rPr>
                <w:lang w:val="en-US"/>
              </w:rPr>
              <w:t>sgNTC-1</w:t>
            </w:r>
          </w:p>
        </w:tc>
        <w:tc>
          <w:tcPr>
            <w:tcW w:w="4678" w:type="dxa"/>
            <w:shd w:val="clear" w:color="auto" w:fill="F2F2F2" w:themeFill="background1" w:themeFillShade="F2"/>
            <w:hideMark/>
          </w:tcPr>
          <w:p w14:paraId="62C60D6B" w14:textId="77777777" w:rsidR="003E5E0B" w:rsidRPr="003E5E0B" w:rsidRDefault="003E5E0B" w:rsidP="003E5E0B">
            <w:pPr>
              <w:rPr>
                <w:lang w:val="en-US"/>
              </w:rPr>
            </w:pPr>
            <w:r w:rsidRPr="003E5E0B">
              <w:rPr>
                <w:lang w:val="en-US"/>
              </w:rPr>
              <w:t>AACGCTGTCGTACGTGTATA</w:t>
            </w:r>
          </w:p>
        </w:tc>
      </w:tr>
      <w:tr w:rsidR="003E5E0B" w:rsidRPr="003E5E0B" w14:paraId="64187FE3" w14:textId="77777777" w:rsidTr="003E5E0B">
        <w:trPr>
          <w:trHeight w:val="506"/>
        </w:trPr>
        <w:tc>
          <w:tcPr>
            <w:tcW w:w="1838" w:type="dxa"/>
            <w:tcBorders>
              <w:top w:val="nil"/>
              <w:left w:val="nil"/>
              <w:bottom w:val="nil"/>
            </w:tcBorders>
            <w:hideMark/>
          </w:tcPr>
          <w:p w14:paraId="36D56095" w14:textId="77777777" w:rsidR="003E5E0B" w:rsidRPr="003E5E0B" w:rsidRDefault="003E5E0B" w:rsidP="003E5E0B">
            <w:pPr>
              <w:rPr>
                <w:i/>
                <w:iCs/>
                <w:lang w:val="en-US"/>
              </w:rPr>
            </w:pPr>
            <w:r w:rsidRPr="003E5E0B">
              <w:rPr>
                <w:lang w:val="en-US"/>
              </w:rPr>
              <w:t>sgNTC-2</w:t>
            </w:r>
          </w:p>
        </w:tc>
        <w:tc>
          <w:tcPr>
            <w:tcW w:w="4678" w:type="dxa"/>
            <w:hideMark/>
          </w:tcPr>
          <w:p w14:paraId="32E70786" w14:textId="77777777" w:rsidR="003E5E0B" w:rsidRPr="003E5E0B" w:rsidRDefault="003E5E0B" w:rsidP="003E5E0B">
            <w:pPr>
              <w:rPr>
                <w:lang w:val="en-US"/>
              </w:rPr>
            </w:pPr>
            <w:r w:rsidRPr="003E5E0B">
              <w:rPr>
                <w:lang w:val="en-US"/>
              </w:rPr>
              <w:t>AAACCTAGCCCCAATACTTA</w:t>
            </w:r>
          </w:p>
        </w:tc>
      </w:tr>
      <w:tr w:rsidR="003E5E0B" w:rsidRPr="003E5E0B" w14:paraId="668D246E" w14:textId="77777777" w:rsidTr="003E5E0B">
        <w:trPr>
          <w:trHeight w:val="506"/>
        </w:trPr>
        <w:tc>
          <w:tcPr>
            <w:tcW w:w="1838" w:type="dxa"/>
            <w:tcBorders>
              <w:top w:val="nil"/>
              <w:left w:val="nil"/>
              <w:bottom w:val="nil"/>
            </w:tcBorders>
            <w:hideMark/>
          </w:tcPr>
          <w:p w14:paraId="1AEF0A00" w14:textId="77777777" w:rsidR="003E5E0B" w:rsidRPr="003E5E0B" w:rsidRDefault="003E5E0B" w:rsidP="003E5E0B">
            <w:pPr>
              <w:rPr>
                <w:i/>
                <w:iCs/>
                <w:lang w:val="en-US"/>
              </w:rPr>
            </w:pPr>
            <w:r w:rsidRPr="003E5E0B">
              <w:rPr>
                <w:lang w:val="en-US"/>
              </w:rPr>
              <w:t>sg</w:t>
            </w:r>
            <w:r w:rsidRPr="003E5E0B">
              <w:rPr>
                <w:i/>
                <w:iCs/>
                <w:lang w:val="en-US"/>
              </w:rPr>
              <w:t>AHR</w:t>
            </w:r>
            <w:r w:rsidRPr="003E5E0B">
              <w:rPr>
                <w:lang w:val="en-US"/>
              </w:rPr>
              <w:t>-1</w:t>
            </w:r>
          </w:p>
        </w:tc>
        <w:tc>
          <w:tcPr>
            <w:tcW w:w="4678" w:type="dxa"/>
            <w:shd w:val="clear" w:color="auto" w:fill="F2F2F2" w:themeFill="background1" w:themeFillShade="F2"/>
            <w:hideMark/>
          </w:tcPr>
          <w:p w14:paraId="5F5F5001" w14:textId="77777777" w:rsidR="003E5E0B" w:rsidRPr="003E5E0B" w:rsidRDefault="003E5E0B" w:rsidP="003E5E0B">
            <w:pPr>
              <w:rPr>
                <w:lang w:val="en-US"/>
              </w:rPr>
            </w:pPr>
            <w:r w:rsidRPr="003E5E0B">
              <w:rPr>
                <w:lang w:val="en-US"/>
              </w:rPr>
              <w:t>TACCACATCCACTCTAAGCA</w:t>
            </w:r>
          </w:p>
        </w:tc>
      </w:tr>
      <w:tr w:rsidR="003E5E0B" w:rsidRPr="003E5E0B" w14:paraId="50EFC35D" w14:textId="77777777" w:rsidTr="003E5E0B">
        <w:trPr>
          <w:trHeight w:val="506"/>
        </w:trPr>
        <w:tc>
          <w:tcPr>
            <w:tcW w:w="1838" w:type="dxa"/>
            <w:tcBorders>
              <w:top w:val="nil"/>
              <w:left w:val="nil"/>
              <w:bottom w:val="nil"/>
            </w:tcBorders>
            <w:hideMark/>
          </w:tcPr>
          <w:p w14:paraId="4FBB89A5" w14:textId="77777777" w:rsidR="003E5E0B" w:rsidRPr="003E5E0B" w:rsidRDefault="003E5E0B" w:rsidP="003E5E0B">
            <w:pPr>
              <w:rPr>
                <w:i/>
                <w:iCs/>
                <w:lang w:val="en-US"/>
              </w:rPr>
            </w:pPr>
            <w:r w:rsidRPr="003E5E0B">
              <w:rPr>
                <w:lang w:val="en-US"/>
              </w:rPr>
              <w:t>sg</w:t>
            </w:r>
            <w:r w:rsidRPr="003E5E0B">
              <w:rPr>
                <w:i/>
                <w:iCs/>
                <w:lang w:val="en-US"/>
              </w:rPr>
              <w:t>AHR</w:t>
            </w:r>
            <w:r w:rsidRPr="003E5E0B">
              <w:rPr>
                <w:lang w:val="en-US"/>
              </w:rPr>
              <w:t>-2</w:t>
            </w:r>
          </w:p>
        </w:tc>
        <w:tc>
          <w:tcPr>
            <w:tcW w:w="4678" w:type="dxa"/>
            <w:hideMark/>
          </w:tcPr>
          <w:p w14:paraId="689C582E" w14:textId="77777777" w:rsidR="003E5E0B" w:rsidRPr="003E5E0B" w:rsidRDefault="003E5E0B" w:rsidP="003E5E0B">
            <w:pPr>
              <w:rPr>
                <w:lang w:val="en-US"/>
              </w:rPr>
            </w:pPr>
            <w:r w:rsidRPr="003E5E0B">
              <w:rPr>
                <w:lang w:val="en-US"/>
              </w:rPr>
              <w:t>TTATAACAGACTACTGTCTG</w:t>
            </w:r>
          </w:p>
        </w:tc>
      </w:tr>
      <w:tr w:rsidR="003E5E0B" w:rsidRPr="003E5E0B" w14:paraId="77AA8706" w14:textId="77777777" w:rsidTr="003E5E0B">
        <w:trPr>
          <w:trHeight w:val="506"/>
        </w:trPr>
        <w:tc>
          <w:tcPr>
            <w:tcW w:w="1838" w:type="dxa"/>
            <w:tcBorders>
              <w:top w:val="nil"/>
              <w:left w:val="nil"/>
              <w:bottom w:val="nil"/>
            </w:tcBorders>
            <w:hideMark/>
          </w:tcPr>
          <w:p w14:paraId="19269AC8" w14:textId="77777777" w:rsidR="003E5E0B" w:rsidRPr="003E5E0B" w:rsidRDefault="003E5E0B" w:rsidP="003E5E0B">
            <w:pPr>
              <w:rPr>
                <w:i/>
                <w:iCs/>
                <w:lang w:val="en-US"/>
              </w:rPr>
            </w:pPr>
            <w:r w:rsidRPr="003E5E0B">
              <w:rPr>
                <w:lang w:val="en-US"/>
              </w:rPr>
              <w:t>sg</w:t>
            </w:r>
            <w:r w:rsidRPr="003E5E0B">
              <w:rPr>
                <w:i/>
                <w:iCs/>
                <w:lang w:val="en-US"/>
              </w:rPr>
              <w:t>ARNT</w:t>
            </w:r>
            <w:r w:rsidRPr="003E5E0B">
              <w:rPr>
                <w:lang w:val="en-US"/>
              </w:rPr>
              <w:t>-1</w:t>
            </w:r>
          </w:p>
        </w:tc>
        <w:tc>
          <w:tcPr>
            <w:tcW w:w="4678" w:type="dxa"/>
            <w:shd w:val="clear" w:color="auto" w:fill="F2F2F2" w:themeFill="background1" w:themeFillShade="F2"/>
            <w:hideMark/>
          </w:tcPr>
          <w:p w14:paraId="790CB5E2" w14:textId="77777777" w:rsidR="003E5E0B" w:rsidRPr="003E5E0B" w:rsidRDefault="003E5E0B" w:rsidP="003E5E0B">
            <w:pPr>
              <w:rPr>
                <w:lang w:val="en-US"/>
              </w:rPr>
            </w:pPr>
            <w:r w:rsidRPr="003E5E0B">
              <w:rPr>
                <w:lang w:val="en-US"/>
              </w:rPr>
              <w:t>CAAGCTAACCATCTTACGCA</w:t>
            </w:r>
          </w:p>
        </w:tc>
      </w:tr>
      <w:tr w:rsidR="003E5E0B" w:rsidRPr="003E5E0B" w14:paraId="2FF51031" w14:textId="77777777" w:rsidTr="003E5E0B">
        <w:trPr>
          <w:trHeight w:val="506"/>
        </w:trPr>
        <w:tc>
          <w:tcPr>
            <w:tcW w:w="1838" w:type="dxa"/>
            <w:tcBorders>
              <w:top w:val="nil"/>
              <w:left w:val="nil"/>
              <w:bottom w:val="nil"/>
            </w:tcBorders>
            <w:hideMark/>
          </w:tcPr>
          <w:p w14:paraId="640AEEFB" w14:textId="77777777" w:rsidR="003E5E0B" w:rsidRPr="003E5E0B" w:rsidRDefault="003E5E0B" w:rsidP="003E5E0B">
            <w:pPr>
              <w:rPr>
                <w:i/>
                <w:iCs/>
                <w:lang w:val="en-US"/>
              </w:rPr>
            </w:pPr>
            <w:r w:rsidRPr="003E5E0B">
              <w:rPr>
                <w:lang w:val="en-US"/>
              </w:rPr>
              <w:t>sg</w:t>
            </w:r>
            <w:r w:rsidRPr="003E5E0B">
              <w:rPr>
                <w:i/>
                <w:iCs/>
                <w:lang w:val="en-US"/>
              </w:rPr>
              <w:t>ARNT</w:t>
            </w:r>
            <w:r w:rsidRPr="003E5E0B">
              <w:rPr>
                <w:lang w:val="en-US"/>
              </w:rPr>
              <w:t>-2</w:t>
            </w:r>
          </w:p>
        </w:tc>
        <w:tc>
          <w:tcPr>
            <w:tcW w:w="4678" w:type="dxa"/>
            <w:hideMark/>
          </w:tcPr>
          <w:p w14:paraId="127F127D" w14:textId="77777777" w:rsidR="003E5E0B" w:rsidRPr="003E5E0B" w:rsidRDefault="003E5E0B" w:rsidP="003E5E0B">
            <w:pPr>
              <w:rPr>
                <w:lang w:val="en-US"/>
              </w:rPr>
            </w:pPr>
            <w:r w:rsidRPr="003E5E0B">
              <w:rPr>
                <w:lang w:val="en-US"/>
              </w:rPr>
              <w:t>TGGGGAACCTCACTTCGTGG</w:t>
            </w:r>
          </w:p>
        </w:tc>
      </w:tr>
    </w:tbl>
    <w:p w14:paraId="677AE5EA" w14:textId="77777777" w:rsidR="003E5E0B" w:rsidRPr="003E5E0B" w:rsidRDefault="003E5E0B" w:rsidP="003E5E0B">
      <w:pPr>
        <w:rPr>
          <w:lang w:val="en-US"/>
        </w:rPr>
      </w:pPr>
    </w:p>
    <w:p w14:paraId="70D33219" w14:textId="77777777" w:rsidR="003E5E0B" w:rsidRPr="003E5E0B" w:rsidRDefault="003E5E0B" w:rsidP="003E5E0B">
      <w:pPr>
        <w:rPr>
          <w:b/>
          <w:bCs/>
          <w:lang w:val="en-US"/>
        </w:rPr>
      </w:pPr>
      <w:r w:rsidRPr="003E5E0B">
        <w:rPr>
          <w:b/>
          <w:bCs/>
          <w:lang w:val="en-US"/>
        </w:rPr>
        <w:t xml:space="preserve">Table S2. Summary of </w:t>
      </w:r>
      <w:proofErr w:type="spellStart"/>
      <w:r w:rsidRPr="003E5E0B">
        <w:rPr>
          <w:b/>
          <w:bCs/>
          <w:lang w:val="en-US"/>
        </w:rPr>
        <w:t>ChIP</w:t>
      </w:r>
      <w:proofErr w:type="spellEnd"/>
      <w:r w:rsidRPr="003E5E0B">
        <w:rPr>
          <w:b/>
          <w:bCs/>
          <w:lang w:val="en-US"/>
        </w:rPr>
        <w:t>-qPCR primer sequences used in this study.</w:t>
      </w:r>
    </w:p>
    <w:tbl>
      <w:tblPr>
        <w:tblW w:w="6510" w:type="dxa"/>
        <w:tblLayout w:type="fixed"/>
        <w:tblLook w:val="04A0" w:firstRow="1" w:lastRow="0" w:firstColumn="1" w:lastColumn="0" w:noHBand="0" w:noVBand="1"/>
      </w:tblPr>
      <w:tblGrid>
        <w:gridCol w:w="2374"/>
        <w:gridCol w:w="4136"/>
      </w:tblGrid>
      <w:tr w:rsidR="003E5E0B" w:rsidRPr="003E5E0B" w14:paraId="6B753B01" w14:textId="77777777" w:rsidTr="003E5E0B">
        <w:trPr>
          <w:trHeight w:val="506"/>
        </w:trPr>
        <w:tc>
          <w:tcPr>
            <w:tcW w:w="2376" w:type="dxa"/>
            <w:tcBorders>
              <w:top w:val="nil"/>
              <w:left w:val="nil"/>
            </w:tcBorders>
            <w:hideMark/>
          </w:tcPr>
          <w:p w14:paraId="7135DF17" w14:textId="77777777" w:rsidR="003E5E0B" w:rsidRPr="003E5E0B" w:rsidRDefault="003E5E0B" w:rsidP="003E5E0B">
            <w:pPr>
              <w:rPr>
                <w:i/>
                <w:iCs/>
                <w:lang w:val="en-US"/>
              </w:rPr>
            </w:pPr>
            <w:r w:rsidRPr="003E5E0B">
              <w:rPr>
                <w:lang w:val="en-US"/>
              </w:rPr>
              <w:t>Primer name</w:t>
            </w:r>
          </w:p>
        </w:tc>
        <w:tc>
          <w:tcPr>
            <w:tcW w:w="4140" w:type="dxa"/>
            <w:tcBorders>
              <w:top w:val="nil"/>
              <w:left w:val="nil"/>
              <w:right w:val="nil"/>
            </w:tcBorders>
            <w:hideMark/>
          </w:tcPr>
          <w:p w14:paraId="3ABC78DB" w14:textId="77777777" w:rsidR="003E5E0B" w:rsidRPr="003E5E0B" w:rsidRDefault="003E5E0B" w:rsidP="003E5E0B">
            <w:pPr>
              <w:rPr>
                <w:i/>
                <w:iCs/>
                <w:lang w:val="en-US"/>
              </w:rPr>
            </w:pPr>
            <w:r w:rsidRPr="003E5E0B">
              <w:rPr>
                <w:lang w:val="en-US"/>
              </w:rPr>
              <w:t>Sequence (5’-3’)</w:t>
            </w:r>
          </w:p>
        </w:tc>
      </w:tr>
      <w:tr w:rsidR="003E5E0B" w:rsidRPr="003E5E0B" w14:paraId="6FD3E59F" w14:textId="77777777" w:rsidTr="003E5E0B">
        <w:trPr>
          <w:trHeight w:val="506"/>
        </w:trPr>
        <w:tc>
          <w:tcPr>
            <w:tcW w:w="2376" w:type="dxa"/>
            <w:tcBorders>
              <w:top w:val="nil"/>
              <w:left w:val="nil"/>
              <w:bottom w:val="nil"/>
            </w:tcBorders>
            <w:hideMark/>
          </w:tcPr>
          <w:p w14:paraId="0B658037" w14:textId="77777777" w:rsidR="003E5E0B" w:rsidRPr="003E5E0B" w:rsidRDefault="003E5E0B" w:rsidP="003E5E0B">
            <w:pPr>
              <w:rPr>
                <w:i/>
                <w:iCs/>
                <w:lang w:val="en-US"/>
              </w:rPr>
            </w:pPr>
            <w:r w:rsidRPr="003E5E0B">
              <w:rPr>
                <w:lang w:val="en-US"/>
              </w:rPr>
              <w:t>CIITA-AHRE-</w:t>
            </w:r>
            <w:proofErr w:type="spellStart"/>
            <w:r w:rsidRPr="003E5E0B">
              <w:rPr>
                <w:lang w:val="en-US"/>
              </w:rPr>
              <w:t>ChIP</w:t>
            </w:r>
            <w:proofErr w:type="spellEnd"/>
            <w:r w:rsidRPr="003E5E0B">
              <w:rPr>
                <w:lang w:val="en-US"/>
              </w:rPr>
              <w:t>-F</w:t>
            </w:r>
          </w:p>
        </w:tc>
        <w:tc>
          <w:tcPr>
            <w:tcW w:w="4140" w:type="dxa"/>
            <w:shd w:val="clear" w:color="auto" w:fill="F2F2F2" w:themeFill="background1" w:themeFillShade="F2"/>
            <w:hideMark/>
          </w:tcPr>
          <w:p w14:paraId="4FF4725B" w14:textId="77777777" w:rsidR="003E5E0B" w:rsidRPr="003E5E0B" w:rsidRDefault="003E5E0B" w:rsidP="003E5E0B">
            <w:pPr>
              <w:rPr>
                <w:lang w:val="en-US"/>
              </w:rPr>
            </w:pPr>
            <w:r w:rsidRPr="003E5E0B">
              <w:rPr>
                <w:lang w:val="en-US"/>
              </w:rPr>
              <w:t>CCTCTGACTCTACTTTGTTG</w:t>
            </w:r>
          </w:p>
        </w:tc>
      </w:tr>
      <w:tr w:rsidR="003E5E0B" w:rsidRPr="003E5E0B" w14:paraId="7137FA83" w14:textId="77777777" w:rsidTr="003E5E0B">
        <w:trPr>
          <w:trHeight w:val="506"/>
        </w:trPr>
        <w:tc>
          <w:tcPr>
            <w:tcW w:w="2376" w:type="dxa"/>
            <w:tcBorders>
              <w:top w:val="nil"/>
              <w:left w:val="nil"/>
              <w:bottom w:val="nil"/>
            </w:tcBorders>
            <w:hideMark/>
          </w:tcPr>
          <w:p w14:paraId="2F1CF96D" w14:textId="77777777" w:rsidR="003E5E0B" w:rsidRPr="003E5E0B" w:rsidRDefault="003E5E0B" w:rsidP="003E5E0B">
            <w:pPr>
              <w:rPr>
                <w:i/>
                <w:iCs/>
                <w:lang w:val="en-US"/>
              </w:rPr>
            </w:pPr>
            <w:r w:rsidRPr="003E5E0B">
              <w:rPr>
                <w:lang w:val="en-US"/>
              </w:rPr>
              <w:t>CIITA-AHRE-</w:t>
            </w:r>
            <w:proofErr w:type="spellStart"/>
            <w:r w:rsidRPr="003E5E0B">
              <w:rPr>
                <w:lang w:val="en-US"/>
              </w:rPr>
              <w:t>ChIP</w:t>
            </w:r>
            <w:proofErr w:type="spellEnd"/>
            <w:r w:rsidRPr="003E5E0B">
              <w:rPr>
                <w:lang w:val="en-US"/>
              </w:rPr>
              <w:t>-R</w:t>
            </w:r>
          </w:p>
        </w:tc>
        <w:tc>
          <w:tcPr>
            <w:tcW w:w="4140" w:type="dxa"/>
            <w:hideMark/>
          </w:tcPr>
          <w:p w14:paraId="05999D66" w14:textId="77777777" w:rsidR="003E5E0B" w:rsidRPr="003E5E0B" w:rsidRDefault="003E5E0B" w:rsidP="003E5E0B">
            <w:pPr>
              <w:rPr>
                <w:lang w:val="en-US"/>
              </w:rPr>
            </w:pPr>
            <w:r w:rsidRPr="003E5E0B">
              <w:rPr>
                <w:lang w:val="en-US"/>
              </w:rPr>
              <w:t>AGAGGGAGCCTTTGTTCTGT</w:t>
            </w:r>
          </w:p>
        </w:tc>
      </w:tr>
    </w:tbl>
    <w:p w14:paraId="0B927718" w14:textId="77777777" w:rsidR="003E5E0B" w:rsidRPr="003E5E0B" w:rsidRDefault="003E5E0B" w:rsidP="003E5E0B">
      <w:pPr>
        <w:rPr>
          <w:lang w:val="en-US"/>
        </w:rPr>
      </w:pPr>
    </w:p>
    <w:p w14:paraId="0CEF7ECE" w14:textId="77777777" w:rsidR="003E5E0B" w:rsidRPr="003E5E0B" w:rsidRDefault="003E5E0B" w:rsidP="003E5E0B">
      <w:pPr>
        <w:rPr>
          <w:b/>
          <w:bCs/>
          <w:lang w:val="en-US"/>
        </w:rPr>
      </w:pPr>
      <w:r w:rsidRPr="003E5E0B">
        <w:rPr>
          <w:b/>
          <w:bCs/>
          <w:lang w:val="en-US"/>
        </w:rPr>
        <w:t>Table S3. Summary of type-specific primer sequences for RT-qPCR used in this study.</w:t>
      </w:r>
    </w:p>
    <w:tbl>
      <w:tblPr>
        <w:tblW w:w="8310" w:type="dxa"/>
        <w:tblLayout w:type="fixed"/>
        <w:tblLook w:val="04A0" w:firstRow="1" w:lastRow="0" w:firstColumn="1" w:lastColumn="0" w:noHBand="0" w:noVBand="1"/>
      </w:tblPr>
      <w:tblGrid>
        <w:gridCol w:w="1726"/>
        <w:gridCol w:w="6584"/>
      </w:tblGrid>
      <w:tr w:rsidR="003E5E0B" w:rsidRPr="003E5E0B" w14:paraId="0D4CD8DF" w14:textId="77777777" w:rsidTr="003E5E0B">
        <w:trPr>
          <w:trHeight w:val="506"/>
        </w:trPr>
        <w:tc>
          <w:tcPr>
            <w:tcW w:w="1725" w:type="dxa"/>
            <w:tcBorders>
              <w:top w:val="nil"/>
              <w:left w:val="nil"/>
            </w:tcBorders>
            <w:hideMark/>
          </w:tcPr>
          <w:p w14:paraId="5AE06952" w14:textId="77777777" w:rsidR="003E5E0B" w:rsidRPr="003E5E0B" w:rsidRDefault="003E5E0B" w:rsidP="003E5E0B">
            <w:pPr>
              <w:rPr>
                <w:i/>
                <w:iCs/>
                <w:lang w:val="en-US"/>
              </w:rPr>
            </w:pPr>
            <w:r w:rsidRPr="003E5E0B">
              <w:rPr>
                <w:lang w:val="en-US"/>
              </w:rPr>
              <w:t>Primer name</w:t>
            </w:r>
          </w:p>
        </w:tc>
        <w:tc>
          <w:tcPr>
            <w:tcW w:w="6581" w:type="dxa"/>
            <w:tcBorders>
              <w:top w:val="nil"/>
              <w:left w:val="nil"/>
              <w:right w:val="nil"/>
            </w:tcBorders>
            <w:hideMark/>
          </w:tcPr>
          <w:p w14:paraId="6E354960" w14:textId="77777777" w:rsidR="003E5E0B" w:rsidRPr="003E5E0B" w:rsidRDefault="003E5E0B" w:rsidP="003E5E0B">
            <w:pPr>
              <w:rPr>
                <w:i/>
                <w:iCs/>
                <w:lang w:val="en-US"/>
              </w:rPr>
            </w:pPr>
            <w:r w:rsidRPr="003E5E0B">
              <w:rPr>
                <w:lang w:val="en-US"/>
              </w:rPr>
              <w:t>Sequence (5’-3’)</w:t>
            </w:r>
          </w:p>
        </w:tc>
      </w:tr>
      <w:tr w:rsidR="003E5E0B" w:rsidRPr="003E5E0B" w14:paraId="48F5CAD4" w14:textId="77777777" w:rsidTr="003E5E0B">
        <w:trPr>
          <w:trHeight w:val="506"/>
        </w:trPr>
        <w:tc>
          <w:tcPr>
            <w:tcW w:w="1725" w:type="dxa"/>
            <w:tcBorders>
              <w:top w:val="nil"/>
              <w:left w:val="nil"/>
              <w:bottom w:val="nil"/>
            </w:tcBorders>
            <w:hideMark/>
          </w:tcPr>
          <w:p w14:paraId="58289331" w14:textId="77777777" w:rsidR="003E5E0B" w:rsidRPr="003E5E0B" w:rsidRDefault="003E5E0B" w:rsidP="003E5E0B">
            <w:pPr>
              <w:rPr>
                <w:i/>
                <w:iCs/>
                <w:lang w:val="en-US"/>
              </w:rPr>
            </w:pPr>
            <w:r w:rsidRPr="003E5E0B">
              <w:rPr>
                <w:lang w:val="en-US"/>
              </w:rPr>
              <w:t>CIITA-</w:t>
            </w:r>
            <w:proofErr w:type="spellStart"/>
            <w:proofErr w:type="gramStart"/>
            <w:r w:rsidRPr="003E5E0B">
              <w:rPr>
                <w:lang w:val="en-US"/>
              </w:rPr>
              <w:t>pI</w:t>
            </w:r>
            <w:proofErr w:type="spellEnd"/>
            <w:proofErr w:type="gramEnd"/>
            <w:r w:rsidRPr="003E5E0B">
              <w:rPr>
                <w:lang w:val="en-US"/>
              </w:rPr>
              <w:t>-F</w:t>
            </w:r>
          </w:p>
        </w:tc>
        <w:tc>
          <w:tcPr>
            <w:tcW w:w="6581" w:type="dxa"/>
            <w:shd w:val="clear" w:color="auto" w:fill="F2F2F2" w:themeFill="background1" w:themeFillShade="F2"/>
            <w:hideMark/>
          </w:tcPr>
          <w:p w14:paraId="27A390C6" w14:textId="77777777" w:rsidR="003E5E0B" w:rsidRPr="003E5E0B" w:rsidRDefault="003E5E0B" w:rsidP="003E5E0B">
            <w:pPr>
              <w:rPr>
                <w:lang w:val="en-US"/>
              </w:rPr>
            </w:pPr>
            <w:r w:rsidRPr="003E5E0B">
              <w:rPr>
                <w:lang w:val="en-US"/>
              </w:rPr>
              <w:t>CACTGCACTCTGCTCCATGAG</w:t>
            </w:r>
          </w:p>
        </w:tc>
      </w:tr>
      <w:tr w:rsidR="003E5E0B" w:rsidRPr="003E5E0B" w14:paraId="5DD592D8" w14:textId="77777777" w:rsidTr="003E5E0B">
        <w:trPr>
          <w:trHeight w:val="506"/>
        </w:trPr>
        <w:tc>
          <w:tcPr>
            <w:tcW w:w="1725" w:type="dxa"/>
            <w:tcBorders>
              <w:top w:val="nil"/>
              <w:left w:val="nil"/>
              <w:bottom w:val="nil"/>
            </w:tcBorders>
            <w:hideMark/>
          </w:tcPr>
          <w:p w14:paraId="18730B1F" w14:textId="77777777" w:rsidR="003E5E0B" w:rsidRPr="003E5E0B" w:rsidRDefault="003E5E0B" w:rsidP="003E5E0B">
            <w:pPr>
              <w:rPr>
                <w:i/>
                <w:iCs/>
                <w:lang w:val="en-US"/>
              </w:rPr>
            </w:pPr>
            <w:r w:rsidRPr="003E5E0B">
              <w:rPr>
                <w:lang w:val="en-US"/>
              </w:rPr>
              <w:t>CIITA-</w:t>
            </w:r>
            <w:proofErr w:type="spellStart"/>
            <w:r w:rsidRPr="003E5E0B">
              <w:rPr>
                <w:lang w:val="en-US"/>
              </w:rPr>
              <w:t>pII</w:t>
            </w:r>
            <w:proofErr w:type="spellEnd"/>
            <w:r w:rsidRPr="003E5E0B">
              <w:rPr>
                <w:lang w:val="en-US"/>
              </w:rPr>
              <w:t>-F</w:t>
            </w:r>
          </w:p>
        </w:tc>
        <w:tc>
          <w:tcPr>
            <w:tcW w:w="6581" w:type="dxa"/>
            <w:hideMark/>
          </w:tcPr>
          <w:p w14:paraId="107E7184" w14:textId="77777777" w:rsidR="003E5E0B" w:rsidRPr="003E5E0B" w:rsidRDefault="003E5E0B" w:rsidP="003E5E0B">
            <w:pPr>
              <w:rPr>
                <w:lang w:val="en-US"/>
              </w:rPr>
            </w:pPr>
            <w:r w:rsidRPr="003E5E0B">
              <w:rPr>
                <w:lang w:val="en-US"/>
              </w:rPr>
              <w:t>TGGCGTCTGAGGCAACCACAAGC</w:t>
            </w:r>
          </w:p>
        </w:tc>
      </w:tr>
      <w:tr w:rsidR="003E5E0B" w:rsidRPr="003E5E0B" w14:paraId="630861EE" w14:textId="77777777" w:rsidTr="003E5E0B">
        <w:trPr>
          <w:trHeight w:val="506"/>
        </w:trPr>
        <w:tc>
          <w:tcPr>
            <w:tcW w:w="1725" w:type="dxa"/>
            <w:tcBorders>
              <w:top w:val="nil"/>
              <w:left w:val="nil"/>
              <w:bottom w:val="nil"/>
            </w:tcBorders>
            <w:hideMark/>
          </w:tcPr>
          <w:p w14:paraId="656F43A8" w14:textId="77777777" w:rsidR="003E5E0B" w:rsidRPr="003E5E0B" w:rsidRDefault="003E5E0B" w:rsidP="003E5E0B">
            <w:pPr>
              <w:rPr>
                <w:i/>
                <w:iCs/>
                <w:lang w:val="en-US"/>
              </w:rPr>
            </w:pPr>
            <w:r w:rsidRPr="003E5E0B">
              <w:rPr>
                <w:lang w:val="en-US"/>
              </w:rPr>
              <w:t>CIITA-</w:t>
            </w:r>
            <w:proofErr w:type="spellStart"/>
            <w:r w:rsidRPr="003E5E0B">
              <w:rPr>
                <w:lang w:val="en-US"/>
              </w:rPr>
              <w:t>pIII</w:t>
            </w:r>
            <w:proofErr w:type="spellEnd"/>
            <w:r w:rsidRPr="003E5E0B">
              <w:rPr>
                <w:lang w:val="en-US"/>
              </w:rPr>
              <w:t>-F</w:t>
            </w:r>
          </w:p>
        </w:tc>
        <w:tc>
          <w:tcPr>
            <w:tcW w:w="6581" w:type="dxa"/>
            <w:shd w:val="clear" w:color="auto" w:fill="F2F2F2" w:themeFill="background1" w:themeFillShade="F2"/>
            <w:hideMark/>
          </w:tcPr>
          <w:p w14:paraId="7883600A" w14:textId="77777777" w:rsidR="003E5E0B" w:rsidRPr="003E5E0B" w:rsidRDefault="003E5E0B" w:rsidP="003E5E0B">
            <w:pPr>
              <w:rPr>
                <w:lang w:val="en-US"/>
              </w:rPr>
            </w:pPr>
            <w:r w:rsidRPr="003E5E0B">
              <w:rPr>
                <w:lang w:val="en-US"/>
              </w:rPr>
              <w:t>GCTGGGATTCCTACACAATGC</w:t>
            </w:r>
          </w:p>
        </w:tc>
      </w:tr>
      <w:tr w:rsidR="003E5E0B" w:rsidRPr="003E5E0B" w14:paraId="20377A5A" w14:textId="77777777" w:rsidTr="003E5E0B">
        <w:trPr>
          <w:trHeight w:val="506"/>
        </w:trPr>
        <w:tc>
          <w:tcPr>
            <w:tcW w:w="1725" w:type="dxa"/>
            <w:tcBorders>
              <w:top w:val="nil"/>
              <w:left w:val="nil"/>
              <w:bottom w:val="nil"/>
            </w:tcBorders>
            <w:hideMark/>
          </w:tcPr>
          <w:p w14:paraId="53A1E2DE" w14:textId="77777777" w:rsidR="003E5E0B" w:rsidRPr="003E5E0B" w:rsidRDefault="003E5E0B" w:rsidP="003E5E0B">
            <w:pPr>
              <w:rPr>
                <w:i/>
                <w:iCs/>
                <w:lang w:val="en-US"/>
              </w:rPr>
            </w:pPr>
            <w:r w:rsidRPr="003E5E0B">
              <w:rPr>
                <w:lang w:val="en-US"/>
              </w:rPr>
              <w:t>CIITA-</w:t>
            </w:r>
            <w:proofErr w:type="spellStart"/>
            <w:r w:rsidRPr="003E5E0B">
              <w:rPr>
                <w:lang w:val="en-US"/>
              </w:rPr>
              <w:t>pIV</w:t>
            </w:r>
            <w:proofErr w:type="spellEnd"/>
            <w:r w:rsidRPr="003E5E0B">
              <w:rPr>
                <w:lang w:val="en-US"/>
              </w:rPr>
              <w:t>-F</w:t>
            </w:r>
          </w:p>
        </w:tc>
        <w:tc>
          <w:tcPr>
            <w:tcW w:w="6581" w:type="dxa"/>
            <w:hideMark/>
          </w:tcPr>
          <w:p w14:paraId="04893EB6" w14:textId="77777777" w:rsidR="003E5E0B" w:rsidRPr="003E5E0B" w:rsidRDefault="003E5E0B" w:rsidP="003E5E0B">
            <w:pPr>
              <w:rPr>
                <w:lang w:val="en-US"/>
              </w:rPr>
            </w:pPr>
            <w:r w:rsidRPr="003E5E0B">
              <w:rPr>
                <w:lang w:val="en-US"/>
              </w:rPr>
              <w:t>GAGCTGGCGGGAGGGAG</w:t>
            </w:r>
          </w:p>
        </w:tc>
      </w:tr>
      <w:tr w:rsidR="003E5E0B" w:rsidRPr="003E5E0B" w14:paraId="365B8B60" w14:textId="77777777" w:rsidTr="003E5E0B">
        <w:trPr>
          <w:trHeight w:val="506"/>
        </w:trPr>
        <w:tc>
          <w:tcPr>
            <w:tcW w:w="1725" w:type="dxa"/>
            <w:tcBorders>
              <w:top w:val="nil"/>
              <w:left w:val="nil"/>
              <w:bottom w:val="nil"/>
            </w:tcBorders>
            <w:hideMark/>
          </w:tcPr>
          <w:p w14:paraId="0B5D84F2" w14:textId="77777777" w:rsidR="003E5E0B" w:rsidRPr="003E5E0B" w:rsidRDefault="003E5E0B" w:rsidP="003E5E0B">
            <w:pPr>
              <w:rPr>
                <w:i/>
                <w:iCs/>
                <w:lang w:val="en-US"/>
              </w:rPr>
            </w:pPr>
            <w:r w:rsidRPr="003E5E0B">
              <w:rPr>
                <w:lang w:val="en-US"/>
              </w:rPr>
              <w:t>CIITA-exon2-R</w:t>
            </w:r>
          </w:p>
        </w:tc>
        <w:tc>
          <w:tcPr>
            <w:tcW w:w="6581" w:type="dxa"/>
            <w:shd w:val="clear" w:color="auto" w:fill="F2F2F2" w:themeFill="background1" w:themeFillShade="F2"/>
            <w:hideMark/>
          </w:tcPr>
          <w:p w14:paraId="1DC1FEE0" w14:textId="77777777" w:rsidR="003E5E0B" w:rsidRPr="003E5E0B" w:rsidRDefault="003E5E0B" w:rsidP="003E5E0B">
            <w:pPr>
              <w:rPr>
                <w:lang w:val="en-US"/>
              </w:rPr>
            </w:pPr>
            <w:r w:rsidRPr="003E5E0B">
              <w:rPr>
                <w:lang w:val="en-US"/>
              </w:rPr>
              <w:t>TCTCCAGCCAGGTCCATCTG</w:t>
            </w:r>
          </w:p>
        </w:tc>
      </w:tr>
      <w:tr w:rsidR="003E5E0B" w:rsidRPr="003E5E0B" w14:paraId="2B357347" w14:textId="77777777" w:rsidTr="003E5E0B">
        <w:trPr>
          <w:trHeight w:val="506"/>
        </w:trPr>
        <w:tc>
          <w:tcPr>
            <w:tcW w:w="1725" w:type="dxa"/>
            <w:tcBorders>
              <w:top w:val="nil"/>
              <w:left w:val="nil"/>
              <w:bottom w:val="nil"/>
            </w:tcBorders>
            <w:hideMark/>
          </w:tcPr>
          <w:p w14:paraId="70FEBDF6" w14:textId="77777777" w:rsidR="003E5E0B" w:rsidRPr="003E5E0B" w:rsidRDefault="003E5E0B" w:rsidP="003E5E0B">
            <w:pPr>
              <w:rPr>
                <w:i/>
                <w:iCs/>
                <w:lang w:val="en-US"/>
              </w:rPr>
            </w:pPr>
            <w:r w:rsidRPr="003E5E0B">
              <w:rPr>
                <w:lang w:val="en-US"/>
              </w:rPr>
              <w:t>GAPDH-F</w:t>
            </w:r>
          </w:p>
        </w:tc>
        <w:tc>
          <w:tcPr>
            <w:tcW w:w="6581" w:type="dxa"/>
            <w:hideMark/>
          </w:tcPr>
          <w:p w14:paraId="77CA6945" w14:textId="77777777" w:rsidR="003E5E0B" w:rsidRPr="003E5E0B" w:rsidRDefault="003E5E0B" w:rsidP="003E5E0B">
            <w:pPr>
              <w:rPr>
                <w:lang w:val="en-US"/>
              </w:rPr>
            </w:pPr>
            <w:r w:rsidRPr="003E5E0B">
              <w:rPr>
                <w:lang w:val="en-US"/>
              </w:rPr>
              <w:t>GTCTCCTCTGACTTCAACAGCG</w:t>
            </w:r>
          </w:p>
        </w:tc>
      </w:tr>
      <w:tr w:rsidR="003E5E0B" w:rsidRPr="003E5E0B" w14:paraId="02AE6283" w14:textId="77777777" w:rsidTr="003E5E0B">
        <w:trPr>
          <w:trHeight w:val="506"/>
        </w:trPr>
        <w:tc>
          <w:tcPr>
            <w:tcW w:w="1725" w:type="dxa"/>
            <w:tcBorders>
              <w:top w:val="nil"/>
              <w:left w:val="nil"/>
              <w:bottom w:val="nil"/>
            </w:tcBorders>
            <w:hideMark/>
          </w:tcPr>
          <w:p w14:paraId="3C944455" w14:textId="77777777" w:rsidR="003E5E0B" w:rsidRPr="003E5E0B" w:rsidRDefault="003E5E0B" w:rsidP="003E5E0B">
            <w:pPr>
              <w:rPr>
                <w:i/>
                <w:iCs/>
                <w:lang w:val="en-US"/>
              </w:rPr>
            </w:pPr>
            <w:r w:rsidRPr="003E5E0B">
              <w:rPr>
                <w:lang w:val="en-US"/>
              </w:rPr>
              <w:t>GAPDH-R</w:t>
            </w:r>
          </w:p>
        </w:tc>
        <w:tc>
          <w:tcPr>
            <w:tcW w:w="6581" w:type="dxa"/>
            <w:shd w:val="clear" w:color="auto" w:fill="F2F2F2" w:themeFill="background1" w:themeFillShade="F2"/>
            <w:hideMark/>
          </w:tcPr>
          <w:p w14:paraId="1F0E4D0B" w14:textId="77777777" w:rsidR="003E5E0B" w:rsidRPr="003E5E0B" w:rsidRDefault="003E5E0B" w:rsidP="003E5E0B">
            <w:pPr>
              <w:rPr>
                <w:lang w:val="en-US"/>
              </w:rPr>
            </w:pPr>
            <w:r w:rsidRPr="003E5E0B">
              <w:rPr>
                <w:lang w:val="en-US"/>
              </w:rPr>
              <w:t>ACCACCCTGTTGCTGTAGCCAA</w:t>
            </w:r>
          </w:p>
        </w:tc>
      </w:tr>
      <w:tr w:rsidR="003E5E0B" w:rsidRPr="003E5E0B" w14:paraId="7B89825B" w14:textId="77777777" w:rsidTr="003E5E0B">
        <w:trPr>
          <w:trHeight w:val="506"/>
        </w:trPr>
        <w:tc>
          <w:tcPr>
            <w:tcW w:w="1725" w:type="dxa"/>
            <w:tcBorders>
              <w:top w:val="nil"/>
              <w:left w:val="nil"/>
              <w:bottom w:val="nil"/>
            </w:tcBorders>
            <w:hideMark/>
          </w:tcPr>
          <w:p w14:paraId="7705E1F3" w14:textId="77777777" w:rsidR="003E5E0B" w:rsidRPr="003E5E0B" w:rsidRDefault="003E5E0B" w:rsidP="003E5E0B">
            <w:pPr>
              <w:rPr>
                <w:i/>
                <w:iCs/>
                <w:lang w:val="en-US"/>
              </w:rPr>
            </w:pPr>
            <w:r w:rsidRPr="003E5E0B">
              <w:rPr>
                <w:lang w:val="en-US"/>
              </w:rPr>
              <w:t>CYP1A1-F</w:t>
            </w:r>
          </w:p>
        </w:tc>
        <w:tc>
          <w:tcPr>
            <w:tcW w:w="6581" w:type="dxa"/>
            <w:hideMark/>
          </w:tcPr>
          <w:p w14:paraId="37BA277C" w14:textId="77777777" w:rsidR="003E5E0B" w:rsidRPr="003E5E0B" w:rsidRDefault="003E5E0B" w:rsidP="003E5E0B">
            <w:pPr>
              <w:rPr>
                <w:lang w:val="en-US"/>
              </w:rPr>
            </w:pPr>
            <w:r w:rsidRPr="003E5E0B">
              <w:rPr>
                <w:lang w:val="en-US"/>
              </w:rPr>
              <w:t>GATTGAGCACTGTCAGGAGAAGC</w:t>
            </w:r>
          </w:p>
        </w:tc>
      </w:tr>
      <w:tr w:rsidR="003E5E0B" w:rsidRPr="003E5E0B" w14:paraId="2E95355E" w14:textId="77777777" w:rsidTr="003E5E0B">
        <w:trPr>
          <w:trHeight w:val="506"/>
        </w:trPr>
        <w:tc>
          <w:tcPr>
            <w:tcW w:w="1725" w:type="dxa"/>
            <w:tcBorders>
              <w:top w:val="nil"/>
              <w:left w:val="nil"/>
              <w:bottom w:val="nil"/>
            </w:tcBorders>
            <w:hideMark/>
          </w:tcPr>
          <w:p w14:paraId="655AD3BE" w14:textId="77777777" w:rsidR="003E5E0B" w:rsidRPr="003E5E0B" w:rsidRDefault="003E5E0B" w:rsidP="003E5E0B">
            <w:pPr>
              <w:rPr>
                <w:i/>
                <w:iCs/>
                <w:lang w:val="en-US"/>
              </w:rPr>
            </w:pPr>
            <w:r w:rsidRPr="003E5E0B">
              <w:rPr>
                <w:lang w:val="en-US"/>
              </w:rPr>
              <w:t>CYP1A1-R</w:t>
            </w:r>
          </w:p>
        </w:tc>
        <w:tc>
          <w:tcPr>
            <w:tcW w:w="6581" w:type="dxa"/>
            <w:shd w:val="clear" w:color="auto" w:fill="F2F2F2" w:themeFill="background1" w:themeFillShade="F2"/>
            <w:hideMark/>
          </w:tcPr>
          <w:p w14:paraId="687A156F" w14:textId="77777777" w:rsidR="003E5E0B" w:rsidRPr="003E5E0B" w:rsidRDefault="003E5E0B" w:rsidP="003E5E0B">
            <w:pPr>
              <w:rPr>
                <w:lang w:val="en-US"/>
              </w:rPr>
            </w:pPr>
            <w:r w:rsidRPr="003E5E0B">
              <w:rPr>
                <w:lang w:val="en-US"/>
              </w:rPr>
              <w:t>ATGAGGCTCCAGGAGATAGCAG</w:t>
            </w:r>
          </w:p>
        </w:tc>
      </w:tr>
    </w:tbl>
    <w:p w14:paraId="2D2D1C29" w14:textId="77777777" w:rsidR="003E5E0B" w:rsidRPr="003E5E0B" w:rsidRDefault="003E5E0B" w:rsidP="003E5E0B">
      <w:pPr>
        <w:rPr>
          <w:b/>
          <w:bCs/>
          <w:lang w:val="en-US"/>
        </w:rPr>
      </w:pPr>
    </w:p>
    <w:p w14:paraId="57841F7E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5E0B"/>
    <w:rsid w:val="00245537"/>
    <w:rsid w:val="003E5E0B"/>
    <w:rsid w:val="00767E38"/>
    <w:rsid w:val="00866F7D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C4ED41"/>
  <w15:chartTrackingRefBased/>
  <w15:docId w15:val="{9BF2F1CD-9B72-4335-97E8-D0D4FF1398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E5E0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E5E0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E5E0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E5E0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E5E0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E5E0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E5E0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E5E0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E5E0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E5E0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E5E0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E5E0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E5E0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E5E0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E5E0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E5E0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E5E0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E5E0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E5E0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E5E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E5E0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E5E0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E5E0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E5E0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E5E0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E5E0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E5E0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E5E0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E5E0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489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5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642</Words>
  <Characters>3665</Characters>
  <Application>Microsoft Office Word</Application>
  <DocSecurity>0</DocSecurity>
  <Lines>30</Lines>
  <Paragraphs>8</Paragraphs>
  <ScaleCrop>false</ScaleCrop>
  <Company/>
  <LinksUpToDate>false</LinksUpToDate>
  <CharactersWithSpaces>4299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2025-10-21T11:21:00Z</dcterms:created>
  <dcterms:modified xsi:type="dcterms:W3CDTF">2025-10-21T11:21:00Z</dcterms:modified>
</cp:coreProperties>
</file>