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28CA9" w14:textId="77777777" w:rsidR="005A3D18" w:rsidRDefault="005A3D18" w:rsidP="005A3D1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w:t>
      </w:r>
    </w:p>
    <w:p w14:paraId="3ABAF860" w14:textId="77777777" w:rsidR="005A3D18" w:rsidRDefault="005A3D18" w:rsidP="005A3D18">
      <w:pPr>
        <w:jc w:val="both"/>
        <w:rPr>
          <w:rFonts w:ascii="Times New Roman" w:eastAsia="Times New Roman" w:hAnsi="Times New Roman" w:cs="Times New Roman"/>
          <w:sz w:val="24"/>
          <w:szCs w:val="24"/>
        </w:rPr>
      </w:pPr>
    </w:p>
    <w:tbl>
      <w:tblPr>
        <w:tblW w:w="9375" w:type="dxa"/>
        <w:tblBorders>
          <w:top w:val="nil"/>
          <w:left w:val="nil"/>
          <w:bottom w:val="nil"/>
          <w:right w:val="nil"/>
          <w:insideH w:val="nil"/>
          <w:insideV w:val="nil"/>
        </w:tblBorders>
        <w:tblLayout w:type="fixed"/>
        <w:tblLook w:val="0600" w:firstRow="0" w:lastRow="0" w:firstColumn="0" w:lastColumn="0" w:noHBand="1" w:noVBand="1"/>
      </w:tblPr>
      <w:tblGrid>
        <w:gridCol w:w="2220"/>
        <w:gridCol w:w="2445"/>
        <w:gridCol w:w="1110"/>
        <w:gridCol w:w="1305"/>
        <w:gridCol w:w="765"/>
        <w:gridCol w:w="765"/>
        <w:gridCol w:w="765"/>
      </w:tblGrid>
      <w:tr w:rsidR="005A3D18" w14:paraId="3DAC3AA6" w14:textId="77777777" w:rsidTr="007D2A07">
        <w:trPr>
          <w:trHeight w:val="3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1D7519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Author</w:t>
            </w:r>
          </w:p>
        </w:tc>
        <w:tc>
          <w:tcPr>
            <w:tcW w:w="2445"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2C610796"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Paper</w:t>
            </w:r>
          </w:p>
        </w:tc>
        <w:tc>
          <w:tcPr>
            <w:tcW w:w="1110" w:type="dxa"/>
            <w:tcBorders>
              <w:top w:val="single" w:sz="6" w:space="0" w:color="9A9A9A"/>
              <w:left w:val="single" w:sz="6" w:space="0" w:color="CCCCCC"/>
              <w:bottom w:val="single" w:sz="6" w:space="0" w:color="9A9A9A"/>
              <w:right w:val="single" w:sz="6" w:space="0" w:color="9A9A9A"/>
            </w:tcBorders>
            <w:tcMar>
              <w:top w:w="40" w:type="dxa"/>
              <w:left w:w="40" w:type="dxa"/>
              <w:bottom w:w="40" w:type="dxa"/>
              <w:right w:w="40" w:type="dxa"/>
            </w:tcMar>
            <w:vAlign w:val="center"/>
          </w:tcPr>
          <w:p w14:paraId="216CCC2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source</w:t>
            </w:r>
          </w:p>
        </w:tc>
        <w:tc>
          <w:tcPr>
            <w:tcW w:w="1305" w:type="dxa"/>
            <w:tcBorders>
              <w:top w:val="single" w:sz="6" w:space="0" w:color="9A9A9A"/>
              <w:left w:val="single" w:sz="6" w:space="0" w:color="CCCCCC"/>
              <w:bottom w:val="single" w:sz="6" w:space="0" w:color="9A9A9A"/>
              <w:right w:val="single" w:sz="6" w:space="0" w:color="9A9A9A"/>
            </w:tcBorders>
            <w:tcMar>
              <w:top w:w="40" w:type="dxa"/>
              <w:left w:w="40" w:type="dxa"/>
              <w:bottom w:w="40" w:type="dxa"/>
              <w:right w:w="40" w:type="dxa"/>
            </w:tcMar>
            <w:vAlign w:val="center"/>
          </w:tcPr>
          <w:p w14:paraId="65E0B2A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DOI</w:t>
            </w:r>
          </w:p>
        </w:tc>
        <w:tc>
          <w:tcPr>
            <w:tcW w:w="765" w:type="dxa"/>
            <w:tcBorders>
              <w:top w:val="single" w:sz="6" w:space="0" w:color="9A9A9A"/>
              <w:left w:val="single" w:sz="6" w:space="0" w:color="CCCCCC"/>
              <w:bottom w:val="single" w:sz="6" w:space="0" w:color="9A9A9A"/>
              <w:right w:val="single" w:sz="6" w:space="0" w:color="9A9A9A"/>
            </w:tcBorders>
            <w:tcMar>
              <w:top w:w="40" w:type="dxa"/>
              <w:left w:w="40" w:type="dxa"/>
              <w:bottom w:w="40" w:type="dxa"/>
              <w:right w:w="40" w:type="dxa"/>
            </w:tcMar>
            <w:vAlign w:val="center"/>
          </w:tcPr>
          <w:p w14:paraId="7832C39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Total Citations</w:t>
            </w:r>
          </w:p>
        </w:tc>
        <w:tc>
          <w:tcPr>
            <w:tcW w:w="765" w:type="dxa"/>
            <w:tcBorders>
              <w:top w:val="single" w:sz="6" w:space="0" w:color="9A9A9A"/>
              <w:left w:val="single" w:sz="6" w:space="0" w:color="CCCCCC"/>
              <w:bottom w:val="single" w:sz="6" w:space="0" w:color="9A9A9A"/>
              <w:right w:val="single" w:sz="6" w:space="0" w:color="9A9A9A"/>
            </w:tcBorders>
            <w:tcMar>
              <w:top w:w="40" w:type="dxa"/>
              <w:left w:w="40" w:type="dxa"/>
              <w:bottom w:w="40" w:type="dxa"/>
              <w:right w:w="40" w:type="dxa"/>
            </w:tcMar>
            <w:vAlign w:val="center"/>
          </w:tcPr>
          <w:p w14:paraId="4E86CC5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TC per Year</w:t>
            </w:r>
          </w:p>
        </w:tc>
        <w:tc>
          <w:tcPr>
            <w:tcW w:w="765" w:type="dxa"/>
            <w:tcBorders>
              <w:top w:val="single" w:sz="6" w:space="0" w:color="9A9A9A"/>
              <w:left w:val="single" w:sz="6" w:space="0" w:color="CCCCCC"/>
              <w:bottom w:val="single" w:sz="6" w:space="0" w:color="9A9A9A"/>
              <w:right w:val="single" w:sz="6" w:space="0" w:color="9A9A9A"/>
            </w:tcBorders>
            <w:tcMar>
              <w:top w:w="40" w:type="dxa"/>
              <w:left w:w="40" w:type="dxa"/>
              <w:bottom w:w="40" w:type="dxa"/>
              <w:right w:w="40" w:type="dxa"/>
            </w:tcMar>
            <w:vAlign w:val="center"/>
          </w:tcPr>
          <w:p w14:paraId="245A77A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Normalized TC</w:t>
            </w:r>
          </w:p>
        </w:tc>
      </w:tr>
      <w:tr w:rsidR="005A3D18" w14:paraId="7C4EE9E5"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352C00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Ethan Mollick</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89CCE1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dynamics of crowdfunding: An exploratory study</w:t>
            </w:r>
          </w:p>
        </w:tc>
        <w:tc>
          <w:tcPr>
            <w:tcW w:w="1110"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629A24A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Business Venturing</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E7C5F7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10.1016/j.jbusvent.2013.06.005</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467922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2187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45DC86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182.25</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CDE6ED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5.96</w:t>
            </w:r>
          </w:p>
        </w:tc>
      </w:tr>
      <w:tr w:rsidR="005A3D18" w14:paraId="0BAB5B9A"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A6FF49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Paul Belleflamme, Thomas Lambert, Armin Schwienbacher</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3407558B"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Crowdfunding: Tapping the right crowd</w:t>
            </w:r>
          </w:p>
        </w:tc>
        <w:tc>
          <w:tcPr>
            <w:tcW w:w="1110"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186985B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Business Venturing</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33CB87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10.1016/j.jbusvent.2013.07.003</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B7DA36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1328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DF21E5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110.67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C823EA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3.62</w:t>
            </w:r>
          </w:p>
        </w:tc>
      </w:tr>
      <w:tr w:rsidR="005A3D18" w14:paraId="36E120E1"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47E5D3E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GKC Ahlers, D Cumming, C Günther, D Schweizer</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6FE034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signaling Equity Crowdfunding</w:t>
            </w:r>
          </w:p>
        </w:tc>
        <w:tc>
          <w:tcPr>
            <w:tcW w:w="1110"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69D1936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theory and practice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81024D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10.1111/etap.12157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E61365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26DE42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95.91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CD7338B"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5.33</w:t>
            </w:r>
          </w:p>
        </w:tc>
      </w:tr>
      <w:tr w:rsidR="005A3D18" w14:paraId="7082D0C6"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75B7393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Caroline Flammer</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111AFF4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green bonds</w:t>
            </w:r>
          </w:p>
        </w:tc>
        <w:tc>
          <w:tcPr>
            <w:tcW w:w="1110"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53BEEEE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Financial Economics</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EE0C82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10.1016/j.jfineco.2021.01.010</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06C242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FB4337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159.4</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F27AF7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23.76</w:t>
            </w:r>
          </w:p>
        </w:tc>
      </w:tr>
      <w:tr w:rsidR="005A3D18" w14:paraId="2814C3BD"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659041C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Massimo G. Colombo, Chiara Franzoni,Rossi-Lamastra Cristina</w:t>
            </w:r>
          </w:p>
        </w:tc>
        <w:tc>
          <w:tcPr>
            <w:tcW w:w="24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6A374C7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social capital and the attraction of early contributions in crowdfunding</w:t>
            </w:r>
          </w:p>
        </w:tc>
        <w:tc>
          <w:tcPr>
            <w:tcW w:w="1110" w:type="dxa"/>
            <w:tcBorders>
              <w:top w:val="single" w:sz="6" w:space="0" w:color="CCCCCC"/>
              <w:left w:val="single" w:sz="6" w:space="0" w:color="CCCCCC"/>
              <w:bottom w:val="single" w:sz="6" w:space="0" w:color="9A9A9A"/>
              <w:right w:val="single" w:sz="6" w:space="0" w:color="9A9A9A"/>
            </w:tcBorders>
            <w:shd w:val="clear" w:color="auto" w:fill="FFFFFF"/>
            <w:tcMar>
              <w:top w:w="40" w:type="dxa"/>
              <w:left w:w="40" w:type="dxa"/>
              <w:bottom w:w="40" w:type="dxa"/>
              <w:right w:w="40" w:type="dxa"/>
            </w:tcMar>
            <w:vAlign w:val="center"/>
          </w:tcPr>
          <w:p w14:paraId="667DA31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theory and practice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CE74B4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10.1111/etap.12118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03ECD8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612</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45FE13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55.64</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D4F58F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3.09</w:t>
            </w:r>
          </w:p>
        </w:tc>
      </w:tr>
      <w:tr w:rsidR="005A3D18" w14:paraId="7EBCA15C"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3FA5F27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David B. Audretsch, Erik E. Lehmann,Stefano Paleari,Silvio Vismara</w:t>
            </w:r>
          </w:p>
        </w:tc>
        <w:tc>
          <w:tcPr>
            <w:tcW w:w="2445"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5C54948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Entrepreneurial finance and technology transfer</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3D2E73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journal of technology transfer</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CFC2F1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10.1007/s10961-014-9381-8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1A6B17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2F1DEB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55.2</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3FAFCA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4.97</w:t>
            </w:r>
          </w:p>
        </w:tc>
      </w:tr>
      <w:tr w:rsidR="005A3D18" w14:paraId="4A9A39E9" w14:textId="77777777" w:rsidTr="007D2A07">
        <w:trPr>
          <w:trHeight w:val="118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58733E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JAY A GRAWAL, C HRISTIAN C ATALINI,A VI G OLDFARB</w:t>
            </w:r>
          </w:p>
        </w:tc>
        <w:tc>
          <w:tcPr>
            <w:tcW w:w="2445"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4EDE9A3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Crowdfunding: Geography, Social Networks,and the Timing of Investment Decisions</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CCE97B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Economics &amp; Management Strategy</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C9EB3E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10.1111/jems.12093</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F695546"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550</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6F957E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6AD8A2B"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2.78</w:t>
            </w:r>
          </w:p>
        </w:tc>
      </w:tr>
      <w:tr w:rsidR="005A3D18" w14:paraId="03E196BC"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19AC728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Christopher Courtney, Supradeep Dutta, Yong Li</w:t>
            </w:r>
          </w:p>
        </w:tc>
        <w:tc>
          <w:tcPr>
            <w:tcW w:w="24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07B207C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Resolving information asymmetry: Signaling, endorsement, and </w:t>
            </w:r>
            <w:r>
              <w:rPr>
                <w:rFonts w:ascii="Times New Roman" w:eastAsia="Times New Roman" w:hAnsi="Times New Roman" w:cs="Times New Roman"/>
                <w:sz w:val="24"/>
                <w:szCs w:val="24"/>
              </w:rPr>
              <w:lastRenderedPageBreak/>
              <w:t>crowdfunding success</w:t>
            </w:r>
          </w:p>
        </w:tc>
        <w:tc>
          <w:tcPr>
            <w:tcW w:w="1110" w:type="dxa"/>
            <w:tcBorders>
              <w:top w:val="single" w:sz="6" w:space="0" w:color="CCCCCC"/>
              <w:left w:val="single" w:sz="6" w:space="0" w:color="CCCCCC"/>
              <w:bottom w:val="single" w:sz="6" w:space="0" w:color="9A9A9A"/>
              <w:right w:val="single" w:sz="6" w:space="0" w:color="9A9A9A"/>
            </w:tcBorders>
            <w:shd w:val="clear" w:color="auto" w:fill="FFFFFF"/>
            <w:tcMar>
              <w:top w:w="40" w:type="dxa"/>
              <w:left w:w="40" w:type="dxa"/>
              <w:bottom w:w="40" w:type="dxa"/>
              <w:right w:w="40" w:type="dxa"/>
            </w:tcMar>
            <w:vAlign w:val="center"/>
          </w:tcPr>
          <w:p w14:paraId="53E0036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Entrepreneurship theory and </w:t>
            </w:r>
            <w:r>
              <w:rPr>
                <w:rFonts w:ascii="Times New Roman" w:eastAsia="Times New Roman" w:hAnsi="Times New Roman" w:cs="Times New Roman"/>
                <w:sz w:val="24"/>
                <w:szCs w:val="24"/>
              </w:rPr>
              <w:lastRenderedPageBreak/>
              <w:t>practice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3EF582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10.1111/etap.12267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016239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475</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C612E8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52.78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741D6F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4.33</w:t>
            </w:r>
          </w:p>
        </w:tc>
      </w:tr>
      <w:tr w:rsidR="005A3D18" w14:paraId="450CE08A"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060503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Silvio Vismara</w:t>
            </w:r>
          </w:p>
        </w:tc>
        <w:tc>
          <w:tcPr>
            <w:tcW w:w="2445"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09F1FE0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Equity retention and social network theory in equity crowdfunding</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3AA7D2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Business Economics</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E8F1A2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10.1007/s11187-016-9710-4</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2EACCC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449</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4BDD90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44.9</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23C0EB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w:t>
            </w:r>
          </w:p>
        </w:tc>
      </w:tr>
      <w:tr w:rsidR="005A3D18" w14:paraId="4CEDCDA2"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1A0EDD1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Thomas H. Allison, Blakley Davis, Jeremy C Short, Justin W. Webb</w:t>
            </w:r>
          </w:p>
        </w:tc>
        <w:tc>
          <w:tcPr>
            <w:tcW w:w="24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47453FE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Crowdfunding in a prosocial microlending environment: Examining the role of intrinsic versus extrinsic cues</w:t>
            </w:r>
          </w:p>
        </w:tc>
        <w:tc>
          <w:tcPr>
            <w:tcW w:w="1110"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46B08A3B"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theory and practice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DB3DE0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10.1111/etap.12108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85AE37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1D5AD3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D63E8F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2.11</w:t>
            </w:r>
          </w:p>
        </w:tc>
      </w:tr>
      <w:tr w:rsidR="005A3D18" w14:paraId="1A9601C7"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9F6A1A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Annaleena Parhankangas a,Maija Renko b</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5A39F4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Linguistic style and crowdfunding success among social and commercial entrepreneurs</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121BE4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Business Venturing</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68CB98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10.1016/j.jbusvent.2016.11.001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FB72C5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413</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12BEDF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45.89</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D546AE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3.77</w:t>
            </w:r>
          </w:p>
        </w:tc>
      </w:tr>
      <w:tr w:rsidR="005A3D18" w14:paraId="325E93E0"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07CEEB5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Goran Calic, Elaine Mosakowski</w:t>
            </w:r>
          </w:p>
        </w:tc>
        <w:tc>
          <w:tcPr>
            <w:tcW w:w="2445"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2826227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Kicking Off Social Entrepreneurship: How A Sustainability Orientation Influences Crowdfunding Success</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A06321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management studies</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ABC489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10.1111/joms.12201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4389C9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ADC5CB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38.8</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2DDCF18"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3.49</w:t>
            </w:r>
          </w:p>
        </w:tc>
      </w:tr>
      <w:tr w:rsidR="005A3D18" w14:paraId="29BAF5FB"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715BCF2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Magdalena Cholakova,Bart Clarysse</w:t>
            </w:r>
          </w:p>
        </w:tc>
        <w:tc>
          <w:tcPr>
            <w:tcW w:w="24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6A267EF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Does the possibility to make equity investments in crowdfunding projects crowd out reward–based investments?</w:t>
            </w:r>
          </w:p>
        </w:tc>
        <w:tc>
          <w:tcPr>
            <w:tcW w:w="1110"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61E13F9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theory and practice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952563C"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10.1111/etap.12139</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6C2FA5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10B8EF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34.27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37850A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r>
      <w:tr w:rsidR="005A3D18" w14:paraId="771DFD2E"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47B5EF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Haichao Zheng a , Dahui Li b, Jing Wu a , Yun Xu a</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BF6CB1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role of multidimensional social capital in crowdfunding: A comparative study in China and US</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5DADB2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&amp; Management</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81677E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10.1016/j.im.2014.03.003</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1024CA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364</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0440E5B"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30.33</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DE78D2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0.99</w:t>
            </w:r>
          </w:p>
        </w:tc>
      </w:tr>
      <w:tr w:rsidR="005A3D18" w14:paraId="50B1FE3E"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5486D7E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Mingfeng Lin, Siva Viswanathan</w:t>
            </w:r>
          </w:p>
        </w:tc>
        <w:tc>
          <w:tcPr>
            <w:tcW w:w="2445"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5414AA7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Home Bias in Online Investments: An Empirical Study of an Online Crowdfunding Market</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7DCFF0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Science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431BC2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10.1287/mnsc.2015.2206</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30B74C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98D313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8A518B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3.25</w:t>
            </w:r>
          </w:p>
        </w:tc>
      </w:tr>
      <w:tr w:rsidR="005A3D18" w14:paraId="1CB60033"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57738197"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Joern H. Block &amp; Massimo G. Colombo &amp; Douglas J. Cumming &amp; Silvio Vismara</w:t>
            </w:r>
          </w:p>
        </w:tc>
        <w:tc>
          <w:tcPr>
            <w:tcW w:w="2445"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053F5B5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New players in entrepreneurial finance and why they are there</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AA0F2F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Small Business Economics</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B971646"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10.1007/s11187-016-9826-6</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E3E5C0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350</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95CBE1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43.75</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5F5AB3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4.53</w:t>
            </w:r>
          </w:p>
        </w:tc>
      </w:tr>
      <w:tr w:rsidR="005A3D18" w14:paraId="45A275C5"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D32663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Sheng Bi, Doctoral student ⁎, Zhiying Liu, Khalid Usman, Doctoral student</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61891776"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influence of online information on investing decisions of reward-based crowdfunding</w:t>
            </w:r>
          </w:p>
        </w:tc>
        <w:tc>
          <w:tcPr>
            <w:tcW w:w="1110"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6355F9E2"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Business Research</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460422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10.1016/j.jbusres.2016.10.001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2BD666A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333</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B2BD23A"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3B2CED90"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3.04</w:t>
            </w:r>
          </w:p>
        </w:tc>
      </w:tr>
      <w:tr w:rsidR="005A3D18" w14:paraId="59363EA3" w14:textId="77777777" w:rsidTr="007D2A07">
        <w:trPr>
          <w:trHeight w:val="915"/>
        </w:trPr>
        <w:tc>
          <w:tcPr>
            <w:tcW w:w="222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048CD2D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Blakley C. Davis a,⁎, Keith M. Hmieleski b , Justin W. Webb c , Joseph E. Coombs a</w:t>
            </w:r>
          </w:p>
        </w:tc>
        <w:tc>
          <w:tcPr>
            <w:tcW w:w="24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center"/>
          </w:tcPr>
          <w:p w14:paraId="29817ED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Funders' positive affective reactions to entrepreneurs' crowdfunding pitches: The influence of perceived product creativity and entrepreneurial passion</w:t>
            </w:r>
          </w:p>
        </w:tc>
        <w:tc>
          <w:tcPr>
            <w:tcW w:w="1110" w:type="dxa"/>
            <w:tcBorders>
              <w:top w:val="single" w:sz="6" w:space="0" w:color="CCCCCC"/>
              <w:left w:val="single" w:sz="6" w:space="0" w:color="CCCCCC"/>
              <w:bottom w:val="single" w:sz="6" w:space="0" w:color="CCCCCC"/>
              <w:right w:val="single" w:sz="6" w:space="0" w:color="9A9A9A"/>
            </w:tcBorders>
            <w:tcMar>
              <w:top w:w="40" w:type="dxa"/>
              <w:left w:w="40" w:type="dxa"/>
              <w:bottom w:w="40" w:type="dxa"/>
              <w:right w:w="40" w:type="dxa"/>
            </w:tcMar>
            <w:vAlign w:val="center"/>
          </w:tcPr>
          <w:p w14:paraId="67ECA85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Journal of Business Venturing</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D0228E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10.1016/j.jbusvent.2016.10.006</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6E915D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330</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6F6C75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36.67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44B563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3.01</w:t>
            </w:r>
          </w:p>
        </w:tc>
      </w:tr>
      <w:tr w:rsidR="005A3D18" w14:paraId="662D2AA7"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110DCCD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Silvio Vismara</w:t>
            </w:r>
          </w:p>
        </w:tc>
        <w:tc>
          <w:tcPr>
            <w:tcW w:w="24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5977C42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Information cascades among investors in equity crowdfunding</w:t>
            </w:r>
          </w:p>
        </w:tc>
        <w:tc>
          <w:tcPr>
            <w:tcW w:w="1110" w:type="dxa"/>
            <w:tcBorders>
              <w:top w:val="single" w:sz="6" w:space="0" w:color="CCCCCC"/>
              <w:left w:val="single" w:sz="6" w:space="0" w:color="CCCCCC"/>
              <w:bottom w:val="single" w:sz="6" w:space="0" w:color="9A9A9A"/>
              <w:right w:val="single" w:sz="6" w:space="0" w:color="9A9A9A"/>
            </w:tcBorders>
            <w:shd w:val="clear" w:color="auto" w:fill="FFFFFF"/>
            <w:tcMar>
              <w:top w:w="40" w:type="dxa"/>
              <w:left w:w="40" w:type="dxa"/>
              <w:bottom w:w="40" w:type="dxa"/>
              <w:right w:w="40" w:type="dxa"/>
            </w:tcMar>
            <w:vAlign w:val="center"/>
          </w:tcPr>
          <w:p w14:paraId="62ACA531"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Entrepreneurship theory and practice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144A3C45"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10.1111/etap.12261</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EF6D30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312</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5E0A4A3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BCF2E3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4.04</w:t>
            </w:r>
          </w:p>
        </w:tc>
      </w:tr>
      <w:tr w:rsidR="005A3D18" w14:paraId="51C8DEC4" w14:textId="77777777" w:rsidTr="007D2A07">
        <w:trPr>
          <w:trHeight w:val="630"/>
        </w:trPr>
        <w:tc>
          <w:tcPr>
            <w:tcW w:w="22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center"/>
          </w:tcPr>
          <w:p w14:paraId="6DCA42B9"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Ethan Mollick,Ramana Nanda</w:t>
            </w:r>
          </w:p>
        </w:tc>
        <w:tc>
          <w:tcPr>
            <w:tcW w:w="2445" w:type="dxa"/>
            <w:tcBorders>
              <w:top w:val="single" w:sz="6" w:space="0" w:color="CCCCCC"/>
              <w:left w:val="single" w:sz="6" w:space="0" w:color="CCCCCC"/>
              <w:bottom w:val="single" w:sz="6" w:space="0" w:color="CCCCCC"/>
              <w:right w:val="single" w:sz="6" w:space="0" w:color="9A9A9A"/>
            </w:tcBorders>
            <w:shd w:val="clear" w:color="auto" w:fill="FFFFFF"/>
            <w:tcMar>
              <w:top w:w="40" w:type="dxa"/>
              <w:left w:w="40" w:type="dxa"/>
              <w:bottom w:w="40" w:type="dxa"/>
              <w:right w:w="40" w:type="dxa"/>
            </w:tcMar>
            <w:vAlign w:val="center"/>
          </w:tcPr>
          <w:p w14:paraId="036EAF4B"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Wisdom or Madness? Comparing Crowds with Expert Evaluation in Funding the Arts</w:t>
            </w:r>
          </w:p>
        </w:tc>
        <w:tc>
          <w:tcPr>
            <w:tcW w:w="1110"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48477BEE"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 Science</w:t>
            </w:r>
          </w:p>
        </w:tc>
        <w:tc>
          <w:tcPr>
            <w:tcW w:w="130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96A2F53"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10.1287/mnsc.2015.2207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79A6897F"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04F5C134"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30.7</w:t>
            </w:r>
          </w:p>
        </w:tc>
        <w:tc>
          <w:tcPr>
            <w:tcW w:w="765" w:type="dxa"/>
            <w:tcBorders>
              <w:top w:val="single" w:sz="6" w:space="0" w:color="CCCCCC"/>
              <w:left w:val="single" w:sz="6" w:space="0" w:color="CCCCCC"/>
              <w:bottom w:val="single" w:sz="6" w:space="0" w:color="9A9A9A"/>
              <w:right w:val="single" w:sz="6" w:space="0" w:color="9A9A9A"/>
            </w:tcBorders>
            <w:tcMar>
              <w:top w:w="40" w:type="dxa"/>
              <w:left w:w="40" w:type="dxa"/>
              <w:bottom w:w="40" w:type="dxa"/>
              <w:right w:w="40" w:type="dxa"/>
            </w:tcMar>
            <w:vAlign w:val="center"/>
          </w:tcPr>
          <w:p w14:paraId="6301A94D" w14:textId="77777777" w:rsidR="005A3D18" w:rsidRDefault="005A3D18" w:rsidP="007D2A07">
            <w:pPr>
              <w:widowControl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2.76</w:t>
            </w:r>
          </w:p>
        </w:tc>
      </w:tr>
    </w:tbl>
    <w:p w14:paraId="2216DF58" w14:textId="77777777" w:rsidR="005A3D18" w:rsidRDefault="005A3D18" w:rsidP="005A3D18">
      <w:pPr>
        <w:jc w:val="both"/>
        <w:rPr>
          <w:rFonts w:ascii="Times New Roman" w:eastAsia="Times New Roman" w:hAnsi="Times New Roman" w:cs="Times New Roman"/>
        </w:rPr>
      </w:pPr>
      <w:r>
        <w:rPr>
          <w:rFonts w:ascii="Times New Roman" w:eastAsia="Times New Roman" w:hAnsi="Times New Roman" w:cs="Times New Roman"/>
        </w:rPr>
        <w:t>The table provides a detailed overview of the top globally cited articles, along with an explanation of Figure 2. It highlights the top 20 articles, ranked according to their global citation counts, and presents detailed information about each. The chart is created using the authors' names and their respective citation percentages. This information is important because these articles represent key discoveries, methodologies, or theories that influence future research directions and help establish standards and benchmarks for quality and innovation within the discipline. Normalized TC adjusts the citation count to account for factors like the age of the paper or differences across fields, and it allows fair comparison between papers published at different times or in different disciplines by removing biases related to citation accumulation over time or field-specific citation practices.</w:t>
      </w:r>
    </w:p>
    <w:p w14:paraId="6282FA26" w14:textId="77777777" w:rsidR="005A3D18" w:rsidRDefault="005A3D18" w:rsidP="005A3D18">
      <w:pPr>
        <w:jc w:val="both"/>
        <w:rPr>
          <w:rFonts w:ascii="Times New Roman" w:eastAsia="Times New Roman" w:hAnsi="Times New Roman" w:cs="Times New Roman"/>
          <w:sz w:val="24"/>
          <w:szCs w:val="24"/>
        </w:rPr>
      </w:pPr>
    </w:p>
    <w:p w14:paraId="55C37312" w14:textId="77777777" w:rsidR="005A3D18" w:rsidRDefault="005A3D18" w:rsidP="005A3D18">
      <w:pPr>
        <w:jc w:val="both"/>
        <w:rPr>
          <w:rFonts w:ascii="Times New Roman" w:eastAsia="Times New Roman" w:hAnsi="Times New Roman" w:cs="Times New Roman"/>
          <w:sz w:val="24"/>
          <w:szCs w:val="24"/>
        </w:rPr>
      </w:pPr>
    </w:p>
    <w:p w14:paraId="46226FA0" w14:textId="77777777" w:rsidR="005A3D18" w:rsidRDefault="005A3D18" w:rsidP="005A3D18">
      <w:pPr>
        <w:widowControl w:val="0"/>
        <w:pBdr>
          <w:top w:val="nil"/>
          <w:left w:val="nil"/>
          <w:bottom w:val="nil"/>
          <w:right w:val="nil"/>
          <w:between w:val="nil"/>
        </w:pBdr>
        <w:jc w:val="both"/>
        <w:rPr>
          <w:rFonts w:ascii="Times New Roman" w:eastAsia="Times New Roman" w:hAnsi="Times New Roman" w:cs="Times New Roman"/>
          <w:color w:val="222222"/>
          <w:sz w:val="24"/>
          <w:szCs w:val="24"/>
          <w:highlight w:val="white"/>
        </w:rPr>
      </w:pPr>
    </w:p>
    <w:p w14:paraId="15348ACF" w14:textId="77777777" w:rsidR="00F553FF" w:rsidRDefault="00F553FF"/>
    <w:sectPr w:rsidR="00F553FF" w:rsidSect="005A3D1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18"/>
    <w:rsid w:val="003C2EF4"/>
    <w:rsid w:val="00446799"/>
    <w:rsid w:val="004C4C93"/>
    <w:rsid w:val="005A3D18"/>
    <w:rsid w:val="006A7E07"/>
    <w:rsid w:val="00701021"/>
    <w:rsid w:val="00B74216"/>
    <w:rsid w:val="00D62F8C"/>
    <w:rsid w:val="00E97CD6"/>
    <w:rsid w:val="00F553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1C485"/>
  <w15:chartTrackingRefBased/>
  <w15:docId w15:val="{01B95593-A651-40A7-A498-CF976DEB4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D18"/>
    <w:pPr>
      <w:spacing w:after="0" w:line="276" w:lineRule="auto"/>
    </w:pPr>
    <w:rPr>
      <w:rFonts w:ascii="Arial" w:eastAsia="Arial" w:hAnsi="Arial" w:cs="Arial"/>
      <w:kern w:val="0"/>
      <w:sz w:val="22"/>
      <w:szCs w:val="22"/>
      <w:lang w:val="en"/>
      <w14:ligatures w14:val="none"/>
    </w:rPr>
  </w:style>
  <w:style w:type="paragraph" w:styleId="Heading1">
    <w:name w:val="heading 1"/>
    <w:basedOn w:val="Normal"/>
    <w:next w:val="Normal"/>
    <w:link w:val="Heading1Char"/>
    <w:uiPriority w:val="9"/>
    <w:qFormat/>
    <w:rsid w:val="005A3D1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5A3D1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5A3D1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5A3D1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5A3D1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5A3D1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5A3D1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5A3D18"/>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5A3D18"/>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3D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3D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3D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3D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3D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3D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D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D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D18"/>
    <w:rPr>
      <w:rFonts w:eastAsiaTheme="majorEastAsia" w:cstheme="majorBidi"/>
      <w:color w:val="272727" w:themeColor="text1" w:themeTint="D8"/>
    </w:rPr>
  </w:style>
  <w:style w:type="paragraph" w:styleId="Title">
    <w:name w:val="Title"/>
    <w:basedOn w:val="Normal"/>
    <w:next w:val="Normal"/>
    <w:link w:val="TitleChar"/>
    <w:uiPriority w:val="10"/>
    <w:qFormat/>
    <w:rsid w:val="005A3D18"/>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5A3D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3D1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5A3D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D18"/>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5A3D18"/>
    <w:rPr>
      <w:i/>
      <w:iCs/>
      <w:color w:val="404040" w:themeColor="text1" w:themeTint="BF"/>
    </w:rPr>
  </w:style>
  <w:style w:type="paragraph" w:styleId="ListParagraph">
    <w:name w:val="List Paragraph"/>
    <w:basedOn w:val="Normal"/>
    <w:uiPriority w:val="34"/>
    <w:qFormat/>
    <w:rsid w:val="005A3D18"/>
    <w:pPr>
      <w:spacing w:after="160"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5A3D18"/>
    <w:rPr>
      <w:i/>
      <w:iCs/>
      <w:color w:val="0F4761" w:themeColor="accent1" w:themeShade="BF"/>
    </w:rPr>
  </w:style>
  <w:style w:type="paragraph" w:styleId="IntenseQuote">
    <w:name w:val="Intense Quote"/>
    <w:basedOn w:val="Normal"/>
    <w:next w:val="Normal"/>
    <w:link w:val="IntenseQuoteChar"/>
    <w:uiPriority w:val="30"/>
    <w:qFormat/>
    <w:rsid w:val="005A3D1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5A3D18"/>
    <w:rPr>
      <w:i/>
      <w:iCs/>
      <w:color w:val="0F4761" w:themeColor="accent1" w:themeShade="BF"/>
    </w:rPr>
  </w:style>
  <w:style w:type="character" w:styleId="IntenseReference">
    <w:name w:val="Intense Reference"/>
    <w:basedOn w:val="DefaultParagraphFont"/>
    <w:uiPriority w:val="32"/>
    <w:qFormat/>
    <w:rsid w:val="005A3D1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591</Words>
  <Characters>4227</Characters>
  <Application>Microsoft Office Word</Application>
  <DocSecurity>0</DocSecurity>
  <Lines>145</Lines>
  <Paragraphs>63</Paragraphs>
  <ScaleCrop>false</ScaleCrop>
  <Company>Springer Nature</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2025-10-08T05:13:00Z</dcterms:created>
  <dcterms:modified xsi:type="dcterms:W3CDTF">2025-10-08T05:13:00Z</dcterms:modified>
</cp:coreProperties>
</file>