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373F" w14:textId="6D331895" w:rsidR="0005335D" w:rsidRDefault="00E77F10" w:rsidP="002B30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Benchmark source</w:t>
      </w:r>
    </w:p>
    <w:p w14:paraId="78D4FB8C" w14:textId="2FF712D6" w:rsidR="001F1F41" w:rsidRDefault="0018668E" w:rsidP="002B30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5D">
        <w:rPr>
          <w:rFonts w:ascii="Times New Roman" w:hAnsi="Times New Roman" w:cs="Times New Roman"/>
          <w:sz w:val="24"/>
          <w:szCs w:val="24"/>
        </w:rPr>
        <w:t>Medical Information Mart for Intensive Care IV (MIMIC IV) version 2.2</w:t>
      </w:r>
      <w:r w:rsidR="00D25F78">
        <w:rPr>
          <w:rFonts w:ascii="Times New Roman" w:hAnsi="Times New Roman" w:cs="Times New Roman"/>
          <w:sz w:val="24"/>
          <w:szCs w:val="24"/>
        </w:rPr>
        <w:t xml:space="preserve"> is</w:t>
      </w:r>
      <w:r w:rsidRPr="0005335D">
        <w:rPr>
          <w:rFonts w:ascii="Times New Roman" w:hAnsi="Times New Roman" w:cs="Times New Roman"/>
          <w:sz w:val="24"/>
          <w:szCs w:val="24"/>
        </w:rPr>
        <w:t xml:space="preserve"> a publicly available hospital database containing over 65,000 de-identified patient records from the Beth Israel Deaconess Medical Center in Boston</w:t>
      </w:r>
      <w:r w:rsidR="001F1F41">
        <w:rPr>
          <w:rFonts w:ascii="Times New Roman" w:hAnsi="Times New Roman" w:cs="Times New Roman"/>
          <w:sz w:val="24"/>
          <w:szCs w:val="24"/>
        </w:rPr>
        <w:t xml:space="preserve"> [1-2]</w:t>
      </w:r>
      <w:r w:rsidRPr="0005335D">
        <w:rPr>
          <w:rFonts w:ascii="Times New Roman" w:hAnsi="Times New Roman" w:cs="Times New Roman"/>
          <w:sz w:val="24"/>
          <w:szCs w:val="24"/>
        </w:rPr>
        <w:t>.</w:t>
      </w:r>
      <w:r w:rsidR="001F1F41" w:rsidRPr="0005335D">
        <w:rPr>
          <w:rFonts w:ascii="Times New Roman" w:hAnsi="Times New Roman" w:cs="Times New Roman"/>
          <w:sz w:val="24"/>
          <w:szCs w:val="24"/>
        </w:rPr>
        <w:t xml:space="preserve"> </w:t>
      </w:r>
      <w:r w:rsidRPr="00CC26B4">
        <w:rPr>
          <w:rFonts w:ascii="Times New Roman" w:hAnsi="Times New Roman" w:cs="Times New Roman"/>
          <w:sz w:val="24"/>
          <w:szCs w:val="24"/>
        </w:rPr>
        <w:t>Over 13 tables were used for this analysis, including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admissions_table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d_icd_diagnoses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d_icd_procedures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d_labitems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diagnoses_icd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drgcodes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hpcsevents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labevents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patients_table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ICU_stays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 and “</w:t>
      </w:r>
      <w:proofErr w:type="spellStart"/>
      <w:r w:rsidRPr="00CC26B4">
        <w:rPr>
          <w:rFonts w:ascii="Times New Roman" w:hAnsi="Times New Roman" w:cs="Times New Roman"/>
          <w:sz w:val="24"/>
          <w:szCs w:val="24"/>
        </w:rPr>
        <w:t>datetimeevents</w:t>
      </w:r>
      <w:proofErr w:type="spellEnd"/>
      <w:r w:rsidRPr="00CC26B4">
        <w:rPr>
          <w:rFonts w:ascii="Times New Roman" w:hAnsi="Times New Roman" w:cs="Times New Roman"/>
          <w:sz w:val="24"/>
          <w:szCs w:val="24"/>
        </w:rPr>
        <w:t>”.</w:t>
      </w:r>
    </w:p>
    <w:p w14:paraId="2EE08F21" w14:textId="77777777" w:rsidR="00B951C1" w:rsidRDefault="00B951C1" w:rsidP="002B30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DEF17D" w14:textId="6E5CF03F" w:rsidR="00FD4697" w:rsidRDefault="00FD4697" w:rsidP="00B951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Cohort selection </w:t>
      </w:r>
      <w:r w:rsidR="003E1A97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CB0324">
        <w:rPr>
          <w:rFonts w:ascii="Times New Roman" w:hAnsi="Times New Roman" w:cs="Times New Roman"/>
          <w:b/>
          <w:bCs/>
          <w:sz w:val="24"/>
          <w:szCs w:val="24"/>
        </w:rPr>
        <w:t xml:space="preserve"> benchmark source</w:t>
      </w:r>
    </w:p>
    <w:p w14:paraId="7641A5D6" w14:textId="3EB6E02D" w:rsidR="00ED31A8" w:rsidRPr="00946297" w:rsidRDefault="00ED31A8" w:rsidP="00ED31A8">
      <w:pPr>
        <w:pStyle w:val="JnlBody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 xml:space="preserve">Eligible patients </w:t>
      </w:r>
      <w:r>
        <w:rPr>
          <w:rFonts w:ascii="Times New Roman" w:hAnsi="Times New Roman"/>
          <w:sz w:val="24"/>
          <w:szCs w:val="24"/>
          <w:lang w:val="en-US"/>
        </w:rPr>
        <w:t xml:space="preserve">with HF 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were identified </w:t>
      </w:r>
      <w:r w:rsidR="00F50DE3">
        <w:rPr>
          <w:rFonts w:ascii="Times New Roman" w:hAnsi="Times New Roman"/>
          <w:sz w:val="24"/>
          <w:szCs w:val="24"/>
          <w:lang w:val="en-US"/>
        </w:rPr>
        <w:t>based on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principal diagnostic information and selected according to the following inclusion and exclusion criteria:</w:t>
      </w:r>
    </w:p>
    <w:p w14:paraId="4F83ED5D" w14:textId="77777777" w:rsidR="00ED31A8" w:rsidRPr="00946297" w:rsidRDefault="00ED31A8" w:rsidP="00ED31A8">
      <w:pPr>
        <w:pStyle w:val="JnlBody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>Patients are eligible if they were</w:t>
      </w:r>
    </w:p>
    <w:p w14:paraId="1335F4E9" w14:textId="21E7E2EA" w:rsidR="00ED31A8" w:rsidRPr="00946297" w:rsidRDefault="00ED31A8" w:rsidP="00ED31A8">
      <w:pPr>
        <w:pStyle w:val="JnlBody"/>
        <w:numPr>
          <w:ilvl w:val="1"/>
          <w:numId w:val="4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 xml:space="preserve">first </w:t>
      </w:r>
      <w:r w:rsidR="00002D04">
        <w:rPr>
          <w:rFonts w:ascii="Times New Roman" w:hAnsi="Times New Roman"/>
          <w:sz w:val="24"/>
          <w:szCs w:val="24"/>
          <w:lang w:val="en-US"/>
        </w:rPr>
        <w:t xml:space="preserve">ever </w:t>
      </w:r>
      <w:r w:rsidRPr="00946297">
        <w:rPr>
          <w:rFonts w:ascii="Times New Roman" w:hAnsi="Times New Roman"/>
          <w:sz w:val="24"/>
          <w:szCs w:val="24"/>
          <w:lang w:val="en-US"/>
        </w:rPr>
        <w:t>diagnosed with cardiovascular disease on inpatient hospital admission with ICD-10</w:t>
      </w:r>
      <w:r>
        <w:rPr>
          <w:rFonts w:ascii="Times New Roman" w:hAnsi="Times New Roman"/>
          <w:sz w:val="24"/>
          <w:szCs w:val="24"/>
          <w:lang w:val="en-US"/>
        </w:rPr>
        <w:t xml:space="preserve"> code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I50</w:t>
      </w:r>
      <w:r w:rsidR="00002D04">
        <w:rPr>
          <w:rFonts w:ascii="Times New Roman" w:hAnsi="Times New Roman"/>
          <w:sz w:val="24"/>
          <w:szCs w:val="24"/>
          <w:lang w:val="en-US"/>
        </w:rPr>
        <w:t xml:space="preserve"> during</w:t>
      </w:r>
      <w:r w:rsidR="004A667A">
        <w:rPr>
          <w:rFonts w:ascii="Times New Roman" w:hAnsi="Times New Roman"/>
          <w:sz w:val="24"/>
          <w:szCs w:val="24"/>
          <w:lang w:val="en-US"/>
        </w:rPr>
        <w:t xml:space="preserve"> 2008-2019 </w:t>
      </w:r>
      <w:r w:rsidRPr="00946297">
        <w:rPr>
          <w:rFonts w:ascii="Times New Roman" w:hAnsi="Times New Roman"/>
          <w:sz w:val="24"/>
          <w:szCs w:val="24"/>
          <w:lang w:val="en-US"/>
        </w:rPr>
        <w:t>(the index stay).</w:t>
      </w:r>
    </w:p>
    <w:p w14:paraId="1801463E" w14:textId="77777777" w:rsidR="00ED31A8" w:rsidRPr="00946297" w:rsidRDefault="00ED31A8" w:rsidP="00ED31A8">
      <w:pPr>
        <w:pStyle w:val="JnlBody"/>
        <w:numPr>
          <w:ilvl w:val="1"/>
          <w:numId w:val="4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 xml:space="preserve">aged 18 years and over who were alive beyond the selected window of days after the first </w:t>
      </w:r>
      <w:r>
        <w:rPr>
          <w:rFonts w:ascii="Times New Roman" w:hAnsi="Times New Roman"/>
          <w:sz w:val="24"/>
          <w:szCs w:val="24"/>
          <w:lang w:val="en-US"/>
        </w:rPr>
        <w:t>HF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hospital separation </w:t>
      </w:r>
    </w:p>
    <w:p w14:paraId="03F089D3" w14:textId="329FF43E" w:rsidR="00ED31A8" w:rsidRPr="00946297" w:rsidRDefault="00ED31A8" w:rsidP="00ED31A8">
      <w:pPr>
        <w:pStyle w:val="JnlBody"/>
        <w:numPr>
          <w:ilvl w:val="1"/>
          <w:numId w:val="4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 xml:space="preserve">readmitted </w:t>
      </w:r>
      <w:r>
        <w:rPr>
          <w:rFonts w:ascii="Times New Roman" w:hAnsi="Times New Roman"/>
          <w:sz w:val="24"/>
          <w:szCs w:val="24"/>
          <w:lang w:val="en-US"/>
        </w:rPr>
        <w:t>is unplanned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DE41A33" w14:textId="77777777" w:rsidR="00ED31A8" w:rsidRPr="00946297" w:rsidRDefault="00ED31A8" w:rsidP="00ED31A8">
      <w:pPr>
        <w:pStyle w:val="Bullet3"/>
        <w:tabs>
          <w:tab w:val="clear" w:pos="360"/>
        </w:tabs>
        <w:spacing w:before="0" w:line="360" w:lineRule="auto"/>
        <w:ind w:left="720" w:hanging="360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>Patients were excluded if they:</w:t>
      </w:r>
    </w:p>
    <w:p w14:paraId="72CDF95B" w14:textId="77777777" w:rsidR="00ED31A8" w:rsidRPr="00946297" w:rsidRDefault="00ED31A8" w:rsidP="00ED31A8">
      <w:pPr>
        <w:pStyle w:val="JnlBody"/>
        <w:numPr>
          <w:ilvl w:val="1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 xml:space="preserve">died during </w:t>
      </w:r>
      <w:r>
        <w:rPr>
          <w:rFonts w:ascii="Times New Roman" w:hAnsi="Times New Roman"/>
          <w:sz w:val="24"/>
          <w:szCs w:val="24"/>
          <w:lang w:val="en-US"/>
        </w:rPr>
        <w:t>the index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hospital episode of care or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/>
          <w:sz w:val="24"/>
          <w:szCs w:val="24"/>
          <w:lang w:val="en-US"/>
        </w:rPr>
        <w:t>vulnerable period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after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discharged from the </w:t>
      </w:r>
      <w:r w:rsidRPr="00946297">
        <w:rPr>
          <w:rFonts w:ascii="Times New Roman" w:hAnsi="Times New Roman"/>
          <w:sz w:val="24"/>
          <w:szCs w:val="24"/>
          <w:lang w:val="en-US"/>
        </w:rPr>
        <w:t xml:space="preserve">index hospital </w:t>
      </w:r>
      <w:r>
        <w:rPr>
          <w:rFonts w:ascii="Times New Roman" w:hAnsi="Times New Roman"/>
          <w:sz w:val="24"/>
          <w:szCs w:val="24"/>
          <w:lang w:val="en-US"/>
        </w:rPr>
        <w:t>admission</w:t>
      </w:r>
      <w:r w:rsidRPr="00946297">
        <w:rPr>
          <w:rFonts w:ascii="Times New Roman" w:hAnsi="Times New Roman"/>
          <w:sz w:val="24"/>
          <w:szCs w:val="24"/>
          <w:lang w:val="en-US"/>
        </w:rPr>
        <w:t>.</w:t>
      </w:r>
    </w:p>
    <w:p w14:paraId="62E4084D" w14:textId="793FC495" w:rsidR="00ED31A8" w:rsidRPr="00946297" w:rsidRDefault="00ED31A8" w:rsidP="00ED31A8">
      <w:pPr>
        <w:pStyle w:val="JnlBody"/>
        <w:numPr>
          <w:ilvl w:val="1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 xml:space="preserve">identified their </w:t>
      </w:r>
      <w:r w:rsidR="00DA4ABC">
        <w:rPr>
          <w:rFonts w:ascii="Times New Roman" w:hAnsi="Times New Roman"/>
          <w:sz w:val="24"/>
          <w:szCs w:val="24"/>
          <w:lang w:val="en-US"/>
        </w:rPr>
        <w:t>gender other than females or males</w:t>
      </w:r>
      <w:r w:rsidRPr="00946297">
        <w:rPr>
          <w:rFonts w:ascii="Times New Roman" w:hAnsi="Times New Roman"/>
          <w:sz w:val="24"/>
          <w:szCs w:val="24"/>
          <w:lang w:val="en-US"/>
        </w:rPr>
        <w:t>.</w:t>
      </w:r>
    </w:p>
    <w:p w14:paraId="611F4FB5" w14:textId="77777777" w:rsidR="00ED31A8" w:rsidRDefault="00ED31A8" w:rsidP="00ED31A8">
      <w:pPr>
        <w:pStyle w:val="JnlBody"/>
        <w:numPr>
          <w:ilvl w:val="1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 w:rsidRPr="00946297">
        <w:rPr>
          <w:rFonts w:ascii="Times New Roman" w:hAnsi="Times New Roman"/>
          <w:sz w:val="24"/>
          <w:szCs w:val="24"/>
          <w:lang w:val="en-US"/>
        </w:rPr>
        <w:t>contained records with invalid or missing medical coding or temporal information</w:t>
      </w:r>
    </w:p>
    <w:p w14:paraId="134FC4E8" w14:textId="1E656DCF" w:rsidR="00ED31A8" w:rsidRPr="00ED31A8" w:rsidRDefault="00ED31A8" w:rsidP="00FD4697">
      <w:pPr>
        <w:pStyle w:val="JnlBody"/>
        <w:numPr>
          <w:ilvl w:val="1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readmitted for planned hospital services </w:t>
      </w:r>
    </w:p>
    <w:p w14:paraId="0B2A7230" w14:textId="77777777" w:rsidR="003E1A97" w:rsidRDefault="003E1A97" w:rsidP="00FD46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187CC" w14:textId="7959D698" w:rsidR="00476DEE" w:rsidRDefault="00A70AEA" w:rsidP="00FD46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Group definition and Outcome ascertainment </w:t>
      </w:r>
      <w:r w:rsidR="003E1A97">
        <w:rPr>
          <w:rFonts w:ascii="Times New Roman" w:hAnsi="Times New Roman" w:cs="Times New Roman"/>
          <w:b/>
          <w:bCs/>
          <w:sz w:val="24"/>
          <w:szCs w:val="24"/>
        </w:rPr>
        <w:t>in benchmark source</w:t>
      </w:r>
    </w:p>
    <w:p w14:paraId="2D50E57D" w14:textId="00F26803" w:rsidR="00227141" w:rsidRDefault="00F50DE3" w:rsidP="0094705C">
      <w:pPr>
        <w:pStyle w:val="JnlBody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As </w:t>
      </w:r>
      <w:r w:rsidRPr="003B3EB0">
        <w:rPr>
          <w:rFonts w:ascii="Times New Roman" w:hAnsi="Times New Roman"/>
          <w:sz w:val="24"/>
          <w:szCs w:val="24"/>
          <w:lang w:val="en-US"/>
        </w:rPr>
        <w:t>date and times were shifted randomly into the future using an offset measured in days</w:t>
      </w:r>
      <w:r>
        <w:rPr>
          <w:rFonts w:ascii="Times New Roman" w:hAnsi="Times New Roman"/>
          <w:sz w:val="24"/>
          <w:szCs w:val="24"/>
          <w:lang w:val="en-US"/>
        </w:rPr>
        <w:t xml:space="preserve"> in MIMIC, </w:t>
      </w:r>
      <w:r w:rsidR="00143977">
        <w:rPr>
          <w:rFonts w:ascii="Times New Roman" w:hAnsi="Times New Roman"/>
          <w:sz w:val="24"/>
          <w:szCs w:val="24"/>
          <w:lang w:val="en-US"/>
        </w:rPr>
        <w:t xml:space="preserve">yet </w:t>
      </w:r>
      <w:r w:rsidR="0094705C">
        <w:rPr>
          <w:rFonts w:ascii="Times New Roman" w:hAnsi="Times New Roman"/>
          <w:sz w:val="24"/>
          <w:szCs w:val="24"/>
          <w:lang w:val="en-US"/>
        </w:rPr>
        <w:t>t</w:t>
      </w:r>
      <w:r w:rsidR="0094705C" w:rsidRPr="0094705C">
        <w:rPr>
          <w:rFonts w:ascii="Times New Roman" w:hAnsi="Times New Roman"/>
          <w:sz w:val="24"/>
          <w:szCs w:val="24"/>
          <w:lang w:val="en-US"/>
        </w:rPr>
        <w:t xml:space="preserve">he data for a single patient are internally </w:t>
      </w:r>
      <w:r w:rsidR="00CB19F0" w:rsidRPr="0094705C">
        <w:rPr>
          <w:rFonts w:ascii="Times New Roman" w:hAnsi="Times New Roman"/>
          <w:sz w:val="24"/>
          <w:szCs w:val="24"/>
          <w:lang w:val="en-US"/>
        </w:rPr>
        <w:t>consistent</w:t>
      </w:r>
      <w:r w:rsidR="00CB19F0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AB7350">
        <w:rPr>
          <w:rFonts w:ascii="Times New Roman" w:hAnsi="Times New Roman"/>
          <w:sz w:val="24"/>
          <w:szCs w:val="24"/>
          <w:lang w:val="en-US"/>
        </w:rPr>
        <w:t>1]</w:t>
      </w:r>
      <w:r w:rsidR="0094705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772ED">
        <w:rPr>
          <w:rFonts w:ascii="Times New Roman" w:hAnsi="Times New Roman"/>
          <w:sz w:val="24"/>
          <w:szCs w:val="24"/>
          <w:lang w:val="en-US"/>
        </w:rPr>
        <w:t>E</w:t>
      </w:r>
      <w:r w:rsidR="00227141">
        <w:rPr>
          <w:rFonts w:ascii="Times New Roman" w:hAnsi="Times New Roman"/>
          <w:sz w:val="24"/>
          <w:szCs w:val="24"/>
          <w:lang w:val="en-US"/>
        </w:rPr>
        <w:t xml:space="preserve">ligible participants were categorized into three groups: </w:t>
      </w:r>
    </w:p>
    <w:p w14:paraId="1380AF66" w14:textId="77777777" w:rsidR="00227141" w:rsidRDefault="00227141" w:rsidP="00227141">
      <w:pPr>
        <w:pStyle w:val="JnlBody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within 30 days (</w:t>
      </w:r>
      <w:r w:rsidRPr="005C2C6F">
        <w:rPr>
          <w:rFonts w:ascii="Times New Roman" w:hAnsi="Times New Roman"/>
          <w:sz w:val="24"/>
          <w:szCs w:val="24"/>
          <w:lang w:val="en-US"/>
        </w:rPr>
        <w:t>early vulnerable period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4AD59E5E" w14:textId="77777777" w:rsidR="00227141" w:rsidRDefault="00227141" w:rsidP="00227141">
      <w:pPr>
        <w:pStyle w:val="JnlBody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30 to 90 days (</w:t>
      </w:r>
      <w:r w:rsidRPr="005C2C6F">
        <w:rPr>
          <w:rFonts w:ascii="Times New Roman" w:hAnsi="Times New Roman"/>
          <w:sz w:val="24"/>
          <w:szCs w:val="24"/>
          <w:lang w:val="en-US"/>
        </w:rPr>
        <w:t>intermediate vulnerable period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14:paraId="00294C7A" w14:textId="77777777" w:rsidR="00227141" w:rsidRDefault="00227141" w:rsidP="00227141">
      <w:pPr>
        <w:pStyle w:val="JnlBody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90 to 180 days (</w:t>
      </w:r>
      <w:r w:rsidRPr="00AF0D12">
        <w:rPr>
          <w:rFonts w:ascii="Times New Roman" w:hAnsi="Times New Roman"/>
          <w:sz w:val="24"/>
          <w:szCs w:val="24"/>
          <w:lang w:val="en-US"/>
        </w:rPr>
        <w:t>late vulnerable period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14:paraId="12295C8F" w14:textId="5186E677" w:rsidR="00227141" w:rsidRPr="00AF0D12" w:rsidRDefault="00336C91" w:rsidP="00227141">
      <w:pPr>
        <w:pStyle w:val="JnlBody"/>
        <w:spacing w:line="36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Patients with HF who have </w:t>
      </w:r>
      <w:r w:rsidR="00145208">
        <w:rPr>
          <w:rFonts w:ascii="Times New Roman" w:hAnsi="Times New Roman"/>
          <w:sz w:val="24"/>
          <w:szCs w:val="24"/>
          <w:lang w:val="en-US"/>
        </w:rPr>
        <w:t>at least one</w:t>
      </w:r>
      <w:r>
        <w:rPr>
          <w:rFonts w:ascii="Times New Roman" w:hAnsi="Times New Roman"/>
          <w:sz w:val="24"/>
          <w:szCs w:val="24"/>
          <w:lang w:val="en-US"/>
        </w:rPr>
        <w:t xml:space="preserve"> subsequent </w:t>
      </w:r>
      <w:r w:rsidR="0002242D">
        <w:rPr>
          <w:rFonts w:ascii="Times New Roman" w:hAnsi="Times New Roman"/>
          <w:sz w:val="24"/>
          <w:szCs w:val="24"/>
          <w:lang w:val="en-US"/>
        </w:rPr>
        <w:t xml:space="preserve">all-cause hospitalization </w:t>
      </w:r>
      <w:r w:rsidR="00145208">
        <w:rPr>
          <w:rFonts w:ascii="Times New Roman" w:hAnsi="Times New Roman"/>
          <w:sz w:val="24"/>
          <w:szCs w:val="24"/>
          <w:lang w:val="en-US"/>
        </w:rPr>
        <w:t>within the selected window have been identified into</w:t>
      </w:r>
      <w:r w:rsidR="0097338A">
        <w:rPr>
          <w:rFonts w:ascii="Times New Roman" w:hAnsi="Times New Roman"/>
          <w:sz w:val="24"/>
          <w:szCs w:val="24"/>
          <w:lang w:val="en-US"/>
        </w:rPr>
        <w:t xml:space="preserve"> readmission group. </w:t>
      </w:r>
      <w:r w:rsidR="00227141" w:rsidRPr="00AF0D12">
        <w:rPr>
          <w:rFonts w:ascii="Times New Roman" w:hAnsi="Times New Roman"/>
          <w:sz w:val="24"/>
          <w:szCs w:val="24"/>
          <w:lang w:val="en-US"/>
        </w:rPr>
        <w:t xml:space="preserve">Non-readmitted patients were defined as those who </w:t>
      </w:r>
      <w:r w:rsidR="0097338A">
        <w:rPr>
          <w:rFonts w:ascii="Times New Roman" w:hAnsi="Times New Roman"/>
          <w:sz w:val="24"/>
          <w:szCs w:val="24"/>
          <w:lang w:val="en-US"/>
        </w:rPr>
        <w:t>had no</w:t>
      </w:r>
      <w:r w:rsidR="00227141" w:rsidRPr="00AF0D12">
        <w:rPr>
          <w:rFonts w:ascii="Times New Roman" w:hAnsi="Times New Roman"/>
          <w:sz w:val="24"/>
          <w:szCs w:val="24"/>
          <w:lang w:val="en-US"/>
        </w:rPr>
        <w:t xml:space="preserve"> subsequent </w:t>
      </w:r>
      <w:r w:rsidR="00227141">
        <w:rPr>
          <w:rFonts w:ascii="Times New Roman" w:hAnsi="Times New Roman"/>
          <w:sz w:val="24"/>
          <w:szCs w:val="24"/>
          <w:lang w:val="en-US"/>
        </w:rPr>
        <w:t xml:space="preserve">hospital revisits </w:t>
      </w:r>
      <w:r w:rsidR="0097338A">
        <w:rPr>
          <w:rFonts w:ascii="Times New Roman" w:hAnsi="Times New Roman"/>
          <w:sz w:val="24"/>
          <w:szCs w:val="24"/>
          <w:lang w:val="en-US"/>
        </w:rPr>
        <w:t xml:space="preserve">but </w:t>
      </w:r>
      <w:r w:rsidR="007E28A7">
        <w:rPr>
          <w:rFonts w:ascii="Times New Roman" w:hAnsi="Times New Roman"/>
          <w:sz w:val="24"/>
          <w:szCs w:val="24"/>
          <w:lang w:val="en-US"/>
        </w:rPr>
        <w:t>were</w:t>
      </w:r>
      <w:r w:rsidR="000D18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338A">
        <w:rPr>
          <w:rFonts w:ascii="Times New Roman" w:hAnsi="Times New Roman"/>
          <w:sz w:val="24"/>
          <w:szCs w:val="24"/>
          <w:lang w:val="en-US"/>
        </w:rPr>
        <w:t>alive</w:t>
      </w:r>
      <w:r w:rsidR="000D18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3218">
        <w:rPr>
          <w:rFonts w:ascii="Times New Roman" w:hAnsi="Times New Roman"/>
          <w:sz w:val="24"/>
          <w:szCs w:val="24"/>
          <w:lang w:val="en-US"/>
        </w:rPr>
        <w:t>for at least a year</w:t>
      </w:r>
      <w:r w:rsidR="00227141" w:rsidRPr="00AF0D12">
        <w:rPr>
          <w:rFonts w:ascii="Times New Roman" w:hAnsi="Times New Roman"/>
          <w:sz w:val="24"/>
          <w:szCs w:val="24"/>
          <w:lang w:val="en-US"/>
        </w:rPr>
        <w:t>. Age and sex often served as confounding factors in comparisons. Therefore, the matched non-readmission group was extracted at a case-to-control ratio of 1:2.</w:t>
      </w:r>
    </w:p>
    <w:p w14:paraId="3DC2E3F6" w14:textId="77777777" w:rsidR="00BD64CD" w:rsidRDefault="00BD64CD" w:rsidP="002B30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4989F" w14:textId="43195446" w:rsidR="002B30B0" w:rsidRPr="00623E18" w:rsidRDefault="002B30B0" w:rsidP="002B30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3E1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proofErr w:type="spellEnd"/>
      <w:r w:rsidRPr="00623E18">
        <w:rPr>
          <w:rFonts w:ascii="Times New Roman" w:hAnsi="Times New Roman" w:cs="Times New Roman"/>
          <w:b/>
          <w:bCs/>
          <w:sz w:val="24"/>
          <w:szCs w:val="24"/>
        </w:rPr>
        <w:t xml:space="preserve">. Assessment results of </w:t>
      </w:r>
      <w:r>
        <w:rPr>
          <w:rFonts w:ascii="Times New Roman" w:hAnsi="Times New Roman" w:cs="Times New Roman"/>
          <w:b/>
          <w:bCs/>
          <w:sz w:val="24"/>
          <w:szCs w:val="24"/>
        </w:rPr>
        <w:t>MIMIC</w:t>
      </w:r>
      <w:r w:rsidRPr="00623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054">
        <w:rPr>
          <w:rFonts w:ascii="Times New Roman" w:hAnsi="Times New Roman" w:cs="Times New Roman"/>
          <w:b/>
          <w:bCs/>
          <w:sz w:val="24"/>
          <w:szCs w:val="24"/>
        </w:rPr>
        <w:t xml:space="preserve">IV version 2.0 </w:t>
      </w:r>
      <w:r w:rsidRPr="00623E18">
        <w:rPr>
          <w:rFonts w:ascii="Times New Roman" w:hAnsi="Times New Roman" w:cs="Times New Roman"/>
          <w:b/>
          <w:bCs/>
          <w:sz w:val="24"/>
          <w:szCs w:val="24"/>
        </w:rPr>
        <w:t>data source quality.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12023"/>
      </w:tblGrid>
      <w:tr w:rsidR="002B30B0" w14:paraId="0C14EFDA" w14:textId="77777777" w:rsidTr="00D4283C">
        <w:trPr>
          <w:trHeight w:val="465"/>
        </w:trPr>
        <w:tc>
          <w:tcPr>
            <w:tcW w:w="1907" w:type="dxa"/>
          </w:tcPr>
          <w:p w14:paraId="0C9FE382" w14:textId="77777777" w:rsidR="002B30B0" w:rsidRPr="007449CD" w:rsidRDefault="002B30B0" w:rsidP="00FE47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Dimension</w:t>
            </w:r>
          </w:p>
        </w:tc>
        <w:tc>
          <w:tcPr>
            <w:tcW w:w="12023" w:type="dxa"/>
          </w:tcPr>
          <w:p w14:paraId="6CE79A3C" w14:textId="77777777" w:rsidR="002B30B0" w:rsidRPr="007449CD" w:rsidRDefault="002B30B0" w:rsidP="00FE47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results</w:t>
            </w:r>
          </w:p>
        </w:tc>
      </w:tr>
      <w:tr w:rsidR="002B30B0" w14:paraId="6006E03C" w14:textId="77777777" w:rsidTr="00D4283C">
        <w:trPr>
          <w:trHeight w:val="1885"/>
        </w:trPr>
        <w:tc>
          <w:tcPr>
            <w:tcW w:w="1907" w:type="dxa"/>
          </w:tcPr>
          <w:p w14:paraId="1A424202" w14:textId="77777777" w:rsidR="002B30B0" w:rsidRPr="006039BD" w:rsidRDefault="002B30B0" w:rsidP="00FE479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FA0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Currency</w:t>
            </w:r>
            <w:r w:rsidRPr="00F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3" w:type="dxa"/>
          </w:tcPr>
          <w:p w14:paraId="16DAF052" w14:textId="77777777" w:rsidR="00513DC1" w:rsidRDefault="005C6E55" w:rsidP="00032D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03">
              <w:rPr>
                <w:rFonts w:ascii="Times New Roman" w:hAnsi="Times New Roman" w:cs="Times New Roman"/>
                <w:sz w:val="24"/>
                <w:szCs w:val="24"/>
              </w:rPr>
              <w:t>MIMIC</w:t>
            </w:r>
            <w:r w:rsidR="00EE62CA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B03">
              <w:rPr>
                <w:rFonts w:ascii="Times New Roman" w:hAnsi="Times New Roman" w:cs="Times New Roman"/>
                <w:sz w:val="24"/>
                <w:szCs w:val="24"/>
              </w:rPr>
              <w:t>contained all medical record numbers corresponding to patients admitted to an ICU or the emergency department between 2008</w:t>
            </w:r>
            <w:r w:rsidR="00945B03" w:rsidRPr="00945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B03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  <w:r w:rsidR="00945B03" w:rsidRPr="00945B03">
              <w:rPr>
                <w:rFonts w:ascii="Times New Roman" w:hAnsi="Times New Roman" w:cs="Times New Roman"/>
                <w:sz w:val="24"/>
                <w:szCs w:val="24"/>
              </w:rPr>
              <w:t xml:space="preserve"> However, </w:t>
            </w:r>
            <w:r w:rsidR="00945B03">
              <w:rPr>
                <w:rFonts w:ascii="Times New Roman" w:hAnsi="Times New Roman" w:cs="Times New Roman"/>
                <w:sz w:val="24"/>
                <w:szCs w:val="24"/>
              </w:rPr>
              <w:t>to balance public utilisation and ethical c</w:t>
            </w:r>
            <w:r w:rsidR="00466E4C">
              <w:rPr>
                <w:rFonts w:ascii="Times New Roman" w:hAnsi="Times New Roman" w:cs="Times New Roman"/>
                <w:sz w:val="24"/>
                <w:szCs w:val="24"/>
              </w:rPr>
              <w:t xml:space="preserve">onfiguration, the </w:t>
            </w:r>
            <w:r w:rsidR="00696996" w:rsidRPr="00696996">
              <w:rPr>
                <w:rFonts w:ascii="Times New Roman" w:hAnsi="Times New Roman" w:cs="Times New Roman"/>
                <w:sz w:val="24"/>
                <w:szCs w:val="24"/>
              </w:rPr>
              <w:t>date and times were shifted randomly into the future using an offset measured in days. </w:t>
            </w:r>
            <w:r w:rsidR="008B2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2C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B2ED6" w:rsidRPr="008B2ED6">
              <w:rPr>
                <w:rFonts w:ascii="Times New Roman" w:hAnsi="Times New Roman" w:cs="Times New Roman"/>
                <w:sz w:val="24"/>
                <w:szCs w:val="24"/>
              </w:rPr>
              <w:t>he data for a single patient are internally consistent</w:t>
            </w:r>
            <w:r w:rsidR="00525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ED6">
              <w:rPr>
                <w:rFonts w:ascii="Times New Roman" w:hAnsi="Times New Roman" w:cs="Times New Roman"/>
                <w:sz w:val="24"/>
                <w:szCs w:val="24"/>
              </w:rPr>
              <w:t>yet</w:t>
            </w:r>
            <w:r w:rsidR="00F372B6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8B2ED6">
              <w:rPr>
                <w:rFonts w:ascii="Times New Roman" w:hAnsi="Times New Roman" w:cs="Times New Roman"/>
                <w:sz w:val="24"/>
                <w:szCs w:val="24"/>
              </w:rPr>
              <w:t xml:space="preserve"> incomparable cross the </w:t>
            </w:r>
            <w:r w:rsidR="005335BF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r w:rsidR="00412CD1">
              <w:rPr>
                <w:rFonts w:ascii="Times New Roman" w:hAnsi="Times New Roman" w:cs="Times New Roman"/>
                <w:sz w:val="24"/>
                <w:szCs w:val="24"/>
              </w:rPr>
              <w:t xml:space="preserve"> [1-2]</w:t>
            </w:r>
            <w:r w:rsidR="008B2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C3B516" w14:textId="6497F274" w:rsidR="00F0165B" w:rsidRPr="00706D37" w:rsidRDefault="00F0165B" w:rsidP="00032D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B0" w14:paraId="6AEB1A9B" w14:textId="77777777" w:rsidTr="00F0165B">
        <w:trPr>
          <w:trHeight w:val="4850"/>
        </w:trPr>
        <w:tc>
          <w:tcPr>
            <w:tcW w:w="1907" w:type="dxa"/>
          </w:tcPr>
          <w:p w14:paraId="02D5566F" w14:textId="77777777" w:rsidR="002B30B0" w:rsidRPr="006039BD" w:rsidRDefault="002B30B0" w:rsidP="00FE479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FA0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Completeness</w:t>
            </w:r>
            <w:r w:rsidRPr="00FA00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023" w:type="dxa"/>
          </w:tcPr>
          <w:p w14:paraId="4D61A4BC" w14:textId="15BBE7B0" w:rsidR="002B30B0" w:rsidRPr="005B4D32" w:rsidRDefault="002B30B0" w:rsidP="00FE4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One of the challenges in studying unplanned hospital readmissions is that a patient is likely to be readmitted to a different hospital, which may not be captured by a single hospital's information system.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on the Bureau of health information June 2015 to June 2018 report, 18% of heart failure patients readmitted to a different hospital</w:t>
            </w:r>
            <w:r w:rsidR="00AA576A">
              <w:rPr>
                <w:rFonts w:ascii="Times New Roman" w:hAnsi="Times New Roman" w:cs="Times New Roman"/>
                <w:sz w:val="24"/>
                <w:szCs w:val="24"/>
              </w:rPr>
              <w:t xml:space="preserve"> in Australia</w:t>
            </w:r>
            <w:r w:rsidR="00A1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D7E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7B4E">
              <w:rPr>
                <w:rFonts w:ascii="Times New Roman" w:hAnsi="Times New Roman" w:cs="Times New Roman"/>
                <w:sz w:val="24"/>
                <w:szCs w:val="24"/>
              </w:rPr>
              <w:t>MIMIC is a single-site hospital database</w:t>
            </w:r>
            <w:r w:rsidR="006D5E0E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6D5E0E" w:rsidRPr="006D5E0E">
              <w:rPr>
                <w:rFonts w:ascii="Times New Roman" w:hAnsi="Times New Roman" w:cs="Times New Roman"/>
                <w:sz w:val="24"/>
                <w:szCs w:val="24"/>
              </w:rPr>
              <w:t>Beth Israel Deaconess Medical Center</w:t>
            </w:r>
            <w:r w:rsidR="006D5E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5E0E" w:rsidRPr="008752DC">
              <w:rPr>
                <w:rFonts w:ascii="Times New Roman" w:hAnsi="Times New Roman" w:cs="Times New Roman"/>
                <w:sz w:val="24"/>
                <w:szCs w:val="24"/>
              </w:rPr>
              <w:t>BIDMC</w:t>
            </w:r>
            <w:r w:rsidR="006D5E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17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E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F4B6D" w:rsidRPr="005C51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onsequently</w:t>
            </w:r>
            <w:r w:rsidRPr="005C51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 readmissions following a patient's first heart failure stay at the index hospital tend to be underestimated, potentially leading to biased conclusions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</w:p>
          <w:p w14:paraId="6F558CB9" w14:textId="77777777" w:rsidR="002B30B0" w:rsidRPr="001F5E2A" w:rsidRDefault="002B30B0" w:rsidP="00FE4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FE14" w14:textId="5BCEA0A2" w:rsidR="00102D6B" w:rsidRPr="00696174" w:rsidRDefault="005426D0" w:rsidP="00102D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="002B30B0" w:rsidRPr="00E536F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atients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’ record</w:t>
            </w:r>
            <w:r w:rsidR="00B40C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have been linked to state death registration </w:t>
            </w:r>
            <w:r w:rsidR="00B40C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to</w:t>
            </w:r>
            <w:r w:rsidR="002B7B6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acquire in-hospital and one-year mortality</w:t>
            </w:r>
            <w:r w:rsidR="00516BF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 which provide</w:t>
            </w:r>
            <w:r w:rsidR="002E146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 w:rsidR="00516BF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survival information</w:t>
            </w:r>
            <w:r w:rsidR="009B296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="00516BF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2B30B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The </w:t>
            </w:r>
            <w:r w:rsidR="002B30B0" w:rsidRPr="00C136D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collect</w:t>
            </w:r>
            <w:r w:rsidR="002B30B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ion in this data set contained</w:t>
            </w:r>
            <w:r w:rsidR="002B30B0" w:rsidRPr="00C136D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de-identified patient-level </w:t>
            </w:r>
            <w:r w:rsidR="002B30B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EHR </w:t>
            </w:r>
            <w:r w:rsidR="002B30B0" w:rsidRPr="00C136D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from emergency, inpatient and outpatient hospital visits</w:t>
            </w:r>
            <w:r w:rsidR="002B30B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which </w:t>
            </w:r>
            <w:r w:rsidR="002B30B0" w:rsidRPr="00C136D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included information on various aspects of patient cares, e.g. diagnoses, family history, and clinical pathology.</w:t>
            </w:r>
          </w:p>
        </w:tc>
      </w:tr>
      <w:tr w:rsidR="002B30B0" w14:paraId="3E75E2B4" w14:textId="77777777" w:rsidTr="00D4283C">
        <w:trPr>
          <w:trHeight w:val="942"/>
        </w:trPr>
        <w:tc>
          <w:tcPr>
            <w:tcW w:w="1907" w:type="dxa"/>
          </w:tcPr>
          <w:p w14:paraId="5868A83D" w14:textId="77777777" w:rsidR="002B30B0" w:rsidRPr="006039BD" w:rsidRDefault="002B30B0" w:rsidP="00FE479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FA0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Correctness</w:t>
            </w:r>
            <w:r w:rsidRPr="00F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3" w:type="dxa"/>
          </w:tcPr>
          <w:p w14:paraId="26546343" w14:textId="77777777" w:rsidR="000C1225" w:rsidRDefault="008752DC" w:rsidP="003F6E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2DC">
              <w:rPr>
                <w:rFonts w:ascii="Times New Roman" w:hAnsi="Times New Roman" w:cs="Times New Roman"/>
                <w:sz w:val="24"/>
                <w:szCs w:val="24"/>
              </w:rPr>
              <w:t>Data are acquired from the BIDMC data warehouse</w:t>
            </w:r>
            <w:r w:rsidR="00846F3A">
              <w:rPr>
                <w:rFonts w:ascii="Times New Roman" w:hAnsi="Times New Roman" w:cs="Times New Roman"/>
                <w:sz w:val="24"/>
                <w:szCs w:val="24"/>
              </w:rPr>
              <w:t xml:space="preserve">. To support analysis, additional information </w:t>
            </w:r>
            <w:r w:rsidR="00EE6978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="00846F3A">
              <w:rPr>
                <w:rFonts w:ascii="Times New Roman" w:hAnsi="Times New Roman" w:cs="Times New Roman"/>
                <w:sz w:val="24"/>
                <w:szCs w:val="24"/>
              </w:rPr>
              <w:t xml:space="preserve"> been </w:t>
            </w:r>
            <w:r w:rsidR="002A326B">
              <w:rPr>
                <w:rFonts w:ascii="Times New Roman" w:hAnsi="Times New Roman" w:cs="Times New Roman"/>
                <w:sz w:val="24"/>
                <w:szCs w:val="24"/>
              </w:rPr>
              <w:t xml:space="preserve">further acquired </w:t>
            </w:r>
            <w:r w:rsidR="00846F3A">
              <w:rPr>
                <w:rFonts w:ascii="Times New Roman" w:hAnsi="Times New Roman" w:cs="Times New Roman"/>
                <w:sz w:val="24"/>
                <w:szCs w:val="24"/>
              </w:rPr>
              <w:t xml:space="preserve">and calculated </w:t>
            </w:r>
            <w:r w:rsidR="002A326B">
              <w:rPr>
                <w:rFonts w:ascii="Times New Roman" w:hAnsi="Times New Roman" w:cs="Times New Roman"/>
                <w:sz w:val="24"/>
                <w:szCs w:val="24"/>
              </w:rPr>
              <w:t xml:space="preserve">from external resources (e.g. ICD code labelling, </w:t>
            </w:r>
            <w:r w:rsidR="00846F3A">
              <w:rPr>
                <w:rFonts w:ascii="Times New Roman" w:hAnsi="Times New Roman" w:cs="Times New Roman"/>
                <w:sz w:val="24"/>
                <w:szCs w:val="24"/>
              </w:rPr>
              <w:t xml:space="preserve">Charlson Comorbidity </w:t>
            </w:r>
            <w:r w:rsidR="00C35B35">
              <w:rPr>
                <w:rFonts w:ascii="Times New Roman" w:hAnsi="Times New Roman" w:cs="Times New Roman"/>
                <w:sz w:val="24"/>
                <w:szCs w:val="24"/>
              </w:rPr>
              <w:t xml:space="preserve">Index, SOFA index). Data have been than merge and </w:t>
            </w:r>
            <w:r w:rsidR="00185D80">
              <w:rPr>
                <w:rFonts w:ascii="Times New Roman" w:hAnsi="Times New Roman" w:cs="Times New Roman"/>
                <w:sz w:val="24"/>
                <w:szCs w:val="24"/>
              </w:rPr>
              <w:t xml:space="preserve">stored at SQL database to enable </w:t>
            </w:r>
            <w:r w:rsidR="00552D97">
              <w:rPr>
                <w:rFonts w:ascii="Times New Roman" w:hAnsi="Times New Roman" w:cs="Times New Roman"/>
                <w:sz w:val="24"/>
                <w:szCs w:val="24"/>
              </w:rPr>
              <w:t xml:space="preserve">enquiry. </w:t>
            </w:r>
            <w:r w:rsidR="00F62B04">
              <w:rPr>
                <w:rFonts w:ascii="Times New Roman" w:hAnsi="Times New Roman" w:cs="Times New Roman"/>
                <w:sz w:val="24"/>
                <w:szCs w:val="24"/>
              </w:rPr>
              <w:t>The extraction was done in a</w:t>
            </w:r>
            <w:r w:rsidR="0059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B04">
              <w:rPr>
                <w:rFonts w:ascii="Times New Roman" w:hAnsi="Times New Roman" w:cs="Times New Roman"/>
                <w:sz w:val="24"/>
                <w:szCs w:val="24"/>
              </w:rPr>
              <w:t>cooperation team</w:t>
            </w:r>
            <w:r w:rsidR="00350977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D005DC">
              <w:rPr>
                <w:rFonts w:ascii="Times New Roman" w:hAnsi="Times New Roman" w:cs="Times New Roman"/>
                <w:sz w:val="24"/>
                <w:szCs w:val="24"/>
              </w:rPr>
              <w:t>multidisciplinary background</w:t>
            </w:r>
            <w:r w:rsidR="003F6E12">
              <w:rPr>
                <w:rFonts w:ascii="Times New Roman" w:hAnsi="Times New Roman" w:cs="Times New Roman"/>
                <w:sz w:val="24"/>
                <w:szCs w:val="24"/>
              </w:rPr>
              <w:t xml:space="preserve"> [4]</w:t>
            </w:r>
            <w:r w:rsidR="00F6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B16C9" w14:textId="2665195D" w:rsidR="00F0165B" w:rsidRPr="00200C67" w:rsidRDefault="00F0165B" w:rsidP="003F6E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B0" w14:paraId="077AA75B" w14:textId="77777777" w:rsidTr="00F0165B">
        <w:trPr>
          <w:trHeight w:val="4130"/>
        </w:trPr>
        <w:tc>
          <w:tcPr>
            <w:tcW w:w="1907" w:type="dxa"/>
          </w:tcPr>
          <w:p w14:paraId="4B86EA62" w14:textId="77777777" w:rsidR="002B30B0" w:rsidRPr="006039BD" w:rsidRDefault="002B30B0" w:rsidP="00FE479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FA0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Concordance</w:t>
            </w:r>
            <w:r w:rsidRPr="00F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3" w:type="dxa"/>
          </w:tcPr>
          <w:p w14:paraId="2BC7F12B" w14:textId="3C2FE0D2" w:rsidR="00145E5A" w:rsidRPr="008F1DE0" w:rsidRDefault="00145E5A" w:rsidP="001B55E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5A">
              <w:rPr>
                <w:rFonts w:ascii="Times New Roman" w:hAnsi="Times New Roman" w:cs="Times New Roman"/>
                <w:sz w:val="24"/>
                <w:szCs w:val="24"/>
              </w:rPr>
              <w:t>In MIMIC, data transformation was performed using a single, reproducible build script. The</w:t>
            </w:r>
            <w:r w:rsidR="00BC0FB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145E5A">
              <w:rPr>
                <w:rFonts w:ascii="Times New Roman" w:hAnsi="Times New Roman" w:cs="Times New Roman"/>
                <w:sz w:val="24"/>
                <w:szCs w:val="24"/>
              </w:rPr>
              <w:t>ata integrity, consistency, and deidentification</w:t>
            </w:r>
            <w:r w:rsidR="00BC0FB1">
              <w:rPr>
                <w:rFonts w:ascii="Times New Roman" w:hAnsi="Times New Roman" w:cs="Times New Roman"/>
                <w:sz w:val="24"/>
                <w:szCs w:val="24"/>
              </w:rPr>
              <w:t xml:space="preserve"> has been assessed during </w:t>
            </w:r>
            <w:r w:rsidR="00BC0FB1" w:rsidRPr="00145E5A">
              <w:rPr>
                <w:rFonts w:ascii="Times New Roman" w:hAnsi="Times New Roman" w:cs="Times New Roman"/>
                <w:sz w:val="24"/>
                <w:szCs w:val="24"/>
              </w:rPr>
              <w:t>validation process</w:t>
            </w:r>
            <w:r w:rsidRPr="00145E5A">
              <w:rPr>
                <w:rFonts w:ascii="Times New Roman" w:hAnsi="Times New Roman" w:cs="Times New Roman"/>
                <w:sz w:val="24"/>
                <w:szCs w:val="24"/>
              </w:rPr>
              <w:t xml:space="preserve">. Unit tests were implemented to apply these checks during development. Integrity checks ensured the structural consistency of the database, revealing a 1% inconsistency in the </w:t>
            </w:r>
            <w:proofErr w:type="spellStart"/>
            <w:r w:rsidRPr="00145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icustays</w:t>
            </w:r>
            <w:proofErr w:type="spellEnd"/>
            <w:r w:rsidRPr="0014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5E5A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="00F63D9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F63D99">
              <w:rPr>
                <w:rFonts w:ascii="Times New Roman" w:hAnsi="Times New Roman" w:cs="Times New Roman"/>
                <w:sz w:val="24"/>
                <w:szCs w:val="24"/>
              </w:rPr>
              <w:t>4].</w:t>
            </w:r>
          </w:p>
          <w:p w14:paraId="11DA8706" w14:textId="30A2D62A" w:rsidR="00D0561A" w:rsidRPr="00D0561A" w:rsidRDefault="00A746E9" w:rsidP="001B55E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6F3B46">
              <w:rPr>
                <w:rFonts w:ascii="Times New Roman" w:hAnsi="Times New Roman" w:cs="Times New Roman"/>
                <w:sz w:val="24"/>
                <w:szCs w:val="24"/>
              </w:rPr>
              <w:t>Kurniati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al. assessed the c</w:t>
            </w:r>
            <w:r w:rsidR="002B30B0" w:rsidRPr="003A3E27">
              <w:rPr>
                <w:rFonts w:ascii="Times New Roman" w:hAnsi="Times New Roman" w:cs="Times New Roman"/>
                <w:sz w:val="24"/>
                <w:szCs w:val="24"/>
              </w:rPr>
              <w:t>onsistency of patients’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D6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 investigating</w:t>
            </w:r>
            <w:r w:rsidR="002B30B0" w:rsidRPr="003A3E2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B55D6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</w:t>
            </w:r>
            <w:proofErr w:type="spellStart"/>
            <w:r w:rsidR="00B55D69" w:rsidRPr="00B55D69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="00B55D69" w:rsidRPr="00B55D69">
              <w:rPr>
                <w:rFonts w:ascii="Times New Roman" w:hAnsi="Times New Roman" w:cs="Times New Roman"/>
                <w:sz w:val="24"/>
                <w:szCs w:val="24"/>
              </w:rPr>
              <w:t xml:space="preserve"> element agreement </w:t>
            </w:r>
            <w:r w:rsidR="00B55D69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="00B55D69" w:rsidRPr="00B55D69">
              <w:rPr>
                <w:rFonts w:ascii="Times New Roman" w:hAnsi="Times New Roman" w:cs="Times New Roman"/>
                <w:sz w:val="24"/>
                <w:szCs w:val="24"/>
              </w:rPr>
              <w:t xml:space="preserve"> compare</w:t>
            </w:r>
            <w:r w:rsidR="00B55D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55D69" w:rsidRPr="00B55D69">
              <w:rPr>
                <w:rFonts w:ascii="Times New Roman" w:hAnsi="Times New Roman" w:cs="Times New Roman"/>
                <w:sz w:val="24"/>
                <w:szCs w:val="24"/>
              </w:rPr>
              <w:t xml:space="preserve"> two or more elements in the database to see if they report the same or compatible </w:t>
            </w:r>
            <w:proofErr w:type="gramStart"/>
            <w:r w:rsidR="00B55D69" w:rsidRPr="00B55D69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9F3C7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9F3C72">
              <w:rPr>
                <w:rFonts w:ascii="Times New Roman" w:hAnsi="Times New Roman" w:cs="Times New Roman"/>
                <w:sz w:val="24"/>
                <w:szCs w:val="24"/>
              </w:rPr>
              <w:t>5]</w:t>
            </w:r>
            <w:r w:rsidR="00B55D69" w:rsidRPr="00B55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95E">
              <w:rPr>
                <w:rFonts w:ascii="Times New Roman" w:hAnsi="Times New Roman" w:cs="Times New Roman"/>
                <w:sz w:val="24"/>
                <w:szCs w:val="24"/>
              </w:rPr>
              <w:t xml:space="preserve"> They noted that</w:t>
            </w:r>
            <w:r w:rsidR="00C9195E" w:rsidRPr="00C9195E">
              <w:rPr>
                <w:rFonts w:ascii="Times New Roman" w:hAnsi="Times New Roman" w:cs="Times New Roman"/>
                <w:sz w:val="24"/>
                <w:szCs w:val="24"/>
              </w:rPr>
              <w:t xml:space="preserve"> prescription</w:t>
            </w:r>
            <w:r w:rsidR="00C9195E">
              <w:rPr>
                <w:rFonts w:ascii="Times New Roman" w:hAnsi="Times New Roman" w:cs="Times New Roman"/>
                <w:sz w:val="24"/>
                <w:szCs w:val="24"/>
              </w:rPr>
              <w:t xml:space="preserve"> table and </w:t>
            </w:r>
            <w:r w:rsidR="000F2D88" w:rsidRPr="000F2D88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r w:rsidR="000F2D88">
              <w:rPr>
                <w:rFonts w:ascii="Times New Roman" w:hAnsi="Times New Roman" w:cs="Times New Roman"/>
                <w:sz w:val="24"/>
                <w:szCs w:val="24"/>
              </w:rPr>
              <w:t xml:space="preserve"> table have different </w:t>
            </w:r>
            <w:r w:rsidR="0086549E">
              <w:rPr>
                <w:rFonts w:ascii="Times New Roman" w:hAnsi="Times New Roman" w:cs="Times New Roman"/>
                <w:sz w:val="24"/>
                <w:szCs w:val="24"/>
              </w:rPr>
              <w:t>temporal</w:t>
            </w:r>
            <w:r w:rsidR="000F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0E0">
              <w:rPr>
                <w:rFonts w:ascii="Times New Roman" w:hAnsi="Times New Roman" w:cs="Times New Roman"/>
                <w:sz w:val="24"/>
                <w:szCs w:val="24"/>
              </w:rPr>
              <w:t>granularity</w:t>
            </w:r>
            <w:r w:rsidR="001F11EE">
              <w:rPr>
                <w:rFonts w:ascii="Times New Roman" w:hAnsi="Times New Roman" w:cs="Times New Roman"/>
                <w:sz w:val="24"/>
                <w:szCs w:val="24"/>
              </w:rPr>
              <w:t xml:space="preserve">, where </w:t>
            </w:r>
            <w:r w:rsidR="001F11EE" w:rsidRPr="001F11EE">
              <w:rPr>
                <w:rFonts w:ascii="Times New Roman" w:hAnsi="Times New Roman" w:cs="Times New Roman"/>
                <w:sz w:val="24"/>
                <w:szCs w:val="24"/>
              </w:rPr>
              <w:t xml:space="preserve">all prescriptions </w:t>
            </w:r>
            <w:r w:rsidR="005E255F">
              <w:rPr>
                <w:rFonts w:ascii="Times New Roman" w:hAnsi="Times New Roman" w:cs="Times New Roman"/>
                <w:sz w:val="24"/>
                <w:szCs w:val="24"/>
              </w:rPr>
              <w:t xml:space="preserve">were only </w:t>
            </w:r>
            <w:r w:rsidR="001F11EE" w:rsidRPr="001F11EE">
              <w:rPr>
                <w:rFonts w:ascii="Times New Roman" w:hAnsi="Times New Roman" w:cs="Times New Roman"/>
                <w:sz w:val="24"/>
                <w:szCs w:val="24"/>
              </w:rPr>
              <w:t>recorded with time 00:00 in the prescriptions table</w:t>
            </w:r>
            <w:r w:rsidR="001F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0B0" w14:paraId="5968FA2E" w14:textId="77777777" w:rsidTr="00F0165B">
        <w:trPr>
          <w:trHeight w:val="2195"/>
        </w:trPr>
        <w:tc>
          <w:tcPr>
            <w:tcW w:w="1907" w:type="dxa"/>
          </w:tcPr>
          <w:p w14:paraId="07730E0D" w14:textId="77777777" w:rsidR="002B30B0" w:rsidRPr="00C424A5" w:rsidRDefault="002B30B0" w:rsidP="00FE479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FA0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Plausibility</w:t>
            </w:r>
            <w:r w:rsidRPr="00F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3" w:type="dxa"/>
          </w:tcPr>
          <w:p w14:paraId="63EEC0D8" w14:textId="0B883D8A" w:rsidR="000B3E40" w:rsidRPr="00A746E9" w:rsidRDefault="009F3C72" w:rsidP="00FE479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2019, </w:t>
            </w:r>
            <w:r w:rsidR="006F3B46" w:rsidRPr="006F3B46">
              <w:rPr>
                <w:rFonts w:ascii="Times New Roman" w:hAnsi="Times New Roman" w:cs="Times New Roman"/>
                <w:sz w:val="24"/>
                <w:szCs w:val="24"/>
              </w:rPr>
              <w:t>Kurniati</w:t>
            </w:r>
            <w:r w:rsidR="006F3B46">
              <w:rPr>
                <w:rFonts w:ascii="Times New Roman" w:hAnsi="Times New Roman" w:cs="Times New Roman"/>
                <w:sz w:val="24"/>
                <w:szCs w:val="24"/>
              </w:rPr>
              <w:t xml:space="preserve"> et</w:t>
            </w:r>
            <w:r w:rsidR="00AF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B46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AF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B46">
              <w:rPr>
                <w:rFonts w:ascii="Times New Roman" w:hAnsi="Times New Roman" w:cs="Times New Roman"/>
                <w:sz w:val="24"/>
                <w:szCs w:val="24"/>
              </w:rPr>
              <w:t xml:space="preserve"> conducted </w:t>
            </w:r>
            <w:r w:rsidR="00B965A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</w:t>
            </w:r>
            <w:r w:rsidR="00B965A0" w:rsidRPr="00182254">
              <w:rPr>
                <w:rFonts w:ascii="Times New Roman" w:hAnsi="Times New Roman" w:cs="Times New Roman"/>
                <w:sz w:val="24"/>
                <w:szCs w:val="24"/>
              </w:rPr>
              <w:t>alidity check</w:t>
            </w:r>
            <w:r w:rsidR="00B965A0" w:rsidRPr="00B9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B46">
              <w:rPr>
                <w:rFonts w:ascii="Times New Roman" w:hAnsi="Times New Roman" w:cs="Times New Roman"/>
                <w:sz w:val="24"/>
                <w:szCs w:val="24"/>
              </w:rPr>
              <w:t xml:space="preserve">of MIMIC </w:t>
            </w:r>
            <w:r w:rsidR="00B965A0" w:rsidRPr="00B965A0">
              <w:rPr>
                <w:rFonts w:ascii="Times New Roman" w:hAnsi="Times New Roman" w:cs="Times New Roman"/>
                <w:sz w:val="24"/>
                <w:szCs w:val="24"/>
              </w:rPr>
              <w:t>by querying data in each table and between related tables</w:t>
            </w:r>
            <w:r w:rsidR="00C93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[5]</w:t>
            </w:r>
            <w:r w:rsidR="00B965A0" w:rsidRPr="00B96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930" w:rsidRPr="00E65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E0727">
              <w:rPr>
                <w:rFonts w:ascii="Times New Roman" w:hAnsi="Times New Roman" w:cs="Times New Roman"/>
                <w:sz w:val="24"/>
                <w:szCs w:val="24"/>
              </w:rPr>
              <w:t>Duplication and missing diagnosis or procedure coding labels</w:t>
            </w:r>
            <w:r w:rsidR="00AC1F89">
              <w:rPr>
                <w:rFonts w:ascii="Times New Roman" w:hAnsi="Times New Roman" w:cs="Times New Roman"/>
                <w:sz w:val="24"/>
                <w:szCs w:val="24"/>
              </w:rPr>
              <w:t xml:space="preserve"> (i.e. </w:t>
            </w:r>
            <w:proofErr w:type="spellStart"/>
            <w:r w:rsidR="00AC1F89" w:rsidRPr="00AC1F89">
              <w:rPr>
                <w:rFonts w:ascii="Times New Roman" w:hAnsi="Times New Roman" w:cs="Times New Roman"/>
                <w:sz w:val="24"/>
                <w:szCs w:val="24"/>
              </w:rPr>
              <w:t>d_icd_diagnoses</w:t>
            </w:r>
            <w:proofErr w:type="spellEnd"/>
            <w:r w:rsidR="00AC1F89" w:rsidRPr="00AC1F8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AC1F89" w:rsidRPr="00AC1F89">
              <w:rPr>
                <w:rFonts w:ascii="Times New Roman" w:hAnsi="Times New Roman" w:cs="Times New Roman"/>
                <w:sz w:val="24"/>
                <w:szCs w:val="24"/>
              </w:rPr>
              <w:t>d_icd_procedures</w:t>
            </w:r>
            <w:proofErr w:type="spellEnd"/>
            <w:r w:rsidR="00AC1F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0727">
              <w:rPr>
                <w:rFonts w:ascii="Times New Roman" w:hAnsi="Times New Roman" w:cs="Times New Roman"/>
                <w:sz w:val="24"/>
                <w:szCs w:val="24"/>
              </w:rPr>
              <w:t xml:space="preserve"> were two </w:t>
            </w:r>
            <w:r w:rsidR="00DF0A42">
              <w:rPr>
                <w:rFonts w:ascii="Times New Roman" w:hAnsi="Times New Roman" w:cs="Times New Roman"/>
                <w:sz w:val="24"/>
                <w:szCs w:val="24"/>
              </w:rPr>
              <w:t xml:space="preserve">key issues </w:t>
            </w:r>
            <w:r w:rsidR="005854BC">
              <w:rPr>
                <w:rFonts w:ascii="Times New Roman" w:hAnsi="Times New Roman" w:cs="Times New Roman"/>
                <w:sz w:val="24"/>
                <w:szCs w:val="24"/>
              </w:rPr>
              <w:t xml:space="preserve">impact plausibility </w:t>
            </w:r>
            <w:r w:rsidR="00DF0A42">
              <w:rPr>
                <w:rFonts w:ascii="Times New Roman" w:hAnsi="Times New Roman" w:cs="Times New Roman"/>
                <w:sz w:val="24"/>
                <w:szCs w:val="24"/>
              </w:rPr>
              <w:t>identified from their study.</w:t>
            </w:r>
            <w:r w:rsidR="00FD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CA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351D1">
              <w:rPr>
                <w:rFonts w:ascii="Times New Roman" w:hAnsi="Times New Roman" w:cs="Times New Roman"/>
                <w:sz w:val="24"/>
                <w:szCs w:val="24"/>
              </w:rPr>
              <w:t>hey noted that “</w:t>
            </w:r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 xml:space="preserve">there are duplicates between different tables, such as </w:t>
            </w:r>
            <w:proofErr w:type="spellStart"/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>datetimeevents</w:t>
            </w:r>
            <w:proofErr w:type="spellEnd"/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 xml:space="preserve"> and admissions table, </w:t>
            </w:r>
            <w:proofErr w:type="spellStart"/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>labevents</w:t>
            </w:r>
            <w:proofErr w:type="spellEnd"/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>chartevents</w:t>
            </w:r>
            <w:proofErr w:type="spellEnd"/>
            <w:r w:rsidR="00D351D1" w:rsidRPr="00D351D1">
              <w:rPr>
                <w:rFonts w:ascii="Times New Roman" w:hAnsi="Times New Roman" w:cs="Times New Roman"/>
                <w:sz w:val="24"/>
                <w:szCs w:val="24"/>
              </w:rPr>
              <w:t xml:space="preserve"> tables</w:t>
            </w:r>
            <w:r w:rsidR="00D351D1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</w:tr>
    </w:tbl>
    <w:p w14:paraId="5FEB7E94" w14:textId="7E197904" w:rsidR="00F85CFA" w:rsidRDefault="00F85CFA" w:rsidP="002B30B0"/>
    <w:p w14:paraId="70D73204" w14:textId="77777777" w:rsidR="00B51087" w:rsidRDefault="00B51087" w:rsidP="002B30B0"/>
    <w:p w14:paraId="3606CB52" w14:textId="77777777" w:rsidR="00B51087" w:rsidRDefault="00B51087" w:rsidP="002B30B0"/>
    <w:p w14:paraId="0BEA7EDD" w14:textId="77777777" w:rsidR="003F24A5" w:rsidRDefault="003F24A5" w:rsidP="002B30B0"/>
    <w:p w14:paraId="383F1F66" w14:textId="77777777" w:rsidR="002F4147" w:rsidRDefault="002F4147" w:rsidP="002B30B0"/>
    <w:p w14:paraId="01E961C7" w14:textId="77777777" w:rsidR="002F4147" w:rsidRDefault="002F4147" w:rsidP="002B30B0"/>
    <w:p w14:paraId="2C27FDB4" w14:textId="64A1C805" w:rsidR="00CC6314" w:rsidRPr="00CC6314" w:rsidRDefault="00CC6314" w:rsidP="00DB20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3E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proofErr w:type="spellEnd"/>
      <w:r w:rsidRPr="00623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1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B54" w:rsidRPr="00555CF5">
        <w:rPr>
          <w:rFonts w:ascii="Times New Roman" w:hAnsi="Times New Roman" w:cs="Times New Roman"/>
          <w:b/>
          <w:bCs/>
          <w:sz w:val="24"/>
          <w:szCs w:val="24"/>
        </w:rPr>
        <w:t xml:space="preserve">Baseline characteristics of patients with </w:t>
      </w:r>
      <w:r w:rsidR="006D1B54">
        <w:rPr>
          <w:rFonts w:ascii="Times New Roman" w:hAnsi="Times New Roman" w:cs="Times New Roman"/>
          <w:b/>
          <w:bCs/>
          <w:sz w:val="24"/>
          <w:szCs w:val="24"/>
        </w:rPr>
        <w:t>heart failure by</w:t>
      </w:r>
      <w:r w:rsidR="006D1B54" w:rsidRPr="00555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B54">
        <w:rPr>
          <w:rFonts w:ascii="Times New Roman" w:hAnsi="Times New Roman" w:cs="Times New Roman"/>
          <w:b/>
          <w:bCs/>
          <w:sz w:val="24"/>
          <w:szCs w:val="24"/>
        </w:rPr>
        <w:t>readmission group in MIMIC.</w:t>
      </w:r>
    </w:p>
    <w:tbl>
      <w:tblPr>
        <w:tblW w:w="4853" w:type="pct"/>
        <w:tblLayout w:type="fixed"/>
        <w:tblLook w:val="04A0" w:firstRow="1" w:lastRow="0" w:firstColumn="1" w:lastColumn="0" w:noHBand="0" w:noVBand="1"/>
      </w:tblPr>
      <w:tblGrid>
        <w:gridCol w:w="2403"/>
        <w:gridCol w:w="2046"/>
        <w:gridCol w:w="1956"/>
        <w:gridCol w:w="1870"/>
        <w:gridCol w:w="1870"/>
        <w:gridCol w:w="1956"/>
        <w:gridCol w:w="1447"/>
      </w:tblGrid>
      <w:tr w:rsidR="00CC6314" w:rsidRPr="00C64989" w14:paraId="77469FC0" w14:textId="77777777" w:rsidTr="00DB20FB">
        <w:trPr>
          <w:trHeight w:val="454"/>
        </w:trPr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D12D3" w14:textId="77777777" w:rsidR="00CC6314" w:rsidRPr="002765D8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Baseline characteristics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C7FF32" w14:textId="77777777" w:rsidR="00CC6314" w:rsidRPr="00C64989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Early </w:t>
            </w:r>
            <w:r w:rsidRPr="00B11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vulnerable </w:t>
            </w: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period </w:t>
            </w:r>
          </w:p>
          <w:p w14:paraId="2595F323" w14:textId="77777777" w:rsidR="00CC6314" w:rsidRPr="002765D8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(30-day group)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9D549E" w14:textId="77777777" w:rsidR="00CC6314" w:rsidRPr="00C64989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Intermediate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</w:t>
            </w:r>
            <w:r w:rsidRPr="00B11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vulnerable</w:t>
            </w: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period </w:t>
            </w:r>
          </w:p>
          <w:p w14:paraId="22C3EF24" w14:textId="77777777" w:rsidR="00CC6314" w:rsidRPr="002765D8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(90-day group)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BA0554" w14:textId="77777777" w:rsidR="00CC6314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Late </w:t>
            </w:r>
            <w:r w:rsidRPr="00B11B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vulnerable </w:t>
            </w: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period </w:t>
            </w:r>
          </w:p>
          <w:p w14:paraId="686B4BC4" w14:textId="77777777" w:rsidR="00CC6314" w:rsidRPr="002765D8" w:rsidRDefault="00CC6314" w:rsidP="0053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(180-day group)</w:t>
            </w:r>
          </w:p>
        </w:tc>
      </w:tr>
      <w:tr w:rsidR="00CC6314" w:rsidRPr="00C64989" w14:paraId="4F699D61" w14:textId="77777777" w:rsidTr="00DB20FB">
        <w:trPr>
          <w:trHeight w:val="454"/>
        </w:trPr>
        <w:tc>
          <w:tcPr>
            <w:tcW w:w="88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6B8B1F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52691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Readmission group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5375C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Comparison group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97E1E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Readmission group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8197E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Comparison group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6DEE4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Readmission group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18009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Comparison group</w:t>
            </w:r>
          </w:p>
        </w:tc>
      </w:tr>
      <w:tr w:rsidR="00CC6314" w:rsidRPr="00C64989" w14:paraId="2B656667" w14:textId="77777777" w:rsidTr="00DB20FB">
        <w:trPr>
          <w:trHeight w:val="177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05A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Patient, n (%)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E590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C059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D3B4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4ACD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6CF9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3F6A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CC6314" w:rsidRPr="00C64989" w14:paraId="4AE69243" w14:textId="77777777" w:rsidTr="00DB20FB">
        <w:trPr>
          <w:trHeight w:val="398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64D4A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          Females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FCD01" w14:textId="77777777" w:rsidR="00CC6314" w:rsidRDefault="00D2087E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28</w:t>
            </w:r>
          </w:p>
          <w:p w14:paraId="4B73C64F" w14:textId="27DE2054" w:rsidR="008103BA" w:rsidRPr="002765D8" w:rsidRDefault="008103BA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(28.3%)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28D5" w14:textId="77777777" w:rsidR="00CC6314" w:rsidRDefault="00D2087E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56</w:t>
            </w:r>
          </w:p>
          <w:p w14:paraId="11A39F66" w14:textId="783E71A8" w:rsidR="00407358" w:rsidRPr="002765D8" w:rsidRDefault="00407358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(28.3%)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BA4A7" w14:textId="77777777" w:rsidR="00CC6314" w:rsidRDefault="00A90DC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44</w:t>
            </w:r>
          </w:p>
          <w:p w14:paraId="630A3084" w14:textId="28D04E59" w:rsidR="00B36DBD" w:rsidRPr="002765D8" w:rsidRDefault="00B36DBD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(29.7%)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F4D77" w14:textId="77777777" w:rsidR="00CC6314" w:rsidRDefault="005F2068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88</w:t>
            </w:r>
          </w:p>
          <w:p w14:paraId="687AB1F9" w14:textId="501BD27A" w:rsidR="00B36DBD" w:rsidRPr="002765D8" w:rsidRDefault="00B36DBD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(29.7%)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C7C3D" w14:textId="60A1EC21" w:rsidR="00CC6314" w:rsidRDefault="0016185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</w:t>
            </w:r>
            <w:r w:rsidR="00D577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</w:p>
          <w:p w14:paraId="1E8062E4" w14:textId="4D03B21C" w:rsidR="000D4C82" w:rsidRPr="002765D8" w:rsidRDefault="000D4C8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(3</w:t>
            </w:r>
            <w:r w:rsidR="001618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1618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04E1F" w14:textId="4C25EA01" w:rsidR="00CC6314" w:rsidRDefault="0016185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122</w:t>
            </w:r>
          </w:p>
          <w:p w14:paraId="4ADAE741" w14:textId="2E80BEC7" w:rsidR="000D4C82" w:rsidRPr="002765D8" w:rsidRDefault="000D4C8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(3</w:t>
            </w:r>
            <w:r w:rsidR="002127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2127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</w:tr>
      <w:tr w:rsidR="00CC6314" w:rsidRPr="00C64989" w14:paraId="6C869063" w14:textId="77777777" w:rsidTr="00DB20FB">
        <w:trPr>
          <w:trHeight w:val="376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F287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          Males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1575A" w14:textId="77777777" w:rsidR="00CC6314" w:rsidRDefault="00D2087E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71</w:t>
            </w:r>
          </w:p>
          <w:p w14:paraId="101A82A7" w14:textId="436EE89E" w:rsidR="008103BA" w:rsidRPr="002765D8" w:rsidRDefault="008103BA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4073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71.7%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FB5B7" w14:textId="77777777" w:rsidR="00407358" w:rsidRDefault="00D2087E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142</w:t>
            </w:r>
          </w:p>
          <w:p w14:paraId="47B10FA7" w14:textId="00B3D937" w:rsidR="00CC6314" w:rsidRPr="002765D8" w:rsidRDefault="00407358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(71.7%)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F5CCB" w14:textId="77777777" w:rsidR="00CC6314" w:rsidRDefault="00A90DC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104</w:t>
            </w:r>
          </w:p>
          <w:p w14:paraId="4D0633B2" w14:textId="33122E51" w:rsidR="00B36DBD" w:rsidRPr="002765D8" w:rsidRDefault="00B36DBD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(70.</w:t>
            </w:r>
            <w:r w:rsidR="00187A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FCAFE" w14:textId="77777777" w:rsidR="00CC6314" w:rsidRDefault="005F2068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208</w:t>
            </w:r>
          </w:p>
          <w:p w14:paraId="72494F7F" w14:textId="42611B62" w:rsidR="00B36DBD" w:rsidRPr="002765D8" w:rsidRDefault="00B36DBD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187A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187A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C4C5D" w14:textId="688967D4" w:rsidR="00CC6314" w:rsidRDefault="0016185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118</w:t>
            </w:r>
          </w:p>
          <w:p w14:paraId="00E63745" w14:textId="71EC76B2" w:rsidR="000D4C82" w:rsidRPr="002765D8" w:rsidRDefault="000D4C8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9F4C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2127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A85B9" w14:textId="409880FE" w:rsidR="00CC6314" w:rsidRDefault="0016185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236</w:t>
            </w:r>
          </w:p>
          <w:p w14:paraId="126CA1C4" w14:textId="1D435438" w:rsidR="000D4C82" w:rsidRPr="002765D8" w:rsidRDefault="000D4C8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9F4C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</w:t>
            </w:r>
            <w:r w:rsidR="002127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5.9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</w:tr>
      <w:tr w:rsidR="00CC6314" w:rsidRPr="00C64989" w14:paraId="12F80FF8" w14:textId="77777777" w:rsidTr="00DB20FB">
        <w:trPr>
          <w:trHeight w:val="177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E26A9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        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DC07E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E63DD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9DC34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1A0F3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87BA5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C3C09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CC6314" w:rsidRPr="00C64989" w14:paraId="1FAA9742" w14:textId="77777777" w:rsidTr="00DB20FB">
        <w:trPr>
          <w:trHeight w:val="17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969BF" w14:textId="7C124E0B" w:rsidR="00CC6314" w:rsidRPr="002765D8" w:rsidRDefault="00DB07E1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Age</w:t>
            </w:r>
            <w:r w:rsidR="003C52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 xml:space="preserve"> Group, n</w:t>
            </w:r>
            <w:r w:rsidR="005850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 xml:space="preserve"> </w:t>
            </w:r>
            <w:r w:rsidR="003C52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(%)</w:t>
            </w:r>
          </w:p>
        </w:tc>
      </w:tr>
      <w:tr w:rsidR="00CC6314" w:rsidRPr="00C64989" w14:paraId="2344CB2C" w14:textId="77777777" w:rsidTr="00DB20FB">
        <w:trPr>
          <w:trHeight w:val="366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4C4" w14:textId="15800755" w:rsidR="00CC6314" w:rsidRPr="002765D8" w:rsidRDefault="00CC6314" w:rsidP="00534DD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18-</w:t>
            </w:r>
            <w:r w:rsidR="00B639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5</w:t>
            </w: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2A660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22</w:t>
            </w:r>
          </w:p>
          <w:p w14:paraId="2F347FE1" w14:textId="074FF2C4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(22.2%)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3697D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44</w:t>
            </w:r>
          </w:p>
          <w:p w14:paraId="72C8BA66" w14:textId="44B2B887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(22.2%)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74FE9" w14:textId="77777777" w:rsidR="00A82F0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37</w:t>
            </w:r>
          </w:p>
          <w:p w14:paraId="3C113C51" w14:textId="65491C27" w:rsidR="00494A42" w:rsidRPr="002765D8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E618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25.0%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35179" w14:textId="77777777" w:rsidR="00CC631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74</w:t>
            </w:r>
          </w:p>
          <w:p w14:paraId="4D84BEC8" w14:textId="3F597143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(25.0%)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49838" w14:textId="7F62977D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44</w:t>
            </w:r>
          </w:p>
          <w:p w14:paraId="76D77518" w14:textId="37FF38EE" w:rsidR="00682DE8" w:rsidRPr="002765D8" w:rsidRDefault="00682DE8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B448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24.</w:t>
            </w:r>
            <w:r w:rsidR="00A225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</w:t>
            </w:r>
            <w:r w:rsidR="00B448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2C095" w14:textId="5B4B9B23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88</w:t>
            </w:r>
          </w:p>
          <w:p w14:paraId="13223B2C" w14:textId="1931EBA5" w:rsidR="00B448E0" w:rsidRPr="002765D8" w:rsidRDefault="00B448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(24.</w:t>
            </w:r>
            <w:r w:rsidR="00550B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</w:tr>
      <w:tr w:rsidR="00B63922" w:rsidRPr="00C64989" w14:paraId="15EA2205" w14:textId="77777777" w:rsidTr="00DB20FB">
        <w:trPr>
          <w:trHeight w:val="366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1881A" w14:textId="33D6F76C" w:rsidR="00B63922" w:rsidRPr="002765D8" w:rsidRDefault="00B63922" w:rsidP="00534DD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60-</w:t>
            </w:r>
            <w:r w:rsidR="002204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7EF9B" w14:textId="77777777" w:rsidR="00B63922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24</w:t>
            </w:r>
          </w:p>
          <w:p w14:paraId="144F214B" w14:textId="445D1BD2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(24.2%)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685A4" w14:textId="77777777" w:rsidR="00B63922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48</w:t>
            </w:r>
          </w:p>
          <w:p w14:paraId="3ABCF78A" w14:textId="266C9577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</w:t>
            </w:r>
            <w:r w:rsidR="007B75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.2%)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EE534" w14:textId="77777777" w:rsidR="00B63922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31</w:t>
            </w:r>
          </w:p>
          <w:p w14:paraId="7E7132EF" w14:textId="0C9344AC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(20.9%)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F2EB0" w14:textId="77777777" w:rsidR="00B63922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62</w:t>
            </w:r>
          </w:p>
          <w:p w14:paraId="57BBF7CE" w14:textId="67E89DDC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(20.9%)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7B0EE" w14:textId="3ED9B81B" w:rsidR="00B63922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39</w:t>
            </w:r>
          </w:p>
          <w:p w14:paraId="611E72C6" w14:textId="197938E1" w:rsidR="00B448E0" w:rsidRPr="002765D8" w:rsidRDefault="00B448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A225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21.8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64849" w14:textId="73C92C8B" w:rsidR="00B63922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78</w:t>
            </w:r>
          </w:p>
          <w:p w14:paraId="68260712" w14:textId="049F4FC5" w:rsidR="00B448E0" w:rsidRPr="002765D8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(21.8%)</w:t>
            </w:r>
          </w:p>
        </w:tc>
      </w:tr>
      <w:tr w:rsidR="00CC6314" w:rsidRPr="00C64989" w14:paraId="2F545FB7" w14:textId="77777777" w:rsidTr="00DB20FB">
        <w:trPr>
          <w:trHeight w:val="177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15B4" w14:textId="77777777" w:rsidR="00CC6314" w:rsidRPr="002765D8" w:rsidRDefault="00CC6314" w:rsidP="00534DD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70-79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4DB36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30</w:t>
            </w:r>
          </w:p>
          <w:p w14:paraId="4EECED1F" w14:textId="4A7C7BED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AC7D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AC7D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95F69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60</w:t>
            </w:r>
          </w:p>
          <w:p w14:paraId="40338462" w14:textId="62B8520D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7B75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30.3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A7AF9" w14:textId="77777777" w:rsidR="00CC631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42</w:t>
            </w:r>
          </w:p>
          <w:p w14:paraId="77C864CE" w14:textId="2DE5ECE9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(28.4%)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322A" w14:textId="77777777" w:rsidR="00CC631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84</w:t>
            </w:r>
          </w:p>
          <w:p w14:paraId="16B8DE97" w14:textId="610FA267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(28.4%)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43795" w14:textId="39D480E8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48</w:t>
            </w:r>
          </w:p>
          <w:p w14:paraId="2C536AF4" w14:textId="60449DF7" w:rsidR="00B448E0" w:rsidRPr="002765D8" w:rsidRDefault="00B448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</w:t>
            </w:r>
            <w:r w:rsidR="00A225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4F896" w14:textId="19614DD8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96</w:t>
            </w:r>
          </w:p>
          <w:p w14:paraId="4AD6D91F" w14:textId="0262D576" w:rsidR="00B448E0" w:rsidRPr="002765D8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(26.8%)</w:t>
            </w:r>
          </w:p>
        </w:tc>
      </w:tr>
      <w:tr w:rsidR="00CC6314" w:rsidRPr="00C64989" w14:paraId="7FC84A32" w14:textId="77777777" w:rsidTr="00DB20FB">
        <w:trPr>
          <w:trHeight w:val="376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8C712" w14:textId="77777777" w:rsidR="00CC6314" w:rsidRPr="002765D8" w:rsidRDefault="00CC6314" w:rsidP="00534DD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80-89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6E813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14</w:t>
            </w:r>
          </w:p>
          <w:p w14:paraId="4729E457" w14:textId="74C19AE7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AC7D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AC7D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5AB37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28</w:t>
            </w:r>
          </w:p>
          <w:p w14:paraId="35A5D41F" w14:textId="16C13739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7B75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14.1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405F8" w14:textId="77777777" w:rsidR="00E618C2" w:rsidRDefault="00494A42" w:rsidP="00E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22</w:t>
            </w:r>
          </w:p>
          <w:p w14:paraId="3E76B6BA" w14:textId="6402DA09" w:rsidR="00E618C2" w:rsidRPr="002765D8" w:rsidRDefault="00E618C2" w:rsidP="00E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(14.9%)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0133F" w14:textId="77777777" w:rsidR="00CC631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44</w:t>
            </w:r>
          </w:p>
          <w:p w14:paraId="7C52BB70" w14:textId="79317909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(14.9%)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D58E1" w14:textId="6E31E82D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26</w:t>
            </w:r>
          </w:p>
          <w:p w14:paraId="139B1B46" w14:textId="1480D65F" w:rsidR="00B448E0" w:rsidRPr="002765D8" w:rsidRDefault="00B448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550B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  <w:r w:rsidR="00A225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CBAE7" w14:textId="4DEB5B78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52</w:t>
            </w:r>
          </w:p>
          <w:p w14:paraId="6F67E4FA" w14:textId="6060C8A7" w:rsidR="00B448E0" w:rsidRPr="002765D8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(14.5%)</w:t>
            </w:r>
          </w:p>
        </w:tc>
      </w:tr>
      <w:tr w:rsidR="00CC6314" w:rsidRPr="00C64989" w14:paraId="43FE0B3E" w14:textId="77777777" w:rsidTr="00DB20FB">
        <w:trPr>
          <w:trHeight w:val="371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5846" w14:textId="77777777" w:rsidR="00CC6314" w:rsidRPr="002765D8" w:rsidRDefault="00CC6314" w:rsidP="00534DD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90+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2BCB4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</w:t>
            </w:r>
          </w:p>
          <w:p w14:paraId="63EE55DC" w14:textId="11C25419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AC7D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AC7D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CB335" w14:textId="77777777" w:rsidR="00CC6314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18</w:t>
            </w:r>
          </w:p>
          <w:p w14:paraId="2226216E" w14:textId="7C4DFCC9" w:rsidR="001F20C6" w:rsidRPr="002765D8" w:rsidRDefault="001F20C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7B75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AC598" w14:textId="77777777" w:rsidR="00CC631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16</w:t>
            </w:r>
          </w:p>
          <w:p w14:paraId="6231D180" w14:textId="347E27C6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(10.8%)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62E9D" w14:textId="77777777" w:rsidR="00CC6314" w:rsidRDefault="00494A4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32</w:t>
            </w:r>
          </w:p>
          <w:p w14:paraId="087BE394" w14:textId="194F24A5" w:rsidR="00E618C2" w:rsidRPr="002765D8" w:rsidRDefault="00E618C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(10.8%)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E9F6E" w14:textId="7771DF9B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22</w:t>
            </w:r>
          </w:p>
          <w:p w14:paraId="23B8D508" w14:textId="00190E21" w:rsidR="00B448E0" w:rsidRPr="002765D8" w:rsidRDefault="00B448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550B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  <w:r w:rsidR="00A225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%)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CBAA4" w14:textId="67ED83B8" w:rsidR="00CC6314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44</w:t>
            </w:r>
          </w:p>
          <w:p w14:paraId="6C3EE5AD" w14:textId="2EB27D42" w:rsidR="00B448E0" w:rsidRPr="002765D8" w:rsidRDefault="001D3D0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(12.2%)</w:t>
            </w:r>
          </w:p>
        </w:tc>
      </w:tr>
      <w:tr w:rsidR="00CC6314" w:rsidRPr="00C64989" w14:paraId="3CA65358" w14:textId="77777777" w:rsidTr="00DB20FB">
        <w:trPr>
          <w:trHeight w:val="177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22ADC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2EB86" w14:textId="77777777" w:rsidR="00CC6314" w:rsidRPr="002765D8" w:rsidRDefault="00CC6314" w:rsidP="00534DD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256F5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EE8B1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1B986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720C0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1BC6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CC6314" w:rsidRPr="00C64989" w14:paraId="724AF589" w14:textId="77777777" w:rsidTr="00DB20FB">
        <w:trPr>
          <w:trHeight w:val="468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3DB2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Charlson comorbidity score, mean (std)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3C2BA" w14:textId="7CAACA9F" w:rsidR="00CC6314" w:rsidRDefault="00575785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</w:t>
            </w:r>
            <w:r w:rsidR="003114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</w:t>
            </w:r>
          </w:p>
          <w:p w14:paraId="535BD798" w14:textId="59A07B65" w:rsidR="00575785" w:rsidRPr="004B6B7F" w:rsidRDefault="00575785" w:rsidP="00311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3114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2.78)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7684A" w14:textId="77777777" w:rsidR="00CC6314" w:rsidRDefault="0031148A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6.7</w:t>
            </w:r>
          </w:p>
          <w:p w14:paraId="6CE82429" w14:textId="27C29527" w:rsidR="0031148A" w:rsidRPr="004B6B7F" w:rsidRDefault="0031148A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(2.59)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AC9BA" w14:textId="77777777" w:rsidR="00CC6314" w:rsidRDefault="0031358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7.</w:t>
            </w:r>
            <w:r w:rsidR="008040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</w:t>
            </w:r>
          </w:p>
          <w:p w14:paraId="0514172E" w14:textId="63C21D87" w:rsidR="00804079" w:rsidRPr="004B6B7F" w:rsidRDefault="0080407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(2.65)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C70B8" w14:textId="7E49FFA5" w:rsidR="00804079" w:rsidRDefault="00804079" w:rsidP="0080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6.7</w:t>
            </w:r>
          </w:p>
          <w:p w14:paraId="561E579D" w14:textId="2356973E" w:rsidR="00804079" w:rsidRPr="004B6B7F" w:rsidRDefault="00804079" w:rsidP="0080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(2.63)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273BC" w14:textId="77777777" w:rsidR="00CC6314" w:rsidRDefault="0088791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7.0</w:t>
            </w:r>
          </w:p>
          <w:p w14:paraId="4E502867" w14:textId="7DE8EEA7" w:rsidR="00887919" w:rsidRPr="004B6B7F" w:rsidRDefault="0088791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(2.63)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908BC" w14:textId="77777777" w:rsidR="00CC6314" w:rsidRDefault="0088791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6.7</w:t>
            </w:r>
          </w:p>
          <w:p w14:paraId="2BF50844" w14:textId="5A37E814" w:rsidR="00887919" w:rsidRPr="004B6B7F" w:rsidRDefault="0088791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(2.</w:t>
            </w:r>
            <w:r w:rsidR="00C26E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</w:tr>
      <w:tr w:rsidR="00CC6314" w:rsidRPr="00C64989" w14:paraId="69AD95A3" w14:textId="77777777" w:rsidTr="00DB20FB">
        <w:trPr>
          <w:trHeight w:val="630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A8AFF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Hospital length of stay in days, mean (std)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E2747" w14:textId="77777777" w:rsidR="00CC6314" w:rsidRDefault="00596B7C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10.</w:t>
            </w:r>
            <w:r w:rsidR="00100D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0</w:t>
            </w:r>
          </w:p>
          <w:p w14:paraId="0FA3D82C" w14:textId="704587DE" w:rsidR="00100D36" w:rsidRPr="004B6B7F" w:rsidRDefault="00100D3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(10.57)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9A85A" w14:textId="66815447" w:rsidR="00CC6314" w:rsidRPr="004B6B7F" w:rsidRDefault="00100D3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br/>
              <w:t>(7.98)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1658A" w14:textId="01E94A53" w:rsidR="00987A44" w:rsidRDefault="00987A44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9.1</w:t>
            </w:r>
          </w:p>
          <w:p w14:paraId="2EAE828C" w14:textId="14BEAE8A" w:rsidR="00CC6314" w:rsidRPr="004B6B7F" w:rsidRDefault="00987A44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1A5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9.94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370B8" w14:textId="4F4C007C" w:rsidR="00987A44" w:rsidRDefault="001A56A4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7.2</w:t>
            </w:r>
          </w:p>
          <w:p w14:paraId="74699768" w14:textId="30C17621" w:rsidR="00CC6314" w:rsidRPr="004B6B7F" w:rsidRDefault="00987A44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1A5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6.69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7DE6B" w14:textId="422C856B" w:rsidR="00987A44" w:rsidRDefault="009A34FB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8.0</w:t>
            </w:r>
          </w:p>
          <w:p w14:paraId="3623D028" w14:textId="384B9F1C" w:rsidR="00CC6314" w:rsidRPr="004B6B7F" w:rsidRDefault="00987A44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9A34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</w:t>
            </w:r>
            <w:r w:rsidR="002601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.</w:t>
            </w:r>
            <w:r w:rsidR="009A34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6D402" w14:textId="42E0DAB9" w:rsidR="00987A44" w:rsidRDefault="009A34FB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7.2</w:t>
            </w:r>
          </w:p>
          <w:p w14:paraId="60CE6961" w14:textId="15D9C6A6" w:rsidR="00CC6314" w:rsidRPr="004B6B7F" w:rsidRDefault="00987A44" w:rsidP="0098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2601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6.21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</w:tr>
      <w:tr w:rsidR="00CC6314" w:rsidRPr="00C64989" w14:paraId="43A0B269" w14:textId="77777777" w:rsidTr="00DB20FB">
        <w:trPr>
          <w:trHeight w:val="177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8188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270</w:t>
            </w: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-day restricted mean survival time, days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006C9" w14:textId="0EDE57E6" w:rsidR="00CC6314" w:rsidRPr="002B2F0B" w:rsidRDefault="00893653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207.0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138B1" w14:textId="0C144B34" w:rsidR="00CC6314" w:rsidRPr="002B2F0B" w:rsidRDefault="00893653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223.7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8B8D0" w14:textId="109560D3" w:rsidR="00CC6314" w:rsidRPr="002B2F0B" w:rsidRDefault="00BA03DD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215.9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6ED96" w14:textId="21E5E4A9" w:rsidR="00CC6314" w:rsidRPr="002B2F0B" w:rsidRDefault="00BA03DD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233.4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56E28" w14:textId="076CF240" w:rsidR="00CC6314" w:rsidRPr="002B2F0B" w:rsidRDefault="00A600D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218.3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FC620" w14:textId="5BE7C2BA" w:rsidR="00CC6314" w:rsidRPr="002B2F0B" w:rsidRDefault="00A600D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231.8</w:t>
            </w:r>
          </w:p>
        </w:tc>
      </w:tr>
      <w:tr w:rsidR="00CC6314" w:rsidRPr="00C64989" w14:paraId="5BF80EA8" w14:textId="77777777" w:rsidTr="00DB20FB">
        <w:trPr>
          <w:trHeight w:val="177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387F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90527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778AC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D073E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BCE89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F1EBC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D847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CC6314" w:rsidRPr="00C64989" w14:paraId="1B87EE04" w14:textId="77777777" w:rsidTr="00DB20FB">
        <w:trPr>
          <w:trHeight w:val="242"/>
        </w:trPr>
        <w:tc>
          <w:tcPr>
            <w:tcW w:w="16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72E54" w14:textId="77777777" w:rsidR="00CC6314" w:rsidRPr="004A485C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4A48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Laboratory findings 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2A8C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3B7D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0333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9EBC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58A7" w14:textId="77777777" w:rsidR="00CC6314" w:rsidRPr="002765D8" w:rsidRDefault="00CC6314" w:rsidP="00534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CC6314" w:rsidRPr="00C64989" w14:paraId="37FD9CB3" w14:textId="77777777" w:rsidTr="00CB1CF8">
        <w:trPr>
          <w:trHeight w:val="533"/>
        </w:trPr>
        <w:tc>
          <w:tcPr>
            <w:tcW w:w="88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C2BFC8" w14:textId="7B122F2E" w:rsidR="00CC6314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Troponin T (ng/L), </w:t>
            </w:r>
          </w:p>
          <w:p w14:paraId="72443B90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median</w:t>
            </w:r>
            <w:r w:rsidRPr="002765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(std)</w:t>
            </w:r>
          </w:p>
        </w:tc>
        <w:tc>
          <w:tcPr>
            <w:tcW w:w="75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83129EF" w14:textId="77777777" w:rsidR="00CC6314" w:rsidRDefault="001067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15.6</w:t>
            </w:r>
          </w:p>
          <w:p w14:paraId="31E9D1CF" w14:textId="55E0E07D" w:rsidR="001067E0" w:rsidRPr="002765D8" w:rsidRDefault="001067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CA47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27.01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A862314" w14:textId="75A956C1" w:rsidR="00CC6314" w:rsidRDefault="00CA4737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25.3</w:t>
            </w:r>
          </w:p>
          <w:p w14:paraId="3A14A329" w14:textId="6BC8A250" w:rsidR="001067E0" w:rsidRPr="002765D8" w:rsidRDefault="001067E0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CA47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74.5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04FBD29" w14:textId="77777777" w:rsidR="0024735A" w:rsidRDefault="00B85E5F" w:rsidP="00CA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13.1</w:t>
            </w:r>
          </w:p>
          <w:p w14:paraId="3722F566" w14:textId="12A9DB33" w:rsidR="00B85E5F" w:rsidRPr="002765D8" w:rsidRDefault="00B85E5F" w:rsidP="00CA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DA20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22.90)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3CDA9F5" w14:textId="5580C63A" w:rsidR="00DA2065" w:rsidRDefault="00ED57C6" w:rsidP="0025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32.1</w:t>
            </w:r>
          </w:p>
          <w:p w14:paraId="06005748" w14:textId="386D5B2D" w:rsidR="00ED57C6" w:rsidRPr="002765D8" w:rsidRDefault="00ED57C6" w:rsidP="0025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(146.4)</w:t>
            </w:r>
          </w:p>
        </w:tc>
        <w:tc>
          <w:tcPr>
            <w:tcW w:w="72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FADC176" w14:textId="77777777" w:rsidR="00CC6314" w:rsidRDefault="00020E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19.0</w:t>
            </w:r>
          </w:p>
          <w:p w14:paraId="4DCF1B21" w14:textId="797C0674" w:rsidR="00020E14" w:rsidRPr="002765D8" w:rsidRDefault="00020E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(39.59)</w:t>
            </w:r>
          </w:p>
        </w:tc>
        <w:tc>
          <w:tcPr>
            <w:tcW w:w="53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7259623" w14:textId="6786DD90" w:rsidR="00CC6314" w:rsidRPr="002765D8" w:rsidRDefault="00DE66B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16.9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br/>
              <w:t>(47.14)</w:t>
            </w:r>
          </w:p>
        </w:tc>
      </w:tr>
      <w:tr w:rsidR="00CC6314" w:rsidRPr="00C64989" w14:paraId="7CA6815D" w14:textId="77777777" w:rsidTr="00DB20FB">
        <w:trPr>
          <w:trHeight w:val="479"/>
        </w:trPr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714CA8" w14:textId="77777777" w:rsidR="00CC6314" w:rsidRPr="002765D8" w:rsidRDefault="00CC6314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proofErr w:type="spellStart"/>
            <w:r w:rsidRPr="00C537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Nt-ProBNP</w:t>
            </w:r>
            <w:proofErr w:type="spellEnd"/>
            <w:r w:rsidRPr="00C537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Levels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</w:t>
            </w:r>
            <w:r w:rsidRPr="00C537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g</w:t>
            </w:r>
            <w:proofErr w:type="spellEnd"/>
            <w:r w:rsidRPr="00C537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/mL), median (std)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3BCD00" w14:textId="6D7F8A40" w:rsidR="00CC6314" w:rsidRDefault="007A5F2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7665.8</w:t>
            </w:r>
            <w:r w:rsidR="00FB60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br/>
              <w:t>(</w:t>
            </w:r>
            <w:r w:rsidR="005D63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9265.01</w:t>
            </w:r>
            <w:r w:rsidR="00FB60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BF8FD" w14:textId="6CADEE37" w:rsidR="00CC6314" w:rsidRDefault="0044083F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7428.9</w:t>
            </w:r>
          </w:p>
          <w:p w14:paraId="00FBCC8A" w14:textId="73E399DB" w:rsidR="007A5F22" w:rsidRDefault="007A5F22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</w:t>
            </w:r>
            <w:r w:rsidR="00440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8346.42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C70160" w14:textId="77777777" w:rsidR="00CC6314" w:rsidRDefault="003A4CBE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6205.0</w:t>
            </w:r>
          </w:p>
          <w:p w14:paraId="49D15D28" w14:textId="39725364" w:rsidR="003A4CBE" w:rsidRDefault="003A4CBE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(7138.68)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4BC1C1" w14:textId="77777777" w:rsidR="00CC6314" w:rsidRDefault="00251799" w:rsidP="0025179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5971.6</w:t>
            </w:r>
          </w:p>
          <w:p w14:paraId="25DAF906" w14:textId="49717A7F" w:rsidR="00251799" w:rsidRDefault="00251799" w:rsidP="0025179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(9299.2)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B758A8" w14:textId="77777777" w:rsidR="00CC6314" w:rsidRDefault="00DE66B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6442.0</w:t>
            </w:r>
          </w:p>
          <w:p w14:paraId="2057F4A2" w14:textId="71F77842" w:rsidR="00DE66B9" w:rsidRPr="002765D8" w:rsidRDefault="00DE66B9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(7767.74)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9E5B0D" w14:textId="169ACE60" w:rsidR="00CC6314" w:rsidRDefault="00C7610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6955.2</w:t>
            </w:r>
          </w:p>
          <w:p w14:paraId="56D6772B" w14:textId="340FC56C" w:rsidR="00C76106" w:rsidRPr="002765D8" w:rsidRDefault="00C76106" w:rsidP="0053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/>
                <w14:ligatures w14:val="none"/>
              </w:rPr>
              <w:t>(8711.63)</w:t>
            </w:r>
          </w:p>
        </w:tc>
      </w:tr>
    </w:tbl>
    <w:p w14:paraId="4B4FA8A8" w14:textId="174E1C02" w:rsidR="00DB20FB" w:rsidRPr="001453EB" w:rsidRDefault="001453EB" w:rsidP="00B718F5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453EB">
        <w:rPr>
          <w:rFonts w:ascii="Times New Roman" w:hAnsi="Times New Roman" w:cs="Times New Roman"/>
          <w:i/>
          <w:iCs/>
          <w:sz w:val="20"/>
          <w:szCs w:val="20"/>
        </w:rPr>
        <w:t xml:space="preserve">Note: The sum of the proportions </w:t>
      </w:r>
      <w:r w:rsidR="007B506E">
        <w:rPr>
          <w:rFonts w:ascii="Times New Roman" w:hAnsi="Times New Roman" w:cs="Times New Roman"/>
          <w:i/>
          <w:iCs/>
          <w:sz w:val="20"/>
          <w:szCs w:val="20"/>
        </w:rPr>
        <w:t xml:space="preserve">in the table </w:t>
      </w:r>
      <w:r w:rsidRPr="001453EB">
        <w:rPr>
          <w:rFonts w:ascii="Times New Roman" w:hAnsi="Times New Roman" w:cs="Times New Roman"/>
          <w:i/>
          <w:iCs/>
          <w:sz w:val="20"/>
          <w:szCs w:val="20"/>
        </w:rPr>
        <w:t>may not equal 100.0% due to cell rounding</w:t>
      </w:r>
      <w:r w:rsidR="001C39E3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A752D7A" w14:textId="28126C48" w:rsidR="00B718F5" w:rsidRPr="00EA5C4A" w:rsidRDefault="003F24A5" w:rsidP="00B718F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3E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6314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spellEnd"/>
      <w:r w:rsidRPr="00623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18F5" w:rsidRPr="00B71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18F5" w:rsidRPr="00555CF5">
        <w:rPr>
          <w:rFonts w:ascii="Times New Roman" w:hAnsi="Times New Roman" w:cs="Times New Roman"/>
          <w:b/>
          <w:bCs/>
          <w:sz w:val="24"/>
          <w:szCs w:val="24"/>
        </w:rPr>
        <w:t xml:space="preserve">Baseline characteristics </w:t>
      </w:r>
      <w:r w:rsidR="003E3D7C">
        <w:rPr>
          <w:rFonts w:ascii="Times New Roman" w:hAnsi="Times New Roman" w:cs="Times New Roman"/>
          <w:b/>
          <w:bCs/>
          <w:sz w:val="24"/>
          <w:szCs w:val="24"/>
        </w:rPr>
        <w:t xml:space="preserve">and event log </w:t>
      </w:r>
      <w:r w:rsidR="00705F1C">
        <w:rPr>
          <w:rFonts w:ascii="Times New Roman" w:hAnsi="Times New Roman" w:cs="Times New Roman"/>
          <w:b/>
          <w:bCs/>
          <w:sz w:val="24"/>
          <w:szCs w:val="24"/>
        </w:rPr>
        <w:t xml:space="preserve">quality </w:t>
      </w:r>
      <w:r w:rsidR="00B718F5" w:rsidRPr="00555CF5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B718F5">
        <w:rPr>
          <w:rFonts w:ascii="Times New Roman" w:hAnsi="Times New Roman" w:cs="Times New Roman"/>
          <w:b/>
          <w:bCs/>
          <w:sz w:val="24"/>
          <w:szCs w:val="24"/>
        </w:rPr>
        <w:t>Sepsis</w:t>
      </w:r>
      <w:r w:rsidR="00EC5E93">
        <w:rPr>
          <w:rFonts w:ascii="Times New Roman" w:hAnsi="Times New Roman" w:cs="Times New Roman"/>
          <w:b/>
          <w:bCs/>
          <w:sz w:val="24"/>
          <w:szCs w:val="24"/>
        </w:rPr>
        <w:t xml:space="preserve"> log</w:t>
      </w:r>
      <w:r w:rsidR="00BE3F12">
        <w:rPr>
          <w:rFonts w:ascii="Times New Roman" w:hAnsi="Times New Roman" w:cs="Times New Roman"/>
          <w:b/>
          <w:bCs/>
          <w:sz w:val="24"/>
          <w:szCs w:val="24"/>
        </w:rPr>
        <w:t xml:space="preserve"> from a Dutch hospital</w:t>
      </w:r>
      <w:r w:rsidR="000C3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DF5" w:rsidRPr="00AD7DF5">
        <w:rPr>
          <w:rFonts w:ascii="Times New Roman" w:hAnsi="Times New Roman" w:cs="Times New Roman"/>
          <w:sz w:val="24"/>
          <w:szCs w:val="24"/>
        </w:rPr>
        <w:t>[6</w:t>
      </w:r>
      <w:r w:rsidR="00AB75F2">
        <w:rPr>
          <w:rFonts w:ascii="Times New Roman" w:hAnsi="Times New Roman" w:cs="Times New Roman"/>
          <w:sz w:val="24"/>
          <w:szCs w:val="24"/>
        </w:rPr>
        <w:t>-7</w:t>
      </w:r>
      <w:r w:rsidR="00AD7DF5" w:rsidRPr="00AD7DF5">
        <w:rPr>
          <w:rFonts w:ascii="Times New Roman" w:hAnsi="Times New Roman" w:cs="Times New Roman"/>
          <w:sz w:val="24"/>
          <w:szCs w:val="24"/>
        </w:rPr>
        <w:t>]</w:t>
      </w:r>
      <w:r w:rsidR="00862F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159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6550"/>
      </w:tblGrid>
      <w:tr w:rsidR="009E4FE2" w:rsidRPr="00E86609" w14:paraId="240F8847" w14:textId="77777777" w:rsidTr="000928A5">
        <w:trPr>
          <w:trHeight w:val="362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8B91D7" w14:textId="5D45515F" w:rsidR="009E4FE2" w:rsidRPr="00E86609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Measure</w:t>
            </w:r>
          </w:p>
        </w:tc>
        <w:tc>
          <w:tcPr>
            <w:tcW w:w="65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669283" w14:textId="4ECA7EBE" w:rsidR="009E4FE2" w:rsidRPr="00E86609" w:rsidRDefault="00302AD7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Sepsis log</w:t>
            </w:r>
          </w:p>
        </w:tc>
      </w:tr>
      <w:tr w:rsidR="009E4FE2" w:rsidRPr="00E86609" w14:paraId="49B6AE75" w14:textId="77777777" w:rsidTr="000928A5">
        <w:trPr>
          <w:trHeight w:val="362"/>
        </w:trPr>
        <w:tc>
          <w:tcPr>
            <w:tcW w:w="50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EBD9B9" w14:textId="77777777" w:rsidR="009E4FE2" w:rsidRPr="00E86609" w:rsidRDefault="009E4FE2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number of events</w:t>
            </w:r>
          </w:p>
        </w:tc>
        <w:tc>
          <w:tcPr>
            <w:tcW w:w="65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0C3E16" w14:textId="3EA89CBF" w:rsidR="009E4FE2" w:rsidRPr="00E86609" w:rsidRDefault="00302AD7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15</w:t>
            </w:r>
            <w:r w:rsidR="00BA7365"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,</w:t>
            </w: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214</w:t>
            </w:r>
          </w:p>
        </w:tc>
      </w:tr>
      <w:tr w:rsidR="00705F1C" w:rsidRPr="00E86609" w14:paraId="26C7869B" w14:textId="77777777" w:rsidTr="000928A5">
        <w:trPr>
          <w:trHeight w:val="362"/>
        </w:trPr>
        <w:tc>
          <w:tcPr>
            <w:tcW w:w="5040" w:type="dxa"/>
            <w:tcBorders>
              <w:top w:val="single" w:sz="4" w:space="0" w:color="auto"/>
            </w:tcBorders>
            <w:noWrap/>
            <w:vAlign w:val="center"/>
          </w:tcPr>
          <w:p w14:paraId="2AD5E81E" w14:textId="5C148BC3" w:rsidR="00705F1C" w:rsidRPr="00E86609" w:rsidRDefault="00705F1C" w:rsidP="0070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Baseline log characteristics</w:t>
            </w:r>
          </w:p>
        </w:tc>
        <w:tc>
          <w:tcPr>
            <w:tcW w:w="6550" w:type="dxa"/>
            <w:tcBorders>
              <w:top w:val="single" w:sz="4" w:space="0" w:color="auto"/>
            </w:tcBorders>
            <w:noWrap/>
            <w:vAlign w:val="center"/>
          </w:tcPr>
          <w:p w14:paraId="6B368CE1" w14:textId="77777777" w:rsidR="00705F1C" w:rsidRPr="00E86609" w:rsidRDefault="00705F1C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</w:p>
        </w:tc>
      </w:tr>
      <w:tr w:rsidR="009E4FE2" w:rsidRPr="00E86609" w14:paraId="4B6BF24B" w14:textId="77777777" w:rsidTr="000928A5">
        <w:trPr>
          <w:trHeight w:val="362"/>
        </w:trPr>
        <w:tc>
          <w:tcPr>
            <w:tcW w:w="5040" w:type="dxa"/>
            <w:noWrap/>
            <w:vAlign w:val="center"/>
            <w:hideMark/>
          </w:tcPr>
          <w:p w14:paraId="004F8E88" w14:textId="77777777" w:rsidR="009E4FE2" w:rsidRPr="00E86609" w:rsidRDefault="009E4FE2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number of process instances</w:t>
            </w:r>
          </w:p>
        </w:tc>
        <w:tc>
          <w:tcPr>
            <w:tcW w:w="6550" w:type="dxa"/>
            <w:noWrap/>
            <w:vAlign w:val="center"/>
            <w:hideMark/>
          </w:tcPr>
          <w:p w14:paraId="071BAA96" w14:textId="78AFF693" w:rsidR="009E4FE2" w:rsidRPr="00E86609" w:rsidRDefault="001650B4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846</w:t>
            </w:r>
          </w:p>
        </w:tc>
      </w:tr>
      <w:tr w:rsidR="009E4FE2" w:rsidRPr="00E86609" w14:paraId="196DEB8D" w14:textId="77777777" w:rsidTr="000928A5">
        <w:trPr>
          <w:trHeight w:val="362"/>
        </w:trPr>
        <w:tc>
          <w:tcPr>
            <w:tcW w:w="5040" w:type="dxa"/>
            <w:noWrap/>
            <w:vAlign w:val="center"/>
            <w:hideMark/>
          </w:tcPr>
          <w:p w14:paraId="073AF923" w14:textId="77777777" w:rsidR="009E4FE2" w:rsidRPr="00E86609" w:rsidRDefault="009E4FE2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number of event classes</w:t>
            </w:r>
          </w:p>
        </w:tc>
        <w:tc>
          <w:tcPr>
            <w:tcW w:w="6550" w:type="dxa"/>
            <w:noWrap/>
            <w:vAlign w:val="center"/>
            <w:hideMark/>
          </w:tcPr>
          <w:p w14:paraId="7C746C5B" w14:textId="6CC821BA" w:rsidR="009E4FE2" w:rsidRPr="00E86609" w:rsidRDefault="00BA6518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16</w:t>
            </w:r>
          </w:p>
        </w:tc>
      </w:tr>
      <w:tr w:rsidR="009E4FE2" w:rsidRPr="00E86609" w14:paraId="5F21BB0D" w14:textId="77777777" w:rsidTr="000928A5">
        <w:trPr>
          <w:trHeight w:val="362"/>
        </w:trPr>
        <w:tc>
          <w:tcPr>
            <w:tcW w:w="5040" w:type="dxa"/>
            <w:noWrap/>
            <w:vAlign w:val="center"/>
            <w:hideMark/>
          </w:tcPr>
          <w:p w14:paraId="7765BEB7" w14:textId="77777777" w:rsidR="00302AD7" w:rsidRPr="00E86609" w:rsidRDefault="009E4FE2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Event per case,</w:t>
            </w:r>
          </w:p>
          <w:p w14:paraId="28F249E1" w14:textId="753BE750" w:rsidR="009E4FE2" w:rsidRPr="00E86609" w:rsidRDefault="005C5EBA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Median</w:t>
            </w:r>
            <w:r w:rsidR="007B4715"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E4FE2"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(min, max)</w:t>
            </w:r>
          </w:p>
        </w:tc>
        <w:tc>
          <w:tcPr>
            <w:tcW w:w="6550" w:type="dxa"/>
            <w:noWrap/>
            <w:vAlign w:val="center"/>
            <w:hideMark/>
          </w:tcPr>
          <w:p w14:paraId="7209056A" w14:textId="429CE581" w:rsidR="009E4FE2" w:rsidRPr="00E86609" w:rsidRDefault="00192575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 (3,185)</w:t>
            </w:r>
          </w:p>
        </w:tc>
      </w:tr>
      <w:tr w:rsidR="009E4FE2" w:rsidRPr="00E86609" w14:paraId="5EBB0BEA" w14:textId="77777777" w:rsidTr="000928A5">
        <w:trPr>
          <w:trHeight w:val="362"/>
        </w:trPr>
        <w:tc>
          <w:tcPr>
            <w:tcW w:w="5040" w:type="dxa"/>
            <w:noWrap/>
            <w:vAlign w:val="center"/>
            <w:hideMark/>
          </w:tcPr>
          <w:p w14:paraId="2C11D231" w14:textId="77777777" w:rsidR="009E4FE2" w:rsidRPr="00E86609" w:rsidRDefault="009E4FE2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Average trace length</w:t>
            </w:r>
          </w:p>
        </w:tc>
        <w:tc>
          <w:tcPr>
            <w:tcW w:w="6550" w:type="dxa"/>
            <w:noWrap/>
            <w:vAlign w:val="center"/>
            <w:hideMark/>
          </w:tcPr>
          <w:p w14:paraId="42B96DEE" w14:textId="1240D5D9" w:rsidR="009E4FE2" w:rsidRPr="00E86609" w:rsidRDefault="00B3143F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14.49</w:t>
            </w:r>
          </w:p>
        </w:tc>
      </w:tr>
      <w:tr w:rsidR="00705F1C" w:rsidRPr="00E86609" w14:paraId="41296B4C" w14:textId="77777777" w:rsidTr="000928A5">
        <w:trPr>
          <w:trHeight w:val="362"/>
        </w:trPr>
        <w:tc>
          <w:tcPr>
            <w:tcW w:w="5040" w:type="dxa"/>
            <w:noWrap/>
            <w:vAlign w:val="center"/>
          </w:tcPr>
          <w:p w14:paraId="792F5311" w14:textId="18F7784E" w:rsidR="00705F1C" w:rsidRPr="00E86609" w:rsidRDefault="00705F1C" w:rsidP="00705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50" w:type="dxa"/>
            <w:noWrap/>
            <w:vAlign w:val="center"/>
          </w:tcPr>
          <w:p w14:paraId="2792ADFC" w14:textId="77777777" w:rsidR="00705F1C" w:rsidRPr="00E86609" w:rsidRDefault="00705F1C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</w:p>
        </w:tc>
      </w:tr>
      <w:tr w:rsidR="00705F1C" w:rsidRPr="00E86609" w14:paraId="5120FE65" w14:textId="77777777" w:rsidTr="000928A5">
        <w:trPr>
          <w:trHeight w:val="362"/>
        </w:trPr>
        <w:tc>
          <w:tcPr>
            <w:tcW w:w="5040" w:type="dxa"/>
            <w:noWrap/>
            <w:vAlign w:val="center"/>
          </w:tcPr>
          <w:p w14:paraId="4FF48599" w14:textId="4216EEA3" w:rsidR="00705F1C" w:rsidRPr="00E86609" w:rsidRDefault="00180F17" w:rsidP="00705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66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Event quality </w:t>
            </w:r>
          </w:p>
        </w:tc>
        <w:tc>
          <w:tcPr>
            <w:tcW w:w="6550" w:type="dxa"/>
            <w:noWrap/>
            <w:vAlign w:val="center"/>
          </w:tcPr>
          <w:p w14:paraId="72B627C7" w14:textId="77777777" w:rsidR="00705F1C" w:rsidRPr="00E86609" w:rsidRDefault="00705F1C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</w:p>
        </w:tc>
      </w:tr>
      <w:tr w:rsidR="00E86609" w:rsidRPr="00E86609" w14:paraId="065AB59C" w14:textId="77777777" w:rsidTr="00167C80">
        <w:trPr>
          <w:trHeight w:val="362"/>
        </w:trPr>
        <w:tc>
          <w:tcPr>
            <w:tcW w:w="5040" w:type="dxa"/>
            <w:noWrap/>
          </w:tcPr>
          <w:p w14:paraId="2B64938E" w14:textId="4F5B2B51" w:rsidR="00E86609" w:rsidRPr="00E86609" w:rsidRDefault="00E86609" w:rsidP="00E86609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6609">
              <w:rPr>
                <w:rFonts w:ascii="Times New Roman" w:hAnsi="Times New Roman" w:cs="Times New Roman"/>
                <w:sz w:val="24"/>
                <w:szCs w:val="24"/>
              </w:rPr>
              <w:t>Species Richness (</w:t>
            </w:r>
            <w:proofErr w:type="spellStart"/>
            <w:r w:rsidRPr="00E86609">
              <w:rPr>
                <w:rFonts w:ascii="Times New Roman" w:hAnsi="Times New Roman" w:cs="Times New Roman"/>
                <w:sz w:val="24"/>
                <w:szCs w:val="24"/>
              </w:rPr>
              <w:t>D0</w:t>
            </w:r>
            <w:proofErr w:type="spellEnd"/>
            <w:r w:rsidRPr="00E86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50" w:type="dxa"/>
            <w:noWrap/>
            <w:vAlign w:val="center"/>
          </w:tcPr>
          <w:p w14:paraId="4C7D84C1" w14:textId="700FB75B" w:rsidR="00E86609" w:rsidRPr="00E86609" w:rsidRDefault="00CC10DE" w:rsidP="00E86609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16</w:t>
            </w:r>
          </w:p>
        </w:tc>
      </w:tr>
      <w:tr w:rsidR="00E86609" w:rsidRPr="00E86609" w14:paraId="074BD242" w14:textId="77777777" w:rsidTr="00167C80">
        <w:trPr>
          <w:trHeight w:val="362"/>
        </w:trPr>
        <w:tc>
          <w:tcPr>
            <w:tcW w:w="5040" w:type="dxa"/>
            <w:noWrap/>
          </w:tcPr>
          <w:p w14:paraId="07E7110A" w14:textId="77999598" w:rsidR="00E86609" w:rsidRPr="00E86609" w:rsidRDefault="00E86609" w:rsidP="00E86609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86609">
              <w:rPr>
                <w:rFonts w:ascii="Times New Roman" w:hAnsi="Times New Roman" w:cs="Times New Roman"/>
                <w:sz w:val="24"/>
                <w:szCs w:val="24"/>
              </w:rPr>
              <w:t>Expected Shannon Entropy (</w:t>
            </w:r>
            <w:proofErr w:type="spellStart"/>
            <w:r w:rsidRPr="00E86609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proofErr w:type="spellEnd"/>
            <w:r w:rsidRPr="00E86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50" w:type="dxa"/>
            <w:noWrap/>
            <w:vAlign w:val="center"/>
          </w:tcPr>
          <w:p w14:paraId="46856A4C" w14:textId="79DB6435" w:rsidR="00E86609" w:rsidRPr="00E86609" w:rsidRDefault="00CC10DE" w:rsidP="00E86609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11.5</w:t>
            </w:r>
          </w:p>
        </w:tc>
      </w:tr>
      <w:tr w:rsidR="00E86609" w:rsidRPr="00E86609" w14:paraId="4C0B519B" w14:textId="77777777" w:rsidTr="00167C80">
        <w:trPr>
          <w:trHeight w:val="362"/>
        </w:trPr>
        <w:tc>
          <w:tcPr>
            <w:tcW w:w="5040" w:type="dxa"/>
            <w:noWrap/>
          </w:tcPr>
          <w:p w14:paraId="60F5DED0" w14:textId="592EC258" w:rsidR="00E86609" w:rsidRPr="00E86609" w:rsidRDefault="00CC10DE" w:rsidP="00E86609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C10DE">
              <w:rPr>
                <w:rFonts w:ascii="Times New Roman" w:hAnsi="Times New Roman" w:cs="Times New Roman"/>
                <w:sz w:val="24"/>
                <w:szCs w:val="24"/>
              </w:rPr>
              <w:t>Inverse Simpson Diversity (</w:t>
            </w:r>
            <w:proofErr w:type="spellStart"/>
            <w:r w:rsidRPr="00CC10DE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  <w:proofErr w:type="spellEnd"/>
            <w:r w:rsidRPr="00CC1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50" w:type="dxa"/>
            <w:noWrap/>
            <w:vAlign w:val="center"/>
          </w:tcPr>
          <w:p w14:paraId="5371B3CB" w14:textId="6F1CE8E0" w:rsidR="00E86609" w:rsidRPr="00E86609" w:rsidRDefault="00CC10DE" w:rsidP="00E86609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10.8</w:t>
            </w:r>
          </w:p>
        </w:tc>
      </w:tr>
      <w:tr w:rsidR="00D45454" w:rsidRPr="00E86609" w14:paraId="11F4B849" w14:textId="77777777" w:rsidTr="000928A5">
        <w:trPr>
          <w:trHeight w:val="362"/>
        </w:trPr>
        <w:tc>
          <w:tcPr>
            <w:tcW w:w="5040" w:type="dxa"/>
            <w:noWrap/>
            <w:vAlign w:val="center"/>
          </w:tcPr>
          <w:p w14:paraId="13D573BF" w14:textId="77777777" w:rsidR="00D45454" w:rsidRPr="00E86609" w:rsidRDefault="00D45454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50" w:type="dxa"/>
            <w:noWrap/>
            <w:vAlign w:val="center"/>
          </w:tcPr>
          <w:p w14:paraId="7EC62134" w14:textId="77777777" w:rsidR="00D45454" w:rsidRPr="00E86609" w:rsidRDefault="00D45454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</w:p>
        </w:tc>
      </w:tr>
      <w:tr w:rsidR="00D45454" w:rsidRPr="00E86609" w14:paraId="4029C96F" w14:textId="77777777" w:rsidTr="000928A5">
        <w:trPr>
          <w:trHeight w:val="362"/>
        </w:trPr>
        <w:tc>
          <w:tcPr>
            <w:tcW w:w="5040" w:type="dxa"/>
            <w:noWrap/>
            <w:vAlign w:val="center"/>
          </w:tcPr>
          <w:p w14:paraId="744E8DAD" w14:textId="1C43CB6A" w:rsidR="00D45454" w:rsidRPr="00E86609" w:rsidRDefault="00CC10DE" w:rsidP="00CC10D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C10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Completeness (</w:t>
            </w:r>
            <w:proofErr w:type="spellStart"/>
            <w:r w:rsidRPr="00CC10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C0</w:t>
            </w:r>
            <w:proofErr w:type="spellEnd"/>
            <w:r w:rsidRPr="00CC10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550" w:type="dxa"/>
            <w:noWrap/>
            <w:vAlign w:val="center"/>
          </w:tcPr>
          <w:p w14:paraId="049E18CB" w14:textId="7744216A" w:rsidR="00D45454" w:rsidRPr="00E86609" w:rsidRDefault="00F91FF5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100%</w:t>
            </w:r>
          </w:p>
        </w:tc>
      </w:tr>
      <w:tr w:rsidR="00D45454" w:rsidRPr="00E86609" w14:paraId="78445267" w14:textId="77777777" w:rsidTr="000928A5">
        <w:trPr>
          <w:trHeight w:val="362"/>
        </w:trPr>
        <w:tc>
          <w:tcPr>
            <w:tcW w:w="5040" w:type="dxa"/>
            <w:noWrap/>
            <w:vAlign w:val="center"/>
          </w:tcPr>
          <w:p w14:paraId="1E218F2D" w14:textId="431ED23C" w:rsidR="00D45454" w:rsidRPr="00E86609" w:rsidRDefault="00CC10DE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C10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Coverage(</w:t>
            </w:r>
            <w:proofErr w:type="spellStart"/>
            <w:r w:rsidRPr="00CC10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C1</w:t>
            </w:r>
            <w:proofErr w:type="spellEnd"/>
            <w:r w:rsidRPr="00CC10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6550" w:type="dxa"/>
            <w:noWrap/>
            <w:vAlign w:val="center"/>
          </w:tcPr>
          <w:p w14:paraId="087E81C0" w14:textId="52099EF5" w:rsidR="00D45454" w:rsidRPr="00E86609" w:rsidRDefault="00F91FF5" w:rsidP="009E4F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AU"/>
                <w14:ligatures w14:val="none"/>
              </w:rPr>
              <w:t>100%</w:t>
            </w:r>
          </w:p>
        </w:tc>
      </w:tr>
    </w:tbl>
    <w:p w14:paraId="44A45DC1" w14:textId="0C5E8461" w:rsidR="003F24A5" w:rsidRDefault="003F24A5" w:rsidP="002B30B0"/>
    <w:p w14:paraId="29152F84" w14:textId="77777777" w:rsidR="00505A68" w:rsidRDefault="00505A68" w:rsidP="002B30B0"/>
    <w:p w14:paraId="44072401" w14:textId="77777777" w:rsidR="00505A68" w:rsidRDefault="00505A68" w:rsidP="002B30B0"/>
    <w:p w14:paraId="04844CE7" w14:textId="0F310E6C" w:rsidR="0007649D" w:rsidRDefault="0007649D" w:rsidP="002B30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S4</w:t>
      </w:r>
      <w:proofErr w:type="spellEnd"/>
      <w:r w:rsidRPr="00623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1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3C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973CA" w:rsidRPr="009973CA">
        <w:rPr>
          <w:rFonts w:ascii="Times New Roman" w:hAnsi="Times New Roman" w:cs="Times New Roman"/>
          <w:b/>
          <w:bCs/>
          <w:sz w:val="24"/>
          <w:szCs w:val="24"/>
        </w:rPr>
        <w:t xml:space="preserve">oncept-level entity-relationship (E-R) diagram of the </w:t>
      </w:r>
      <w:r w:rsidR="009973CA">
        <w:rPr>
          <w:rFonts w:ascii="Times New Roman" w:hAnsi="Times New Roman" w:cs="Times New Roman"/>
          <w:b/>
          <w:bCs/>
          <w:sz w:val="24"/>
          <w:szCs w:val="24"/>
        </w:rPr>
        <w:t>DREAM database.</w:t>
      </w:r>
      <w:r w:rsidRPr="0007649D">
        <w:rPr>
          <w:noProof/>
        </w:rPr>
        <w:drawing>
          <wp:inline distT="0" distB="0" distL="0" distR="0" wp14:anchorId="40027F37" wp14:editId="70204321">
            <wp:extent cx="6102664" cy="3568883"/>
            <wp:effectExtent l="0" t="0" r="0" b="0"/>
            <wp:docPr id="638320890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20890" name="Picture 1" descr="A diagram of a compan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2664" cy="35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F6FE" w14:textId="77777777" w:rsidR="009F1ED9" w:rsidRDefault="009F1ED9" w:rsidP="002B30B0"/>
    <w:p w14:paraId="064969BA" w14:textId="77777777" w:rsidR="004C36F6" w:rsidRDefault="004C36F6" w:rsidP="002B30B0"/>
    <w:p w14:paraId="10FC9419" w14:textId="77777777" w:rsidR="008A2647" w:rsidRDefault="008A2647" w:rsidP="002B30B0"/>
    <w:p w14:paraId="1DD24FA8" w14:textId="77777777" w:rsidR="008A2647" w:rsidRDefault="008A2647" w:rsidP="002B30B0"/>
    <w:p w14:paraId="38CEDA4B" w14:textId="77777777" w:rsidR="008A2647" w:rsidRDefault="008A2647" w:rsidP="002B30B0"/>
    <w:p w14:paraId="7BF7B549" w14:textId="77777777" w:rsidR="008A2647" w:rsidRDefault="008A2647" w:rsidP="002B30B0"/>
    <w:p w14:paraId="6D5C64D7" w14:textId="69D37734" w:rsidR="00922CD7" w:rsidRDefault="00B516D6" w:rsidP="002B30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  <w:r w:rsidR="0052189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30B566A" w14:textId="77777777" w:rsidR="00E0088A" w:rsidRDefault="00CB16E7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0FF">
        <w:rPr>
          <w:rFonts w:ascii="Times New Roman" w:hAnsi="Times New Roman" w:cs="Times New Roman"/>
          <w:sz w:val="24"/>
          <w:szCs w:val="24"/>
        </w:rPr>
        <w:t>Johnson, A., Bulgarelli, L., Pollard, T., Horng, S., Celi, L. A., &amp; Mark, R. (</w:t>
      </w:r>
      <w:proofErr w:type="spellStart"/>
      <w:r w:rsidRPr="003450FF">
        <w:rPr>
          <w:rFonts w:ascii="Times New Roman" w:hAnsi="Times New Roman" w:cs="Times New Roman"/>
          <w:sz w:val="24"/>
          <w:szCs w:val="24"/>
        </w:rPr>
        <w:t>2023</w:t>
      </w:r>
      <w:r w:rsidR="00960318" w:rsidRPr="003450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50FF">
        <w:rPr>
          <w:rFonts w:ascii="Times New Roman" w:hAnsi="Times New Roman" w:cs="Times New Roman"/>
          <w:sz w:val="24"/>
          <w:szCs w:val="24"/>
        </w:rPr>
        <w:t xml:space="preserve">). MIMIC-IV (version 2.2). PhysioNet. </w:t>
      </w:r>
      <w:hyperlink r:id="rId6" w:history="1">
        <w:r w:rsidRPr="003450FF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3450FF">
          <w:rPr>
            <w:rStyle w:val="Hyperlink"/>
            <w:rFonts w:ascii="Times New Roman" w:hAnsi="Times New Roman" w:cs="Times New Roman"/>
            <w:sz w:val="24"/>
            <w:szCs w:val="24"/>
          </w:rPr>
          <w:t>doi.org</w:t>
        </w:r>
        <w:proofErr w:type="spellEnd"/>
        <w:r w:rsidRPr="003450FF">
          <w:rPr>
            <w:rStyle w:val="Hyperlink"/>
            <w:rFonts w:ascii="Times New Roman" w:hAnsi="Times New Roman" w:cs="Times New Roman"/>
            <w:sz w:val="24"/>
            <w:szCs w:val="24"/>
          </w:rPr>
          <w:t>/10.13026/</w:t>
        </w:r>
        <w:proofErr w:type="spellStart"/>
        <w:r w:rsidRPr="003450FF">
          <w:rPr>
            <w:rStyle w:val="Hyperlink"/>
            <w:rFonts w:ascii="Times New Roman" w:hAnsi="Times New Roman" w:cs="Times New Roman"/>
            <w:sz w:val="24"/>
            <w:szCs w:val="24"/>
          </w:rPr>
          <w:t>6mm1-ek67</w:t>
        </w:r>
        <w:proofErr w:type="spellEnd"/>
      </w:hyperlink>
      <w:r w:rsidRPr="003450FF">
        <w:rPr>
          <w:rFonts w:ascii="Times New Roman" w:hAnsi="Times New Roman" w:cs="Times New Roman"/>
          <w:sz w:val="24"/>
          <w:szCs w:val="24"/>
        </w:rPr>
        <w:t>.</w:t>
      </w:r>
    </w:p>
    <w:p w14:paraId="0FA2C61E" w14:textId="400B3C1C" w:rsidR="00CB16E7" w:rsidRDefault="00A440DB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088A">
        <w:rPr>
          <w:rFonts w:ascii="Times New Roman" w:hAnsi="Times New Roman" w:cs="Times New Roman"/>
          <w:sz w:val="24"/>
          <w:szCs w:val="24"/>
        </w:rPr>
        <w:t xml:space="preserve">Johnson, </w:t>
      </w:r>
      <w:proofErr w:type="spellStart"/>
      <w:r w:rsidRPr="00E0088A">
        <w:rPr>
          <w:rFonts w:ascii="Times New Roman" w:hAnsi="Times New Roman" w:cs="Times New Roman"/>
          <w:sz w:val="24"/>
          <w:szCs w:val="24"/>
        </w:rPr>
        <w:t>A.E.W</w:t>
      </w:r>
      <w:proofErr w:type="spellEnd"/>
      <w:r w:rsidRPr="00E0088A">
        <w:rPr>
          <w:rFonts w:ascii="Times New Roman" w:hAnsi="Times New Roman" w:cs="Times New Roman"/>
          <w:sz w:val="24"/>
          <w:szCs w:val="24"/>
        </w:rPr>
        <w:t>., Bulgarelli, L., Shen, L. et al. MIMIC-IV, a freely accessible electronic health record dataset. Sci Data 10, 1 (</w:t>
      </w:r>
      <w:proofErr w:type="spellStart"/>
      <w:r w:rsidRPr="00E0088A">
        <w:rPr>
          <w:rFonts w:ascii="Times New Roman" w:hAnsi="Times New Roman" w:cs="Times New Roman"/>
          <w:sz w:val="24"/>
          <w:szCs w:val="24"/>
        </w:rPr>
        <w:t>2023</w:t>
      </w:r>
      <w:r w:rsidR="00960318" w:rsidRPr="00E0088A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E0088A">
        <w:rPr>
          <w:rFonts w:ascii="Times New Roman" w:hAnsi="Times New Roman" w:cs="Times New Roman"/>
          <w:sz w:val="24"/>
          <w:szCs w:val="24"/>
        </w:rPr>
        <w:t xml:space="preserve">). </w:t>
      </w:r>
      <w:hyperlink r:id="rId7" w:history="1">
        <w:r w:rsidR="00D17D7E" w:rsidRPr="005F13CB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D17D7E" w:rsidRPr="005F13CB">
          <w:rPr>
            <w:rStyle w:val="Hyperlink"/>
            <w:rFonts w:ascii="Times New Roman" w:hAnsi="Times New Roman" w:cs="Times New Roman"/>
            <w:sz w:val="24"/>
            <w:szCs w:val="24"/>
          </w:rPr>
          <w:t>doi.org</w:t>
        </w:r>
        <w:proofErr w:type="spellEnd"/>
        <w:r w:rsidR="00D17D7E" w:rsidRPr="005F13CB">
          <w:rPr>
            <w:rStyle w:val="Hyperlink"/>
            <w:rFonts w:ascii="Times New Roman" w:hAnsi="Times New Roman" w:cs="Times New Roman"/>
            <w:sz w:val="24"/>
            <w:szCs w:val="24"/>
          </w:rPr>
          <w:t>/10.1038/</w:t>
        </w:r>
        <w:proofErr w:type="spellStart"/>
        <w:r w:rsidR="00D17D7E" w:rsidRPr="005F13CB">
          <w:rPr>
            <w:rStyle w:val="Hyperlink"/>
            <w:rFonts w:ascii="Times New Roman" w:hAnsi="Times New Roman" w:cs="Times New Roman"/>
            <w:sz w:val="24"/>
            <w:szCs w:val="24"/>
          </w:rPr>
          <w:t>s41597</w:t>
        </w:r>
        <w:proofErr w:type="spellEnd"/>
        <w:r w:rsidR="00D17D7E" w:rsidRPr="005F13CB">
          <w:rPr>
            <w:rStyle w:val="Hyperlink"/>
            <w:rFonts w:ascii="Times New Roman" w:hAnsi="Times New Roman" w:cs="Times New Roman"/>
            <w:sz w:val="24"/>
            <w:szCs w:val="24"/>
          </w:rPr>
          <w:t>-022-01899-x</w:t>
        </w:r>
      </w:hyperlink>
    </w:p>
    <w:p w14:paraId="008EA09C" w14:textId="6A81FC26" w:rsidR="00D17D7E" w:rsidRDefault="00FD7D4F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Bureau of health information.</w:t>
      </w:r>
      <w:r w:rsidRPr="00D17D7E">
        <w:rPr>
          <w:rFonts w:ascii="Times New Roman" w:hAnsi="Times New Roman" w:cs="Times New Roman"/>
          <w:sz w:val="24"/>
          <w:szCs w:val="24"/>
        </w:rPr>
        <w:t xml:space="preserve"> </w:t>
      </w:r>
      <w:r w:rsidR="00D17D7E" w:rsidRPr="00D17D7E">
        <w:rPr>
          <w:rFonts w:ascii="Times New Roman" w:hAnsi="Times New Roman" w:cs="Times New Roman"/>
          <w:sz w:val="24"/>
          <w:szCs w:val="24"/>
        </w:rPr>
        <w:t>Readmission and returns to acute care following hospitalisation for eight clinical conditions</w:t>
      </w:r>
      <w:r w:rsidR="00D17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F6A6F">
        <w:rPr>
          <w:rFonts w:ascii="Times New Roman" w:hAnsi="Times New Roman" w:cs="Times New Roman"/>
          <w:sz w:val="24"/>
          <w:szCs w:val="24"/>
        </w:rPr>
        <w:t>Sydney(</w:t>
      </w:r>
      <w:proofErr w:type="gramEnd"/>
      <w:r w:rsidR="004F6A6F">
        <w:rPr>
          <w:rFonts w:ascii="Times New Roman" w:hAnsi="Times New Roman" w:cs="Times New Roman"/>
          <w:sz w:val="24"/>
          <w:szCs w:val="24"/>
        </w:rPr>
        <w:t>AU)</w:t>
      </w:r>
      <w:r w:rsidR="004957FA">
        <w:rPr>
          <w:rFonts w:ascii="Times New Roman" w:hAnsi="Times New Roman" w:cs="Times New Roman"/>
          <w:sz w:val="24"/>
          <w:szCs w:val="24"/>
        </w:rPr>
        <w:t>;</w:t>
      </w:r>
      <w:r w:rsidR="006D0FD6" w:rsidRPr="006D0FD6">
        <w:rPr>
          <w:rFonts w:ascii="Times New Roman" w:hAnsi="Times New Roman" w:cs="Times New Roman"/>
          <w:sz w:val="24"/>
          <w:szCs w:val="24"/>
        </w:rPr>
        <w:t>17 June 2020</w:t>
      </w:r>
      <w:r w:rsidR="00BC7AC9">
        <w:rPr>
          <w:rFonts w:ascii="Times New Roman" w:hAnsi="Times New Roman" w:cs="Times New Roman"/>
          <w:sz w:val="24"/>
          <w:szCs w:val="24"/>
        </w:rPr>
        <w:t>.</w:t>
      </w:r>
    </w:p>
    <w:p w14:paraId="1E745A2A" w14:textId="3C9E42D7" w:rsidR="00520078" w:rsidRDefault="00520078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078">
        <w:rPr>
          <w:rFonts w:ascii="Times New Roman" w:hAnsi="Times New Roman" w:cs="Times New Roman"/>
          <w:sz w:val="24"/>
          <w:szCs w:val="24"/>
        </w:rPr>
        <w:t xml:space="preserve">Johnson AE, Bulgarelli L, Shen L, Gayles A, </w:t>
      </w:r>
      <w:proofErr w:type="spellStart"/>
      <w:r w:rsidRPr="00520078">
        <w:rPr>
          <w:rFonts w:ascii="Times New Roman" w:hAnsi="Times New Roman" w:cs="Times New Roman"/>
          <w:sz w:val="24"/>
          <w:szCs w:val="24"/>
        </w:rPr>
        <w:t>Shammout</w:t>
      </w:r>
      <w:proofErr w:type="spellEnd"/>
      <w:r w:rsidRPr="00520078">
        <w:rPr>
          <w:rFonts w:ascii="Times New Roman" w:hAnsi="Times New Roman" w:cs="Times New Roman"/>
          <w:sz w:val="24"/>
          <w:szCs w:val="24"/>
        </w:rPr>
        <w:t xml:space="preserve"> A, Horng S, Pollard TJ, Hao S, Moody B, Gow B, Lehman LW. MIMIC-IV, a freely accessible electronic health record dataset. Scientific data. 2023 Jan 3;10(1):1.</w:t>
      </w:r>
    </w:p>
    <w:p w14:paraId="1ACE4EFC" w14:textId="6698FEDB" w:rsidR="00520078" w:rsidRDefault="00C638FF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FF">
        <w:rPr>
          <w:rFonts w:ascii="Times New Roman" w:hAnsi="Times New Roman" w:cs="Times New Roman"/>
          <w:sz w:val="24"/>
          <w:szCs w:val="24"/>
        </w:rPr>
        <w:t xml:space="preserve">Kurniati AP, Rojas E, Hogg D, Hall G, Johnson OA. The assessment of data quality issues for process mining in healthcare using Medical Information Mart for Intensive Care III, a freely available e-health record database. Health informatics journal. 2019 </w:t>
      </w:r>
      <w:proofErr w:type="spellStart"/>
      <w:r w:rsidRPr="00C638FF">
        <w:rPr>
          <w:rFonts w:ascii="Times New Roman" w:hAnsi="Times New Roman" w:cs="Times New Roman"/>
          <w:sz w:val="24"/>
          <w:szCs w:val="24"/>
        </w:rPr>
        <w:t>Dec;25</w:t>
      </w:r>
      <w:proofErr w:type="spellEnd"/>
      <w:r w:rsidRPr="00C638FF">
        <w:rPr>
          <w:rFonts w:ascii="Times New Roman" w:hAnsi="Times New Roman" w:cs="Times New Roman"/>
          <w:sz w:val="24"/>
          <w:szCs w:val="24"/>
        </w:rPr>
        <w:t>(4):1878-93.</w:t>
      </w:r>
    </w:p>
    <w:p w14:paraId="555C46E9" w14:textId="753E5510" w:rsidR="00A82710" w:rsidRDefault="009037FB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37FB">
        <w:rPr>
          <w:rFonts w:ascii="Times New Roman" w:hAnsi="Times New Roman" w:cs="Times New Roman"/>
          <w:sz w:val="24"/>
          <w:szCs w:val="24"/>
        </w:rPr>
        <w:t>Mannhardt</w:t>
      </w:r>
      <w:proofErr w:type="spellEnd"/>
      <w:r w:rsidRPr="009037FB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9037FB">
        <w:rPr>
          <w:rFonts w:ascii="Times New Roman" w:hAnsi="Times New Roman" w:cs="Times New Roman"/>
          <w:sz w:val="24"/>
          <w:szCs w:val="24"/>
        </w:rPr>
        <w:t>Blinde</w:t>
      </w:r>
      <w:proofErr w:type="spellEnd"/>
      <w:r w:rsidRPr="009037FB">
        <w:rPr>
          <w:rFonts w:ascii="Times New Roman" w:hAnsi="Times New Roman" w:cs="Times New Roman"/>
          <w:sz w:val="24"/>
          <w:szCs w:val="24"/>
        </w:rPr>
        <w:t xml:space="preserve"> D. Analyzing the trajectories of patients with sepsis using process mining. </w:t>
      </w:r>
      <w:proofErr w:type="spellStart"/>
      <w:r w:rsidRPr="009037FB">
        <w:rPr>
          <w:rFonts w:ascii="Times New Roman" w:hAnsi="Times New Roman" w:cs="Times New Roman"/>
          <w:sz w:val="24"/>
          <w:szCs w:val="24"/>
        </w:rPr>
        <w:t>InRADAR</w:t>
      </w:r>
      <w:proofErr w:type="spellEnd"/>
      <w:r w:rsidRPr="009037F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037FB">
        <w:rPr>
          <w:rFonts w:ascii="Times New Roman" w:hAnsi="Times New Roman" w:cs="Times New Roman"/>
          <w:sz w:val="24"/>
          <w:szCs w:val="24"/>
        </w:rPr>
        <w:t>EMISA</w:t>
      </w:r>
      <w:proofErr w:type="spellEnd"/>
      <w:r w:rsidRPr="009037FB">
        <w:rPr>
          <w:rFonts w:ascii="Times New Roman" w:hAnsi="Times New Roman" w:cs="Times New Roman"/>
          <w:sz w:val="24"/>
          <w:szCs w:val="24"/>
        </w:rPr>
        <w:t xml:space="preserve"> 2017 2017 (pp. 72-80). </w:t>
      </w:r>
      <w:proofErr w:type="spellStart"/>
      <w:r w:rsidRPr="009037FB">
        <w:rPr>
          <w:rFonts w:ascii="Times New Roman" w:hAnsi="Times New Roman" w:cs="Times New Roman"/>
          <w:sz w:val="24"/>
          <w:szCs w:val="24"/>
        </w:rPr>
        <w:t>CEUR-ws</w:t>
      </w:r>
      <w:proofErr w:type="spellEnd"/>
      <w:r w:rsidRPr="009037FB">
        <w:rPr>
          <w:rFonts w:ascii="Times New Roman" w:hAnsi="Times New Roman" w:cs="Times New Roman"/>
          <w:sz w:val="24"/>
          <w:szCs w:val="24"/>
        </w:rPr>
        <w:t>. org.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AE" w:rsidRPr="00B879AE">
        <w:rPr>
          <w:rFonts w:ascii="Times New Roman" w:hAnsi="Times New Roman" w:cs="Times New Roman"/>
          <w:sz w:val="24"/>
          <w:szCs w:val="24"/>
        </w:rPr>
        <w:t>doi:10.4121</w:t>
      </w:r>
      <w:proofErr w:type="spellEnd"/>
      <w:r w:rsidR="00B879AE" w:rsidRPr="00B879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79AE" w:rsidRPr="00B879AE">
        <w:rPr>
          <w:rFonts w:ascii="Times New Roman" w:hAnsi="Times New Roman" w:cs="Times New Roman"/>
          <w:sz w:val="24"/>
          <w:szCs w:val="24"/>
        </w:rPr>
        <w:t>uuid:915d2bfb-7e84-49ad-a286-dc35f063a460</w:t>
      </w:r>
      <w:proofErr w:type="spellEnd"/>
      <w:r w:rsidR="00B879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37A88" w14:textId="78702C7A" w:rsidR="00AB75F2" w:rsidRPr="00E0088A" w:rsidRDefault="00AB75F2" w:rsidP="002B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75F2">
        <w:rPr>
          <w:rFonts w:ascii="Times New Roman" w:hAnsi="Times New Roman" w:cs="Times New Roman"/>
          <w:sz w:val="24"/>
          <w:szCs w:val="24"/>
        </w:rPr>
        <w:t xml:space="preserve">Kabierski M, Richter M, Weidlich M. Quantifying and relating the completeness and diversity of process representations using species estimation. Information Systems. 2025 Apr </w:t>
      </w:r>
      <w:proofErr w:type="gramStart"/>
      <w:r w:rsidRPr="00AB75F2">
        <w:rPr>
          <w:rFonts w:ascii="Times New Roman" w:hAnsi="Times New Roman" w:cs="Times New Roman"/>
          <w:sz w:val="24"/>
          <w:szCs w:val="24"/>
        </w:rPr>
        <w:t>1;130:102512</w:t>
      </w:r>
      <w:proofErr w:type="gramEnd"/>
      <w:r w:rsidRPr="00AB75F2">
        <w:rPr>
          <w:rFonts w:ascii="Times New Roman" w:hAnsi="Times New Roman" w:cs="Times New Roman"/>
          <w:sz w:val="24"/>
          <w:szCs w:val="24"/>
        </w:rPr>
        <w:t>.</w:t>
      </w:r>
    </w:p>
    <w:sectPr w:rsidR="00AB75F2" w:rsidRPr="00E0088A" w:rsidSect="00706D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164"/>
    <w:multiLevelType w:val="hybridMultilevel"/>
    <w:tmpl w:val="7A188A90"/>
    <w:lvl w:ilvl="0" w:tplc="1FFA1E1A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309E"/>
    <w:multiLevelType w:val="hybridMultilevel"/>
    <w:tmpl w:val="D346B4DC"/>
    <w:lvl w:ilvl="0" w:tplc="36F0E088">
      <w:start w:val="1"/>
      <w:numFmt w:val="lowerLetter"/>
      <w:pStyle w:val="Bullet3"/>
      <w:lvlText w:val="%1)"/>
      <w:lvlJc w:val="left"/>
      <w:pPr>
        <w:ind w:left="720" w:hanging="360"/>
      </w:pPr>
    </w:lvl>
    <w:lvl w:ilvl="1" w:tplc="EBC80B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3234"/>
    <w:multiLevelType w:val="hybridMultilevel"/>
    <w:tmpl w:val="6D56D324"/>
    <w:lvl w:ilvl="0" w:tplc="C2A6FD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2E80"/>
    <w:multiLevelType w:val="hybridMultilevel"/>
    <w:tmpl w:val="2006FE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43124"/>
    <w:multiLevelType w:val="hybridMultilevel"/>
    <w:tmpl w:val="20C488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FB53DD"/>
    <w:multiLevelType w:val="hybridMultilevel"/>
    <w:tmpl w:val="CE88C3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647EC"/>
    <w:multiLevelType w:val="hybridMultilevel"/>
    <w:tmpl w:val="5CD4C4F2"/>
    <w:lvl w:ilvl="0" w:tplc="C2A6FD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8328">
    <w:abstractNumId w:val="0"/>
  </w:num>
  <w:num w:numId="2" w16cid:durableId="968632163">
    <w:abstractNumId w:val="3"/>
  </w:num>
  <w:num w:numId="3" w16cid:durableId="545600333">
    <w:abstractNumId w:val="1"/>
  </w:num>
  <w:num w:numId="4" w16cid:durableId="1879851979">
    <w:abstractNumId w:val="4"/>
  </w:num>
  <w:num w:numId="5" w16cid:durableId="358825379">
    <w:abstractNumId w:val="5"/>
  </w:num>
  <w:num w:numId="6" w16cid:durableId="1537347243">
    <w:abstractNumId w:val="6"/>
  </w:num>
  <w:num w:numId="7" w16cid:durableId="180461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3"/>
    <w:rsid w:val="00002D04"/>
    <w:rsid w:val="000053A3"/>
    <w:rsid w:val="00020E14"/>
    <w:rsid w:val="0002242D"/>
    <w:rsid w:val="00023DEB"/>
    <w:rsid w:val="00032D08"/>
    <w:rsid w:val="000330C2"/>
    <w:rsid w:val="0004043E"/>
    <w:rsid w:val="00043646"/>
    <w:rsid w:val="0005335D"/>
    <w:rsid w:val="0007649D"/>
    <w:rsid w:val="000928A5"/>
    <w:rsid w:val="00095950"/>
    <w:rsid w:val="000B3E40"/>
    <w:rsid w:val="000C1225"/>
    <w:rsid w:val="000C3D9E"/>
    <w:rsid w:val="000D1811"/>
    <w:rsid w:val="000D4C82"/>
    <w:rsid w:val="000F2D88"/>
    <w:rsid w:val="00100D36"/>
    <w:rsid w:val="00102D6B"/>
    <w:rsid w:val="001067E0"/>
    <w:rsid w:val="00113218"/>
    <w:rsid w:val="00122D3C"/>
    <w:rsid w:val="00126BA8"/>
    <w:rsid w:val="001332C3"/>
    <w:rsid w:val="00143977"/>
    <w:rsid w:val="00145208"/>
    <w:rsid w:val="001453EB"/>
    <w:rsid w:val="00145E5A"/>
    <w:rsid w:val="00161850"/>
    <w:rsid w:val="001650B4"/>
    <w:rsid w:val="0017388B"/>
    <w:rsid w:val="00180F17"/>
    <w:rsid w:val="0018406D"/>
    <w:rsid w:val="00185D80"/>
    <w:rsid w:val="0018668E"/>
    <w:rsid w:val="00187A6E"/>
    <w:rsid w:val="00192575"/>
    <w:rsid w:val="001A56A4"/>
    <w:rsid w:val="001B55EF"/>
    <w:rsid w:val="001B6A60"/>
    <w:rsid w:val="001C39E3"/>
    <w:rsid w:val="001C60A8"/>
    <w:rsid w:val="001D098E"/>
    <w:rsid w:val="001D3CF6"/>
    <w:rsid w:val="001D3D02"/>
    <w:rsid w:val="001D6F64"/>
    <w:rsid w:val="001F0BC0"/>
    <w:rsid w:val="001F11EE"/>
    <w:rsid w:val="001F1F41"/>
    <w:rsid w:val="001F20C6"/>
    <w:rsid w:val="00200C67"/>
    <w:rsid w:val="002127CA"/>
    <w:rsid w:val="002204EB"/>
    <w:rsid w:val="0022186F"/>
    <w:rsid w:val="00227141"/>
    <w:rsid w:val="0024735A"/>
    <w:rsid w:val="00251799"/>
    <w:rsid w:val="002601BB"/>
    <w:rsid w:val="0026071C"/>
    <w:rsid w:val="002A247E"/>
    <w:rsid w:val="002A326B"/>
    <w:rsid w:val="002B30B0"/>
    <w:rsid w:val="002B7B6B"/>
    <w:rsid w:val="002C31E9"/>
    <w:rsid w:val="002D3670"/>
    <w:rsid w:val="002E0727"/>
    <w:rsid w:val="002E1466"/>
    <w:rsid w:val="002F4147"/>
    <w:rsid w:val="00302AD7"/>
    <w:rsid w:val="0031148A"/>
    <w:rsid w:val="00313582"/>
    <w:rsid w:val="00317B4E"/>
    <w:rsid w:val="00336C91"/>
    <w:rsid w:val="003450FF"/>
    <w:rsid w:val="00350977"/>
    <w:rsid w:val="003670FA"/>
    <w:rsid w:val="003A4CBE"/>
    <w:rsid w:val="003B3EB0"/>
    <w:rsid w:val="003C5241"/>
    <w:rsid w:val="003E1A97"/>
    <w:rsid w:val="003E3D7C"/>
    <w:rsid w:val="003E7F46"/>
    <w:rsid w:val="003F24A5"/>
    <w:rsid w:val="003F6E12"/>
    <w:rsid w:val="00407358"/>
    <w:rsid w:val="00412CD1"/>
    <w:rsid w:val="00436168"/>
    <w:rsid w:val="0044083F"/>
    <w:rsid w:val="00453EDB"/>
    <w:rsid w:val="0046188A"/>
    <w:rsid w:val="00466E4C"/>
    <w:rsid w:val="00476DEE"/>
    <w:rsid w:val="00494A42"/>
    <w:rsid w:val="004957FA"/>
    <w:rsid w:val="004A667A"/>
    <w:rsid w:val="004B25C5"/>
    <w:rsid w:val="004C36F6"/>
    <w:rsid w:val="004C5F0C"/>
    <w:rsid w:val="004F56CA"/>
    <w:rsid w:val="004F5AB2"/>
    <w:rsid w:val="004F6A6F"/>
    <w:rsid w:val="00505A68"/>
    <w:rsid w:val="0051249A"/>
    <w:rsid w:val="00513DC1"/>
    <w:rsid w:val="00516BF6"/>
    <w:rsid w:val="00520078"/>
    <w:rsid w:val="00521899"/>
    <w:rsid w:val="00524AA1"/>
    <w:rsid w:val="0052556D"/>
    <w:rsid w:val="005335BF"/>
    <w:rsid w:val="00537799"/>
    <w:rsid w:val="00540DD3"/>
    <w:rsid w:val="005426D0"/>
    <w:rsid w:val="00550864"/>
    <w:rsid w:val="00550BB8"/>
    <w:rsid w:val="00552D97"/>
    <w:rsid w:val="00575785"/>
    <w:rsid w:val="00585036"/>
    <w:rsid w:val="005854BC"/>
    <w:rsid w:val="0059027E"/>
    <w:rsid w:val="00596B7C"/>
    <w:rsid w:val="005B75A6"/>
    <w:rsid w:val="005B7944"/>
    <w:rsid w:val="005C5EBA"/>
    <w:rsid w:val="005C6E55"/>
    <w:rsid w:val="005D516F"/>
    <w:rsid w:val="005D6395"/>
    <w:rsid w:val="005E255F"/>
    <w:rsid w:val="005F2068"/>
    <w:rsid w:val="00635C2B"/>
    <w:rsid w:val="00635C53"/>
    <w:rsid w:val="00650F16"/>
    <w:rsid w:val="00682DE8"/>
    <w:rsid w:val="00696996"/>
    <w:rsid w:val="006D0094"/>
    <w:rsid w:val="006D0FD6"/>
    <w:rsid w:val="006D1B54"/>
    <w:rsid w:val="006D54EF"/>
    <w:rsid w:val="006D5E0E"/>
    <w:rsid w:val="006E553C"/>
    <w:rsid w:val="006F3B46"/>
    <w:rsid w:val="007058DE"/>
    <w:rsid w:val="00705F1C"/>
    <w:rsid w:val="00706D37"/>
    <w:rsid w:val="00737117"/>
    <w:rsid w:val="00753984"/>
    <w:rsid w:val="00756883"/>
    <w:rsid w:val="0076118D"/>
    <w:rsid w:val="00774363"/>
    <w:rsid w:val="007A5F22"/>
    <w:rsid w:val="007B4715"/>
    <w:rsid w:val="007B506E"/>
    <w:rsid w:val="007B75D5"/>
    <w:rsid w:val="007C6CD2"/>
    <w:rsid w:val="007E28A7"/>
    <w:rsid w:val="007E40E0"/>
    <w:rsid w:val="00804079"/>
    <w:rsid w:val="008103BA"/>
    <w:rsid w:val="00846F3A"/>
    <w:rsid w:val="00862FDF"/>
    <w:rsid w:val="0086549E"/>
    <w:rsid w:val="008752DC"/>
    <w:rsid w:val="00877384"/>
    <w:rsid w:val="00887919"/>
    <w:rsid w:val="00893653"/>
    <w:rsid w:val="008A0FA1"/>
    <w:rsid w:val="008A2647"/>
    <w:rsid w:val="008B2ED6"/>
    <w:rsid w:val="008F1DE0"/>
    <w:rsid w:val="008F7E5D"/>
    <w:rsid w:val="009037FB"/>
    <w:rsid w:val="00922CD7"/>
    <w:rsid w:val="00945B03"/>
    <w:rsid w:val="0094705C"/>
    <w:rsid w:val="00947AA0"/>
    <w:rsid w:val="00960318"/>
    <w:rsid w:val="009725FB"/>
    <w:rsid w:val="0097338A"/>
    <w:rsid w:val="00987A44"/>
    <w:rsid w:val="009973CA"/>
    <w:rsid w:val="009A34FB"/>
    <w:rsid w:val="009A3D9F"/>
    <w:rsid w:val="009B1D11"/>
    <w:rsid w:val="009B2968"/>
    <w:rsid w:val="009E4FE2"/>
    <w:rsid w:val="009F1ED9"/>
    <w:rsid w:val="009F208B"/>
    <w:rsid w:val="009F3C72"/>
    <w:rsid w:val="009F4C74"/>
    <w:rsid w:val="00A1433B"/>
    <w:rsid w:val="00A225CF"/>
    <w:rsid w:val="00A302B3"/>
    <w:rsid w:val="00A41054"/>
    <w:rsid w:val="00A440DB"/>
    <w:rsid w:val="00A55C9D"/>
    <w:rsid w:val="00A56E49"/>
    <w:rsid w:val="00A600D9"/>
    <w:rsid w:val="00A70AEA"/>
    <w:rsid w:val="00A746E9"/>
    <w:rsid w:val="00A82710"/>
    <w:rsid w:val="00A82F04"/>
    <w:rsid w:val="00A90DC9"/>
    <w:rsid w:val="00AA4CA9"/>
    <w:rsid w:val="00AA5649"/>
    <w:rsid w:val="00AA576A"/>
    <w:rsid w:val="00AB7350"/>
    <w:rsid w:val="00AB75F2"/>
    <w:rsid w:val="00AC1F89"/>
    <w:rsid w:val="00AC7D4C"/>
    <w:rsid w:val="00AD7DF5"/>
    <w:rsid w:val="00AF1BAB"/>
    <w:rsid w:val="00AF4B6D"/>
    <w:rsid w:val="00B20CE7"/>
    <w:rsid w:val="00B20D43"/>
    <w:rsid w:val="00B3143F"/>
    <w:rsid w:val="00B3584F"/>
    <w:rsid w:val="00B36DBD"/>
    <w:rsid w:val="00B40C59"/>
    <w:rsid w:val="00B448E0"/>
    <w:rsid w:val="00B51087"/>
    <w:rsid w:val="00B516D6"/>
    <w:rsid w:val="00B55D69"/>
    <w:rsid w:val="00B63922"/>
    <w:rsid w:val="00B718F5"/>
    <w:rsid w:val="00B85E5F"/>
    <w:rsid w:val="00B879AE"/>
    <w:rsid w:val="00B951C1"/>
    <w:rsid w:val="00B965A0"/>
    <w:rsid w:val="00B966DD"/>
    <w:rsid w:val="00BA03DD"/>
    <w:rsid w:val="00BA6518"/>
    <w:rsid w:val="00BA7365"/>
    <w:rsid w:val="00BA7660"/>
    <w:rsid w:val="00BC0FB1"/>
    <w:rsid w:val="00BC7AC9"/>
    <w:rsid w:val="00BD64CD"/>
    <w:rsid w:val="00BE3F12"/>
    <w:rsid w:val="00C26ED1"/>
    <w:rsid w:val="00C35B35"/>
    <w:rsid w:val="00C422E8"/>
    <w:rsid w:val="00C638FF"/>
    <w:rsid w:val="00C65744"/>
    <w:rsid w:val="00C76106"/>
    <w:rsid w:val="00C9195E"/>
    <w:rsid w:val="00C9306A"/>
    <w:rsid w:val="00CA4737"/>
    <w:rsid w:val="00CB0324"/>
    <w:rsid w:val="00CB16E7"/>
    <w:rsid w:val="00CB19F0"/>
    <w:rsid w:val="00CB1CF8"/>
    <w:rsid w:val="00CC10DE"/>
    <w:rsid w:val="00CC26B4"/>
    <w:rsid w:val="00CC6314"/>
    <w:rsid w:val="00CE0CA7"/>
    <w:rsid w:val="00D005DC"/>
    <w:rsid w:val="00D0561A"/>
    <w:rsid w:val="00D17D7E"/>
    <w:rsid w:val="00D2087E"/>
    <w:rsid w:val="00D25F78"/>
    <w:rsid w:val="00D32442"/>
    <w:rsid w:val="00D33527"/>
    <w:rsid w:val="00D351D1"/>
    <w:rsid w:val="00D4283C"/>
    <w:rsid w:val="00D45454"/>
    <w:rsid w:val="00D53E3B"/>
    <w:rsid w:val="00D577C3"/>
    <w:rsid w:val="00D62142"/>
    <w:rsid w:val="00D772ED"/>
    <w:rsid w:val="00DA2065"/>
    <w:rsid w:val="00DA4ABC"/>
    <w:rsid w:val="00DB07E1"/>
    <w:rsid w:val="00DB20FB"/>
    <w:rsid w:val="00DC5ECD"/>
    <w:rsid w:val="00DE66B9"/>
    <w:rsid w:val="00DF0A42"/>
    <w:rsid w:val="00E0088A"/>
    <w:rsid w:val="00E11522"/>
    <w:rsid w:val="00E23FD8"/>
    <w:rsid w:val="00E302D7"/>
    <w:rsid w:val="00E35F17"/>
    <w:rsid w:val="00E52725"/>
    <w:rsid w:val="00E618C2"/>
    <w:rsid w:val="00E65930"/>
    <w:rsid w:val="00E66CC7"/>
    <w:rsid w:val="00E72738"/>
    <w:rsid w:val="00E77F10"/>
    <w:rsid w:val="00E86609"/>
    <w:rsid w:val="00EA4E4A"/>
    <w:rsid w:val="00EB1B73"/>
    <w:rsid w:val="00EB3D15"/>
    <w:rsid w:val="00EC3E0B"/>
    <w:rsid w:val="00EC5E93"/>
    <w:rsid w:val="00ED31A8"/>
    <w:rsid w:val="00ED57C6"/>
    <w:rsid w:val="00EE62CA"/>
    <w:rsid w:val="00EE6978"/>
    <w:rsid w:val="00EF542E"/>
    <w:rsid w:val="00F0165B"/>
    <w:rsid w:val="00F3444E"/>
    <w:rsid w:val="00F372B6"/>
    <w:rsid w:val="00F50DE3"/>
    <w:rsid w:val="00F559C8"/>
    <w:rsid w:val="00F616CD"/>
    <w:rsid w:val="00F62B04"/>
    <w:rsid w:val="00F63D99"/>
    <w:rsid w:val="00F678DC"/>
    <w:rsid w:val="00F70D6F"/>
    <w:rsid w:val="00F85CFA"/>
    <w:rsid w:val="00F91FF5"/>
    <w:rsid w:val="00FA58EE"/>
    <w:rsid w:val="00FB06A5"/>
    <w:rsid w:val="00FB6058"/>
    <w:rsid w:val="00FB78C8"/>
    <w:rsid w:val="00FC2FF7"/>
    <w:rsid w:val="00FD001B"/>
    <w:rsid w:val="00FD4697"/>
    <w:rsid w:val="00FD7D4F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E235"/>
  <w15:chartTrackingRefBased/>
  <w15:docId w15:val="{DB193291-13A1-4BB9-B696-6FBC2CC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B0"/>
  </w:style>
  <w:style w:type="paragraph" w:styleId="Heading1">
    <w:name w:val="heading 1"/>
    <w:basedOn w:val="Normal"/>
    <w:next w:val="Normal"/>
    <w:link w:val="Heading1Char"/>
    <w:uiPriority w:val="9"/>
    <w:qFormat/>
    <w:rsid w:val="00635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30B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0B0"/>
    <w:rPr>
      <w:sz w:val="20"/>
      <w:szCs w:val="20"/>
    </w:rPr>
  </w:style>
  <w:style w:type="table" w:styleId="TableGrid">
    <w:name w:val="Table Grid"/>
    <w:basedOn w:val="TableNormal"/>
    <w:uiPriority w:val="39"/>
    <w:rsid w:val="002B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indentNormal">
    <w:name w:val="NoindentNormal"/>
    <w:basedOn w:val="Normal"/>
    <w:next w:val="Normal"/>
    <w:rsid w:val="002B30B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sz w:val="20"/>
      <w:szCs w:val="24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38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7384"/>
    <w:rPr>
      <w:color w:val="605E5C"/>
      <w:shd w:val="clear" w:color="auto" w:fill="E1DFDD"/>
    </w:rPr>
  </w:style>
  <w:style w:type="paragraph" w:customStyle="1" w:styleId="Bullet3">
    <w:name w:val="Bullet 3"/>
    <w:basedOn w:val="JnlBody"/>
    <w:link w:val="Bullet3Char"/>
    <w:rsid w:val="00ED31A8"/>
    <w:pPr>
      <w:numPr>
        <w:numId w:val="3"/>
      </w:numPr>
      <w:tabs>
        <w:tab w:val="num" w:pos="360"/>
      </w:tabs>
      <w:ind w:left="0" w:firstLine="0"/>
    </w:pPr>
  </w:style>
  <w:style w:type="character" w:customStyle="1" w:styleId="Bullet3Char">
    <w:name w:val="Bullet 3 Char"/>
    <w:link w:val="Bullet3"/>
    <w:rsid w:val="00ED31A8"/>
    <w:rPr>
      <w:rFonts w:ascii="Georgia" w:eastAsia="Times New Roman" w:hAnsi="Georgia" w:cs="Times New Roman"/>
      <w:kern w:val="0"/>
      <w:sz w:val="20"/>
      <w:szCs w:val="20"/>
      <w:lang w:val="en-AU" w:eastAsia="en-US"/>
      <w14:ligatures w14:val="none"/>
    </w:rPr>
  </w:style>
  <w:style w:type="paragraph" w:customStyle="1" w:styleId="JnlBody">
    <w:name w:val="Jnl Body"/>
    <w:basedOn w:val="Normal"/>
    <w:link w:val="JnlBodyChar"/>
    <w:qFormat/>
    <w:rsid w:val="00ED31A8"/>
    <w:pPr>
      <w:spacing w:before="120" w:after="0" w:line="240" w:lineRule="auto"/>
      <w:jc w:val="both"/>
    </w:pPr>
    <w:rPr>
      <w:rFonts w:ascii="Georgia" w:eastAsia="Times New Roman" w:hAnsi="Georgia" w:cs="Times New Roman"/>
      <w:kern w:val="0"/>
      <w:sz w:val="20"/>
      <w:szCs w:val="20"/>
      <w:lang w:val="en-AU" w:eastAsia="en-US"/>
      <w14:ligatures w14:val="none"/>
    </w:rPr>
  </w:style>
  <w:style w:type="character" w:customStyle="1" w:styleId="JnlBodyChar">
    <w:name w:val="Jnl Body Char"/>
    <w:link w:val="JnlBody"/>
    <w:rsid w:val="00ED31A8"/>
    <w:rPr>
      <w:rFonts w:ascii="Georgia" w:eastAsia="Times New Roman" w:hAnsi="Georgia" w:cs="Times New Roman"/>
      <w:kern w:val="0"/>
      <w:sz w:val="20"/>
      <w:szCs w:val="20"/>
      <w:lang w:val="en-A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7-022-01899-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026/6mm1-ek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Ruihua Guo</dc:creator>
  <cp:keywords/>
  <dc:description/>
  <cp:lastModifiedBy>Ruihua Guo</cp:lastModifiedBy>
  <cp:revision>2</cp:revision>
  <dcterms:created xsi:type="dcterms:W3CDTF">2025-09-28T05:09:00Z</dcterms:created>
  <dcterms:modified xsi:type="dcterms:W3CDTF">2025-09-28T05:09:00Z</dcterms:modified>
</cp:coreProperties>
</file>