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8E7D" w14:textId="55D43C4D" w:rsidR="00C82298" w:rsidRPr="00C82298" w:rsidRDefault="00C82298" w:rsidP="00C82298">
      <w:pP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8229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Supplementary Material</w:t>
      </w:r>
    </w:p>
    <w:p w14:paraId="1AC930B9" w14:textId="77777777" w:rsidR="00C82298" w:rsidRPr="00C82298" w:rsidRDefault="00C82298" w:rsidP="00C82298">
      <w:pPr>
        <w:jc w:val="center"/>
        <w:rPr>
          <w:rFonts w:ascii="Times New Roman" w:hAnsi="Times New Roman" w:cs="Times New Roman"/>
        </w:rPr>
      </w:pPr>
      <w:r w:rsidRPr="00C82298">
        <w:rPr>
          <w:rFonts w:ascii="Times New Roman" w:hAnsi="Times New Roman" w:cs="Times New Roman"/>
          <w:noProof/>
        </w:rPr>
        <w:drawing>
          <wp:inline distT="0" distB="0" distL="0" distR="0" wp14:anchorId="3202887B" wp14:editId="5D5F4710">
            <wp:extent cx="5610225" cy="2648123"/>
            <wp:effectExtent l="0" t="0" r="0" b="0"/>
            <wp:docPr id="49655983" name="Picture 1" descr="A black background with white sp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55983" name="Picture 1" descr="A black background with white sp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648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EDE7B" w14:textId="6CDC4B60" w:rsidR="00C82298" w:rsidRPr="00C82298" w:rsidRDefault="00C82298" w:rsidP="00C822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2298">
        <w:rPr>
          <w:rFonts w:ascii="Times New Roman" w:hAnsi="Times New Roman" w:cs="Times New Roman"/>
          <w:b/>
          <w:bCs/>
          <w:sz w:val="24"/>
          <w:szCs w:val="24"/>
        </w:rPr>
        <w:t>Supplementary Fig. S1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82298">
        <w:rPr>
          <w:rFonts w:ascii="Times New Roman" w:hAnsi="Times New Roman" w:cs="Times New Roman"/>
          <w:b/>
          <w:bCs/>
          <w:sz w:val="24"/>
          <w:szCs w:val="24"/>
        </w:rPr>
        <w:t xml:space="preserve"> SlySBP12a homology to AtSPL family </w:t>
      </w:r>
    </w:p>
    <w:p w14:paraId="5989F424" w14:textId="77777777" w:rsidR="00C82298" w:rsidRPr="00C82298" w:rsidRDefault="00C82298" w:rsidP="00C822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2298">
        <w:rPr>
          <w:rFonts w:ascii="Times New Roman" w:hAnsi="Times New Roman" w:cs="Times New Roman"/>
          <w:sz w:val="24"/>
          <w:szCs w:val="24"/>
        </w:rPr>
        <w:t xml:space="preserve">Phylogenetic tree showing relationship between SlySBP12a and </w:t>
      </w:r>
      <w:r w:rsidRPr="00C82298">
        <w:rPr>
          <w:rFonts w:ascii="Times New Roman" w:hAnsi="Times New Roman" w:cs="Times New Roman"/>
          <w:i/>
          <w:iCs/>
          <w:sz w:val="24"/>
          <w:szCs w:val="24"/>
        </w:rPr>
        <w:t>Arabidopsis thaliana</w:t>
      </w:r>
      <w:r w:rsidRPr="00C82298">
        <w:rPr>
          <w:rFonts w:ascii="Times New Roman" w:hAnsi="Times New Roman" w:cs="Times New Roman"/>
          <w:sz w:val="24"/>
          <w:szCs w:val="24"/>
        </w:rPr>
        <w:t xml:space="preserve"> SPL family protein. Tree generated by IQTREE2 and visualized with interactive Tree of Life. Sequences retrieved from Plant Transcription Factor Database.</w:t>
      </w:r>
    </w:p>
    <w:p w14:paraId="1C67F2A8" w14:textId="77777777" w:rsidR="00C82298" w:rsidRPr="00C82298" w:rsidRDefault="00C82298" w:rsidP="00C82298">
      <w:pPr>
        <w:rPr>
          <w:rFonts w:ascii="Times New Roman" w:hAnsi="Times New Roman" w:cs="Times New Roman"/>
        </w:rPr>
      </w:pPr>
    </w:p>
    <w:p w14:paraId="5AD4C7E2" w14:textId="77777777" w:rsidR="00C82298" w:rsidRPr="00C82298" w:rsidRDefault="00C82298" w:rsidP="00C82298">
      <w:pPr>
        <w:rPr>
          <w:rFonts w:ascii="Times New Roman" w:hAnsi="Times New Roman" w:cs="Times New Roman"/>
          <w:b/>
          <w:bCs/>
        </w:rPr>
      </w:pPr>
      <w:r w:rsidRPr="00C82298">
        <w:rPr>
          <w:rFonts w:ascii="Times New Roman" w:hAnsi="Times New Roman" w:cs="Times New Roman"/>
          <w:b/>
          <w:bCs/>
        </w:rPr>
        <w:br w:type="page"/>
      </w:r>
    </w:p>
    <w:p w14:paraId="3005136D" w14:textId="77777777" w:rsidR="00C82298" w:rsidRPr="00C82298" w:rsidRDefault="00C82298" w:rsidP="00C82298">
      <w:pPr>
        <w:jc w:val="center"/>
        <w:rPr>
          <w:rFonts w:ascii="Times New Roman" w:hAnsi="Times New Roman" w:cs="Times New Roman"/>
        </w:rPr>
      </w:pPr>
      <w:r w:rsidRPr="00C8229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492D65A" wp14:editId="384207C9">
            <wp:extent cx="5865502" cy="3602182"/>
            <wp:effectExtent l="0" t="0" r="1905" b="0"/>
            <wp:docPr id="2067957128" name="Picture 1" descr="A close-up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57128" name="Picture 1" descr="A close-up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82" cy="3604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70CC5" w14:textId="209AC8EC" w:rsidR="00C82298" w:rsidRDefault="00C82298" w:rsidP="00C8229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82298">
        <w:rPr>
          <w:rFonts w:ascii="Times New Roman" w:hAnsi="Times New Roman" w:cs="Times New Roman"/>
          <w:b/>
          <w:bCs/>
          <w:sz w:val="24"/>
          <w:szCs w:val="24"/>
        </w:rPr>
        <w:t>Supplementary Fig S2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82298">
        <w:rPr>
          <w:rFonts w:ascii="Times New Roman" w:hAnsi="Times New Roman" w:cs="Times New Roman"/>
          <w:b/>
          <w:bCs/>
          <w:sz w:val="24"/>
          <w:szCs w:val="24"/>
        </w:rPr>
        <w:t xml:space="preserve">RNA sequencing of SlySBP12a(ΔTMD) overexpression in N. benthamiana </w:t>
      </w:r>
      <w:r w:rsidRPr="00C82298">
        <w:rPr>
          <w:rFonts w:ascii="Times New Roman" w:hAnsi="Times New Roman" w:cs="Times New Roman"/>
          <w:sz w:val="24"/>
          <w:szCs w:val="24"/>
        </w:rPr>
        <w:t>(</w:t>
      </w:r>
      <w:r w:rsidR="00D106AE">
        <w:rPr>
          <w:rFonts w:ascii="Times New Roman" w:hAnsi="Times New Roman" w:cs="Times New Roman"/>
          <w:sz w:val="24"/>
          <w:szCs w:val="24"/>
        </w:rPr>
        <w:t>a</w:t>
      </w:r>
      <w:r w:rsidRPr="00C82298">
        <w:rPr>
          <w:rFonts w:ascii="Times New Roman" w:hAnsi="Times New Roman" w:cs="Times New Roman"/>
          <w:sz w:val="24"/>
          <w:szCs w:val="24"/>
        </w:rPr>
        <w:t>) Volcano plot showing differentially expressed genes (DEGs) in the comparison of SBP12a to the EV control. The x-axis displays log₂ fold change (SBP12a/EV</w:t>
      </w:r>
      <w:proofErr w:type="gramStart"/>
      <w:r w:rsidRPr="00C8229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82298">
        <w:rPr>
          <w:rFonts w:ascii="Times New Roman" w:hAnsi="Times New Roman" w:cs="Times New Roman"/>
          <w:sz w:val="24"/>
          <w:szCs w:val="24"/>
        </w:rPr>
        <w:t xml:space="preserve"> and the y-axis shows −log₁₀ adjusted P value. Genes passing the significance thresholds (FDR &lt; 0.05 and |</w:t>
      </w:r>
      <w:proofErr w:type="spellStart"/>
      <w:r w:rsidRPr="00C82298">
        <w:rPr>
          <w:rFonts w:ascii="Times New Roman" w:hAnsi="Times New Roman" w:cs="Times New Roman"/>
          <w:sz w:val="24"/>
          <w:szCs w:val="24"/>
        </w:rPr>
        <w:t>log₂FC</w:t>
      </w:r>
      <w:proofErr w:type="spellEnd"/>
      <w:r w:rsidRPr="00C82298">
        <w:rPr>
          <w:rFonts w:ascii="Times New Roman" w:hAnsi="Times New Roman" w:cs="Times New Roman"/>
          <w:sz w:val="24"/>
          <w:szCs w:val="24"/>
        </w:rPr>
        <w:t xml:space="preserve">| ≥ 1) are colored red for up-regulated and blue for down-regulated; non-significant genes are shown in gray. Vertical dashed lines denote the </w:t>
      </w:r>
      <w:proofErr w:type="spellStart"/>
      <w:r w:rsidRPr="00C82298">
        <w:rPr>
          <w:rFonts w:ascii="Times New Roman" w:hAnsi="Times New Roman" w:cs="Times New Roman"/>
          <w:sz w:val="24"/>
          <w:szCs w:val="24"/>
        </w:rPr>
        <w:t>log₂FC</w:t>
      </w:r>
      <w:proofErr w:type="spellEnd"/>
      <w:r w:rsidRPr="00C822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298">
        <w:rPr>
          <w:rFonts w:ascii="Times New Roman" w:hAnsi="Times New Roman" w:cs="Times New Roman"/>
          <w:sz w:val="24"/>
          <w:szCs w:val="24"/>
        </w:rPr>
        <w:t>cutoff</w:t>
      </w:r>
      <w:proofErr w:type="gramEnd"/>
      <w:r w:rsidRPr="00C82298">
        <w:rPr>
          <w:rFonts w:ascii="Times New Roman" w:hAnsi="Times New Roman" w:cs="Times New Roman"/>
          <w:sz w:val="24"/>
          <w:szCs w:val="24"/>
        </w:rPr>
        <w:t xml:space="preserve"> and the horizontal dashed line marks the FDR threshold. (</w:t>
      </w:r>
      <w:r w:rsidR="00D106AE">
        <w:rPr>
          <w:rFonts w:ascii="Times New Roman" w:hAnsi="Times New Roman" w:cs="Times New Roman"/>
          <w:sz w:val="24"/>
          <w:szCs w:val="24"/>
        </w:rPr>
        <w:t>b</w:t>
      </w:r>
      <w:r w:rsidRPr="00C82298">
        <w:rPr>
          <w:rFonts w:ascii="Times New Roman" w:hAnsi="Times New Roman" w:cs="Times New Roman"/>
          <w:sz w:val="24"/>
          <w:szCs w:val="24"/>
        </w:rPr>
        <w:t>) Summary heat map showing differentially expressed genes (DEGs) in the comparison of SBP12a to the EV control. Columns are biological replicates grouped by treatment; rows are DEGs passing FDR &lt; 0.05 and |</w:t>
      </w:r>
      <w:proofErr w:type="spellStart"/>
      <w:r w:rsidRPr="00C82298">
        <w:rPr>
          <w:rFonts w:ascii="Times New Roman" w:hAnsi="Times New Roman" w:cs="Times New Roman"/>
          <w:sz w:val="24"/>
          <w:szCs w:val="24"/>
        </w:rPr>
        <w:t>log₂FC</w:t>
      </w:r>
      <w:proofErr w:type="spellEnd"/>
      <w:r w:rsidRPr="00C82298">
        <w:rPr>
          <w:rFonts w:ascii="Times New Roman" w:hAnsi="Times New Roman" w:cs="Times New Roman"/>
          <w:sz w:val="24"/>
          <w:szCs w:val="24"/>
        </w:rPr>
        <w:t xml:space="preserve">| ≥ 1. Values are variance-stabilized expression scaled as row-wise Z-scores. Red indicates higher </w:t>
      </w:r>
      <w:proofErr w:type="gramStart"/>
      <w:r w:rsidRPr="00C82298">
        <w:rPr>
          <w:rFonts w:ascii="Times New Roman" w:hAnsi="Times New Roman" w:cs="Times New Roman"/>
          <w:sz w:val="24"/>
          <w:szCs w:val="24"/>
        </w:rPr>
        <w:t>expression</w:t>
      </w:r>
      <w:proofErr w:type="gramEnd"/>
      <w:r w:rsidRPr="00C82298">
        <w:rPr>
          <w:rFonts w:ascii="Times New Roman" w:hAnsi="Times New Roman" w:cs="Times New Roman"/>
          <w:sz w:val="24"/>
          <w:szCs w:val="24"/>
        </w:rPr>
        <w:t xml:space="preserve"> and blue indicates lower expression relative to each gene’s mean; dendrograms show hierarchical clustering.</w:t>
      </w:r>
    </w:p>
    <w:p w14:paraId="6EF4EE22" w14:textId="77777777" w:rsidR="00C82298" w:rsidRDefault="00C82298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CA7EEB" w14:textId="77777777" w:rsidR="00C82298" w:rsidRPr="00C82298" w:rsidRDefault="00C82298" w:rsidP="00AA7F6F">
      <w:pPr>
        <w:jc w:val="center"/>
        <w:rPr>
          <w:rFonts w:ascii="Times New Roman" w:hAnsi="Times New Roman" w:cs="Times New Roman"/>
        </w:rPr>
      </w:pPr>
      <w:r w:rsidRPr="00C8229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5AD5E38" wp14:editId="267965B2">
            <wp:extent cx="5902369" cy="3131127"/>
            <wp:effectExtent l="0" t="0" r="3175" b="0"/>
            <wp:docPr id="57109539" name="Picture 2" descr="A close-up of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9539" name="Picture 2" descr="A close-up of a lea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675" cy="31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73C1A1" w14:textId="7AD0CC4D" w:rsidR="00C82298" w:rsidRPr="00C82298" w:rsidRDefault="00C82298" w:rsidP="00C82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206534820"/>
      <w:r w:rsidRPr="00C82298">
        <w:rPr>
          <w:rFonts w:ascii="Times New Roman" w:hAnsi="Times New Roman" w:cs="Times New Roman"/>
          <w:b/>
          <w:bCs/>
          <w:sz w:val="24"/>
          <w:szCs w:val="24"/>
        </w:rPr>
        <w:t>Supplementary Fig. S</w:t>
      </w:r>
      <w:r w:rsidR="00AA7F6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82298">
        <w:rPr>
          <w:rFonts w:ascii="Times New Roman" w:hAnsi="Times New Roman" w:cs="Times New Roman"/>
          <w:b/>
          <w:bCs/>
          <w:sz w:val="24"/>
          <w:szCs w:val="24"/>
        </w:rPr>
        <w:t xml:space="preserve"> SINAT2</w:t>
      </w:r>
      <w:bookmarkEnd w:id="0"/>
      <w:r w:rsidRPr="00C82298">
        <w:rPr>
          <w:rFonts w:ascii="Times New Roman" w:hAnsi="Times New Roman" w:cs="Times New Roman"/>
          <w:b/>
          <w:bCs/>
          <w:sz w:val="24"/>
          <w:szCs w:val="24"/>
        </w:rPr>
        <w:t xml:space="preserve"> does not inhibit cell death induced by Bax</w:t>
      </w:r>
      <w:r w:rsidRPr="00C82298">
        <w:rPr>
          <w:rFonts w:ascii="Times New Roman" w:hAnsi="Times New Roman" w:cs="Times New Roman"/>
          <w:sz w:val="24"/>
          <w:szCs w:val="24"/>
        </w:rPr>
        <w:t xml:space="preserve"> (</w:t>
      </w:r>
      <w:r w:rsidR="00D106AE">
        <w:rPr>
          <w:rFonts w:ascii="Times New Roman" w:hAnsi="Times New Roman" w:cs="Times New Roman"/>
          <w:sz w:val="24"/>
          <w:szCs w:val="24"/>
        </w:rPr>
        <w:t>a</w:t>
      </w:r>
      <w:r w:rsidRPr="00C82298">
        <w:rPr>
          <w:rFonts w:ascii="Times New Roman" w:hAnsi="Times New Roman" w:cs="Times New Roman"/>
          <w:sz w:val="24"/>
          <w:szCs w:val="24"/>
        </w:rPr>
        <w:t xml:space="preserve">) </w:t>
      </w:r>
      <w:r w:rsidRPr="00C82298">
        <w:rPr>
          <w:rFonts w:ascii="Times New Roman" w:hAnsi="Times New Roman" w:cs="Times New Roman"/>
          <w:i/>
          <w:iCs/>
          <w:sz w:val="24"/>
          <w:szCs w:val="24"/>
        </w:rPr>
        <w:t>Nicotiana benthamiana</w:t>
      </w:r>
      <w:r w:rsidRPr="00C82298">
        <w:rPr>
          <w:rFonts w:ascii="Times New Roman" w:hAnsi="Times New Roman" w:cs="Times New Roman"/>
          <w:sz w:val="24"/>
          <w:szCs w:val="24"/>
        </w:rPr>
        <w:t xml:space="preserve"> leaves infiltrated with </w:t>
      </w:r>
      <w:r w:rsidRPr="00C82298">
        <w:rPr>
          <w:rFonts w:ascii="Times New Roman" w:hAnsi="Times New Roman" w:cs="Times New Roman"/>
          <w:i/>
          <w:iCs/>
          <w:sz w:val="24"/>
          <w:szCs w:val="24"/>
        </w:rPr>
        <w:t>Agrobacterium tumefaciens</w:t>
      </w:r>
      <w:r w:rsidRPr="00C82298">
        <w:rPr>
          <w:rFonts w:ascii="Times New Roman" w:hAnsi="Times New Roman" w:cs="Times New Roman"/>
          <w:sz w:val="24"/>
          <w:szCs w:val="24"/>
        </w:rPr>
        <w:t>. The left half of each leaf was co-infiltrated with the cell death inducing protein Bax and empty vector at a 1:1 ratio while the right half was transformed with Bax and SINAT2 at a 1:1 ratio. Images were taken 3 days post‐transformation. (</w:t>
      </w:r>
      <w:r w:rsidR="00D106AE">
        <w:rPr>
          <w:rFonts w:ascii="Times New Roman" w:hAnsi="Times New Roman" w:cs="Times New Roman"/>
          <w:sz w:val="24"/>
          <w:szCs w:val="24"/>
        </w:rPr>
        <w:t>b</w:t>
      </w:r>
      <w:r w:rsidRPr="00C82298">
        <w:rPr>
          <w:rFonts w:ascii="Times New Roman" w:hAnsi="Times New Roman" w:cs="Times New Roman"/>
          <w:sz w:val="24"/>
          <w:szCs w:val="24"/>
        </w:rPr>
        <w:t xml:space="preserve">) Electrolyte leakage assay used to quantify cell death. </w:t>
      </w:r>
      <w:bookmarkStart w:id="1" w:name="_Hlk206530912"/>
      <w:bookmarkStart w:id="2" w:name="_Hlk206530050"/>
      <w:r w:rsidRPr="00C82298">
        <w:rPr>
          <w:rFonts w:ascii="Times New Roman" w:hAnsi="Times New Roman" w:cs="Times New Roman"/>
          <w:sz w:val="24"/>
          <w:szCs w:val="24"/>
        </w:rPr>
        <w:t>Data is presented as mean ± SEM (n=6)</w:t>
      </w:r>
      <w:bookmarkEnd w:id="1"/>
      <w:r w:rsidRPr="00C82298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68D82988" w14:textId="77777777" w:rsidR="00C82298" w:rsidRPr="00C82298" w:rsidRDefault="00C82298" w:rsidP="00C82298">
      <w:pPr>
        <w:rPr>
          <w:rFonts w:ascii="Times New Roman" w:hAnsi="Times New Roman" w:cs="Times New Roman"/>
        </w:rPr>
      </w:pPr>
    </w:p>
    <w:p w14:paraId="47BE43E9" w14:textId="77777777" w:rsidR="00C82298" w:rsidRPr="00C82298" w:rsidRDefault="00C82298" w:rsidP="00C82298">
      <w:pPr>
        <w:rPr>
          <w:rFonts w:ascii="Times New Roman" w:hAnsi="Times New Roman" w:cs="Times New Roman"/>
          <w:b/>
          <w:bCs/>
        </w:rPr>
      </w:pPr>
      <w:r w:rsidRPr="00C82298">
        <w:rPr>
          <w:rFonts w:ascii="Times New Roman" w:hAnsi="Times New Roman" w:cs="Times New Roman"/>
          <w:b/>
          <w:bCs/>
        </w:rPr>
        <w:br w:type="page"/>
      </w:r>
    </w:p>
    <w:p w14:paraId="694024FF" w14:textId="77777777" w:rsidR="00C82298" w:rsidRPr="00C82298" w:rsidRDefault="00C82298" w:rsidP="00C82298">
      <w:pPr>
        <w:jc w:val="center"/>
        <w:rPr>
          <w:rFonts w:ascii="Times New Roman" w:hAnsi="Times New Roman" w:cs="Times New Roman"/>
        </w:rPr>
      </w:pPr>
      <w:r w:rsidRPr="00C8229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C67D772" wp14:editId="16C10C81">
            <wp:extent cx="5070475" cy="1600200"/>
            <wp:effectExtent l="0" t="0" r="0" b="0"/>
            <wp:docPr id="85356556" name="Picture 4" descr="A diagram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56556" name="Picture 4" descr="A diagram of a comput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" t="4629" r="5150" b="17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D8454B" w14:textId="61BACA6F" w:rsidR="00C82298" w:rsidRPr="00C82298" w:rsidRDefault="00C82298" w:rsidP="00C82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2298">
        <w:rPr>
          <w:rFonts w:ascii="Times New Roman" w:hAnsi="Times New Roman" w:cs="Times New Roman"/>
          <w:b/>
          <w:bCs/>
          <w:sz w:val="24"/>
          <w:szCs w:val="24"/>
        </w:rPr>
        <w:t>Supplementary Fig. S</w:t>
      </w:r>
      <w:r w:rsidR="00AA7F6F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82298">
        <w:rPr>
          <w:rFonts w:ascii="Times New Roman" w:hAnsi="Times New Roman" w:cs="Times New Roman"/>
          <w:b/>
          <w:bCs/>
          <w:sz w:val="24"/>
          <w:szCs w:val="24"/>
        </w:rPr>
        <w:t xml:space="preserve"> SINAT2ΔRING truncation design </w:t>
      </w:r>
      <w:r w:rsidRPr="00C82298">
        <w:rPr>
          <w:rFonts w:ascii="Times New Roman" w:hAnsi="Times New Roman" w:cs="Times New Roman"/>
          <w:sz w:val="24"/>
          <w:szCs w:val="24"/>
        </w:rPr>
        <w:t xml:space="preserve">Domain structure of wildtype SINAT2 and truncated SINAT2ΔRING. Sequences retrieved from </w:t>
      </w:r>
      <w:proofErr w:type="gramStart"/>
      <w:r w:rsidRPr="00C82298">
        <w:rPr>
          <w:rFonts w:ascii="Times New Roman" w:hAnsi="Times New Roman" w:cs="Times New Roman"/>
          <w:sz w:val="24"/>
          <w:szCs w:val="24"/>
        </w:rPr>
        <w:t>Uniprot</w:t>
      </w:r>
      <w:proofErr w:type="gramEnd"/>
      <w:r w:rsidRPr="00C82298">
        <w:rPr>
          <w:rFonts w:ascii="Times New Roman" w:hAnsi="Times New Roman" w:cs="Times New Roman"/>
          <w:sz w:val="24"/>
          <w:szCs w:val="24"/>
        </w:rPr>
        <w:t xml:space="preserve"> and domains predicted with SMART. </w:t>
      </w:r>
    </w:p>
    <w:p w14:paraId="6FE73558" w14:textId="77777777" w:rsidR="00C82298" w:rsidRPr="00C82298" w:rsidRDefault="00C82298" w:rsidP="00C82298">
      <w:pPr>
        <w:rPr>
          <w:rFonts w:ascii="Times New Roman" w:hAnsi="Times New Roman" w:cs="Times New Roman"/>
        </w:rPr>
      </w:pPr>
    </w:p>
    <w:p w14:paraId="13F66EC7" w14:textId="77777777" w:rsidR="00C82298" w:rsidRPr="00C82298" w:rsidRDefault="00C82298" w:rsidP="00C82298">
      <w:pPr>
        <w:rPr>
          <w:rFonts w:ascii="Times New Roman" w:hAnsi="Times New Roman" w:cs="Times New Roman"/>
          <w:b/>
          <w:bCs/>
        </w:rPr>
      </w:pPr>
      <w:r w:rsidRPr="00C82298">
        <w:rPr>
          <w:rFonts w:ascii="Times New Roman" w:hAnsi="Times New Roman" w:cs="Times New Roman"/>
          <w:b/>
          <w:bCs/>
        </w:rPr>
        <w:br w:type="page"/>
      </w:r>
    </w:p>
    <w:p w14:paraId="70047ADE" w14:textId="77777777" w:rsidR="00C82298" w:rsidRPr="00C82298" w:rsidRDefault="00C82298" w:rsidP="00C82298">
      <w:pPr>
        <w:rPr>
          <w:rFonts w:ascii="Times New Roman" w:hAnsi="Times New Roman" w:cs="Times New Roman"/>
          <w:b/>
          <w:bCs/>
        </w:rPr>
      </w:pPr>
      <w:r w:rsidRPr="00C82298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07096D69" wp14:editId="0FB6FFA2">
            <wp:extent cx="5943600" cy="1487805"/>
            <wp:effectExtent l="0" t="0" r="0" b="0"/>
            <wp:docPr id="2" name="Picture 1" descr="A black and white chai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8F25187-03D4-FC6F-51C3-D62DA8EF8D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chain&#10;&#10;AI-generated content may be incorrect.">
                      <a:extLst>
                        <a:ext uri="{FF2B5EF4-FFF2-40B4-BE49-F238E27FC236}">
                          <a16:creationId xmlns:a16="http://schemas.microsoft.com/office/drawing/2014/main" id="{68F25187-03D4-FC6F-51C3-D62DA8EF8D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A87CA" w14:textId="32D2AB31" w:rsidR="00C82298" w:rsidRPr="00C82298" w:rsidRDefault="00C82298" w:rsidP="00C82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2298">
        <w:rPr>
          <w:rFonts w:ascii="Times New Roman" w:hAnsi="Times New Roman" w:cs="Times New Roman"/>
          <w:b/>
          <w:bCs/>
          <w:sz w:val="24"/>
          <w:szCs w:val="24"/>
        </w:rPr>
        <w:t>Supplementary Fig. S</w:t>
      </w:r>
      <w:r w:rsidR="00AA7F6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82298">
        <w:rPr>
          <w:rFonts w:ascii="Times New Roman" w:hAnsi="Times New Roman" w:cs="Times New Roman"/>
          <w:b/>
          <w:bCs/>
          <w:sz w:val="24"/>
          <w:szCs w:val="24"/>
        </w:rPr>
        <w:t xml:space="preserve"> Schematic of </w:t>
      </w:r>
      <w:r w:rsidRPr="00C822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Arabidopsis thaliana</w:t>
      </w:r>
      <w:r w:rsidRPr="00C82298">
        <w:rPr>
          <w:rFonts w:ascii="Times New Roman" w:hAnsi="Times New Roman" w:cs="Times New Roman"/>
          <w:b/>
          <w:bCs/>
          <w:sz w:val="24"/>
          <w:szCs w:val="24"/>
        </w:rPr>
        <w:t xml:space="preserve"> SPL1 (AT2G47070) and SPL12 (AT3G60030) mutants </w:t>
      </w:r>
      <w:r w:rsidRPr="00C82298">
        <w:rPr>
          <w:rFonts w:ascii="Times New Roman" w:hAnsi="Times New Roman" w:cs="Times New Roman"/>
          <w:sz w:val="24"/>
          <w:szCs w:val="24"/>
        </w:rPr>
        <w:t xml:space="preserve">Diagram of AtSPL1 and AtSPL12 genomic structure, with exons shown as white boxes and introns/UTRs shown as a line. The sequence for the SBP box domain is shown as black filled in box on the exons. Inserts depict the T-DNA insertions in the mutant strains </w:t>
      </w:r>
      <w:r w:rsidRPr="00C82298">
        <w:rPr>
          <w:rFonts w:ascii="Times New Roman" w:hAnsi="Times New Roman" w:cs="Times New Roman"/>
          <w:i/>
          <w:iCs/>
          <w:sz w:val="24"/>
          <w:szCs w:val="24"/>
        </w:rPr>
        <w:t>atspl1</w:t>
      </w:r>
      <w:r w:rsidRPr="00C82298">
        <w:rPr>
          <w:rFonts w:ascii="Times New Roman" w:hAnsi="Times New Roman" w:cs="Times New Roman"/>
          <w:sz w:val="24"/>
          <w:szCs w:val="24"/>
        </w:rPr>
        <w:t xml:space="preserve"> (SALK_134584) and </w:t>
      </w:r>
      <w:r w:rsidRPr="00C82298">
        <w:rPr>
          <w:rFonts w:ascii="Times New Roman" w:hAnsi="Times New Roman" w:cs="Times New Roman"/>
          <w:i/>
          <w:iCs/>
          <w:sz w:val="24"/>
          <w:szCs w:val="24"/>
        </w:rPr>
        <w:t>atspl12</w:t>
      </w:r>
      <w:r w:rsidRPr="00C82298">
        <w:rPr>
          <w:rFonts w:ascii="Times New Roman" w:hAnsi="Times New Roman" w:cs="Times New Roman"/>
          <w:sz w:val="24"/>
          <w:szCs w:val="24"/>
        </w:rPr>
        <w:t xml:space="preserve"> (SALK_142295), and colored arrows show the locations of genotyping primers used to screen the mutants.</w:t>
      </w:r>
    </w:p>
    <w:p w14:paraId="1E683504" w14:textId="77777777" w:rsidR="00C82298" w:rsidRPr="00C82298" w:rsidRDefault="00C82298" w:rsidP="00C82298">
      <w:pPr>
        <w:rPr>
          <w:rFonts w:ascii="Times New Roman" w:hAnsi="Times New Roman" w:cs="Times New Roman"/>
        </w:rPr>
      </w:pPr>
    </w:p>
    <w:p w14:paraId="1EC68BD5" w14:textId="77777777" w:rsidR="00C82298" w:rsidRPr="00C82298" w:rsidRDefault="00C82298" w:rsidP="00C82298">
      <w:pPr>
        <w:rPr>
          <w:rFonts w:ascii="Times New Roman" w:hAnsi="Times New Roman" w:cs="Times New Roman"/>
        </w:rPr>
      </w:pPr>
    </w:p>
    <w:p w14:paraId="41EF38C1" w14:textId="77777777" w:rsidR="00C82298" w:rsidRPr="00C82298" w:rsidRDefault="00C82298" w:rsidP="00C82298">
      <w:pPr>
        <w:rPr>
          <w:rFonts w:ascii="Times New Roman" w:hAnsi="Times New Roman" w:cs="Times New Roman"/>
          <w:b/>
          <w:bCs/>
        </w:rPr>
      </w:pPr>
    </w:p>
    <w:p w14:paraId="4F766FAA" w14:textId="0B5C8819" w:rsidR="00C82298" w:rsidRPr="008C624C" w:rsidRDefault="00C82298" w:rsidP="008C624C">
      <w:pPr>
        <w:rPr>
          <w:rFonts w:ascii="Times New Roman" w:hAnsi="Times New Roman" w:cs="Times New Roman"/>
          <w:b/>
          <w:bCs/>
        </w:rPr>
      </w:pPr>
      <w:r w:rsidRPr="00C82298">
        <w:rPr>
          <w:rFonts w:ascii="Times New Roman" w:hAnsi="Times New Roman" w:cs="Times New Roman"/>
          <w:b/>
          <w:bCs/>
        </w:rPr>
        <w:br w:type="page"/>
      </w:r>
    </w:p>
    <w:p w14:paraId="0DA69D9C" w14:textId="77777777" w:rsidR="00C82298" w:rsidRPr="00C82298" w:rsidRDefault="00C82298" w:rsidP="00C822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2298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S1</w:t>
      </w:r>
    </w:p>
    <w:tbl>
      <w:tblPr>
        <w:tblStyle w:val="TableGrid"/>
        <w:tblW w:w="9180" w:type="dxa"/>
        <w:tblInd w:w="85" w:type="dxa"/>
        <w:tblLook w:val="04A0" w:firstRow="1" w:lastRow="0" w:firstColumn="1" w:lastColumn="0" w:noHBand="0" w:noVBand="1"/>
      </w:tblPr>
      <w:tblGrid>
        <w:gridCol w:w="1080"/>
        <w:gridCol w:w="6030"/>
        <w:gridCol w:w="2070"/>
      </w:tblGrid>
      <w:tr w:rsidR="00C82298" w:rsidRPr="00C82298" w14:paraId="2EA4EC54" w14:textId="77777777" w:rsidTr="003144FE">
        <w:trPr>
          <w:trHeight w:val="375"/>
        </w:trPr>
        <w:tc>
          <w:tcPr>
            <w:tcW w:w="1080" w:type="dxa"/>
            <w:noWrap/>
            <w:hideMark/>
          </w:tcPr>
          <w:p w14:paraId="4BF91CC6" w14:textId="77777777" w:rsidR="00C82298" w:rsidRPr="00C82298" w:rsidRDefault="00C82298" w:rsidP="003144FE">
            <w:pPr>
              <w:rPr>
                <w:rFonts w:ascii="Times New Roman" w:hAnsi="Times New Roman" w:cs="Times New Roman"/>
                <w:b/>
                <w:bCs/>
              </w:rPr>
            </w:pPr>
            <w:r w:rsidRPr="00C82298">
              <w:rPr>
                <w:rFonts w:ascii="Times New Roman" w:hAnsi="Times New Roman" w:cs="Times New Roman"/>
                <w:b/>
                <w:bCs/>
              </w:rPr>
              <w:t>Target Gene</w:t>
            </w:r>
          </w:p>
        </w:tc>
        <w:tc>
          <w:tcPr>
            <w:tcW w:w="6030" w:type="dxa"/>
            <w:noWrap/>
            <w:hideMark/>
          </w:tcPr>
          <w:p w14:paraId="2ED1AD20" w14:textId="77777777" w:rsidR="00C82298" w:rsidRPr="00C82298" w:rsidRDefault="00C82298" w:rsidP="003144FE">
            <w:pPr>
              <w:rPr>
                <w:rFonts w:ascii="Times New Roman" w:hAnsi="Times New Roman" w:cs="Times New Roman"/>
                <w:b/>
                <w:bCs/>
              </w:rPr>
            </w:pPr>
            <w:r w:rsidRPr="00C82298">
              <w:rPr>
                <w:rFonts w:ascii="Times New Roman" w:hAnsi="Times New Roman" w:cs="Times New Roman"/>
                <w:b/>
                <w:bCs/>
              </w:rPr>
              <w:t>Primer Sequence</w:t>
            </w:r>
          </w:p>
        </w:tc>
        <w:tc>
          <w:tcPr>
            <w:tcW w:w="2070" w:type="dxa"/>
            <w:noWrap/>
            <w:hideMark/>
          </w:tcPr>
          <w:p w14:paraId="3CEB6C42" w14:textId="77777777" w:rsidR="00C82298" w:rsidRPr="00C82298" w:rsidRDefault="00C82298" w:rsidP="003144FE">
            <w:pPr>
              <w:rPr>
                <w:rFonts w:ascii="Times New Roman" w:hAnsi="Times New Roman" w:cs="Times New Roman"/>
                <w:b/>
                <w:bCs/>
              </w:rPr>
            </w:pPr>
            <w:r w:rsidRPr="00C82298">
              <w:rPr>
                <w:rFonts w:ascii="Times New Roman" w:hAnsi="Times New Roman" w:cs="Times New Roman"/>
                <w:b/>
                <w:bCs/>
              </w:rPr>
              <w:t>Purpose</w:t>
            </w:r>
          </w:p>
        </w:tc>
      </w:tr>
      <w:tr w:rsidR="00C82298" w:rsidRPr="00C82298" w14:paraId="270FEAE9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080B2FE1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AtSPL1</w:t>
            </w:r>
          </w:p>
        </w:tc>
        <w:tc>
          <w:tcPr>
            <w:tcW w:w="6030" w:type="dxa"/>
            <w:hideMark/>
          </w:tcPr>
          <w:p w14:paraId="30388AA7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5'-ATGGAAGCTAGAATTGATGAAGG-3'                                          rev:  5'-TCAGCTTGTTCCATAGTCCAATAAC-3'</w:t>
            </w:r>
          </w:p>
        </w:tc>
        <w:tc>
          <w:tcPr>
            <w:tcW w:w="2070" w:type="dxa"/>
            <w:hideMark/>
          </w:tcPr>
          <w:p w14:paraId="042C0030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  <w:r w:rsidRPr="00C82298">
              <w:rPr>
                <w:rFonts w:ascii="Times New Roman" w:hAnsi="Times New Roman" w:cs="Times New Roman"/>
              </w:rPr>
              <w:t>, Co-IP, subcellular localization</w:t>
            </w:r>
          </w:p>
        </w:tc>
      </w:tr>
      <w:tr w:rsidR="00C82298" w:rsidRPr="00C82298" w14:paraId="542FA227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28B3AC56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AtSPL1</w:t>
            </w:r>
          </w:p>
          <w:p w14:paraId="0FE721DB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(ΔTMD)</w:t>
            </w:r>
          </w:p>
        </w:tc>
        <w:tc>
          <w:tcPr>
            <w:tcW w:w="6030" w:type="dxa"/>
            <w:hideMark/>
          </w:tcPr>
          <w:p w14:paraId="310A9465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AtSPL1 fwd primer                                                                        rev:  5'-TCATGTGATCTCCAAGG-3'</w:t>
            </w:r>
          </w:p>
        </w:tc>
        <w:tc>
          <w:tcPr>
            <w:tcW w:w="2070" w:type="dxa"/>
            <w:hideMark/>
          </w:tcPr>
          <w:p w14:paraId="7DEBA541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  <w:r w:rsidRPr="00C82298">
              <w:rPr>
                <w:rFonts w:ascii="Times New Roman" w:hAnsi="Times New Roman" w:cs="Times New Roman"/>
              </w:rPr>
              <w:t>, Co-IP, subcellular localization</w:t>
            </w:r>
          </w:p>
        </w:tc>
      </w:tr>
      <w:tr w:rsidR="00C82298" w:rsidRPr="00C82298" w14:paraId="0BA29160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426C8F9B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AtSPL12</w:t>
            </w:r>
          </w:p>
        </w:tc>
        <w:tc>
          <w:tcPr>
            <w:tcW w:w="6030" w:type="dxa"/>
            <w:hideMark/>
          </w:tcPr>
          <w:p w14:paraId="59CDF431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5'-ATGGAAGCTAGAATTGAAGGTG-3'                                          rev:  5'-CTAGCTTGTTCCATACTCAAG -3'</w:t>
            </w:r>
          </w:p>
        </w:tc>
        <w:tc>
          <w:tcPr>
            <w:tcW w:w="2070" w:type="dxa"/>
            <w:hideMark/>
          </w:tcPr>
          <w:p w14:paraId="4D1DCF32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  <w:r w:rsidRPr="00C82298">
              <w:rPr>
                <w:rFonts w:ascii="Times New Roman" w:hAnsi="Times New Roman" w:cs="Times New Roman"/>
              </w:rPr>
              <w:t>, Co-IP, subcellular localization</w:t>
            </w:r>
          </w:p>
        </w:tc>
      </w:tr>
      <w:tr w:rsidR="00C82298" w:rsidRPr="00C82298" w14:paraId="231A6BC3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76AFCC0A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AtSPL12</w:t>
            </w:r>
          </w:p>
          <w:p w14:paraId="5133965D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(ΔTMD)</w:t>
            </w:r>
          </w:p>
        </w:tc>
        <w:tc>
          <w:tcPr>
            <w:tcW w:w="6030" w:type="dxa"/>
            <w:hideMark/>
          </w:tcPr>
          <w:p w14:paraId="431C5C01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AtSPL12 fwd primer                                                                            rev:  5'-TCATGTTATCTCCAAGCTTG-3'</w:t>
            </w:r>
          </w:p>
        </w:tc>
        <w:tc>
          <w:tcPr>
            <w:tcW w:w="2070" w:type="dxa"/>
            <w:hideMark/>
          </w:tcPr>
          <w:p w14:paraId="3202739F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  <w:r w:rsidRPr="00C82298">
              <w:rPr>
                <w:rFonts w:ascii="Times New Roman" w:hAnsi="Times New Roman" w:cs="Times New Roman"/>
              </w:rPr>
              <w:t>, Co-IP, subcellular localization</w:t>
            </w:r>
          </w:p>
        </w:tc>
      </w:tr>
      <w:tr w:rsidR="00C82298" w:rsidRPr="00C82298" w14:paraId="2FF430E2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47A4D8E1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SINAT2</w:t>
            </w:r>
          </w:p>
        </w:tc>
        <w:tc>
          <w:tcPr>
            <w:tcW w:w="6030" w:type="dxa"/>
            <w:hideMark/>
          </w:tcPr>
          <w:p w14:paraId="1A20FCB1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5'-ATGGCTCCTGGAGGCAGTGCTTTG-3'                                          rev:  5'-TTACTCCTCTTTCCAGATTCG-3'</w:t>
            </w:r>
          </w:p>
        </w:tc>
        <w:tc>
          <w:tcPr>
            <w:tcW w:w="2070" w:type="dxa"/>
            <w:hideMark/>
          </w:tcPr>
          <w:p w14:paraId="7E8ADAAE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  <w:r w:rsidRPr="00C82298">
              <w:rPr>
                <w:rFonts w:ascii="Times New Roman" w:hAnsi="Times New Roman" w:cs="Times New Roman"/>
              </w:rPr>
              <w:t>, Co-IP</w:t>
            </w:r>
          </w:p>
        </w:tc>
      </w:tr>
      <w:tr w:rsidR="00C82298" w:rsidRPr="00C82298" w14:paraId="46B34B24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460428B1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SINAT2</w:t>
            </w:r>
          </w:p>
          <w:p w14:paraId="2899D8EE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(ΔRING)</w:t>
            </w:r>
          </w:p>
        </w:tc>
        <w:tc>
          <w:tcPr>
            <w:tcW w:w="6030" w:type="dxa"/>
            <w:hideMark/>
          </w:tcPr>
          <w:p w14:paraId="3123F901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5'-ATAAGATGCTTAGCTCTTG-3'                                          rev:  5'-SINAT2 rev primer-3'</w:t>
            </w:r>
          </w:p>
        </w:tc>
        <w:tc>
          <w:tcPr>
            <w:tcW w:w="2070" w:type="dxa"/>
            <w:hideMark/>
          </w:tcPr>
          <w:p w14:paraId="4C146D56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</w:p>
        </w:tc>
      </w:tr>
      <w:tr w:rsidR="00C82298" w:rsidRPr="00C82298" w14:paraId="7DC5351E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6756882E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Ser2</w:t>
            </w:r>
          </w:p>
        </w:tc>
        <w:tc>
          <w:tcPr>
            <w:tcW w:w="6030" w:type="dxa"/>
            <w:hideMark/>
          </w:tcPr>
          <w:p w14:paraId="7DB34052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5'-ATGTGTTGTTTTCGCCTGCC-3'                                          rev:  5'-TCACAAAGGTTGATGAGC-3'</w:t>
            </w:r>
          </w:p>
        </w:tc>
        <w:tc>
          <w:tcPr>
            <w:tcW w:w="2070" w:type="dxa"/>
            <w:hideMark/>
          </w:tcPr>
          <w:p w14:paraId="60B79468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</w:p>
        </w:tc>
      </w:tr>
      <w:tr w:rsidR="00C82298" w:rsidRPr="00C82298" w14:paraId="329613AB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1193A9DA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Ser3</w:t>
            </w:r>
          </w:p>
        </w:tc>
        <w:tc>
          <w:tcPr>
            <w:tcW w:w="6030" w:type="dxa"/>
            <w:hideMark/>
          </w:tcPr>
          <w:p w14:paraId="68E7BDAD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5'-ATGAAATTGATCAATCAAACTG-3'                                          rev:  5'-TTAGGATAATTTGCCTTGAG-3'</w:t>
            </w:r>
          </w:p>
        </w:tc>
        <w:tc>
          <w:tcPr>
            <w:tcW w:w="2070" w:type="dxa"/>
            <w:hideMark/>
          </w:tcPr>
          <w:p w14:paraId="1D647981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</w:p>
        </w:tc>
      </w:tr>
      <w:tr w:rsidR="00C82298" w:rsidRPr="00C82298" w14:paraId="7B50D7AF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427D5DBD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Ser31</w:t>
            </w:r>
          </w:p>
        </w:tc>
        <w:tc>
          <w:tcPr>
            <w:tcW w:w="6030" w:type="dxa"/>
            <w:hideMark/>
          </w:tcPr>
          <w:p w14:paraId="5E81F499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5'-ATGGATATCGTATCAAGGATTATG-3'                                          rev:  5'-TTAGTTTCGGTGGAAAGGAAG-3'</w:t>
            </w:r>
          </w:p>
        </w:tc>
        <w:tc>
          <w:tcPr>
            <w:tcW w:w="2070" w:type="dxa"/>
            <w:hideMark/>
          </w:tcPr>
          <w:p w14:paraId="3A9182B9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</w:p>
        </w:tc>
      </w:tr>
      <w:tr w:rsidR="00C82298" w:rsidRPr="00C82298" w14:paraId="4482FFE4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676F44AA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MMP1</w:t>
            </w:r>
          </w:p>
        </w:tc>
        <w:tc>
          <w:tcPr>
            <w:tcW w:w="6030" w:type="dxa"/>
            <w:hideMark/>
          </w:tcPr>
          <w:p w14:paraId="32AA23C5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5'-ATGCCTTTGACATTCAATTGG-3'                                          rev:  5'-TCATAAACATAAGGAAAAGATCAAAG-3'</w:t>
            </w:r>
          </w:p>
        </w:tc>
        <w:tc>
          <w:tcPr>
            <w:tcW w:w="2070" w:type="dxa"/>
            <w:hideMark/>
          </w:tcPr>
          <w:p w14:paraId="442B19A1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</w:p>
        </w:tc>
      </w:tr>
      <w:tr w:rsidR="00C82298" w:rsidRPr="00C82298" w14:paraId="69943022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709FB5D3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MMP2</w:t>
            </w:r>
          </w:p>
        </w:tc>
        <w:tc>
          <w:tcPr>
            <w:tcW w:w="6030" w:type="dxa"/>
            <w:hideMark/>
          </w:tcPr>
          <w:p w14:paraId="3A0F645A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5'-ATGTCTACGTTTCCAAGTT-3'                                          rev:  5'-TCATAAACATAAAGAAAAGATC-3'</w:t>
            </w:r>
          </w:p>
        </w:tc>
        <w:tc>
          <w:tcPr>
            <w:tcW w:w="2070" w:type="dxa"/>
            <w:hideMark/>
          </w:tcPr>
          <w:p w14:paraId="7B899E8B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</w:p>
        </w:tc>
      </w:tr>
      <w:tr w:rsidR="00C82298" w:rsidRPr="00C82298" w14:paraId="4DDE00F4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75076915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Subt</w:t>
            </w:r>
          </w:p>
        </w:tc>
        <w:tc>
          <w:tcPr>
            <w:tcW w:w="6030" w:type="dxa"/>
            <w:hideMark/>
          </w:tcPr>
          <w:p w14:paraId="38573793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5'-ATGAAGAATCGTAACTTTGTAG-3'                                          rev:  5'-TTATGCGGAAGCTGCTGC-3'</w:t>
            </w:r>
          </w:p>
        </w:tc>
        <w:tc>
          <w:tcPr>
            <w:tcW w:w="2070" w:type="dxa"/>
            <w:hideMark/>
          </w:tcPr>
          <w:p w14:paraId="04FBE071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</w:p>
        </w:tc>
      </w:tr>
      <w:tr w:rsidR="00C82298" w:rsidRPr="00C82298" w14:paraId="36C7052A" w14:textId="77777777" w:rsidTr="003144FE">
        <w:trPr>
          <w:trHeight w:val="600"/>
        </w:trPr>
        <w:tc>
          <w:tcPr>
            <w:tcW w:w="1080" w:type="dxa"/>
            <w:noWrap/>
            <w:hideMark/>
          </w:tcPr>
          <w:p w14:paraId="58D7696E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CathB</w:t>
            </w:r>
          </w:p>
        </w:tc>
        <w:tc>
          <w:tcPr>
            <w:tcW w:w="6030" w:type="dxa"/>
            <w:hideMark/>
          </w:tcPr>
          <w:p w14:paraId="5AF4842A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5'-ATGGCCTTGACCCTGAAG-3'                                          rev:  5'-TCAAAAATAGGCAAATCTTGCG-3'</w:t>
            </w:r>
          </w:p>
        </w:tc>
        <w:tc>
          <w:tcPr>
            <w:tcW w:w="2070" w:type="dxa"/>
            <w:hideMark/>
          </w:tcPr>
          <w:p w14:paraId="717F2BFA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Overexpression in </w:t>
            </w:r>
            <w:r w:rsidRPr="00C82298">
              <w:rPr>
                <w:rFonts w:ascii="Times New Roman" w:hAnsi="Times New Roman" w:cs="Times New Roman"/>
                <w:i/>
                <w:iCs/>
              </w:rPr>
              <w:t>N. benthamiana</w:t>
            </w:r>
          </w:p>
        </w:tc>
      </w:tr>
      <w:tr w:rsidR="00C82298" w:rsidRPr="00C82298" w14:paraId="79B50A0D" w14:textId="77777777" w:rsidTr="003144FE">
        <w:trPr>
          <w:trHeight w:val="300"/>
        </w:trPr>
        <w:tc>
          <w:tcPr>
            <w:tcW w:w="1080" w:type="dxa"/>
            <w:noWrap/>
            <w:hideMark/>
          </w:tcPr>
          <w:p w14:paraId="0C1DF31A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atspl1 LB</w:t>
            </w:r>
          </w:p>
        </w:tc>
        <w:tc>
          <w:tcPr>
            <w:tcW w:w="6030" w:type="dxa"/>
            <w:hideMark/>
          </w:tcPr>
          <w:p w14:paraId="7403F3ED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5'-AAAGCCCAGACCATAATGACC-3'</w:t>
            </w:r>
          </w:p>
        </w:tc>
        <w:tc>
          <w:tcPr>
            <w:tcW w:w="2070" w:type="dxa"/>
            <w:hideMark/>
          </w:tcPr>
          <w:p w14:paraId="56B1AFE0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  <w:i/>
                <w:iCs/>
              </w:rPr>
              <w:t>Arabidopsis</w:t>
            </w:r>
            <w:r w:rsidRPr="00C82298">
              <w:rPr>
                <w:rFonts w:ascii="Times New Roman" w:hAnsi="Times New Roman" w:cs="Times New Roman"/>
              </w:rPr>
              <w:t xml:space="preserve"> mutant genotyping PCR</w:t>
            </w:r>
          </w:p>
        </w:tc>
      </w:tr>
      <w:tr w:rsidR="00C82298" w:rsidRPr="00C82298" w14:paraId="7104E6E6" w14:textId="77777777" w:rsidTr="003144FE">
        <w:trPr>
          <w:trHeight w:val="300"/>
        </w:trPr>
        <w:tc>
          <w:tcPr>
            <w:tcW w:w="1080" w:type="dxa"/>
            <w:noWrap/>
            <w:hideMark/>
          </w:tcPr>
          <w:p w14:paraId="314F8138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atspl1 RB</w:t>
            </w:r>
          </w:p>
        </w:tc>
        <w:tc>
          <w:tcPr>
            <w:tcW w:w="6030" w:type="dxa"/>
            <w:hideMark/>
          </w:tcPr>
          <w:p w14:paraId="521D1BC8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5'-GGAAAAACTGACGTCCCCTAG-3'</w:t>
            </w:r>
          </w:p>
        </w:tc>
        <w:tc>
          <w:tcPr>
            <w:tcW w:w="2070" w:type="dxa"/>
            <w:hideMark/>
          </w:tcPr>
          <w:p w14:paraId="41BFAAB6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  <w:i/>
                <w:iCs/>
              </w:rPr>
              <w:t>Arabidopsis</w:t>
            </w:r>
            <w:r w:rsidRPr="00C82298">
              <w:rPr>
                <w:rFonts w:ascii="Times New Roman" w:hAnsi="Times New Roman" w:cs="Times New Roman"/>
              </w:rPr>
              <w:t xml:space="preserve"> mutant genotyping PCR</w:t>
            </w:r>
          </w:p>
        </w:tc>
      </w:tr>
      <w:tr w:rsidR="00C82298" w:rsidRPr="00C82298" w14:paraId="42D1E139" w14:textId="77777777" w:rsidTr="003144FE">
        <w:trPr>
          <w:trHeight w:val="300"/>
        </w:trPr>
        <w:tc>
          <w:tcPr>
            <w:tcW w:w="1080" w:type="dxa"/>
            <w:noWrap/>
            <w:hideMark/>
          </w:tcPr>
          <w:p w14:paraId="641AFD23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atspl12 LB</w:t>
            </w:r>
          </w:p>
        </w:tc>
        <w:tc>
          <w:tcPr>
            <w:tcW w:w="6030" w:type="dxa"/>
            <w:hideMark/>
          </w:tcPr>
          <w:p w14:paraId="7A6E2405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5'-CGAGAAGTGACCTCGTAAACG-3'</w:t>
            </w:r>
          </w:p>
        </w:tc>
        <w:tc>
          <w:tcPr>
            <w:tcW w:w="2070" w:type="dxa"/>
            <w:hideMark/>
          </w:tcPr>
          <w:p w14:paraId="6E68BAC4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  <w:i/>
                <w:iCs/>
              </w:rPr>
              <w:t>Arabidopsis</w:t>
            </w:r>
            <w:r w:rsidRPr="00C82298">
              <w:rPr>
                <w:rFonts w:ascii="Times New Roman" w:hAnsi="Times New Roman" w:cs="Times New Roman"/>
              </w:rPr>
              <w:t xml:space="preserve"> mutant genotyping PCR</w:t>
            </w:r>
          </w:p>
        </w:tc>
      </w:tr>
      <w:tr w:rsidR="00C82298" w:rsidRPr="00C82298" w14:paraId="3271D51B" w14:textId="77777777" w:rsidTr="003144FE">
        <w:trPr>
          <w:trHeight w:val="300"/>
        </w:trPr>
        <w:tc>
          <w:tcPr>
            <w:tcW w:w="1080" w:type="dxa"/>
            <w:noWrap/>
            <w:hideMark/>
          </w:tcPr>
          <w:p w14:paraId="08BA1077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lastRenderedPageBreak/>
              <w:t>atspl12 RB</w:t>
            </w:r>
          </w:p>
        </w:tc>
        <w:tc>
          <w:tcPr>
            <w:tcW w:w="6030" w:type="dxa"/>
            <w:hideMark/>
          </w:tcPr>
          <w:p w14:paraId="65166704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5'-AAAGCCCAGACCATAATGACC-3'</w:t>
            </w:r>
          </w:p>
        </w:tc>
        <w:tc>
          <w:tcPr>
            <w:tcW w:w="2070" w:type="dxa"/>
            <w:hideMark/>
          </w:tcPr>
          <w:p w14:paraId="277AF0BA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  <w:i/>
                <w:iCs/>
              </w:rPr>
              <w:t>Arabidopsis</w:t>
            </w:r>
            <w:r w:rsidRPr="00C82298">
              <w:rPr>
                <w:rFonts w:ascii="Times New Roman" w:hAnsi="Times New Roman" w:cs="Times New Roman"/>
              </w:rPr>
              <w:t xml:space="preserve"> mutant genotyping PCR</w:t>
            </w:r>
          </w:p>
        </w:tc>
      </w:tr>
      <w:tr w:rsidR="00C82298" w:rsidRPr="00C82298" w14:paraId="59991F6C" w14:textId="77777777" w:rsidTr="003144FE">
        <w:trPr>
          <w:trHeight w:val="300"/>
        </w:trPr>
        <w:tc>
          <w:tcPr>
            <w:tcW w:w="1080" w:type="dxa"/>
            <w:noWrap/>
            <w:hideMark/>
          </w:tcPr>
          <w:p w14:paraId="540935DD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LBb1.3</w:t>
            </w:r>
          </w:p>
        </w:tc>
        <w:tc>
          <w:tcPr>
            <w:tcW w:w="6030" w:type="dxa"/>
            <w:hideMark/>
          </w:tcPr>
          <w:p w14:paraId="00643CF3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5'-ATTTTGCCGATTTCGGAAC-3'</w:t>
            </w:r>
          </w:p>
        </w:tc>
        <w:tc>
          <w:tcPr>
            <w:tcW w:w="2070" w:type="dxa"/>
            <w:hideMark/>
          </w:tcPr>
          <w:p w14:paraId="2082EBB4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  <w:i/>
                <w:iCs/>
              </w:rPr>
              <w:t>Arabidopsis</w:t>
            </w:r>
            <w:r w:rsidRPr="00C82298">
              <w:rPr>
                <w:rFonts w:ascii="Times New Roman" w:hAnsi="Times New Roman" w:cs="Times New Roman"/>
              </w:rPr>
              <w:t xml:space="preserve"> mutant genotyping PCR</w:t>
            </w:r>
          </w:p>
        </w:tc>
      </w:tr>
      <w:tr w:rsidR="00C82298" w:rsidRPr="00C82298" w14:paraId="50050B2E" w14:textId="77777777" w:rsidTr="003144FE">
        <w:trPr>
          <w:trHeight w:val="300"/>
        </w:trPr>
        <w:tc>
          <w:tcPr>
            <w:tcW w:w="1080" w:type="dxa"/>
            <w:noWrap/>
            <w:hideMark/>
          </w:tcPr>
          <w:p w14:paraId="625761F3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attB1 adapter </w:t>
            </w:r>
          </w:p>
        </w:tc>
        <w:tc>
          <w:tcPr>
            <w:tcW w:w="6030" w:type="dxa"/>
            <w:noWrap/>
            <w:hideMark/>
          </w:tcPr>
          <w:p w14:paraId="4D55A0CF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5’-GGGGACAAGTTTGTACAAAAAAGCAGGCTGG-3’</w:t>
            </w:r>
          </w:p>
        </w:tc>
        <w:tc>
          <w:tcPr>
            <w:tcW w:w="2070" w:type="dxa"/>
            <w:hideMark/>
          </w:tcPr>
          <w:p w14:paraId="690716DD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Gateway Cloning</w:t>
            </w:r>
          </w:p>
        </w:tc>
      </w:tr>
      <w:tr w:rsidR="00C82298" w:rsidRPr="00C82298" w14:paraId="0DFA4541" w14:textId="77777777" w:rsidTr="003144FE">
        <w:trPr>
          <w:trHeight w:val="300"/>
        </w:trPr>
        <w:tc>
          <w:tcPr>
            <w:tcW w:w="1080" w:type="dxa"/>
            <w:noWrap/>
            <w:hideMark/>
          </w:tcPr>
          <w:p w14:paraId="6C8AB6F4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 xml:space="preserve">attB2 adapter </w:t>
            </w:r>
          </w:p>
        </w:tc>
        <w:tc>
          <w:tcPr>
            <w:tcW w:w="6030" w:type="dxa"/>
            <w:noWrap/>
            <w:hideMark/>
          </w:tcPr>
          <w:p w14:paraId="2099A747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5’-GGGGACCACTTTGTACAAGAAAGCTGGGTG-3’</w:t>
            </w:r>
          </w:p>
        </w:tc>
        <w:tc>
          <w:tcPr>
            <w:tcW w:w="2070" w:type="dxa"/>
            <w:hideMark/>
          </w:tcPr>
          <w:p w14:paraId="41B3135A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Gateway Cloning</w:t>
            </w:r>
          </w:p>
        </w:tc>
      </w:tr>
      <w:tr w:rsidR="00BE711F" w:rsidRPr="00C82298" w14:paraId="3873116B" w14:textId="77777777" w:rsidTr="003144FE">
        <w:trPr>
          <w:trHeight w:val="300"/>
        </w:trPr>
        <w:tc>
          <w:tcPr>
            <w:tcW w:w="1080" w:type="dxa"/>
            <w:noWrap/>
          </w:tcPr>
          <w:p w14:paraId="3FB9F94B" w14:textId="41B5B917" w:rsidR="00BE711F" w:rsidRPr="00C82298" w:rsidRDefault="00BE711F" w:rsidP="003144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NbCathB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30" w:type="dxa"/>
            <w:noWrap/>
          </w:tcPr>
          <w:p w14:paraId="5C9D978C" w14:textId="199C6D31" w:rsidR="00BE711F" w:rsidRPr="00C82298" w:rsidRDefault="00BE711F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</w:t>
            </w:r>
            <w:r w:rsidRPr="00BE711F">
              <w:rPr>
                <w:rFonts w:ascii="Times New Roman" w:hAnsi="Times New Roman" w:cs="Times New Roman"/>
              </w:rPr>
              <w:t>CCACCCCAAAGTGTCAGAGG</w:t>
            </w:r>
            <w:r w:rsidRPr="00C82298">
              <w:rPr>
                <w:rFonts w:ascii="Times New Roman" w:hAnsi="Times New Roman" w:cs="Times New Roman"/>
              </w:rPr>
              <w:t>-3'                                          rev:  5'-</w:t>
            </w:r>
            <w:r w:rsidRPr="00BE711F">
              <w:rPr>
                <w:rFonts w:ascii="Times New Roman" w:hAnsi="Times New Roman" w:cs="Times New Roman"/>
              </w:rPr>
              <w:t>GGAGACCTCGACTGGTCCAT</w:t>
            </w:r>
            <w:r w:rsidRPr="00C82298">
              <w:rPr>
                <w:rFonts w:ascii="Times New Roman" w:hAnsi="Times New Roman" w:cs="Times New Roman"/>
              </w:rPr>
              <w:t>-3'</w:t>
            </w:r>
          </w:p>
        </w:tc>
        <w:tc>
          <w:tcPr>
            <w:tcW w:w="2070" w:type="dxa"/>
          </w:tcPr>
          <w:p w14:paraId="24CBC5E1" w14:textId="48EA2732" w:rsidR="00BE711F" w:rsidRPr="00C82298" w:rsidRDefault="00BE711F" w:rsidP="00314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RT-qPCR probes</w:t>
            </w:r>
          </w:p>
        </w:tc>
      </w:tr>
      <w:tr w:rsidR="00BE711F" w:rsidRPr="00C82298" w14:paraId="5C080028" w14:textId="77777777" w:rsidTr="003144FE">
        <w:trPr>
          <w:trHeight w:val="300"/>
        </w:trPr>
        <w:tc>
          <w:tcPr>
            <w:tcW w:w="1080" w:type="dxa"/>
            <w:noWrap/>
          </w:tcPr>
          <w:p w14:paraId="17DC6E07" w14:textId="393892FB" w:rsidR="00BE711F" w:rsidRPr="00C82298" w:rsidRDefault="00BE711F" w:rsidP="00314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NbEF1α</w:t>
            </w:r>
          </w:p>
        </w:tc>
        <w:tc>
          <w:tcPr>
            <w:tcW w:w="6030" w:type="dxa"/>
            <w:noWrap/>
          </w:tcPr>
          <w:p w14:paraId="7E75CE71" w14:textId="32C26934" w:rsidR="00BE711F" w:rsidRPr="00C82298" w:rsidRDefault="00BE711F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fwd: 5'-</w:t>
            </w:r>
            <w:r w:rsidRPr="00BE711F">
              <w:rPr>
                <w:rFonts w:ascii="Times New Roman" w:hAnsi="Times New Roman" w:cs="Times New Roman"/>
              </w:rPr>
              <w:t>AGCTTTACCTCCCAAGTCATC</w:t>
            </w:r>
            <w:r w:rsidRPr="00C82298">
              <w:rPr>
                <w:rFonts w:ascii="Times New Roman" w:hAnsi="Times New Roman" w:cs="Times New Roman"/>
              </w:rPr>
              <w:t>-3'                                          rev:  5'-</w:t>
            </w:r>
            <w:r w:rsidRPr="00BE711F">
              <w:rPr>
                <w:rFonts w:ascii="Times New Roman" w:hAnsi="Times New Roman" w:cs="Times New Roman"/>
              </w:rPr>
              <w:t>AGAACGCCTGTCAATCTTGG</w:t>
            </w:r>
            <w:r w:rsidRPr="00C82298">
              <w:rPr>
                <w:rFonts w:ascii="Times New Roman" w:hAnsi="Times New Roman" w:cs="Times New Roman"/>
              </w:rPr>
              <w:t>-3'</w:t>
            </w:r>
          </w:p>
        </w:tc>
        <w:tc>
          <w:tcPr>
            <w:tcW w:w="2070" w:type="dxa"/>
          </w:tcPr>
          <w:p w14:paraId="087DC555" w14:textId="1C372CA2" w:rsidR="00BE711F" w:rsidRPr="00C82298" w:rsidRDefault="00BE711F" w:rsidP="00314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RT-qPCR probes</w:t>
            </w:r>
          </w:p>
        </w:tc>
      </w:tr>
    </w:tbl>
    <w:p w14:paraId="553F951F" w14:textId="77777777" w:rsidR="00C82298" w:rsidRPr="00C82298" w:rsidRDefault="00C82298" w:rsidP="00C82298">
      <w:pPr>
        <w:rPr>
          <w:rFonts w:ascii="Times New Roman" w:hAnsi="Times New Roman" w:cs="Times New Roman"/>
        </w:rPr>
      </w:pPr>
    </w:p>
    <w:p w14:paraId="03489D2F" w14:textId="77777777" w:rsidR="00C82298" w:rsidRPr="00C82298" w:rsidRDefault="00C82298" w:rsidP="00C82298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229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3C2BC2A" w14:textId="77777777" w:rsidR="00C82298" w:rsidRPr="00C82298" w:rsidRDefault="00C82298" w:rsidP="00C82298">
      <w:pPr>
        <w:rPr>
          <w:rFonts w:ascii="Times New Roman" w:hAnsi="Times New Roman" w:cs="Times New Roman"/>
          <w:sz w:val="24"/>
          <w:szCs w:val="24"/>
        </w:rPr>
      </w:pPr>
      <w:r w:rsidRPr="00C82298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2</w:t>
      </w:r>
      <w:r w:rsidRPr="00C82298">
        <w:rPr>
          <w:rFonts w:ascii="Times New Roman" w:hAnsi="Times New Roman" w:cs="Times New Roman"/>
          <w:sz w:val="24"/>
          <w:szCs w:val="24"/>
        </w:rPr>
        <w:t xml:space="preserve"> – Protease list with gene ID and fold change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970"/>
        <w:gridCol w:w="1171"/>
        <w:gridCol w:w="3755"/>
        <w:gridCol w:w="1369"/>
      </w:tblGrid>
      <w:tr w:rsidR="00C82298" w:rsidRPr="00C82298" w14:paraId="49A83A40" w14:textId="77777777" w:rsidTr="003144FE">
        <w:trPr>
          <w:trHeight w:val="375"/>
        </w:trPr>
        <w:tc>
          <w:tcPr>
            <w:tcW w:w="2970" w:type="dxa"/>
            <w:noWrap/>
            <w:hideMark/>
          </w:tcPr>
          <w:p w14:paraId="30B9518E" w14:textId="77777777" w:rsidR="00C82298" w:rsidRPr="00C82298" w:rsidRDefault="00C82298" w:rsidP="003144F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7A8B34" w14:textId="77777777" w:rsidR="00C82298" w:rsidRPr="00C82298" w:rsidRDefault="00C82298" w:rsidP="003144FE">
            <w:pPr>
              <w:rPr>
                <w:rFonts w:ascii="Times New Roman" w:hAnsi="Times New Roman" w:cs="Times New Roman"/>
                <w:b/>
                <w:bCs/>
              </w:rPr>
            </w:pPr>
            <w:r w:rsidRPr="00C82298">
              <w:rPr>
                <w:rFonts w:ascii="Times New Roman" w:hAnsi="Times New Roman" w:cs="Times New Roman"/>
                <w:b/>
                <w:bCs/>
              </w:rPr>
              <w:t>Gene ID</w:t>
            </w:r>
          </w:p>
        </w:tc>
        <w:tc>
          <w:tcPr>
            <w:tcW w:w="1171" w:type="dxa"/>
            <w:noWrap/>
            <w:hideMark/>
          </w:tcPr>
          <w:p w14:paraId="083B22D6" w14:textId="77777777" w:rsidR="00C82298" w:rsidRPr="00C82298" w:rsidRDefault="00C82298" w:rsidP="003144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298">
              <w:rPr>
                <w:rFonts w:ascii="Times New Roman" w:hAnsi="Times New Roman" w:cs="Times New Roman"/>
                <w:b/>
                <w:bCs/>
              </w:rPr>
              <w:t>Log2FC vs EV</w:t>
            </w:r>
          </w:p>
        </w:tc>
        <w:tc>
          <w:tcPr>
            <w:tcW w:w="3755" w:type="dxa"/>
            <w:noWrap/>
            <w:hideMark/>
          </w:tcPr>
          <w:p w14:paraId="5FB41028" w14:textId="77777777" w:rsidR="00C82298" w:rsidRPr="00C82298" w:rsidRDefault="00C82298" w:rsidP="003144F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9DCB303" w14:textId="77777777" w:rsidR="00C82298" w:rsidRPr="00C82298" w:rsidRDefault="00C82298" w:rsidP="003144FE">
            <w:pPr>
              <w:rPr>
                <w:rFonts w:ascii="Times New Roman" w:hAnsi="Times New Roman" w:cs="Times New Roman"/>
                <w:b/>
                <w:bCs/>
              </w:rPr>
            </w:pPr>
            <w:r w:rsidRPr="00C82298">
              <w:rPr>
                <w:rFonts w:ascii="Times New Roman" w:hAnsi="Times New Roman" w:cs="Times New Roman"/>
                <w:b/>
                <w:bCs/>
              </w:rPr>
              <w:t>Gene Description</w:t>
            </w:r>
          </w:p>
        </w:tc>
        <w:tc>
          <w:tcPr>
            <w:tcW w:w="1369" w:type="dxa"/>
            <w:noWrap/>
            <w:hideMark/>
          </w:tcPr>
          <w:p w14:paraId="42CC43D2" w14:textId="77777777" w:rsidR="00C82298" w:rsidRPr="00C82298" w:rsidRDefault="00C82298" w:rsidP="003144F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529EF0" w14:textId="77777777" w:rsidR="00C82298" w:rsidRPr="00C82298" w:rsidRDefault="00C82298" w:rsidP="003144FE">
            <w:pPr>
              <w:rPr>
                <w:rFonts w:ascii="Times New Roman" w:hAnsi="Times New Roman" w:cs="Times New Roman"/>
                <w:b/>
                <w:bCs/>
              </w:rPr>
            </w:pPr>
            <w:r w:rsidRPr="00C82298">
              <w:rPr>
                <w:rFonts w:ascii="Times New Roman" w:hAnsi="Times New Roman" w:cs="Times New Roman"/>
                <w:b/>
                <w:bCs/>
              </w:rPr>
              <w:t>Gene Code</w:t>
            </w:r>
          </w:p>
        </w:tc>
      </w:tr>
      <w:tr w:rsidR="00C82298" w:rsidRPr="00C82298" w14:paraId="6D6F479C" w14:textId="77777777" w:rsidTr="003144FE">
        <w:trPr>
          <w:trHeight w:val="300"/>
        </w:trPr>
        <w:tc>
          <w:tcPr>
            <w:tcW w:w="2970" w:type="dxa"/>
            <w:noWrap/>
            <w:hideMark/>
          </w:tcPr>
          <w:p w14:paraId="55CF73A7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Niben101Scf00180g07005</w:t>
            </w:r>
          </w:p>
        </w:tc>
        <w:tc>
          <w:tcPr>
            <w:tcW w:w="1171" w:type="dxa"/>
            <w:noWrap/>
            <w:hideMark/>
          </w:tcPr>
          <w:p w14:paraId="1294B5AC" w14:textId="77777777" w:rsidR="00C82298" w:rsidRPr="00C82298" w:rsidRDefault="00C82298" w:rsidP="003144FE">
            <w:pPr>
              <w:jc w:val="center"/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7.26</w:t>
            </w:r>
          </w:p>
        </w:tc>
        <w:tc>
          <w:tcPr>
            <w:tcW w:w="3755" w:type="dxa"/>
            <w:hideMark/>
          </w:tcPr>
          <w:p w14:paraId="6E0A3F74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Serine carboxypeptidase-like 31</w:t>
            </w:r>
          </w:p>
        </w:tc>
        <w:tc>
          <w:tcPr>
            <w:tcW w:w="1369" w:type="dxa"/>
            <w:hideMark/>
          </w:tcPr>
          <w:p w14:paraId="1A313948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ser31</w:t>
            </w:r>
          </w:p>
        </w:tc>
      </w:tr>
      <w:tr w:rsidR="00C82298" w:rsidRPr="00C82298" w14:paraId="190A9B31" w14:textId="77777777" w:rsidTr="003144FE">
        <w:trPr>
          <w:trHeight w:val="300"/>
        </w:trPr>
        <w:tc>
          <w:tcPr>
            <w:tcW w:w="2970" w:type="dxa"/>
            <w:noWrap/>
            <w:hideMark/>
          </w:tcPr>
          <w:p w14:paraId="611B1E4F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Niben101Scf06662g02015</w:t>
            </w:r>
          </w:p>
        </w:tc>
        <w:tc>
          <w:tcPr>
            <w:tcW w:w="1171" w:type="dxa"/>
            <w:noWrap/>
            <w:hideMark/>
          </w:tcPr>
          <w:p w14:paraId="6866B99A" w14:textId="77777777" w:rsidR="00C82298" w:rsidRPr="00C82298" w:rsidRDefault="00C82298" w:rsidP="003144FE">
            <w:pPr>
              <w:jc w:val="center"/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6.80</w:t>
            </w:r>
          </w:p>
        </w:tc>
        <w:tc>
          <w:tcPr>
            <w:tcW w:w="3755" w:type="dxa"/>
            <w:noWrap/>
            <w:hideMark/>
          </w:tcPr>
          <w:p w14:paraId="47EB4148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matrix metalloproteinase</w:t>
            </w:r>
          </w:p>
        </w:tc>
        <w:tc>
          <w:tcPr>
            <w:tcW w:w="1369" w:type="dxa"/>
            <w:hideMark/>
          </w:tcPr>
          <w:p w14:paraId="2734360F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mmp1</w:t>
            </w:r>
          </w:p>
        </w:tc>
      </w:tr>
      <w:tr w:rsidR="00C82298" w:rsidRPr="00C82298" w14:paraId="3B61FA99" w14:textId="77777777" w:rsidTr="003144FE">
        <w:trPr>
          <w:trHeight w:val="300"/>
        </w:trPr>
        <w:tc>
          <w:tcPr>
            <w:tcW w:w="2970" w:type="dxa"/>
            <w:noWrap/>
            <w:hideMark/>
          </w:tcPr>
          <w:p w14:paraId="46F0740D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Niben101Scf00317g04009</w:t>
            </w:r>
          </w:p>
        </w:tc>
        <w:tc>
          <w:tcPr>
            <w:tcW w:w="1171" w:type="dxa"/>
            <w:noWrap/>
            <w:hideMark/>
          </w:tcPr>
          <w:p w14:paraId="11A0FAFB" w14:textId="77777777" w:rsidR="00C82298" w:rsidRPr="00C82298" w:rsidRDefault="00C82298" w:rsidP="003144FE">
            <w:pPr>
              <w:jc w:val="center"/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6.46</w:t>
            </w:r>
          </w:p>
        </w:tc>
        <w:tc>
          <w:tcPr>
            <w:tcW w:w="3755" w:type="dxa"/>
            <w:noWrap/>
            <w:hideMark/>
          </w:tcPr>
          <w:p w14:paraId="67C92402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matrix metalloproteinase</w:t>
            </w:r>
          </w:p>
        </w:tc>
        <w:tc>
          <w:tcPr>
            <w:tcW w:w="1369" w:type="dxa"/>
            <w:hideMark/>
          </w:tcPr>
          <w:p w14:paraId="2A773CBD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mmp2</w:t>
            </w:r>
          </w:p>
        </w:tc>
      </w:tr>
      <w:tr w:rsidR="00C82298" w:rsidRPr="00C82298" w14:paraId="1BBC54E3" w14:textId="77777777" w:rsidTr="003144FE">
        <w:trPr>
          <w:trHeight w:val="300"/>
        </w:trPr>
        <w:tc>
          <w:tcPr>
            <w:tcW w:w="2970" w:type="dxa"/>
            <w:noWrap/>
            <w:hideMark/>
          </w:tcPr>
          <w:p w14:paraId="38D7948D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Niben101Scf02976g00006</w:t>
            </w:r>
          </w:p>
        </w:tc>
        <w:tc>
          <w:tcPr>
            <w:tcW w:w="1171" w:type="dxa"/>
            <w:noWrap/>
            <w:hideMark/>
          </w:tcPr>
          <w:p w14:paraId="416ABE50" w14:textId="77777777" w:rsidR="00C82298" w:rsidRPr="00C82298" w:rsidRDefault="00C82298" w:rsidP="003144FE">
            <w:pPr>
              <w:jc w:val="center"/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3755" w:type="dxa"/>
            <w:noWrap/>
            <w:hideMark/>
          </w:tcPr>
          <w:p w14:paraId="3713DBC7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Cathepsin B</w:t>
            </w:r>
          </w:p>
        </w:tc>
        <w:tc>
          <w:tcPr>
            <w:tcW w:w="1369" w:type="dxa"/>
            <w:hideMark/>
          </w:tcPr>
          <w:p w14:paraId="0FE33D88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proofErr w:type="spellStart"/>
            <w:r w:rsidRPr="00C82298">
              <w:rPr>
                <w:rFonts w:ascii="Times New Roman" w:hAnsi="Times New Roman" w:cs="Times New Roman"/>
              </w:rPr>
              <w:t>cathbA</w:t>
            </w:r>
            <w:proofErr w:type="spellEnd"/>
          </w:p>
        </w:tc>
      </w:tr>
      <w:tr w:rsidR="00C82298" w:rsidRPr="00C82298" w14:paraId="0C5173A9" w14:textId="77777777" w:rsidTr="003144FE">
        <w:trPr>
          <w:trHeight w:val="300"/>
        </w:trPr>
        <w:tc>
          <w:tcPr>
            <w:tcW w:w="2970" w:type="dxa"/>
            <w:noWrap/>
            <w:hideMark/>
          </w:tcPr>
          <w:p w14:paraId="23115113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Niben101Scf07497g01009</w:t>
            </w:r>
          </w:p>
        </w:tc>
        <w:tc>
          <w:tcPr>
            <w:tcW w:w="1171" w:type="dxa"/>
            <w:noWrap/>
            <w:hideMark/>
          </w:tcPr>
          <w:p w14:paraId="6A5FF9C0" w14:textId="77777777" w:rsidR="00C82298" w:rsidRPr="00C82298" w:rsidRDefault="00C82298" w:rsidP="003144FE">
            <w:pPr>
              <w:jc w:val="center"/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3755" w:type="dxa"/>
            <w:noWrap/>
            <w:hideMark/>
          </w:tcPr>
          <w:p w14:paraId="7EFD2F43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Serine carboxypeptidase-like 2</w:t>
            </w:r>
          </w:p>
        </w:tc>
        <w:tc>
          <w:tcPr>
            <w:tcW w:w="1369" w:type="dxa"/>
            <w:hideMark/>
          </w:tcPr>
          <w:p w14:paraId="520B087D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ser2</w:t>
            </w:r>
          </w:p>
        </w:tc>
      </w:tr>
      <w:tr w:rsidR="00C82298" w:rsidRPr="00C82298" w14:paraId="4B26753B" w14:textId="77777777" w:rsidTr="003144FE">
        <w:trPr>
          <w:trHeight w:val="300"/>
        </w:trPr>
        <w:tc>
          <w:tcPr>
            <w:tcW w:w="2970" w:type="dxa"/>
            <w:noWrap/>
            <w:hideMark/>
          </w:tcPr>
          <w:p w14:paraId="2BCEE27A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Niben101Scf04560g03001</w:t>
            </w:r>
          </w:p>
        </w:tc>
        <w:tc>
          <w:tcPr>
            <w:tcW w:w="1171" w:type="dxa"/>
            <w:noWrap/>
            <w:hideMark/>
          </w:tcPr>
          <w:p w14:paraId="3AD3321F" w14:textId="77777777" w:rsidR="00C82298" w:rsidRPr="00C82298" w:rsidRDefault="00C82298" w:rsidP="003144FE">
            <w:pPr>
              <w:jc w:val="center"/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2.63</w:t>
            </w:r>
          </w:p>
        </w:tc>
        <w:tc>
          <w:tcPr>
            <w:tcW w:w="3755" w:type="dxa"/>
            <w:noWrap/>
            <w:hideMark/>
          </w:tcPr>
          <w:p w14:paraId="533693E5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Serine carboxypeptidase 3</w:t>
            </w:r>
          </w:p>
        </w:tc>
        <w:tc>
          <w:tcPr>
            <w:tcW w:w="1369" w:type="dxa"/>
            <w:hideMark/>
          </w:tcPr>
          <w:p w14:paraId="6FD4A0B7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ser3</w:t>
            </w:r>
          </w:p>
        </w:tc>
      </w:tr>
      <w:tr w:rsidR="00C82298" w:rsidRPr="00C82298" w14:paraId="5588980A" w14:textId="77777777" w:rsidTr="003144FE">
        <w:trPr>
          <w:trHeight w:val="300"/>
        </w:trPr>
        <w:tc>
          <w:tcPr>
            <w:tcW w:w="2970" w:type="dxa"/>
            <w:noWrap/>
            <w:hideMark/>
          </w:tcPr>
          <w:p w14:paraId="1D6C2FE1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Niben101Scf12205g02009</w:t>
            </w:r>
          </w:p>
        </w:tc>
        <w:tc>
          <w:tcPr>
            <w:tcW w:w="1171" w:type="dxa"/>
            <w:noWrap/>
            <w:hideMark/>
          </w:tcPr>
          <w:p w14:paraId="5A757D3D" w14:textId="77777777" w:rsidR="00C82298" w:rsidRPr="00C82298" w:rsidRDefault="00C82298" w:rsidP="003144FE">
            <w:pPr>
              <w:jc w:val="center"/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755" w:type="dxa"/>
            <w:noWrap/>
            <w:hideMark/>
          </w:tcPr>
          <w:p w14:paraId="68527755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subtilisin-like serine protease 2</w:t>
            </w:r>
          </w:p>
        </w:tc>
        <w:tc>
          <w:tcPr>
            <w:tcW w:w="1369" w:type="dxa"/>
            <w:hideMark/>
          </w:tcPr>
          <w:p w14:paraId="3EB8E07B" w14:textId="77777777" w:rsidR="00C82298" w:rsidRPr="00C82298" w:rsidRDefault="00C82298" w:rsidP="003144FE">
            <w:pPr>
              <w:rPr>
                <w:rFonts w:ascii="Times New Roman" w:hAnsi="Times New Roman" w:cs="Times New Roman"/>
              </w:rPr>
            </w:pPr>
            <w:r w:rsidRPr="00C82298">
              <w:rPr>
                <w:rFonts w:ascii="Times New Roman" w:hAnsi="Times New Roman" w:cs="Times New Roman"/>
              </w:rPr>
              <w:t>subt2</w:t>
            </w:r>
          </w:p>
        </w:tc>
      </w:tr>
    </w:tbl>
    <w:p w14:paraId="743D8ACD" w14:textId="77777777" w:rsidR="00C82298" w:rsidRPr="00C82298" w:rsidRDefault="00C82298" w:rsidP="00C82298">
      <w:pPr>
        <w:rPr>
          <w:rFonts w:ascii="Times New Roman" w:hAnsi="Times New Roman" w:cs="Times New Roman"/>
        </w:rPr>
      </w:pPr>
    </w:p>
    <w:p w14:paraId="7802CC23" w14:textId="77777777" w:rsidR="00C82298" w:rsidRPr="00C82298" w:rsidRDefault="00C82298" w:rsidP="00C82298">
      <w:pPr>
        <w:rPr>
          <w:rFonts w:ascii="Times New Roman" w:hAnsi="Times New Roman" w:cs="Times New Roman"/>
        </w:rPr>
      </w:pPr>
    </w:p>
    <w:p w14:paraId="1E5E49B0" w14:textId="77777777" w:rsidR="00AE5E77" w:rsidRPr="00C82298" w:rsidRDefault="00AE5E77">
      <w:pPr>
        <w:rPr>
          <w:rFonts w:ascii="Times New Roman" w:hAnsi="Times New Roman" w:cs="Times New Roman"/>
        </w:rPr>
      </w:pPr>
    </w:p>
    <w:sectPr w:rsidR="00AE5E77" w:rsidRPr="00C82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98"/>
    <w:rsid w:val="00024279"/>
    <w:rsid w:val="00047C56"/>
    <w:rsid w:val="0013087C"/>
    <w:rsid w:val="001D4175"/>
    <w:rsid w:val="00386C86"/>
    <w:rsid w:val="00477719"/>
    <w:rsid w:val="005D1549"/>
    <w:rsid w:val="0073238E"/>
    <w:rsid w:val="00750D2F"/>
    <w:rsid w:val="008C624C"/>
    <w:rsid w:val="0090308D"/>
    <w:rsid w:val="00A95B4E"/>
    <w:rsid w:val="00AA7F6F"/>
    <w:rsid w:val="00AE5E77"/>
    <w:rsid w:val="00B339F0"/>
    <w:rsid w:val="00BE711F"/>
    <w:rsid w:val="00C82298"/>
    <w:rsid w:val="00D106AE"/>
    <w:rsid w:val="00D97C84"/>
    <w:rsid w:val="00DB03C6"/>
    <w:rsid w:val="00DC1464"/>
    <w:rsid w:val="00F2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399E"/>
  <w15:chartTrackingRefBased/>
  <w15:docId w15:val="{B8BACCAD-8F18-4B03-AFA7-13BBD6A9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9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2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2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2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2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2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2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2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2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2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2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2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2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2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2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2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2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VanDenTop</dc:creator>
  <cp:keywords/>
  <dc:description/>
  <cp:lastModifiedBy>Mehdi Kabbage</cp:lastModifiedBy>
  <cp:revision>2</cp:revision>
  <dcterms:created xsi:type="dcterms:W3CDTF">2025-10-06T20:13:00Z</dcterms:created>
  <dcterms:modified xsi:type="dcterms:W3CDTF">2025-10-06T20:13:00Z</dcterms:modified>
</cp:coreProperties>
</file>