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ACBEB" w14:textId="77777777" w:rsidR="005E77CC" w:rsidRPr="00CD414D" w:rsidRDefault="005E77CC" w:rsidP="005E77CC">
      <w:pPr>
        <w:tabs>
          <w:tab w:val="left" w:pos="2053"/>
        </w:tabs>
        <w:spacing w:line="360" w:lineRule="auto"/>
        <w:jc w:val="both"/>
      </w:pPr>
      <w:r w:rsidRPr="00751B98">
        <w:rPr>
          <w:rFonts w:eastAsia="Arial Unicode MS"/>
          <w:b/>
          <w:color w:val="000000" w:themeColor="text1"/>
        </w:rPr>
        <w:t xml:space="preserve">Supplementary Figure 1. Spatiotemporal vascularization is regulated depending on depilation-induced, synchronized adult hair cycling. </w:t>
      </w:r>
      <w:r w:rsidRPr="00751B98">
        <w:rPr>
          <w:rFonts w:eastAsia="Arial Unicode MS"/>
          <w:bCs/>
          <w:color w:val="000000" w:themeColor="text1"/>
        </w:rPr>
        <w:t xml:space="preserve">(a) Immunofluorescence staining of CD31 in </w:t>
      </w:r>
      <w:r w:rsidRPr="00751B98">
        <w:rPr>
          <w:rFonts w:eastAsia="Arial Unicode MS"/>
          <w:bCs/>
          <w:i/>
          <w:iCs/>
          <w:color w:val="000000" w:themeColor="text1"/>
        </w:rPr>
        <w:t>VEGFR1</w:t>
      </w:r>
      <w:r w:rsidRPr="00751B98">
        <w:rPr>
          <w:rFonts w:eastAsia="Arial Unicode MS"/>
          <w:bCs/>
          <w:color w:val="000000" w:themeColor="text1"/>
        </w:rPr>
        <w:t>-tdsRed dorsal skin. Higher magnification of Figure 1a.</w:t>
      </w:r>
      <w:r w:rsidRPr="00751B98">
        <w:t xml:space="preserve"> </w:t>
      </w:r>
      <w:r w:rsidRPr="00751B98">
        <w:rPr>
          <w:rFonts w:eastAsia="Arial Unicode MS"/>
          <w:bCs/>
          <w:color w:val="000000" w:themeColor="text1"/>
        </w:rPr>
        <w:t>(</w:t>
      </w:r>
      <w:r>
        <w:rPr>
          <w:rFonts w:eastAsia="Arial Unicode MS"/>
          <w:bCs/>
          <w:color w:val="000000" w:themeColor="text1"/>
        </w:rPr>
        <w:t>b</w:t>
      </w:r>
      <w:r w:rsidRPr="00751B98">
        <w:rPr>
          <w:rFonts w:eastAsia="Arial Unicode MS"/>
          <w:bCs/>
          <w:color w:val="000000" w:themeColor="text1"/>
        </w:rPr>
        <w:t xml:space="preserve">) Quantification of vascular </w:t>
      </w:r>
      <w:r>
        <w:rPr>
          <w:rFonts w:eastAsia="Arial Unicode MS"/>
          <w:bCs/>
          <w:color w:val="000000" w:themeColor="text1"/>
        </w:rPr>
        <w:t xml:space="preserve">percentage (%) </w:t>
      </w:r>
      <w:r w:rsidRPr="00751B98">
        <w:rPr>
          <w:rFonts w:eastAsia="Arial Unicode MS"/>
          <w:bCs/>
          <w:color w:val="000000" w:themeColor="text1"/>
        </w:rPr>
        <w:t xml:space="preserve">as detected by VEGFR1- and CD31-positive cells within the epidermis and dermis tissues divided into three regions from the epidermal surface to the </w:t>
      </w:r>
      <w:r w:rsidRPr="00F46A8C">
        <w:rPr>
          <w:rFonts w:eastAsia="Arial Unicode MS"/>
          <w:bCs/>
          <w:color w:val="000000" w:themeColor="text1"/>
        </w:rPr>
        <w:t>dermal papilla (DP)</w:t>
      </w:r>
      <w:r w:rsidRPr="00751B98">
        <w:rPr>
          <w:rFonts w:eastAsia="Arial Unicode MS"/>
          <w:bCs/>
          <w:color w:val="000000" w:themeColor="text1"/>
        </w:rPr>
        <w:t xml:space="preserve"> base</w:t>
      </w:r>
      <w:r>
        <w:rPr>
          <w:rFonts w:eastAsia="Arial Unicode MS"/>
          <w:bCs/>
          <w:color w:val="000000" w:themeColor="text1"/>
        </w:rPr>
        <w:t xml:space="preserve"> </w:t>
      </w:r>
      <w:r w:rsidRPr="00751B98">
        <w:rPr>
          <w:rFonts w:eastAsia="Arial Unicode MS"/>
          <w:bCs/>
          <w:color w:val="000000" w:themeColor="text1"/>
        </w:rPr>
        <w:t xml:space="preserve">(layer 1 [L1]: </w:t>
      </w:r>
      <w:r w:rsidRPr="00F46A8C">
        <w:rPr>
          <w:rFonts w:eastAsia="Arial Unicode MS"/>
          <w:bCs/>
          <w:color w:val="000000" w:themeColor="text1"/>
        </w:rPr>
        <w:t>vicinity of infundibulum and isthmus</w:t>
      </w:r>
      <w:r w:rsidRPr="00751B98">
        <w:rPr>
          <w:rFonts w:eastAsia="Arial Unicode MS"/>
          <w:bCs/>
          <w:color w:val="000000" w:themeColor="text1"/>
        </w:rPr>
        <w:t xml:space="preserve">; layer 2 [L2]: </w:t>
      </w:r>
      <w:r w:rsidRPr="00F46A8C">
        <w:rPr>
          <w:rFonts w:eastAsia="Arial Unicode MS"/>
          <w:color w:val="000000" w:themeColor="text1"/>
        </w:rPr>
        <w:t>vicinity of bulge (Bg)</w:t>
      </w:r>
      <w:r w:rsidRPr="00751B98">
        <w:rPr>
          <w:rFonts w:eastAsia="Arial Unicode MS"/>
          <w:bCs/>
          <w:color w:val="000000" w:themeColor="text1"/>
        </w:rPr>
        <w:t xml:space="preserve">; layer 3 [L3]: </w:t>
      </w:r>
      <w:r w:rsidRPr="00F46A8C">
        <w:rPr>
          <w:rFonts w:eastAsia="Arial Unicode MS"/>
          <w:bCs/>
          <w:color w:val="000000" w:themeColor="text1"/>
        </w:rPr>
        <w:t>vicinity of DP)</w:t>
      </w:r>
      <w:r w:rsidRPr="00751B98">
        <w:rPr>
          <w:rFonts w:eastAsia="Arial Unicode MS"/>
          <w:bCs/>
          <w:color w:val="000000" w:themeColor="text1"/>
        </w:rPr>
        <w:t>; 10 independent sections from 3 individual dorsal skin samples. (</w:t>
      </w:r>
      <w:r>
        <w:rPr>
          <w:rFonts w:eastAsia="Arial Unicode MS"/>
          <w:bCs/>
          <w:color w:val="000000" w:themeColor="text1"/>
        </w:rPr>
        <w:t>c</w:t>
      </w:r>
      <w:r w:rsidRPr="00751B98">
        <w:rPr>
          <w:rFonts w:eastAsia="Arial Unicode MS"/>
          <w:bCs/>
          <w:color w:val="000000" w:themeColor="text1"/>
        </w:rPr>
        <w:t xml:space="preserve">) Fluorescent images with the bright field image depict </w:t>
      </w:r>
      <w:r w:rsidRPr="00751B98">
        <w:rPr>
          <w:rFonts w:eastAsia="Arial Unicode MS"/>
          <w:bCs/>
          <w:i/>
          <w:iCs/>
          <w:color w:val="000000" w:themeColor="text1"/>
        </w:rPr>
        <w:t>VEGFR1</w:t>
      </w:r>
      <w:r w:rsidRPr="00751B98">
        <w:rPr>
          <w:rFonts w:eastAsia="Arial Unicode MS"/>
          <w:bCs/>
          <w:color w:val="000000" w:themeColor="text1"/>
        </w:rPr>
        <w:t>-tdsRed dorsal skin in the depilation-induced, synchronized adult hair cycling. The vascular pattern observed in at least 30 murine tissues analyzed during the anagen, catagen, and telogen phases was typical. (</w:t>
      </w:r>
      <w:r>
        <w:rPr>
          <w:rFonts w:eastAsia="Arial Unicode MS"/>
          <w:bCs/>
          <w:color w:val="000000" w:themeColor="text1"/>
        </w:rPr>
        <w:t>d</w:t>
      </w:r>
      <w:r w:rsidRPr="00751B98">
        <w:rPr>
          <w:rFonts w:eastAsia="Arial Unicode MS"/>
          <w:bCs/>
          <w:color w:val="000000" w:themeColor="text1"/>
        </w:rPr>
        <w:t xml:space="preserve">) Quantification of vascular distribution within the epidermis and dermis tissues is divided into three regions from the epidermal surface to the DP base. </w:t>
      </w:r>
      <w:r>
        <w:rPr>
          <w:rFonts w:eastAsia="Arial Unicode MS"/>
          <w:bCs/>
          <w:color w:val="000000" w:themeColor="text1"/>
        </w:rPr>
        <w:t>“L</w:t>
      </w:r>
      <w:r w:rsidRPr="00F3017E">
        <w:rPr>
          <w:rFonts w:eastAsia="Arial Unicode MS"/>
          <w:bCs/>
          <w:color w:val="000000" w:themeColor="text1"/>
        </w:rPr>
        <w:t>ayer</w:t>
      </w:r>
      <w:r>
        <w:rPr>
          <w:rFonts w:eastAsia="Arial Unicode MS"/>
          <w:bCs/>
          <w:color w:val="000000" w:themeColor="text1"/>
        </w:rPr>
        <w:t xml:space="preserve"> </w:t>
      </w:r>
      <w:r w:rsidRPr="00F3017E">
        <w:rPr>
          <w:rFonts w:eastAsia="Arial Unicode MS"/>
          <w:bCs/>
          <w:color w:val="000000" w:themeColor="text1"/>
        </w:rPr>
        <w:t>1</w:t>
      </w:r>
      <w:r w:rsidRPr="00751B98">
        <w:rPr>
          <w:rFonts w:eastAsia="Arial Unicode MS"/>
          <w:bCs/>
          <w:color w:val="000000" w:themeColor="text1"/>
        </w:rPr>
        <w:t xml:space="preserve"> [L1]:</w:t>
      </w:r>
      <w:r>
        <w:rPr>
          <w:rFonts w:eastAsia="Arial Unicode MS"/>
          <w:bCs/>
          <w:color w:val="000000" w:themeColor="text1"/>
        </w:rPr>
        <w:t>”</w:t>
      </w:r>
      <w:r w:rsidRPr="00F3017E">
        <w:rPr>
          <w:rFonts w:eastAsia="Arial Unicode MS"/>
          <w:bCs/>
          <w:color w:val="000000" w:themeColor="text1"/>
        </w:rPr>
        <w:t xml:space="preserve"> was defined as the upper area of the superior border of the </w:t>
      </w:r>
      <w:r>
        <w:rPr>
          <w:rFonts w:eastAsia="Arial Unicode MS"/>
          <w:bCs/>
          <w:color w:val="000000" w:themeColor="text1"/>
        </w:rPr>
        <w:t>Bg, “L</w:t>
      </w:r>
      <w:r w:rsidRPr="00F3017E">
        <w:rPr>
          <w:rFonts w:eastAsia="Arial Unicode MS"/>
          <w:bCs/>
          <w:color w:val="000000" w:themeColor="text1"/>
        </w:rPr>
        <w:t>ayer</w:t>
      </w:r>
      <w:r>
        <w:rPr>
          <w:rFonts w:eastAsia="Arial Unicode MS"/>
          <w:bCs/>
          <w:color w:val="000000" w:themeColor="text1"/>
        </w:rPr>
        <w:t xml:space="preserve"> 2</w:t>
      </w:r>
      <w:r w:rsidRPr="00751B98">
        <w:rPr>
          <w:rFonts w:eastAsia="Arial Unicode MS"/>
          <w:bCs/>
          <w:color w:val="000000" w:themeColor="text1"/>
        </w:rPr>
        <w:t xml:space="preserve"> [L</w:t>
      </w:r>
      <w:r>
        <w:rPr>
          <w:rFonts w:eastAsia="Arial Unicode MS"/>
          <w:bCs/>
          <w:color w:val="000000" w:themeColor="text1"/>
        </w:rPr>
        <w:t>2</w:t>
      </w:r>
      <w:r w:rsidRPr="00751B98">
        <w:rPr>
          <w:rFonts w:eastAsia="Arial Unicode MS"/>
          <w:bCs/>
          <w:color w:val="000000" w:themeColor="text1"/>
        </w:rPr>
        <w:t>]:</w:t>
      </w:r>
      <w:r>
        <w:rPr>
          <w:rFonts w:eastAsia="Arial Unicode MS"/>
          <w:bCs/>
          <w:color w:val="000000" w:themeColor="text1"/>
        </w:rPr>
        <w:t>”</w:t>
      </w:r>
      <w:r w:rsidRPr="00F3017E">
        <w:rPr>
          <w:rFonts w:eastAsia="Arial Unicode MS"/>
          <w:bCs/>
          <w:color w:val="000000" w:themeColor="text1"/>
        </w:rPr>
        <w:t xml:space="preserve"> was defined as a characteristic slight protrusion, and further confirmed by a dense aggregation of small and intense cell nuclei</w:t>
      </w:r>
      <w:r>
        <w:rPr>
          <w:rFonts w:eastAsia="Arial Unicode MS"/>
          <w:bCs/>
          <w:color w:val="000000" w:themeColor="text1"/>
        </w:rPr>
        <w:t>, and “L</w:t>
      </w:r>
      <w:r w:rsidRPr="00F3017E">
        <w:rPr>
          <w:rFonts w:eastAsia="Arial Unicode MS"/>
          <w:bCs/>
          <w:color w:val="000000" w:themeColor="text1"/>
        </w:rPr>
        <w:t>ayer</w:t>
      </w:r>
      <w:r>
        <w:rPr>
          <w:rFonts w:eastAsia="Arial Unicode MS"/>
          <w:bCs/>
          <w:color w:val="000000" w:themeColor="text1"/>
        </w:rPr>
        <w:t xml:space="preserve"> 3</w:t>
      </w:r>
      <w:r w:rsidRPr="00751B98">
        <w:rPr>
          <w:rFonts w:eastAsia="Arial Unicode MS"/>
          <w:bCs/>
          <w:color w:val="000000" w:themeColor="text1"/>
        </w:rPr>
        <w:t xml:space="preserve"> [L</w:t>
      </w:r>
      <w:r>
        <w:rPr>
          <w:rFonts w:eastAsia="Arial Unicode MS"/>
          <w:bCs/>
          <w:color w:val="000000" w:themeColor="text1"/>
        </w:rPr>
        <w:t>3</w:t>
      </w:r>
      <w:r w:rsidRPr="00751B98">
        <w:rPr>
          <w:rFonts w:eastAsia="Arial Unicode MS"/>
          <w:bCs/>
          <w:color w:val="000000" w:themeColor="text1"/>
        </w:rPr>
        <w:t>]:</w:t>
      </w:r>
      <w:r>
        <w:rPr>
          <w:rFonts w:eastAsia="Arial Unicode MS"/>
          <w:bCs/>
          <w:color w:val="000000" w:themeColor="text1"/>
        </w:rPr>
        <w:t>”</w:t>
      </w:r>
      <w:r w:rsidRPr="00F3017E">
        <w:rPr>
          <w:rFonts w:eastAsia="Arial Unicode MS"/>
          <w:bCs/>
          <w:color w:val="000000" w:themeColor="text1"/>
        </w:rPr>
        <w:t xml:space="preserve"> was defined as the region extending from the inferior border of the </w:t>
      </w:r>
      <w:r>
        <w:rPr>
          <w:rFonts w:eastAsia="Arial Unicode MS"/>
          <w:bCs/>
          <w:color w:val="000000" w:themeColor="text1"/>
        </w:rPr>
        <w:t>Bg</w:t>
      </w:r>
      <w:r w:rsidRPr="00F3017E">
        <w:rPr>
          <w:rFonts w:eastAsia="Arial Unicode MS"/>
          <w:bCs/>
          <w:color w:val="000000" w:themeColor="text1"/>
        </w:rPr>
        <w:t xml:space="preserve"> downward to the base of the hair follicle, encompassing the </w:t>
      </w:r>
      <w:r>
        <w:rPr>
          <w:rFonts w:eastAsia="Arial Unicode MS"/>
          <w:bCs/>
          <w:color w:val="000000" w:themeColor="text1"/>
        </w:rPr>
        <w:t>DP, respectively.</w:t>
      </w:r>
    </w:p>
    <w:p w14:paraId="715DD647" w14:textId="77777777" w:rsidR="005E77CC" w:rsidRPr="00751B98" w:rsidRDefault="005E77CC" w:rsidP="005E77CC">
      <w:pPr>
        <w:tabs>
          <w:tab w:val="left" w:pos="2053"/>
        </w:tabs>
        <w:spacing w:line="360" w:lineRule="auto"/>
        <w:jc w:val="both"/>
      </w:pPr>
    </w:p>
    <w:p w14:paraId="37F24ED1" w14:textId="77777777" w:rsidR="005E77CC" w:rsidRPr="009F6E73" w:rsidRDefault="005E77CC" w:rsidP="005E77CC">
      <w:pPr>
        <w:tabs>
          <w:tab w:val="left" w:pos="2053"/>
        </w:tabs>
        <w:spacing w:line="360" w:lineRule="auto"/>
        <w:jc w:val="both"/>
        <w:rPr>
          <w:rFonts w:eastAsia="Arial Unicode MS"/>
          <w:bCs/>
          <w:color w:val="000000" w:themeColor="text1"/>
        </w:rPr>
      </w:pPr>
      <w:r w:rsidRPr="00751B98">
        <w:rPr>
          <w:rFonts w:eastAsia="Arial Unicode MS"/>
          <w:b/>
          <w:color w:val="000000" w:themeColor="text1"/>
        </w:rPr>
        <w:t>Supplementary Figure 2. Vascular niche around hair follicles provided by perifollicular vessels.</w:t>
      </w:r>
      <w:r w:rsidRPr="00751B98">
        <w:rPr>
          <w:rFonts w:eastAsia="Arial Unicode MS"/>
          <w:bCs/>
          <w:color w:val="000000" w:themeColor="text1"/>
        </w:rPr>
        <w:t xml:space="preserve"> (a) Immunofluorescence staining of </w:t>
      </w:r>
      <w:r>
        <w:rPr>
          <w:rFonts w:eastAsia="Arial Unicode MS"/>
          <w:bCs/>
          <w:color w:val="000000" w:themeColor="text1"/>
        </w:rPr>
        <w:t>CD31</w:t>
      </w:r>
      <w:r w:rsidRPr="00751B98">
        <w:rPr>
          <w:rFonts w:eastAsia="Arial Unicode MS"/>
          <w:bCs/>
          <w:color w:val="000000" w:themeColor="text1"/>
        </w:rPr>
        <w:t xml:space="preserve"> in </w:t>
      </w:r>
      <w:r w:rsidRPr="00751B98">
        <w:rPr>
          <w:rFonts w:eastAsia="Arial Unicode MS"/>
          <w:bCs/>
          <w:i/>
          <w:iCs/>
          <w:color w:val="000000" w:themeColor="text1"/>
        </w:rPr>
        <w:t>VEGFR1</w:t>
      </w:r>
      <w:r w:rsidRPr="00751B98">
        <w:rPr>
          <w:rFonts w:eastAsia="Arial Unicode MS"/>
          <w:bCs/>
          <w:color w:val="000000" w:themeColor="text1"/>
        </w:rPr>
        <w:t>-tdsRed dorsal skin at 2 and 15 months of age.</w:t>
      </w:r>
      <w:r>
        <w:rPr>
          <w:rFonts w:eastAsia="Arial Unicode MS"/>
          <w:bCs/>
          <w:color w:val="000000" w:themeColor="text1"/>
        </w:rPr>
        <w:t xml:space="preserve"> Merged view was shown in Fig. 1d. </w:t>
      </w:r>
      <w:r w:rsidRPr="00751B98">
        <w:rPr>
          <w:rFonts w:eastAsia="Arial Unicode MS"/>
          <w:bCs/>
          <w:color w:val="000000" w:themeColor="text1"/>
        </w:rPr>
        <w:t>(</w:t>
      </w:r>
      <w:r>
        <w:rPr>
          <w:rFonts w:eastAsia="Arial Unicode MS"/>
          <w:bCs/>
          <w:color w:val="000000" w:themeColor="text1"/>
        </w:rPr>
        <w:t>b</w:t>
      </w:r>
      <w:r w:rsidRPr="00751B98">
        <w:rPr>
          <w:rFonts w:eastAsia="Arial Unicode MS"/>
          <w:bCs/>
          <w:color w:val="000000" w:themeColor="text1"/>
        </w:rPr>
        <w:t xml:space="preserve">) Immunofluorescence staining of Ki67 in the dorsal skin of </w:t>
      </w:r>
      <w:r w:rsidRPr="00751B98">
        <w:rPr>
          <w:rFonts w:eastAsia="Arial Unicode MS"/>
          <w:bCs/>
          <w:i/>
          <w:iCs/>
          <w:color w:val="000000" w:themeColor="text1"/>
        </w:rPr>
        <w:t>VEGFR1</w:t>
      </w:r>
      <w:r w:rsidRPr="00751B98">
        <w:rPr>
          <w:rFonts w:eastAsia="Arial Unicode MS"/>
          <w:bCs/>
          <w:color w:val="000000" w:themeColor="text1"/>
        </w:rPr>
        <w:t>-tdsRed mice aged 7 and 52 weeks to compare both the telogen-anagen I transition and telogen phase. (</w:t>
      </w:r>
      <w:r>
        <w:rPr>
          <w:rFonts w:eastAsia="Arial Unicode MS"/>
          <w:bCs/>
          <w:color w:val="000000" w:themeColor="text1"/>
        </w:rPr>
        <w:t>c</w:t>
      </w:r>
      <w:r w:rsidRPr="00751B98">
        <w:rPr>
          <w:rFonts w:eastAsia="Arial Unicode MS"/>
          <w:bCs/>
          <w:color w:val="000000" w:themeColor="text1"/>
        </w:rPr>
        <w:t>-</w:t>
      </w:r>
      <w:r>
        <w:rPr>
          <w:rFonts w:eastAsia="Arial Unicode MS"/>
          <w:bCs/>
          <w:color w:val="000000" w:themeColor="text1"/>
        </w:rPr>
        <w:t>e</w:t>
      </w:r>
      <w:r w:rsidRPr="00751B98">
        <w:rPr>
          <w:rFonts w:eastAsia="Arial Unicode MS"/>
          <w:bCs/>
          <w:color w:val="000000" w:themeColor="text1"/>
        </w:rPr>
        <w:t xml:space="preserve">) Cell proliferation assay and </w:t>
      </w:r>
      <w:r w:rsidRPr="00751B98">
        <w:rPr>
          <w:rFonts w:eastAsia="Arial Unicode MS"/>
          <w:bCs/>
          <w:color w:val="000000" w:themeColor="text1"/>
        </w:rPr>
        <w:lastRenderedPageBreak/>
        <w:t>Ki67-positive cell quantification analysis were performed in human follicle dermal papilla cells (HFDPCs) cultured in the conditioned medium (CM) from human umbilical vein endothelial cells (HUVECs). (</w:t>
      </w:r>
      <w:r>
        <w:rPr>
          <w:rFonts w:eastAsia="Arial Unicode MS"/>
          <w:bCs/>
          <w:color w:val="000000" w:themeColor="text1"/>
        </w:rPr>
        <w:t>f</w:t>
      </w:r>
      <w:r w:rsidRPr="00751B98">
        <w:rPr>
          <w:rFonts w:eastAsia="Arial Unicode MS"/>
          <w:bCs/>
          <w:color w:val="000000" w:themeColor="text1"/>
        </w:rPr>
        <w:t>) RT-qPCR analysis was performed in HFDPCs cultured in the CM from HUVECs, and analyzed hair-growth related genes in DP.</w:t>
      </w:r>
    </w:p>
    <w:p w14:paraId="65C6667D" w14:textId="77777777" w:rsidR="005E77CC" w:rsidRPr="00751B98" w:rsidRDefault="005E77CC" w:rsidP="005E77CC">
      <w:pPr>
        <w:tabs>
          <w:tab w:val="left" w:pos="2053"/>
        </w:tabs>
        <w:spacing w:line="360" w:lineRule="auto"/>
        <w:jc w:val="both"/>
        <w:rPr>
          <w:rFonts w:eastAsia="Arial Unicode MS"/>
          <w:b/>
          <w:color w:val="000000" w:themeColor="text1"/>
        </w:rPr>
      </w:pPr>
    </w:p>
    <w:p w14:paraId="0756BCF4" w14:textId="77777777" w:rsidR="005E77CC" w:rsidRPr="00751B98" w:rsidRDefault="005E77CC" w:rsidP="005E77CC">
      <w:pPr>
        <w:tabs>
          <w:tab w:val="left" w:pos="2053"/>
        </w:tabs>
        <w:spacing w:line="360" w:lineRule="auto"/>
        <w:jc w:val="both"/>
        <w:rPr>
          <w:rFonts w:eastAsia="Arial Unicode MS"/>
          <w:bCs/>
          <w:color w:val="000000" w:themeColor="text1"/>
        </w:rPr>
      </w:pPr>
      <w:r w:rsidRPr="00751B98">
        <w:rPr>
          <w:rFonts w:eastAsia="Arial Unicode MS"/>
          <w:b/>
          <w:color w:val="000000" w:themeColor="text1"/>
        </w:rPr>
        <w:t xml:space="preserve">Supplementary Figure 3. Regulation of the vascular niche around hair follicles by the treatment of MD, </w:t>
      </w:r>
      <w:r w:rsidRPr="00751B98">
        <w:rPr>
          <w:rFonts w:eastAsia="Arial Unicode MS"/>
          <w:b/>
          <w:bCs/>
          <w:color w:val="000000" w:themeColor="text1"/>
        </w:rPr>
        <w:t xml:space="preserve">TST, and </w:t>
      </w:r>
      <w:r w:rsidRPr="00751B98">
        <w:rPr>
          <w:rFonts w:eastAsia="Arial Unicode MS"/>
          <w:b/>
          <w:color w:val="000000" w:themeColor="text1"/>
        </w:rPr>
        <w:t>VEGF-neutralizing antibody.</w:t>
      </w:r>
      <w:r w:rsidRPr="00751B98">
        <w:rPr>
          <w:rFonts w:eastAsia="Arial Unicode MS"/>
          <w:bCs/>
          <w:color w:val="000000" w:themeColor="text1"/>
        </w:rPr>
        <w:t xml:space="preserve"> (a) Treatment of human umbilical vein endothelial cells (HUVECs) on Matrigel with CCL2 recombinant protein in the presence or absence of TST for 6 h, followed by a tube formation assay. Representative images of the phase contrast photo (Figure 5h). (b) Treatment of </w:t>
      </w:r>
      <w:r w:rsidRPr="00751B98">
        <w:rPr>
          <w:rFonts w:eastAsia="Arial Unicode MS"/>
          <w:bCs/>
          <w:i/>
          <w:iCs/>
          <w:color w:val="000000" w:themeColor="text1"/>
        </w:rPr>
        <w:t>VEGFR1</w:t>
      </w:r>
      <w:r w:rsidRPr="00751B98">
        <w:rPr>
          <w:rFonts w:eastAsia="Arial Unicode MS"/>
          <w:bCs/>
          <w:color w:val="000000" w:themeColor="text1"/>
        </w:rPr>
        <w:t>-tdsRed mice with VEGF-neutralizing antibody (</w:t>
      </w:r>
      <w:r w:rsidRPr="00751B98">
        <w:rPr>
          <w:rFonts w:eastAsia="Arial Unicode MS"/>
          <w:color w:val="000000" w:themeColor="text1"/>
        </w:rPr>
        <w:t>bevacizumab; Bev)</w:t>
      </w:r>
      <w:r w:rsidRPr="00751B98">
        <w:rPr>
          <w:rFonts w:eastAsia="Arial Unicode MS"/>
          <w:bCs/>
          <w:color w:val="000000" w:themeColor="text1"/>
        </w:rPr>
        <w:t>, followed by immunostaining with CCL2 during the telogen phase.</w:t>
      </w:r>
      <w:r w:rsidRPr="001D16C9">
        <w:rPr>
          <w:rFonts w:eastAsia="Arial Unicode MS"/>
          <w:bCs/>
          <w:color w:val="000000" w:themeColor="text1"/>
        </w:rPr>
        <w:t xml:space="preserve"> </w:t>
      </w:r>
      <w:r w:rsidRPr="00751B98">
        <w:rPr>
          <w:rFonts w:eastAsia="Arial Unicode MS"/>
          <w:bCs/>
          <w:color w:val="000000" w:themeColor="text1"/>
        </w:rPr>
        <w:t>(</w:t>
      </w:r>
      <w:r>
        <w:rPr>
          <w:rFonts w:eastAsia="Arial Unicode MS"/>
          <w:bCs/>
          <w:color w:val="000000" w:themeColor="text1"/>
        </w:rPr>
        <w:t>c</w:t>
      </w:r>
      <w:r w:rsidRPr="00751B98">
        <w:rPr>
          <w:rFonts w:eastAsia="Arial Unicode MS"/>
          <w:bCs/>
          <w:color w:val="000000" w:themeColor="text1"/>
        </w:rPr>
        <w:t xml:space="preserve">) Quantification of </w:t>
      </w:r>
      <w:r>
        <w:rPr>
          <w:rFonts w:eastAsia="Arial Unicode MS"/>
          <w:bCs/>
          <w:color w:val="000000" w:themeColor="text1"/>
        </w:rPr>
        <w:t>CD3</w:t>
      </w:r>
      <w:r w:rsidRPr="00751B98">
        <w:rPr>
          <w:rFonts w:eastAsia="Arial Unicode MS"/>
          <w:bCs/>
          <w:color w:val="000000" w:themeColor="text1"/>
        </w:rPr>
        <w:t xml:space="preserve">1-positive vascular distribution in dorsal skin tissues within the epidermis and dermis tissues divided into three regions from the epidermal surface to the DP base (layer 1 [L1]: </w:t>
      </w:r>
      <w:r w:rsidRPr="00F46A8C">
        <w:rPr>
          <w:rFonts w:eastAsia="Arial Unicode MS"/>
          <w:bCs/>
          <w:color w:val="000000" w:themeColor="text1"/>
        </w:rPr>
        <w:t>vicinity of infundibulum and isthmus</w:t>
      </w:r>
      <w:r w:rsidRPr="00751B98">
        <w:rPr>
          <w:rFonts w:eastAsia="Arial Unicode MS"/>
          <w:bCs/>
          <w:color w:val="000000" w:themeColor="text1"/>
        </w:rPr>
        <w:t xml:space="preserve">; layer 2 [L2]: </w:t>
      </w:r>
      <w:r w:rsidRPr="00F46A8C">
        <w:rPr>
          <w:rFonts w:eastAsia="Arial Unicode MS"/>
          <w:color w:val="000000" w:themeColor="text1"/>
        </w:rPr>
        <w:t>vicinity of bulge (Bg)</w:t>
      </w:r>
      <w:r w:rsidRPr="00751B98">
        <w:rPr>
          <w:rFonts w:eastAsia="Arial Unicode MS"/>
          <w:bCs/>
          <w:color w:val="000000" w:themeColor="text1"/>
        </w:rPr>
        <w:t xml:space="preserve">; layer 3 [L3]: </w:t>
      </w:r>
      <w:r w:rsidRPr="00F46A8C">
        <w:rPr>
          <w:rFonts w:eastAsia="Arial Unicode MS"/>
          <w:bCs/>
          <w:color w:val="000000" w:themeColor="text1"/>
        </w:rPr>
        <w:t>vicinity of dermal papilla (DP))</w:t>
      </w:r>
      <w:r w:rsidRPr="00751B98">
        <w:rPr>
          <w:rFonts w:eastAsia="Arial Unicode MS"/>
          <w:bCs/>
          <w:color w:val="000000" w:themeColor="text1"/>
        </w:rPr>
        <w:t>; 10 independent sections from 3 individual dorsal skin samples.</w:t>
      </w:r>
    </w:p>
    <w:p w14:paraId="4FC92137" w14:textId="77777777" w:rsidR="00865217" w:rsidRDefault="00865217"/>
    <w:sectPr w:rsidR="00865217" w:rsidSect="005E77CC">
      <w:footerReference w:type="default" r:id="rId4"/>
      <w:pgSz w:w="11900" w:h="16840"/>
      <w:pgMar w:top="1418" w:right="1588" w:bottom="1418" w:left="1588" w:header="851" w:footer="992" w:gutter="0"/>
      <w:lnNumType w:countBy="1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B9391" w14:textId="77777777" w:rsidR="005E77CC" w:rsidRDefault="005E77CC" w:rsidP="009A7098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16</w:t>
    </w:r>
    <w:r>
      <w:rPr>
        <w:rStyle w:val="PageNumber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7CC"/>
    <w:rsid w:val="002E281E"/>
    <w:rsid w:val="003201BB"/>
    <w:rsid w:val="005E77CC"/>
    <w:rsid w:val="00865217"/>
    <w:rsid w:val="00ED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9A75A"/>
  <w15:chartTrackingRefBased/>
  <w15:docId w15:val="{751D19D1-520B-4D72-A416-80950FED7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7CC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77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7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7C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7C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7C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7C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7C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7C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7C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7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7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7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7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7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7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7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7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7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7C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7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7C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7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7C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77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7C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77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7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7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7C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E77CC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eastAsia="MS Mincho" w:hAnsi="Century"/>
      <w:kern w:val="2"/>
    </w:rPr>
  </w:style>
  <w:style w:type="character" w:customStyle="1" w:styleId="FooterChar">
    <w:name w:val="Footer Char"/>
    <w:basedOn w:val="DefaultParagraphFont"/>
    <w:link w:val="Footer"/>
    <w:uiPriority w:val="99"/>
    <w:rsid w:val="005E77CC"/>
    <w:rPr>
      <w:rFonts w:ascii="Century" w:eastAsia="MS Mincho" w:hAnsi="Century" w:cs="Times New Roman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E77CC"/>
  </w:style>
  <w:style w:type="character" w:styleId="LineNumber">
    <w:name w:val="line number"/>
    <w:basedOn w:val="DefaultParagraphFont"/>
    <w:uiPriority w:val="99"/>
    <w:semiHidden/>
    <w:unhideWhenUsed/>
    <w:rsid w:val="005E77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466</Words>
  <Characters>2690</Characters>
  <Application>Microsoft Office Word</Application>
  <DocSecurity>0</DocSecurity>
  <Lines>44</Lines>
  <Paragraphs>9</Paragraphs>
  <ScaleCrop>false</ScaleCrop>
  <Company>Springer Nature</Company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2025-10-14T07:15:00Z</dcterms:created>
  <dcterms:modified xsi:type="dcterms:W3CDTF">2025-10-14T07:16:00Z</dcterms:modified>
</cp:coreProperties>
</file>