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F7E653" w14:textId="6814EAF5" w:rsidR="00766F6B" w:rsidRDefault="00766F6B" w:rsidP="00766F6B">
      <w:pPr>
        <w:pStyle w:val="Heading1"/>
      </w:pPr>
      <w:r>
        <w:t>Additional file 3</w:t>
      </w:r>
    </w:p>
    <w:p w14:paraId="57ECB65F" w14:textId="7E559FB8" w:rsidR="009A75C0" w:rsidRPr="00602140" w:rsidRDefault="009A75C0" w:rsidP="00766F6B">
      <w:pPr>
        <w:pStyle w:val="Heading2"/>
      </w:pPr>
      <w:r w:rsidRPr="00602140">
        <w:t>Systematic scoping review of evaluative studies</w:t>
      </w:r>
    </w:p>
    <w:p w14:paraId="2F1D4390" w14:textId="77777777" w:rsidR="009A75C0" w:rsidRPr="00BC0966" w:rsidRDefault="009A75C0" w:rsidP="00766F6B">
      <w:pPr>
        <w:pStyle w:val="Heading3"/>
      </w:pPr>
      <w:r>
        <w:t>Study c</w:t>
      </w:r>
      <w:r w:rsidRPr="00BC0966">
        <w:t>haracteristics</w:t>
      </w:r>
    </w:p>
    <w:p w14:paraId="10B5B81E" w14:textId="77777777" w:rsidR="009A75C0" w:rsidRPr="00BC0966" w:rsidRDefault="009A75C0" w:rsidP="009A75C0">
      <w:pPr>
        <w:spacing w:after="160" w:line="480" w:lineRule="auto"/>
        <w:rPr>
          <w:bCs/>
        </w:rPr>
      </w:pPr>
      <w:r w:rsidRPr="00BC0966">
        <w:rPr>
          <w:bCs/>
        </w:rPr>
        <w:t xml:space="preserve">Over the last 23 years, the FWB research network has consistently collected evidence of the </w:t>
      </w:r>
      <w:r>
        <w:rPr>
          <w:bCs/>
        </w:rPr>
        <w:t>social and emotional</w:t>
      </w:r>
      <w:r w:rsidRPr="00BC0966">
        <w:rPr>
          <w:bCs/>
        </w:rPr>
        <w:t xml:space="preserve"> wellbeing benefits of the FWB program. </w:t>
      </w:r>
      <w:r>
        <w:rPr>
          <w:bCs/>
        </w:rPr>
        <w:t>O</w:t>
      </w:r>
      <w:r w:rsidRPr="00BC0966">
        <w:rPr>
          <w:bCs/>
        </w:rPr>
        <w:t>f the nine included evaluative studies undertaken, one was qualitative in its methodology, one quantitative, and the other seven were pre- &amp; three-month-post-workshop mixed-methods studies. A total of 1,010 persons participated across all the studies, ranging from 13 to 378 participants for each, with a median number of 92 participants. Six of the included studies were conducted in Indigenous Australian contexts while the other three were pilot studies in non-Indigenous contexts, designed to test the applicability of FWB in other cultural settings, and thereby to strengthen the evidence-base.</w:t>
      </w:r>
    </w:p>
    <w:p w14:paraId="26651158" w14:textId="685D1E61" w:rsidR="009A75C0" w:rsidRPr="00BC0966" w:rsidRDefault="009A75C0" w:rsidP="009A75C0">
      <w:pPr>
        <w:spacing w:after="160" w:line="480" w:lineRule="auto"/>
        <w:rPr>
          <w:bCs/>
        </w:rPr>
      </w:pPr>
      <w:r w:rsidRPr="00BC0966">
        <w:rPr>
          <w:bCs/>
        </w:rPr>
        <w:t xml:space="preserve">Of the six Indigenous-specific studies, five were conducted by the FWB researchers themselves while one was an independent report commissioned by the Healing Foundation to develop case studies of successful Indigenous suicide prevention </w:t>
      </w:r>
      <w:r w:rsidR="003B069D">
        <w:rPr>
          <w:bCs/>
        </w:rPr>
        <w:fldChar w:fldCharType="begin"/>
      </w:r>
      <w:r w:rsidR="003B069D">
        <w:rPr>
          <w:bCs/>
        </w:rPr>
        <w:instrText xml:space="preserve"> ADDIN ZOTERO_ITEM CSL_CITATION {"citationID":"rsrh71oh","properties":{"formattedCitation":"(1)","plainCitation":"(1)","noteIndex":0},"citationItems":[{"id":1273,"uris":["http://zotero.org/users/1370043/items/3EC3766Z"],"uri":["http://zotero.org/users/1370043/items/3EC3766Z"],"itemData":{"id":1273,"type":"report","event-place":"Canberra, Australia","publisher":"Aboriginal &amp; Torres Strait Islander Healing Foundation","publisher-place":"Canberra, Australia","title":"Stories from community - How suicide rates fell in two Indigenous communities","author":[{"family":"Prince","given":"John"},{"family":"Jeffrey","given":"Nancy"},{"family":"Baird","given":"Leslie"},{"family":"Kingsburra","given":"Senimelia"},{"family":"Tipiloura","given":"Bernard"},{"family":"Dudgeon","given":"Pat"}],"issued":{"date-parts":[["2018"]]}}}],"schema":"https://github.com/citation-style-language/schema/raw/master/csl-citation.json"} </w:instrText>
      </w:r>
      <w:r w:rsidR="003B069D">
        <w:rPr>
          <w:bCs/>
        </w:rPr>
        <w:fldChar w:fldCharType="separate"/>
      </w:r>
      <w:r w:rsidR="003B069D" w:rsidRPr="003B069D">
        <w:t>(1)</w:t>
      </w:r>
      <w:r w:rsidR="003B069D">
        <w:rPr>
          <w:bCs/>
        </w:rPr>
        <w:fldChar w:fldCharType="end"/>
      </w:r>
      <w:r w:rsidRPr="00BC0966">
        <w:rPr>
          <w:bCs/>
        </w:rPr>
        <w:t>. Of the five Indigenous studies conducted by the research team, one was a thematic synthesis of seven qualitative evaluative studies conducted across four communities in central Australia and north Queensland between 1998 and 2005, involving 148 adults and 70 sch</w:t>
      </w:r>
      <w:r w:rsidR="003B069D">
        <w:rPr>
          <w:bCs/>
        </w:rPr>
        <w:t xml:space="preserve">ool children </w:t>
      </w:r>
      <w:r w:rsidR="003B069D">
        <w:rPr>
          <w:bCs/>
        </w:rPr>
        <w:fldChar w:fldCharType="begin"/>
      </w:r>
      <w:r w:rsidR="003B069D">
        <w:rPr>
          <w:bCs/>
        </w:rPr>
        <w:instrText xml:space="preserve"> ADDIN ZOTERO_ITEM CSL_CITATION {"citationID":"x4Yulsmy","properties":{"formattedCitation":"(2)","plainCitation":"(2)","noteIndex":0},"citationItems":[{"id":2650,"uris":["http://zotero.org/users/1370043/items/ZRBIEFIX"],"uri":["http://zotero.org/users/1370043/items/ZRBIEFIX"],"itemData":{"id":2650,"type":"article-journal","abstract":"This paper employs a thematic qualitative analysis to synthesise seven discrete formative evaluation reports of an Indigenous Australian family empowerment programme across four study settings in Australia's Northern Territory and Queensland between 1998 and 2005. The aim of the study, which involved a total of 148 adult and 70 school children participants, is to develop a deeper understanding of the contribution of community empowerment education programmes to improving Indigenous health, beyond the evidence derived from the original discrete micro evaluative studies. Within a context beset by trans-generational grief and despair resulting from colonisation and other discriminatory government policies, across the study sites, the participants demonstrated enhanced capacity to exert greater control over factors shaping their health and wellbeing. Evident in the participants' narratives was a heightened sense of Indigenous and spiritual identity, respect for self and others, enhanced parenting and capacity to deal with substance abuse and violence. Changes at the personal level influenced other individuals and systems over time, highlighting the ecological or multilevel dimensions of empowerment. The study reveals the role of psychosocial empowerment attributes as important foundational resources in helping people engage and benefit from health and other behaviour modification programmes, and take advantage of any reforms made within macro policy environments. A key limitation or challenge in the use of psychosocial empowerment programmes relates to the time and resources required to achieve change at population level. A long-term partnership approach to empowerment research that creatively integrates micro community empowerment initiatives with macro policies and programmes is vital if health gains are to be maximised.","container-title":"Health &amp; Social Care in the Community","DOI":"10.1111/j.1365-2524.2009.00885.x","ISSN":"1365-2524","issue":"2","journalAbbreviation":"Health Soc Care Community","language":"eng","note":"PMID: 19804554","page":"169-179","source":"PubMed","title":"Empowerment and Indigenous Australian health: a synthesis of findings from Family Wellbeing formative research","title-short":"Empowerment and Indigenous Australian health","volume":"18","author":[{"family":"Tsey","given":"Komla"},{"family":"Whiteside","given":"Mary"},{"family":"Haswell-Elkins","given":"Melissa"},{"family":"Bainbridge","given":"Roxanne"},{"family":"Cadet-James","given":"Yvonne"},{"family":"Wilson","given":"Andrew"}],"issued":{"date-parts":[["2009"]]}}}],"schema":"https://github.com/citation-style-language/schema/raw/master/csl-citation.json"} </w:instrText>
      </w:r>
      <w:r w:rsidR="003B069D">
        <w:rPr>
          <w:bCs/>
        </w:rPr>
        <w:fldChar w:fldCharType="separate"/>
      </w:r>
      <w:r w:rsidR="003B069D" w:rsidRPr="003B069D">
        <w:t>(2)</w:t>
      </w:r>
      <w:r w:rsidR="003B069D">
        <w:rPr>
          <w:bCs/>
        </w:rPr>
        <w:fldChar w:fldCharType="end"/>
      </w:r>
      <w:r w:rsidRPr="00BC0966">
        <w:rPr>
          <w:bCs/>
        </w:rPr>
        <w:t xml:space="preserve"> . </w:t>
      </w:r>
    </w:p>
    <w:p w14:paraId="0E572A86" w14:textId="754C3C3D" w:rsidR="009A75C0" w:rsidRDefault="009A75C0" w:rsidP="009A75C0">
      <w:pPr>
        <w:spacing w:after="160" w:line="480" w:lineRule="auto"/>
        <w:rPr>
          <w:bCs/>
        </w:rPr>
      </w:pPr>
      <w:r w:rsidRPr="00BC0966">
        <w:rPr>
          <w:bCs/>
        </w:rPr>
        <w:t xml:space="preserve">The other four studies included a quantitative impact evaluation involving 66 remote Indigenous child protection workers in north Queensland </w:t>
      </w:r>
      <w:r w:rsidR="003B069D">
        <w:rPr>
          <w:bCs/>
        </w:rPr>
        <w:fldChar w:fldCharType="begin"/>
      </w:r>
      <w:r w:rsidR="003B069D">
        <w:rPr>
          <w:bCs/>
        </w:rPr>
        <w:instrText xml:space="preserve"> ADDIN ZOTERO_ITEM CSL_CITATION {"citationID":"RfqrOi3Z","properties":{"formattedCitation":"(3)","plainCitation":"(3)","noteIndex":0},"citationItems":[{"id":2652,"uris":["http://zotero.org/users/1370043/items/SGF6KCHR"],"uri":["http://zotero.org/users/1370043/items/SGF6KCHR"],"itemData":{"id":2652,"type":"article-journal","abstract":"Background\nEmpowerment programs have been shown to contribute to increased empowerment of individuals and build capacity within the community or workplace. To-date, the impact of empowerment programs has yet to be quantified in the published literature in this field. This study assessed the Indigenous-developed Family Wellbeing (FWB) program as an empowerment intervention for a child safety workforce in remote Indigenous communities by measuring effect sizes. The study also assessed the value of measurement tools for future impact evaluations.\n\nMethods\nA three-day FWB workshop designed to promote empowerment and workplace engagement among child protection staff was held across five remote north Queensland Indigenous communities. The FWB assessment tool comprised a set of validated surveys including the Growth and Empowerment Measure (GEM), Australian Unity Wellbeing Index, Kessler psychological distress scale (K10) and Workforce engagement survey. The assessment was conducted pre-intervention and three months post-intervention.\n\nResults\nThe analysis of pre-and post-surveys revealed that the GEM appeared to be the most tangible measure for detecting positive changes in communication, conflict resolution, decision making and life skill development. The GEM indicated a 17 % positive change compared to 9 % for the Australian Unity Wellbeing Index, 5 % for the workforce engagement survey and less than 1 % for K10.\n\nConclusions\nThis study extended qualitative research and identified the best measurement tool for detecting the outcomes of empowerment programs. The GEM was found the most sensitive and the most tangible measure that captures improvements in communication, conflict resolution, decision making and life skill development. The GEM and Australian Unity Wellbeing Index could be recommended as routine measures for empowerment programs assessment among similar remote area workforce.","container-title":"BMC Psychology","DOI":"10.1186/s40359-015-0086-z","ISSN":"2050-7283","issue":"1","journalAbbreviation":"BMC Psychol","note":"PMID: 26293685\nPMCID: PMC4546092","source":"PubMed Central","title":"An empowerment intervention for Indigenous communities: an outcome assessment","title-short":"An empowerment intervention for Indigenous communities","URL":"https://www.ncbi.nlm.nih.gov/pmc/articles/PMC4546092/","volume":"3","author":[{"family":"Kinchin","given":"Irina"},{"family":"Jacups","given":"Susan"},{"family":"Tsey","given":"Komla"},{"family":"Lines","given":"Katrina"}],"accessed":{"date-parts":[["2021",5,11]]},"issued":{"date-parts":[["2015",8,21]]}}}],"schema":"https://github.com/citation-style-language/schema/raw/master/csl-citation.json"} </w:instrText>
      </w:r>
      <w:r w:rsidR="003B069D">
        <w:rPr>
          <w:bCs/>
        </w:rPr>
        <w:fldChar w:fldCharType="separate"/>
      </w:r>
      <w:r w:rsidR="003B069D" w:rsidRPr="003B069D">
        <w:t>(3)</w:t>
      </w:r>
      <w:r w:rsidR="003B069D">
        <w:rPr>
          <w:bCs/>
        </w:rPr>
        <w:fldChar w:fldCharType="end"/>
      </w:r>
      <w:r w:rsidR="003B069D">
        <w:rPr>
          <w:bCs/>
        </w:rPr>
        <w:t>,</w:t>
      </w:r>
      <w:r w:rsidRPr="00BC0966">
        <w:rPr>
          <w:bCs/>
        </w:rPr>
        <w:t xml:space="preserve"> and mixed methods impact evaluations with vulnerable Aboriginal young men (n=378) on the NSW Central Coast </w:t>
      </w:r>
      <w:r w:rsidR="003B069D">
        <w:rPr>
          <w:bCs/>
        </w:rPr>
        <w:fldChar w:fldCharType="begin"/>
      </w:r>
      <w:r w:rsidR="003B069D">
        <w:rPr>
          <w:bCs/>
        </w:rPr>
        <w:instrText xml:space="preserve"> ADDIN ZOTERO_ITEM CSL_CITATION {"citationID":"hqr2G8bn","properties":{"formattedCitation":"(4)","plainCitation":"(4)","noteIndex":0},"citationItems":[{"id":1259,"uris":["http://zotero.org/users/1370043/items/AW39FJ3L"],"uri":["http://zotero.org/users/1370043/items/AW39FJ3L"],"itemData":{"id":1259,"type":"report","abstract":"A significant proportion of young people in Australia including the NSW Central Coast region are not engaged in school, work and other social systems. The consequences of disengagement can be profound and are linked to higher rates of social and mental health problems, including suicide, alcohol and drug use. Being male and Indigenous are amongst the key factors identified as being risks for youth disengagement. This report presents an analysis of the Family Wellbeing (FWB) program on the NSW Central Coast. FWB implementation is designed to enhance the social and emotional wellbeing of young Aboriginal men and improve engagement in education, employment and other social and cultural participation. The report draws attention to the need for more sustainable funding for promising programs such as the Central Coast FWB including properly resourced long-term evaluation. Insecurity and loss of funding means a loss of opportunity for future participants to be supported, mentored and engaged in learning and employment. It will also impact on those who have completed FWB and who rely on the FWB network for ongoing support.","event-place":"Cairns, Queensland","genre":"Report","note":"ISBN: 9780648503750\nnumber-of-pages: 25","publisher":"Cairns Institute","publisher-place":"Cairns, Queensland","source":"researchonline.jcu.edu.au","title":"“A safe haven to support me”: an evaluation report on the Central Coast Family Wellbeing Program","title-short":"“A safe haven to support me”","URL":"https://researchonline.jcu.edu.au/59155/","author":[{"family":"Klieve","given":"Helen"},{"family":"Cheer","given":"Karen"},{"family":"Whiteside","given":"Mary"},{"family":"Baird","given":"Leslie"},{"family":"MacLean","given":"Sarah"},{"family":"Tsey","given":"Komla"}],"accessed":{"date-parts":[["2020",8,19]]},"issued":{"date-parts":[["2019"]]}}}],"schema":"https://github.com/citation-style-language/schema/raw/master/csl-citation.json"} </w:instrText>
      </w:r>
      <w:r w:rsidR="003B069D">
        <w:rPr>
          <w:bCs/>
        </w:rPr>
        <w:fldChar w:fldCharType="separate"/>
      </w:r>
      <w:r w:rsidR="003B069D" w:rsidRPr="003B069D">
        <w:t>(4)</w:t>
      </w:r>
      <w:r w:rsidR="003B069D">
        <w:rPr>
          <w:bCs/>
        </w:rPr>
        <w:fldChar w:fldCharType="end"/>
      </w:r>
      <w:r w:rsidRPr="00BC0966">
        <w:rPr>
          <w:bCs/>
        </w:rPr>
        <w:t xml:space="preserve">, SEWB workers in country Victoria (n=13) </w:t>
      </w:r>
      <w:r w:rsidR="003B069D">
        <w:rPr>
          <w:bCs/>
        </w:rPr>
        <w:fldChar w:fldCharType="begin"/>
      </w:r>
      <w:r w:rsidR="003B069D">
        <w:rPr>
          <w:bCs/>
        </w:rPr>
        <w:instrText xml:space="preserve"> ADDIN ZOTERO_ITEM CSL_CITATION {"citationID":"EseUSWR1","properties":{"formattedCitation":"(5)","plainCitation":"(5)","noteIndex":0},"citationItems":[{"id":1255,"uris":["http://zotero.org/users/1370043/items/NFG22ITP"],"uri":["http://zotero.org/users/1370043/items/NFG22ITP"],"itemData":{"id":1255,"type":"article-journal","container-title":"Australian Social Work","DOI":"10.1080/0312407X.2018.1473455","ISSN":"0312-407X","issue":"3","journalAbbreviation":"Australian Social Work","note":"publisher: Routledge","page":"358-366","title":"Acceptability of an Aboriginal Wellbeing Intervention for Supporters of People Using Methamphetamines","volume":"71","author":[{"family":"Whiteside","given":"Mary"},{"family":"MacLean","given":"Sarah"},{"family":"Callinan","given":"Sarah"},{"family":"Marshall","given":"Peter"},{"family":"Nolan","given":"Sandra"},{"family":"Tsey","given":"Komla"}],"issued":{"date-parts":[["2018",7,3]]}}}],"schema":"https://github.com/citation-style-language/schema/raw/master/csl-citation.json"} </w:instrText>
      </w:r>
      <w:r w:rsidR="003B069D">
        <w:rPr>
          <w:bCs/>
        </w:rPr>
        <w:fldChar w:fldCharType="separate"/>
      </w:r>
      <w:r w:rsidR="003B069D" w:rsidRPr="003B069D">
        <w:t>(5)</w:t>
      </w:r>
      <w:r w:rsidR="003B069D">
        <w:rPr>
          <w:bCs/>
        </w:rPr>
        <w:fldChar w:fldCharType="end"/>
      </w:r>
      <w:r w:rsidRPr="00BC0966">
        <w:rPr>
          <w:bCs/>
        </w:rPr>
        <w:t xml:space="preserve">, and child protection workers in north Queensland (n=42) </w:t>
      </w:r>
      <w:r w:rsidR="003B069D">
        <w:rPr>
          <w:bCs/>
        </w:rPr>
        <w:fldChar w:fldCharType="begin"/>
      </w:r>
      <w:r w:rsidR="003B069D">
        <w:rPr>
          <w:bCs/>
        </w:rPr>
        <w:instrText xml:space="preserve"> ADDIN ZOTERO_ITEM CSL_CITATION {"citationID":"D3IbHSvH","properties":{"formattedCitation":"(6)","plainCitation":"(6)","noteIndex":0},"citationItems":[{"id":2655,"uris":["http://zotero.org/users/1370043/items/HCQDYI9M"],"uri":["http://zotero.org/users/1370043/items/HCQDYI9M"],"itemData":{"id":2655,"type":"article-journal","abstract":"The experience of trauma in childhood can have lifelong consequences. For Indigenous people the effects can be overcome through protective factors such as connection to family and country, and feeling empowered by having more control over their lives in the socio-political environment in which they are living. There is growing evidence for trauma-informed social and emotional wellbeing (SEWB) interventions that foster a sense of empowerment and enable positive personal- and community-level outcomes. However, in the face of challenges such as short-term funding cycles, such programs are hard to sustainably implement and evaluate over time, even where they demonstrate promise. This article reflects on a successful experience of integrating the Family Wellbeing empowerment program into an existing child and family support organisation. It presents the essential elements for integrating a SEWB program as a conceptual model and highlights the implications for sustainable implementation of promising SEWB programs in new settings. IMPLICATIONS Integrating promising SEWB programs into the work practices of existing service organisations creates opportunities for longer term program sustainability and evaluation. Having Indigenous people leading the integration of SEWB programs has profound benefits in advancing knowledge and practice when working with Indigenous children and families. A conceptual model contributes to an area where more research and practice evidence is needed.","container-title":"Australian Social Work","DOI":"10.1080/0312407X.2019.1662463","ISSN":"0312-407X","issue":"4","note":"publisher: Routledge\n_eprint: https://doi.org/10.1080/0312407X.2019.1662463","page":"435-448","source":"Taylor and Francis+NEJM","title":"Integrating the Family Wellbeing Program Into Practice: A Conceptual Model","title-short":"Integrating the Family Wellbeing Program Into Practice","volume":"73","author":[{"family":"Onnis","given":"Leigh-Ann"},{"family":"Moylan","given":"Robyn"},{"family":"Whiteside","given":"Mary"},{"family":"Klieve","given":"Helen"},{"family":"Smith","given":"Kieran"},{"family":"Tsey","given":"Komla"}],"issued":{"date-parts":[["2020",10,1]]}}}],"schema":"https://github.com/citation-style-language/schema/raw/master/csl-citation.json"} </w:instrText>
      </w:r>
      <w:r w:rsidR="003B069D">
        <w:rPr>
          <w:bCs/>
        </w:rPr>
        <w:fldChar w:fldCharType="separate"/>
      </w:r>
      <w:r w:rsidR="003B069D" w:rsidRPr="003B069D">
        <w:t>(6)</w:t>
      </w:r>
      <w:r w:rsidR="003B069D">
        <w:rPr>
          <w:bCs/>
        </w:rPr>
        <w:fldChar w:fldCharType="end"/>
      </w:r>
      <w:r w:rsidRPr="00BC0966">
        <w:rPr>
          <w:bCs/>
        </w:rPr>
        <w:t xml:space="preserve">. The three non-Indigenous-setting pilots of the Aboriginal-developed FWB program involved social work students in Australia </w:t>
      </w:r>
      <w:r w:rsidRPr="00BC0966">
        <w:rPr>
          <w:bCs/>
        </w:rPr>
        <w:lastRenderedPageBreak/>
        <w:t xml:space="preserve">(n=64) </w:t>
      </w:r>
      <w:r w:rsidR="003B069D">
        <w:rPr>
          <w:bCs/>
        </w:rPr>
        <w:fldChar w:fldCharType="begin"/>
      </w:r>
      <w:r w:rsidR="003B069D">
        <w:rPr>
          <w:bCs/>
        </w:rPr>
        <w:instrText xml:space="preserve"> ADDIN ZOTERO_ITEM CSL_CITATION {"citationID":"lkocDDzp","properties":{"formattedCitation":"(7)","plainCitation":"(7)","noteIndex":0},"citationItems":[{"id":2602,"uris":["http://zotero.org/users/1370043/items/LY9DRI58"],"uri":["http://zotero.org/users/1370043/items/LY9DRI58"],"itemData":{"id":2602,"type":"article-journal","abstract":"In Australia and internationally, universities are preparing students for the twenty-first century through building the competencies fundamental for both social sustainability and wellbeing. However, there is little evidence on how these competencies can be fostered in curricula. This article presents the findings of a mixed-methods pilot of an Aboriginal wellbeing intervention that seeks to build such attributes when integrated into an undergraduate social work curriculum. A questionnaire incorporating the validated Growth and Empowerment Measure, the Australian Unity Personal Wellbeing Index, and open-ended qualitative questions was administrated to 64 first-year social work students before and after the intervention. Significant changes on both measures suggest that the intervention is highly relevant for student wellbeing, particularly for those who rated themselves as below the median at baseline. The qualitative findings highlight the relevance of the program for promoting social competencies that enable people to problem-solve and adapt in a complex world.","container-title":"Australian Social Work","DOI":"10.1080/0312407X.2016.1263351","ISSN":"0312-407X","issue":"3","note":"publisher: Routledge\n_eprint: https://doi.org/10.1080/0312407X.2016.1263351","page":"324-336","source":"Taylor and Francis+NEJM","title":"Promoting Twenty-first-century Student Competencies: A Wellbeing Approach","title-short":"Promoting Twenty-first-century Student Competencies","volume":"70","author":[{"family":"Whiteside","given":"Mary"},{"family":"Bould","given":"Emma"},{"family":"Tsey","given":"Komla"},{"family":"Venville","given":"Annie"},{"family":"Cadet-James","given":"Yvonne"},{"family":"Morris","given":"Meg E."}],"issued":{"date-parts":[["2017",7,3]]}}}],"schema":"https://github.com/citation-style-language/schema/raw/master/csl-citation.json"} </w:instrText>
      </w:r>
      <w:r w:rsidR="003B069D">
        <w:rPr>
          <w:bCs/>
        </w:rPr>
        <w:fldChar w:fldCharType="separate"/>
      </w:r>
      <w:r w:rsidR="003B069D" w:rsidRPr="003B069D">
        <w:t>(7)</w:t>
      </w:r>
      <w:r w:rsidR="003B069D">
        <w:rPr>
          <w:bCs/>
        </w:rPr>
        <w:fldChar w:fldCharType="end"/>
      </w:r>
      <w:r w:rsidRPr="00BC0966">
        <w:rPr>
          <w:bCs/>
        </w:rPr>
        <w:t xml:space="preserve">, international trade students in China (n=29) </w:t>
      </w:r>
      <w:r w:rsidR="003B069D">
        <w:rPr>
          <w:bCs/>
        </w:rPr>
        <w:fldChar w:fldCharType="begin"/>
      </w:r>
      <w:r w:rsidR="003B069D">
        <w:rPr>
          <w:bCs/>
        </w:rPr>
        <w:instrText xml:space="preserve"> ADDIN ZOTERO_ITEM CSL_CITATION {"citationID":"ICDREgtu","properties":{"formattedCitation":"(8)","plainCitation":"(8)","noteIndex":0},"citationItems":[{"id":1257,"uris":["http://zotero.org/users/1370043/items/H55FQVAN"],"uri":["http://zotero.org/users/1370043/items/H55FQVAN"],"itemData":{"id":1257,"type":"article-journal","container-title":"Educational Studies","DOI":"10.1080/03055698.2018.1446328","ISSN":"0305-5698","issue":"2","journalAbbreviation":"Educational Studies","note":"publisher: Routledge","page":"242-258","title":"Teaching “soft skills” to university students in China: the feasibility of an Australian approach","volume":"45","author":[{"family":"Yan","given":"Li"},{"family":"Yinghong","given":"Yang"},{"family":"Lui","given":"Siu Man (Carrie)"},{"family":"Whiteside","given":"Mary"},{"family":"Tsey","given":"Komla"}],"issued":{"date-parts":[["2019",3,4]]}}}],"schema":"https://github.com/citation-style-language/schema/raw/master/csl-citation.json"} </w:instrText>
      </w:r>
      <w:r w:rsidR="003B069D">
        <w:rPr>
          <w:bCs/>
        </w:rPr>
        <w:fldChar w:fldCharType="separate"/>
      </w:r>
      <w:r w:rsidR="003B069D" w:rsidRPr="003B069D">
        <w:t>(8)</w:t>
      </w:r>
      <w:r w:rsidR="003B069D">
        <w:rPr>
          <w:bCs/>
        </w:rPr>
        <w:fldChar w:fldCharType="end"/>
      </w:r>
      <w:r w:rsidRPr="00BC0966">
        <w:rPr>
          <w:bCs/>
        </w:rPr>
        <w:t xml:space="preserve"> and 20 health leaders and managers in Timor-Leste </w:t>
      </w:r>
      <w:r w:rsidR="003B069D">
        <w:rPr>
          <w:bCs/>
        </w:rPr>
        <w:fldChar w:fldCharType="begin"/>
      </w:r>
      <w:r w:rsidR="003B069D">
        <w:rPr>
          <w:bCs/>
        </w:rPr>
        <w:instrText xml:space="preserve"> ADDIN ZOTERO_ITEM CSL_CITATION {"citationID":"42xPOKbC","properties":{"formattedCitation":"(9)","plainCitation":"(9)","noteIndex":0},"citationItems":[{"id":1254,"uris":["http://zotero.org/users/1370043/items/7HMM5FGS"],"uri":["http://zotero.org/users/1370043/items/7HMM5FGS"],"itemData":{"id":1254,"type":"article-journal","abstract":"The article aims to describe the Family Wellbeing Program (FWB), a program that sets out to facilitate the enhancement of soft skills and to explore the relevance and acceptability of the FWB in the context of health managers and leaders in Timor-Leste. This article presents the fundamental principles of the FWB approach to facilitating soft skills in the context of trauma-informed training for managers and leaders. It describes how a participatory social learning approach advances deep, transformative, and long-lasting impacts. An exploratory mixed-methods design was adopted. Qualitative data were gathered from workshop participants through an evaluation form with open-ended questions allowing participants to provide comments on the program and how it could be enhanced. In addition, attendees participated in an online survey, which sought to capture data relating to demographics, soft skills for managers/leaders, personal well-being, and program satisfaction. Overall, the results show that the FWB program is both relevant and acceptable. The findings indicate that participants’ understanding of concepts of management and well-being, particularly as it is applied to the workplace, was improved. This outcome is important because it highlights how the FWB program can contribute to the development of more accomplished managers and leaders in the future. The results of this exploratory study will be useful in informing future management and leadership training for the Timorese health workforce.","container-title":"SAGE Open","DOI":"10.1177/2158244018811404","ISSN":"2158-2440","issue":"4","journalAbbreviation":"SAGE Open","language":"en","note":"publisher: SAGE Publications","page":"2158244018811404","source":"SAGE Journals","title":"Developing Soft Skills: Exploring the Feasibility of an Australian Well-Being Program for Health Managers and Leaders in Timor-Leste","title-short":"Developing Soft Skills","volume":"8","author":[{"family":"Tsey","given":"Komla"},{"family":"Lui","given":"Siu Man (Carrie)"},{"family":"Heyeres","given":"Marion"},{"family":"Pryce","given":"Josephine"},{"family":"Yan","given":"Li"},{"family":"Bauld","given":"Sharee"}],"issued":{"date-parts":[["2018",10,1]]}}}],"schema":"https://github.com/citation-style-language/schema/raw/master/csl-citation.json"} </w:instrText>
      </w:r>
      <w:r w:rsidR="003B069D">
        <w:rPr>
          <w:bCs/>
        </w:rPr>
        <w:fldChar w:fldCharType="separate"/>
      </w:r>
      <w:r w:rsidR="003B069D" w:rsidRPr="003B069D">
        <w:t>(9)</w:t>
      </w:r>
      <w:r w:rsidR="003B069D">
        <w:rPr>
          <w:bCs/>
        </w:rPr>
        <w:fldChar w:fldCharType="end"/>
      </w:r>
      <w:r w:rsidR="003B069D">
        <w:rPr>
          <w:bCs/>
        </w:rPr>
        <w:t>.</w:t>
      </w:r>
      <w:r w:rsidRPr="00BC0966">
        <w:rPr>
          <w:bCs/>
        </w:rPr>
        <w:t xml:space="preserve"> The quantitative data were collected through piloting different measures for their sensitivity, making it challenging for meta-synthesis. These measures included the Growth and Empowerment Measure (GEM) developed by the FWB research team (n=4 studies), Australian Unity Wellbeing Index (AUWI, n=4 studies), and Kessler (n=2).  </w:t>
      </w:r>
    </w:p>
    <w:p w14:paraId="41070A15" w14:textId="77777777" w:rsidR="009A75C0" w:rsidRPr="003F1DC4" w:rsidRDefault="009A75C0" w:rsidP="009A75C0">
      <w:pPr>
        <w:pStyle w:val="ListParagraph"/>
        <w:spacing w:line="480" w:lineRule="auto"/>
        <w:rPr>
          <w:lang w:val="en-US"/>
        </w:rPr>
      </w:pPr>
    </w:p>
    <w:p w14:paraId="461A9255" w14:textId="77777777" w:rsidR="009A75C0" w:rsidRDefault="009A75C0" w:rsidP="009A75C0">
      <w:pPr>
        <w:spacing w:after="160" w:line="480" w:lineRule="auto"/>
        <w:rPr>
          <w:bCs/>
        </w:rPr>
        <w:sectPr w:rsidR="009A75C0" w:rsidSect="00862C55">
          <w:headerReference w:type="default" r:id="rId10"/>
          <w:footerReference w:type="default" r:id="rId11"/>
          <w:pgSz w:w="11900" w:h="16840"/>
          <w:pgMar w:top="1440" w:right="1800" w:bottom="1440" w:left="1800" w:header="708" w:footer="708" w:gutter="0"/>
          <w:cols w:space="708"/>
          <w:docGrid w:linePitch="360"/>
        </w:sectPr>
      </w:pPr>
    </w:p>
    <w:p w14:paraId="046CA465" w14:textId="77777777" w:rsidR="009A75C0" w:rsidRPr="001A779B" w:rsidRDefault="009A75C0" w:rsidP="00766F6B">
      <w:pPr>
        <w:pStyle w:val="Heading3"/>
      </w:pPr>
      <w:r>
        <w:lastRenderedPageBreak/>
        <w:t>Table summarising nine Family Wellbeing program evaluative studies</w:t>
      </w:r>
    </w:p>
    <w:tbl>
      <w:tblPr>
        <w:tblStyle w:val="TableGrid"/>
        <w:tblW w:w="5000" w:type="pct"/>
        <w:tblLook w:val="04A0" w:firstRow="1" w:lastRow="0" w:firstColumn="1" w:lastColumn="0" w:noHBand="0" w:noVBand="1"/>
      </w:tblPr>
      <w:tblGrid>
        <w:gridCol w:w="1376"/>
        <w:gridCol w:w="1375"/>
        <w:gridCol w:w="2109"/>
        <w:gridCol w:w="2190"/>
        <w:gridCol w:w="1624"/>
        <w:gridCol w:w="2271"/>
        <w:gridCol w:w="3005"/>
      </w:tblGrid>
      <w:tr w:rsidR="009A75C0" w:rsidRPr="00863308" w14:paraId="6E2810AB" w14:textId="77777777" w:rsidTr="00035AB3">
        <w:trPr>
          <w:tblHeader/>
        </w:trPr>
        <w:tc>
          <w:tcPr>
            <w:tcW w:w="493" w:type="pct"/>
          </w:tcPr>
          <w:p w14:paraId="56EB5E2D" w14:textId="77777777" w:rsidR="009A75C0" w:rsidRPr="00863308" w:rsidRDefault="009A75C0" w:rsidP="00035AB3">
            <w:pPr>
              <w:pStyle w:val="Default"/>
              <w:spacing w:line="480" w:lineRule="auto"/>
              <w:rPr>
                <w:rFonts w:ascii="Times New Roman" w:hAnsi="Times New Roman" w:cs="Times New Roman"/>
                <w:b/>
                <w:bCs/>
                <w:color w:val="auto"/>
                <w:sz w:val="20"/>
                <w:szCs w:val="20"/>
              </w:rPr>
            </w:pPr>
          </w:p>
        </w:tc>
        <w:tc>
          <w:tcPr>
            <w:tcW w:w="493" w:type="pct"/>
          </w:tcPr>
          <w:p w14:paraId="1E88D9FD" w14:textId="77777777" w:rsidR="009A75C0" w:rsidRPr="00863308" w:rsidRDefault="009A75C0" w:rsidP="00035AB3">
            <w:pPr>
              <w:pStyle w:val="Default"/>
              <w:spacing w:line="480" w:lineRule="auto"/>
              <w:rPr>
                <w:rFonts w:ascii="Times New Roman" w:hAnsi="Times New Roman" w:cs="Times New Roman"/>
                <w:b/>
                <w:bCs/>
                <w:color w:val="auto"/>
                <w:sz w:val="20"/>
                <w:szCs w:val="20"/>
              </w:rPr>
            </w:pPr>
            <w:r w:rsidRPr="00863308">
              <w:rPr>
                <w:rFonts w:ascii="Times New Roman" w:hAnsi="Times New Roman" w:cs="Times New Roman"/>
                <w:b/>
                <w:bCs/>
                <w:color w:val="auto"/>
                <w:sz w:val="20"/>
                <w:szCs w:val="20"/>
              </w:rPr>
              <w:t>1</w:t>
            </w:r>
            <w:r w:rsidRPr="00863308">
              <w:rPr>
                <w:rFonts w:ascii="Times New Roman" w:hAnsi="Times New Roman" w:cs="Times New Roman"/>
                <w:b/>
                <w:bCs/>
                <w:color w:val="auto"/>
                <w:sz w:val="20"/>
                <w:szCs w:val="20"/>
                <w:vertAlign w:val="superscript"/>
              </w:rPr>
              <w:t>st</w:t>
            </w:r>
            <w:r w:rsidRPr="00863308">
              <w:rPr>
                <w:rFonts w:ascii="Times New Roman" w:hAnsi="Times New Roman" w:cs="Times New Roman"/>
                <w:b/>
                <w:bCs/>
                <w:color w:val="auto"/>
                <w:sz w:val="20"/>
                <w:szCs w:val="20"/>
              </w:rPr>
              <w:t xml:space="preserve"> author, date</w:t>
            </w:r>
          </w:p>
        </w:tc>
        <w:tc>
          <w:tcPr>
            <w:tcW w:w="756" w:type="pct"/>
          </w:tcPr>
          <w:p w14:paraId="031F7922" w14:textId="77777777" w:rsidR="009A75C0" w:rsidRPr="00863308" w:rsidRDefault="009A75C0" w:rsidP="00035AB3">
            <w:pPr>
              <w:pStyle w:val="Default"/>
              <w:spacing w:line="480" w:lineRule="auto"/>
              <w:rPr>
                <w:rFonts w:ascii="Times New Roman" w:hAnsi="Times New Roman" w:cs="Times New Roman"/>
                <w:b/>
                <w:bCs/>
                <w:color w:val="auto"/>
                <w:sz w:val="20"/>
                <w:szCs w:val="20"/>
              </w:rPr>
            </w:pPr>
            <w:r w:rsidRPr="00863308">
              <w:rPr>
                <w:rFonts w:ascii="Times New Roman" w:hAnsi="Times New Roman" w:cs="Times New Roman"/>
                <w:b/>
                <w:bCs/>
                <w:color w:val="auto"/>
                <w:sz w:val="20"/>
                <w:szCs w:val="20"/>
              </w:rPr>
              <w:t>Study setting</w:t>
            </w:r>
          </w:p>
        </w:tc>
        <w:tc>
          <w:tcPr>
            <w:tcW w:w="785" w:type="pct"/>
          </w:tcPr>
          <w:p w14:paraId="6976C5FF" w14:textId="77777777" w:rsidR="009A75C0" w:rsidRPr="00863308" w:rsidRDefault="009A75C0" w:rsidP="00035AB3">
            <w:pPr>
              <w:pStyle w:val="Default"/>
              <w:spacing w:line="480" w:lineRule="auto"/>
              <w:rPr>
                <w:rFonts w:ascii="Times New Roman" w:hAnsi="Times New Roman" w:cs="Times New Roman"/>
                <w:b/>
                <w:bCs/>
                <w:color w:val="auto"/>
                <w:sz w:val="20"/>
                <w:szCs w:val="20"/>
              </w:rPr>
            </w:pPr>
            <w:r w:rsidRPr="00863308">
              <w:rPr>
                <w:rFonts w:ascii="Times New Roman" w:hAnsi="Times New Roman" w:cs="Times New Roman"/>
                <w:b/>
                <w:bCs/>
                <w:color w:val="auto"/>
                <w:sz w:val="20"/>
                <w:szCs w:val="20"/>
              </w:rPr>
              <w:t>Aims</w:t>
            </w:r>
          </w:p>
        </w:tc>
        <w:tc>
          <w:tcPr>
            <w:tcW w:w="582" w:type="pct"/>
          </w:tcPr>
          <w:p w14:paraId="0C96ADC5" w14:textId="77777777" w:rsidR="009A75C0" w:rsidRPr="00863308" w:rsidRDefault="009A75C0" w:rsidP="00035AB3">
            <w:pPr>
              <w:pStyle w:val="Default"/>
              <w:spacing w:line="480" w:lineRule="auto"/>
              <w:rPr>
                <w:rFonts w:ascii="Times New Roman" w:hAnsi="Times New Roman" w:cs="Times New Roman"/>
                <w:b/>
                <w:bCs/>
                <w:color w:val="auto"/>
                <w:sz w:val="20"/>
                <w:szCs w:val="20"/>
              </w:rPr>
            </w:pPr>
            <w:r w:rsidRPr="00863308">
              <w:rPr>
                <w:rFonts w:ascii="Times New Roman" w:hAnsi="Times New Roman" w:cs="Times New Roman"/>
                <w:b/>
                <w:bCs/>
                <w:color w:val="auto"/>
                <w:sz w:val="20"/>
                <w:szCs w:val="20"/>
              </w:rPr>
              <w:t>Sample size</w:t>
            </w:r>
          </w:p>
        </w:tc>
        <w:tc>
          <w:tcPr>
            <w:tcW w:w="814" w:type="pct"/>
          </w:tcPr>
          <w:p w14:paraId="0B9518CA" w14:textId="77777777" w:rsidR="009A75C0" w:rsidRPr="00863308" w:rsidRDefault="009A75C0" w:rsidP="00035AB3">
            <w:pPr>
              <w:pStyle w:val="Default"/>
              <w:spacing w:line="480" w:lineRule="auto"/>
              <w:rPr>
                <w:rFonts w:ascii="Times New Roman" w:hAnsi="Times New Roman" w:cs="Times New Roman"/>
                <w:b/>
                <w:bCs/>
                <w:color w:val="auto"/>
                <w:sz w:val="20"/>
                <w:szCs w:val="20"/>
              </w:rPr>
            </w:pPr>
            <w:r w:rsidRPr="00863308">
              <w:rPr>
                <w:rFonts w:ascii="Times New Roman" w:hAnsi="Times New Roman" w:cs="Times New Roman"/>
                <w:b/>
                <w:bCs/>
                <w:color w:val="auto"/>
                <w:sz w:val="20"/>
                <w:szCs w:val="20"/>
              </w:rPr>
              <w:t xml:space="preserve">  Methods</w:t>
            </w:r>
          </w:p>
        </w:tc>
        <w:tc>
          <w:tcPr>
            <w:tcW w:w="1077" w:type="pct"/>
          </w:tcPr>
          <w:p w14:paraId="71E4B607" w14:textId="77777777" w:rsidR="009A75C0" w:rsidRPr="00863308" w:rsidRDefault="009A75C0" w:rsidP="00035AB3">
            <w:pPr>
              <w:pStyle w:val="Default"/>
              <w:spacing w:line="480" w:lineRule="auto"/>
              <w:rPr>
                <w:rFonts w:ascii="Times New Roman" w:hAnsi="Times New Roman" w:cs="Times New Roman"/>
                <w:b/>
                <w:bCs/>
                <w:color w:val="auto"/>
                <w:sz w:val="20"/>
                <w:szCs w:val="20"/>
              </w:rPr>
            </w:pPr>
            <w:r>
              <w:rPr>
                <w:rFonts w:ascii="Times New Roman" w:hAnsi="Times New Roman" w:cs="Times New Roman"/>
                <w:b/>
                <w:bCs/>
                <w:color w:val="auto"/>
                <w:sz w:val="20"/>
                <w:szCs w:val="20"/>
              </w:rPr>
              <w:t>Social and emotional</w:t>
            </w:r>
            <w:r w:rsidRPr="00863308">
              <w:rPr>
                <w:rFonts w:ascii="Times New Roman" w:hAnsi="Times New Roman" w:cs="Times New Roman"/>
                <w:b/>
                <w:bCs/>
                <w:color w:val="auto"/>
                <w:sz w:val="20"/>
                <w:szCs w:val="20"/>
              </w:rPr>
              <w:t xml:space="preserve"> wellbeing outcomes </w:t>
            </w:r>
          </w:p>
        </w:tc>
      </w:tr>
      <w:tr w:rsidR="009A75C0" w:rsidRPr="00863308" w14:paraId="284C9207" w14:textId="77777777" w:rsidTr="00035AB3">
        <w:tc>
          <w:tcPr>
            <w:tcW w:w="493" w:type="pct"/>
          </w:tcPr>
          <w:p w14:paraId="12146024"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1.</w:t>
            </w:r>
          </w:p>
        </w:tc>
        <w:tc>
          <w:tcPr>
            <w:tcW w:w="493" w:type="pct"/>
          </w:tcPr>
          <w:p w14:paraId="32B90DD6"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roofErr w:type="spellStart"/>
            <w:r w:rsidRPr="00863308">
              <w:rPr>
                <w:rFonts w:ascii="Times New Roman" w:hAnsi="Times New Roman" w:cs="Times New Roman"/>
                <w:color w:val="auto"/>
                <w:sz w:val="20"/>
                <w:szCs w:val="20"/>
              </w:rPr>
              <w:t>Tsey</w:t>
            </w:r>
            <w:proofErr w:type="spellEnd"/>
            <w:r w:rsidRPr="00863308">
              <w:rPr>
                <w:rFonts w:ascii="Times New Roman" w:hAnsi="Times New Roman" w:cs="Times New Roman"/>
                <w:color w:val="auto"/>
                <w:sz w:val="20"/>
                <w:szCs w:val="20"/>
              </w:rPr>
              <w:t xml:space="preserve"> et. al., 2009</w:t>
            </w:r>
          </w:p>
          <w:p w14:paraId="00548C89"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46A00350"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03ABFFF7"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788757CE"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7B407910"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tc>
        <w:tc>
          <w:tcPr>
            <w:tcW w:w="756" w:type="pct"/>
          </w:tcPr>
          <w:p w14:paraId="73714522"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FWB training in four Indigenous communities in Central Australia and North Queensland, Australia between 1998 and 2005</w:t>
            </w:r>
            <w:r>
              <w:rPr>
                <w:rFonts w:ascii="Times New Roman" w:hAnsi="Times New Roman" w:cs="Times New Roman"/>
                <w:color w:val="auto"/>
                <w:sz w:val="20"/>
                <w:szCs w:val="20"/>
              </w:rPr>
              <w:t>.</w:t>
            </w:r>
          </w:p>
          <w:p w14:paraId="5B761FF6"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5DB50EE3"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0608F13C"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201B4B50"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5224FE99"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tc>
        <w:tc>
          <w:tcPr>
            <w:tcW w:w="785" w:type="pct"/>
          </w:tcPr>
          <w:p w14:paraId="704818CF"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 xml:space="preserve">To review and synthesise the reported FWB training outcomes across 7 discrete qualitative evaluative studies so as to develop a deeper understanding of </w:t>
            </w:r>
            <w:bookmarkStart w:id="0" w:name="_Hlk69202489"/>
            <w:r w:rsidRPr="00863308">
              <w:rPr>
                <w:rFonts w:ascii="Times New Roman" w:hAnsi="Times New Roman" w:cs="Times New Roman"/>
                <w:color w:val="auto"/>
                <w:sz w:val="20"/>
                <w:szCs w:val="20"/>
              </w:rPr>
              <w:t>the health and wellbeing impacts  of empowerment in the Indigenous Australian context</w:t>
            </w:r>
            <w:bookmarkEnd w:id="0"/>
            <w:r>
              <w:rPr>
                <w:rFonts w:ascii="Times New Roman" w:hAnsi="Times New Roman" w:cs="Times New Roman"/>
                <w:color w:val="auto"/>
                <w:sz w:val="20"/>
                <w:szCs w:val="20"/>
              </w:rPr>
              <w:t>.</w:t>
            </w:r>
          </w:p>
          <w:p w14:paraId="18ECA640"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49B2B233"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676B3D45"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181A6BBE"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48A40C2C"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tc>
        <w:tc>
          <w:tcPr>
            <w:tcW w:w="582" w:type="pct"/>
          </w:tcPr>
          <w:p w14:paraId="5873DE02"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N = 218 (148 adults, 70 school children)</w:t>
            </w:r>
          </w:p>
          <w:p w14:paraId="7018CD63"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028C46EE"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5A89C498"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7247D488"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48B16A07"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tc>
        <w:tc>
          <w:tcPr>
            <w:tcW w:w="814" w:type="pct"/>
          </w:tcPr>
          <w:p w14:paraId="593D7BDD"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Qualitative thematic analysis of reported </w:t>
            </w:r>
            <w:r>
              <w:rPr>
                <w:rFonts w:ascii="Times New Roman" w:hAnsi="Times New Roman" w:cs="Times New Roman"/>
                <w:color w:val="auto"/>
                <w:sz w:val="20"/>
                <w:szCs w:val="20"/>
              </w:rPr>
              <w:t>social and emotional</w:t>
            </w:r>
            <w:r w:rsidRPr="00863308">
              <w:rPr>
                <w:rFonts w:ascii="Times New Roman" w:hAnsi="Times New Roman" w:cs="Times New Roman"/>
                <w:color w:val="auto"/>
                <w:sz w:val="20"/>
                <w:szCs w:val="20"/>
              </w:rPr>
              <w:t xml:space="preserve"> wellbeing outcomes across the 7 studies </w:t>
            </w:r>
            <w:r>
              <w:rPr>
                <w:rFonts w:ascii="Times New Roman" w:hAnsi="Times New Roman" w:cs="Times New Roman"/>
                <w:color w:val="auto"/>
                <w:sz w:val="20"/>
                <w:szCs w:val="20"/>
              </w:rPr>
              <w:t>.</w:t>
            </w:r>
          </w:p>
          <w:p w14:paraId="26C5A7A7"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07BD6765"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08344A3D"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5910B0A5"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p w14:paraId="70558367"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tc>
        <w:tc>
          <w:tcPr>
            <w:tcW w:w="1077" w:type="pct"/>
          </w:tcPr>
          <w:p w14:paraId="1B9F01FA" w14:textId="77777777" w:rsidR="009A75C0" w:rsidRPr="00863308" w:rsidRDefault="009A75C0" w:rsidP="00035AB3">
            <w:pPr>
              <w:pStyle w:val="Default"/>
              <w:spacing w:before="120" w:after="240" w:line="480" w:lineRule="auto"/>
              <w:rPr>
                <w:rFonts w:ascii="Times New Roman" w:hAnsi="Times New Roman" w:cs="Times New Roman"/>
                <w:color w:val="242021"/>
                <w:sz w:val="20"/>
                <w:szCs w:val="20"/>
                <w:lang w:val="en-AU"/>
              </w:rPr>
            </w:pPr>
            <w:r w:rsidRPr="00863308">
              <w:rPr>
                <w:rFonts w:ascii="Times New Roman" w:hAnsi="Times New Roman" w:cs="Times New Roman"/>
                <w:color w:val="auto"/>
                <w:sz w:val="20"/>
                <w:szCs w:val="20"/>
              </w:rPr>
              <w:t xml:space="preserve">Participants reported enhanced capacity to exert greater control over factors shaping their </w:t>
            </w:r>
            <w:r>
              <w:rPr>
                <w:rFonts w:ascii="Times New Roman" w:hAnsi="Times New Roman" w:cs="Times New Roman"/>
                <w:color w:val="auto"/>
                <w:sz w:val="20"/>
                <w:szCs w:val="20"/>
              </w:rPr>
              <w:t>SEWB</w:t>
            </w:r>
            <w:r w:rsidRPr="00863308">
              <w:rPr>
                <w:rFonts w:ascii="Times New Roman" w:hAnsi="Times New Roman" w:cs="Times New Roman"/>
                <w:color w:val="auto"/>
                <w:sz w:val="20"/>
                <w:szCs w:val="20"/>
              </w:rPr>
              <w:t xml:space="preserve">; a </w:t>
            </w:r>
            <w:r w:rsidRPr="00863308">
              <w:rPr>
                <w:rFonts w:ascii="Times New Roman" w:hAnsi="Times New Roman" w:cs="Times New Roman"/>
                <w:color w:val="242021"/>
                <w:sz w:val="20"/>
                <w:szCs w:val="20"/>
                <w:lang w:val="en-AU"/>
              </w:rPr>
              <w:t>heightened sense of Indigenous and spiritual identity; increased respect for self and others; enhanced parenting; enhanced capacity to deal with substance abuse and violence.</w:t>
            </w:r>
          </w:p>
          <w:p w14:paraId="3E1B9B87" w14:textId="77777777" w:rsidR="009A75C0" w:rsidRPr="00863308" w:rsidRDefault="009A75C0" w:rsidP="00035AB3">
            <w:pPr>
              <w:pStyle w:val="Default"/>
              <w:spacing w:before="120" w:after="240" w:line="480" w:lineRule="auto"/>
              <w:rPr>
                <w:rFonts w:ascii="Times New Roman" w:hAnsi="Times New Roman" w:cs="Times New Roman"/>
                <w:color w:val="242021"/>
                <w:sz w:val="20"/>
                <w:szCs w:val="20"/>
                <w:lang w:val="en-AU"/>
              </w:rPr>
            </w:pPr>
            <w:r w:rsidRPr="00863308">
              <w:rPr>
                <w:rFonts w:ascii="Times New Roman" w:hAnsi="Times New Roman" w:cs="Times New Roman"/>
                <w:color w:val="242021"/>
                <w:sz w:val="20"/>
                <w:szCs w:val="20"/>
                <w:lang w:val="en-AU"/>
              </w:rPr>
              <w:t>Multilevel dimensions of empowerment were evidenced by changes made at the personal level</w:t>
            </w:r>
            <w:r>
              <w:rPr>
                <w:rFonts w:ascii="Times New Roman" w:hAnsi="Times New Roman" w:cs="Times New Roman"/>
                <w:color w:val="242021"/>
                <w:sz w:val="20"/>
                <w:szCs w:val="20"/>
                <w:lang w:val="en-AU"/>
              </w:rPr>
              <w:t xml:space="preserve"> that</w:t>
            </w:r>
            <w:r w:rsidRPr="00863308">
              <w:rPr>
                <w:rFonts w:ascii="Times New Roman" w:hAnsi="Times New Roman" w:cs="Times New Roman"/>
                <w:color w:val="242021"/>
                <w:sz w:val="20"/>
                <w:szCs w:val="20"/>
                <w:lang w:val="en-AU"/>
              </w:rPr>
              <w:t xml:space="preserve"> influenced other individuals and systems over time</w:t>
            </w:r>
            <w:r>
              <w:rPr>
                <w:rFonts w:ascii="Times New Roman" w:hAnsi="Times New Roman" w:cs="Times New Roman"/>
                <w:color w:val="242021"/>
                <w:sz w:val="20"/>
                <w:szCs w:val="20"/>
                <w:lang w:val="en-AU"/>
              </w:rPr>
              <w:t>.</w:t>
            </w:r>
            <w:r w:rsidRPr="00863308">
              <w:rPr>
                <w:rFonts w:ascii="Times New Roman" w:hAnsi="Times New Roman" w:cs="Times New Roman"/>
                <w:color w:val="242021"/>
                <w:sz w:val="20"/>
                <w:szCs w:val="20"/>
                <w:lang w:val="en-AU"/>
              </w:rPr>
              <w:t xml:space="preserve"> </w:t>
            </w:r>
          </w:p>
          <w:p w14:paraId="442A5D5D"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 xml:space="preserve">Highlighted was the consistency of the reported </w:t>
            </w:r>
            <w:r>
              <w:rPr>
                <w:rFonts w:ascii="Times New Roman" w:hAnsi="Times New Roman" w:cs="Times New Roman"/>
                <w:color w:val="auto"/>
                <w:sz w:val="20"/>
                <w:szCs w:val="20"/>
              </w:rPr>
              <w:t>SEWB</w:t>
            </w:r>
            <w:r w:rsidRPr="00863308">
              <w:rPr>
                <w:rFonts w:ascii="Times New Roman" w:hAnsi="Times New Roman" w:cs="Times New Roman"/>
                <w:color w:val="auto"/>
                <w:sz w:val="20"/>
                <w:szCs w:val="20"/>
              </w:rPr>
              <w:t xml:space="preserve"> benefits across the different study settings. Also highlighted is the need to implement personal empowerment interventions as part of broader structural determinants of health such as employment, education and child/family support services in order to maximi</w:t>
            </w:r>
            <w:r>
              <w:rPr>
                <w:rFonts w:ascii="Times New Roman" w:hAnsi="Times New Roman" w:cs="Times New Roman"/>
                <w:color w:val="auto"/>
                <w:sz w:val="20"/>
                <w:szCs w:val="20"/>
              </w:rPr>
              <w:t>s</w:t>
            </w:r>
            <w:r w:rsidRPr="00863308">
              <w:rPr>
                <w:rFonts w:ascii="Times New Roman" w:hAnsi="Times New Roman" w:cs="Times New Roman"/>
                <w:color w:val="auto"/>
                <w:sz w:val="20"/>
                <w:szCs w:val="20"/>
              </w:rPr>
              <w:t xml:space="preserve">e outcomes. </w:t>
            </w:r>
          </w:p>
        </w:tc>
      </w:tr>
      <w:tr w:rsidR="009A75C0" w:rsidRPr="00863308" w14:paraId="78A5AC89" w14:textId="77777777" w:rsidTr="00035AB3">
        <w:tc>
          <w:tcPr>
            <w:tcW w:w="493" w:type="pct"/>
          </w:tcPr>
          <w:p w14:paraId="1C8AD6D5"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2.</w:t>
            </w:r>
          </w:p>
        </w:tc>
        <w:tc>
          <w:tcPr>
            <w:tcW w:w="493" w:type="pct"/>
          </w:tcPr>
          <w:p w14:paraId="15607D60"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roofErr w:type="spellStart"/>
            <w:r w:rsidRPr="00863308">
              <w:rPr>
                <w:rFonts w:ascii="Times New Roman" w:hAnsi="Times New Roman" w:cs="Times New Roman"/>
                <w:color w:val="auto"/>
                <w:sz w:val="20"/>
                <w:szCs w:val="20"/>
              </w:rPr>
              <w:t>Kinchin</w:t>
            </w:r>
            <w:proofErr w:type="spellEnd"/>
            <w:r w:rsidRPr="00863308">
              <w:rPr>
                <w:rFonts w:ascii="Times New Roman" w:hAnsi="Times New Roman" w:cs="Times New Roman"/>
                <w:color w:val="auto"/>
                <w:sz w:val="20"/>
                <w:szCs w:val="20"/>
              </w:rPr>
              <w:t xml:space="preserve"> et. al, 2015</w:t>
            </w:r>
          </w:p>
        </w:tc>
        <w:tc>
          <w:tcPr>
            <w:tcW w:w="756" w:type="pct"/>
          </w:tcPr>
          <w:p w14:paraId="31B6971B"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FWB training for Indigenous child protection workers in five remote Indigenous </w:t>
            </w:r>
            <w:r w:rsidRPr="00863308">
              <w:rPr>
                <w:rFonts w:ascii="Times New Roman" w:hAnsi="Times New Roman" w:cs="Times New Roman"/>
                <w:color w:val="auto"/>
                <w:sz w:val="20"/>
                <w:szCs w:val="20"/>
              </w:rPr>
              <w:lastRenderedPageBreak/>
              <w:t xml:space="preserve">communities, Far North </w:t>
            </w:r>
            <w:r>
              <w:rPr>
                <w:rFonts w:ascii="Times New Roman" w:hAnsi="Times New Roman" w:cs="Times New Roman"/>
                <w:color w:val="auto"/>
                <w:sz w:val="20"/>
                <w:szCs w:val="20"/>
              </w:rPr>
              <w:t>QLD</w:t>
            </w:r>
            <w:r w:rsidRPr="00863308">
              <w:rPr>
                <w:rFonts w:ascii="Times New Roman" w:hAnsi="Times New Roman" w:cs="Times New Roman"/>
                <w:color w:val="auto"/>
                <w:sz w:val="20"/>
                <w:szCs w:val="20"/>
              </w:rPr>
              <w:t>, 2013</w:t>
            </w:r>
            <w:r>
              <w:rPr>
                <w:rFonts w:ascii="Times New Roman" w:hAnsi="Times New Roman" w:cs="Times New Roman"/>
                <w:color w:val="auto"/>
                <w:sz w:val="20"/>
                <w:szCs w:val="20"/>
              </w:rPr>
              <w:t>.</w:t>
            </w:r>
          </w:p>
        </w:tc>
        <w:tc>
          <w:tcPr>
            <w:tcW w:w="785" w:type="pct"/>
          </w:tcPr>
          <w:p w14:paraId="44CFA85F"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 xml:space="preserve">To enhance the capacity of remote Indigenous child protection workers to improve their own wellbeing so they can </w:t>
            </w:r>
            <w:r w:rsidRPr="00863308">
              <w:rPr>
                <w:rFonts w:ascii="Times New Roman" w:hAnsi="Times New Roman" w:cs="Times New Roman"/>
                <w:color w:val="auto"/>
                <w:sz w:val="20"/>
                <w:szCs w:val="20"/>
              </w:rPr>
              <w:lastRenderedPageBreak/>
              <w:t>better support children and families with whom they work improve their wellbeing</w:t>
            </w:r>
            <w:r>
              <w:rPr>
                <w:rFonts w:ascii="Times New Roman" w:hAnsi="Times New Roman" w:cs="Times New Roman"/>
                <w:color w:val="auto"/>
                <w:sz w:val="20"/>
                <w:szCs w:val="20"/>
              </w:rPr>
              <w:t>.</w:t>
            </w:r>
            <w:r w:rsidRPr="00863308">
              <w:rPr>
                <w:rFonts w:ascii="Times New Roman" w:hAnsi="Times New Roman" w:cs="Times New Roman"/>
                <w:color w:val="auto"/>
                <w:sz w:val="20"/>
                <w:szCs w:val="20"/>
              </w:rPr>
              <w:t xml:space="preserve"> </w:t>
            </w:r>
          </w:p>
        </w:tc>
        <w:tc>
          <w:tcPr>
            <w:tcW w:w="582" w:type="pct"/>
          </w:tcPr>
          <w:p w14:paraId="6D7B1BE0"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N = 66 employees</w:t>
            </w:r>
          </w:p>
        </w:tc>
        <w:tc>
          <w:tcPr>
            <w:tcW w:w="814" w:type="pct"/>
          </w:tcPr>
          <w:p w14:paraId="26E958A3"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Quantitative survey pre/post (3 months after) using </w:t>
            </w:r>
            <w:bookmarkStart w:id="1" w:name="_Hlk67985563"/>
            <w:r w:rsidRPr="00863308">
              <w:rPr>
                <w:rFonts w:ascii="Times New Roman" w:hAnsi="Times New Roman" w:cs="Times New Roman"/>
                <w:color w:val="auto"/>
                <w:sz w:val="20"/>
                <w:szCs w:val="20"/>
              </w:rPr>
              <w:t xml:space="preserve">GEM (Growth and Empowerment Measure); AUWI (Australian Unity </w:t>
            </w:r>
            <w:r w:rsidRPr="00863308">
              <w:rPr>
                <w:rFonts w:ascii="Times New Roman" w:hAnsi="Times New Roman" w:cs="Times New Roman"/>
                <w:color w:val="auto"/>
                <w:sz w:val="20"/>
                <w:szCs w:val="20"/>
              </w:rPr>
              <w:lastRenderedPageBreak/>
              <w:t>Wellbeing Index); K10 (Kessler psychological distress scale); WES (Workforce engagement survey)</w:t>
            </w:r>
            <w:bookmarkEnd w:id="1"/>
            <w:r>
              <w:rPr>
                <w:rFonts w:ascii="Times New Roman" w:hAnsi="Times New Roman" w:cs="Times New Roman"/>
                <w:color w:val="auto"/>
                <w:sz w:val="20"/>
                <w:szCs w:val="20"/>
              </w:rPr>
              <w:t>.</w:t>
            </w:r>
          </w:p>
        </w:tc>
        <w:tc>
          <w:tcPr>
            <w:tcW w:w="1077" w:type="pct"/>
          </w:tcPr>
          <w:p w14:paraId="60FA2D38"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 xml:space="preserve">GEM most sensitive to changes detected. Positive changes in communication, conflict resolution, decision making and life skill development (GEM </w:t>
            </w:r>
            <w:r w:rsidRPr="00863308">
              <w:rPr>
                <w:rFonts w:ascii="Times New Roman" w:hAnsi="Times New Roman" w:cs="Times New Roman"/>
                <w:i/>
                <w:iCs/>
                <w:color w:val="auto"/>
                <w:sz w:val="20"/>
                <w:szCs w:val="20"/>
              </w:rPr>
              <w:lastRenderedPageBreak/>
              <w:t>r</w:t>
            </w:r>
            <w:r w:rsidRPr="00863308">
              <w:rPr>
                <w:rFonts w:ascii="Times New Roman" w:hAnsi="Times New Roman" w:cs="Times New Roman"/>
                <w:color w:val="auto"/>
                <w:sz w:val="20"/>
                <w:szCs w:val="20"/>
              </w:rPr>
              <w:t xml:space="preserve">=17%,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 xml:space="preserve">&lt;0.001; AUWI </w:t>
            </w:r>
            <w:r w:rsidRPr="00863308">
              <w:rPr>
                <w:rFonts w:ascii="Times New Roman" w:hAnsi="Times New Roman" w:cs="Times New Roman"/>
                <w:i/>
                <w:iCs/>
                <w:color w:val="auto"/>
                <w:sz w:val="20"/>
                <w:szCs w:val="20"/>
              </w:rPr>
              <w:t>r</w:t>
            </w:r>
            <w:r w:rsidRPr="00863308">
              <w:rPr>
                <w:rFonts w:ascii="Times New Roman" w:hAnsi="Times New Roman" w:cs="Times New Roman"/>
                <w:color w:val="auto"/>
                <w:sz w:val="20"/>
                <w:szCs w:val="20"/>
              </w:rPr>
              <w:t xml:space="preserve">=9%,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 xml:space="preserve">=0.004; WES </w:t>
            </w:r>
            <w:r w:rsidRPr="00863308">
              <w:rPr>
                <w:rFonts w:ascii="Times New Roman" w:hAnsi="Times New Roman" w:cs="Times New Roman"/>
                <w:i/>
                <w:iCs/>
                <w:color w:val="auto"/>
                <w:sz w:val="20"/>
                <w:szCs w:val="20"/>
              </w:rPr>
              <w:t>r</w:t>
            </w:r>
            <w:r w:rsidRPr="00863308">
              <w:rPr>
                <w:rFonts w:ascii="Times New Roman" w:hAnsi="Times New Roman" w:cs="Times New Roman"/>
                <w:color w:val="auto"/>
                <w:sz w:val="20"/>
                <w:szCs w:val="20"/>
              </w:rPr>
              <w:t xml:space="preserve">=5%,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 xml:space="preserve">=0.060; K10 </w:t>
            </w:r>
            <w:r w:rsidRPr="00863308">
              <w:rPr>
                <w:rFonts w:ascii="Times New Roman" w:hAnsi="Times New Roman" w:cs="Times New Roman"/>
                <w:i/>
                <w:iCs/>
                <w:color w:val="auto"/>
                <w:sz w:val="20"/>
                <w:szCs w:val="20"/>
              </w:rPr>
              <w:t>r</w:t>
            </w:r>
            <w:r w:rsidRPr="00863308">
              <w:rPr>
                <w:rFonts w:ascii="Times New Roman" w:hAnsi="Times New Roman" w:cs="Times New Roman"/>
                <w:color w:val="auto"/>
                <w:sz w:val="20"/>
                <w:szCs w:val="20"/>
              </w:rPr>
              <w:t xml:space="preserve">&lt;1 %,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=0.715)</w:t>
            </w:r>
            <w:r>
              <w:rPr>
                <w:rFonts w:ascii="Times New Roman" w:hAnsi="Times New Roman" w:cs="Times New Roman"/>
                <w:color w:val="auto"/>
                <w:sz w:val="20"/>
                <w:szCs w:val="20"/>
              </w:rPr>
              <w:t>.</w:t>
            </w:r>
          </w:p>
        </w:tc>
      </w:tr>
      <w:tr w:rsidR="009A75C0" w:rsidRPr="00863308" w14:paraId="4604A569" w14:textId="77777777" w:rsidTr="00035AB3">
        <w:tc>
          <w:tcPr>
            <w:tcW w:w="493" w:type="pct"/>
          </w:tcPr>
          <w:p w14:paraId="06D8F2E4"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3.</w:t>
            </w:r>
          </w:p>
        </w:tc>
        <w:tc>
          <w:tcPr>
            <w:tcW w:w="493" w:type="pct"/>
          </w:tcPr>
          <w:p w14:paraId="4BEAD6B1"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Prince, 2018</w:t>
            </w:r>
          </w:p>
        </w:tc>
        <w:tc>
          <w:tcPr>
            <w:tcW w:w="756" w:type="pct"/>
          </w:tcPr>
          <w:p w14:paraId="0B3B112E"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Case study report commissioned by the Healing Foundation of suicide interventions in two Indigenous communities: </w:t>
            </w:r>
            <w:proofErr w:type="spellStart"/>
            <w:r w:rsidRPr="00863308">
              <w:rPr>
                <w:rFonts w:ascii="Times New Roman" w:hAnsi="Times New Roman" w:cs="Times New Roman"/>
                <w:color w:val="auto"/>
                <w:sz w:val="20"/>
                <w:szCs w:val="20"/>
              </w:rPr>
              <w:t>Tiwi</w:t>
            </w:r>
            <w:proofErr w:type="spellEnd"/>
            <w:r w:rsidRPr="00863308">
              <w:rPr>
                <w:rFonts w:ascii="Times New Roman" w:hAnsi="Times New Roman" w:cs="Times New Roman"/>
                <w:color w:val="auto"/>
                <w:sz w:val="20"/>
                <w:szCs w:val="20"/>
              </w:rPr>
              <w:t xml:space="preserve"> Islands in the Northern Territory and Yarrabah </w:t>
            </w:r>
            <w:r w:rsidRPr="00863308">
              <w:rPr>
                <w:rFonts w:ascii="Times New Roman" w:hAnsi="Times New Roman" w:cs="Times New Roman"/>
                <w:color w:val="auto"/>
                <w:sz w:val="20"/>
                <w:szCs w:val="20"/>
              </w:rPr>
              <w:lastRenderedPageBreak/>
              <w:t>in north Queensland 2017</w:t>
            </w:r>
            <w:r>
              <w:rPr>
                <w:rFonts w:ascii="Times New Roman" w:hAnsi="Times New Roman" w:cs="Times New Roman"/>
                <w:color w:val="auto"/>
                <w:sz w:val="20"/>
                <w:szCs w:val="20"/>
              </w:rPr>
              <w:t>.</w:t>
            </w:r>
          </w:p>
        </w:tc>
        <w:tc>
          <w:tcPr>
            <w:tcW w:w="785" w:type="pct"/>
          </w:tcPr>
          <w:p w14:paraId="740ED31F" w14:textId="77777777" w:rsidR="009A75C0" w:rsidRPr="00863308" w:rsidRDefault="009A75C0" w:rsidP="00035AB3">
            <w:pPr>
              <w:spacing w:line="480" w:lineRule="auto"/>
              <w:rPr>
                <w:sz w:val="20"/>
                <w:szCs w:val="20"/>
              </w:rPr>
            </w:pPr>
            <w:r w:rsidRPr="00863308">
              <w:rPr>
                <w:sz w:val="20"/>
                <w:szCs w:val="20"/>
              </w:rPr>
              <w:lastRenderedPageBreak/>
              <w:t>Identify the success factors that underpin successful suicide prevention activity in two Indigenous Australia communities</w:t>
            </w:r>
            <w:r>
              <w:rPr>
                <w:sz w:val="20"/>
                <w:szCs w:val="20"/>
              </w:rPr>
              <w:t>.</w:t>
            </w:r>
            <w:r w:rsidRPr="00863308">
              <w:rPr>
                <w:sz w:val="20"/>
                <w:szCs w:val="20"/>
              </w:rPr>
              <w:t xml:space="preserve"> </w:t>
            </w:r>
          </w:p>
          <w:p w14:paraId="77C63C0D"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tc>
        <w:tc>
          <w:tcPr>
            <w:tcW w:w="582" w:type="pct"/>
          </w:tcPr>
          <w:p w14:paraId="0AFABF3A" w14:textId="756AD208"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N</w:t>
            </w:r>
            <w:r w:rsidR="00A014E9">
              <w:rPr>
                <w:rFonts w:ascii="Times New Roman" w:hAnsi="Times New Roman" w:cs="Times New Roman"/>
                <w:color w:val="auto"/>
                <w:sz w:val="20"/>
                <w:szCs w:val="20"/>
              </w:rPr>
              <w:t xml:space="preserve"> </w:t>
            </w:r>
            <w:r w:rsidRPr="00863308">
              <w:rPr>
                <w:rFonts w:ascii="Times New Roman" w:hAnsi="Times New Roman" w:cs="Times New Roman"/>
                <w:color w:val="auto"/>
                <w:sz w:val="20"/>
                <w:szCs w:val="20"/>
              </w:rPr>
              <w:t>=</w:t>
            </w:r>
            <w:r w:rsidR="00A014E9">
              <w:rPr>
                <w:rFonts w:ascii="Times New Roman" w:hAnsi="Times New Roman" w:cs="Times New Roman"/>
                <w:color w:val="auto"/>
                <w:sz w:val="20"/>
                <w:szCs w:val="20"/>
              </w:rPr>
              <w:t xml:space="preserve"> </w:t>
            </w:r>
            <w:r w:rsidRPr="00863308">
              <w:rPr>
                <w:rFonts w:ascii="Times New Roman" w:hAnsi="Times New Roman" w:cs="Times New Roman"/>
                <w:color w:val="auto"/>
                <w:sz w:val="20"/>
                <w:szCs w:val="20"/>
              </w:rPr>
              <w:t xml:space="preserve">31 Elders and community organization representatives from 2 communities </w:t>
            </w:r>
          </w:p>
        </w:tc>
        <w:tc>
          <w:tcPr>
            <w:tcW w:w="814" w:type="pct"/>
          </w:tcPr>
          <w:p w14:paraId="5086DB54"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Interviews and group discussions </w:t>
            </w:r>
          </w:p>
        </w:tc>
        <w:tc>
          <w:tcPr>
            <w:tcW w:w="1077" w:type="pct"/>
          </w:tcPr>
          <w:p w14:paraId="6098F563" w14:textId="77777777" w:rsidR="009A75C0" w:rsidRPr="00863308" w:rsidRDefault="009A75C0" w:rsidP="00035AB3">
            <w:pPr>
              <w:pStyle w:val="Default"/>
              <w:spacing w:before="120" w:after="240" w:line="480" w:lineRule="auto"/>
              <w:rPr>
                <w:rFonts w:ascii="Times New Roman" w:hAnsi="Times New Roman" w:cs="Times New Roman"/>
                <w:sz w:val="20"/>
                <w:szCs w:val="20"/>
              </w:rPr>
            </w:pPr>
            <w:r w:rsidRPr="00863308">
              <w:rPr>
                <w:rFonts w:ascii="Times New Roman" w:hAnsi="Times New Roman" w:cs="Times New Roman"/>
                <w:sz w:val="20"/>
                <w:szCs w:val="20"/>
              </w:rPr>
              <w:t xml:space="preserve">The report found Yarrabah to be one of two Indigenous communities Australia-wide to show evidence of successful suicide prevention over the past 20 years, </w:t>
            </w:r>
            <w:proofErr w:type="spellStart"/>
            <w:r w:rsidRPr="00863308">
              <w:rPr>
                <w:rFonts w:ascii="Times New Roman" w:hAnsi="Times New Roman" w:cs="Times New Roman"/>
                <w:sz w:val="20"/>
                <w:szCs w:val="20"/>
              </w:rPr>
              <w:t>Tiwi</w:t>
            </w:r>
            <w:proofErr w:type="spellEnd"/>
            <w:r w:rsidRPr="00863308">
              <w:rPr>
                <w:rFonts w:ascii="Times New Roman" w:hAnsi="Times New Roman" w:cs="Times New Roman"/>
                <w:sz w:val="20"/>
                <w:szCs w:val="20"/>
              </w:rPr>
              <w:t xml:space="preserve"> Island being the other community. The report identified a range of community-driven initiatives including FWB </w:t>
            </w:r>
            <w:r w:rsidRPr="00863308">
              <w:rPr>
                <w:rFonts w:ascii="Times New Roman" w:hAnsi="Times New Roman" w:cs="Times New Roman"/>
                <w:sz w:val="20"/>
                <w:szCs w:val="20"/>
              </w:rPr>
              <w:lastRenderedPageBreak/>
              <w:t xml:space="preserve">as contributory factors in Yarrabah. </w:t>
            </w:r>
          </w:p>
          <w:p w14:paraId="670AC8EE" w14:textId="77777777" w:rsidR="009A75C0" w:rsidRPr="00863308" w:rsidRDefault="009A75C0" w:rsidP="00035AB3">
            <w:pPr>
              <w:spacing w:line="480" w:lineRule="auto"/>
              <w:rPr>
                <w:sz w:val="20"/>
                <w:szCs w:val="20"/>
              </w:rPr>
            </w:pPr>
            <w:r w:rsidRPr="00863308">
              <w:rPr>
                <w:sz w:val="20"/>
                <w:szCs w:val="20"/>
              </w:rPr>
              <w:t>The report identified a range of FWB specific outcomes as protective factors against suicide. These include: ‘reflectiv</w:t>
            </w:r>
            <w:r>
              <w:rPr>
                <w:sz w:val="20"/>
                <w:szCs w:val="20"/>
              </w:rPr>
              <w:t xml:space="preserve">e skills; hope and confidence; </w:t>
            </w:r>
            <w:r w:rsidRPr="00863308">
              <w:rPr>
                <w:sz w:val="20"/>
                <w:szCs w:val="20"/>
              </w:rPr>
              <w:t>personal healing and improved ability to control destructive behaviours and emotions</w:t>
            </w:r>
            <w:r>
              <w:rPr>
                <w:sz w:val="20"/>
                <w:szCs w:val="20"/>
              </w:rPr>
              <w:t>;</w:t>
            </w:r>
            <w:r w:rsidRPr="00863308">
              <w:rPr>
                <w:sz w:val="20"/>
                <w:szCs w:val="20"/>
              </w:rPr>
              <w:t xml:space="preserve"> prevention and management of domestic conflict and more positive family relationships</w:t>
            </w:r>
            <w:r>
              <w:rPr>
                <w:sz w:val="20"/>
                <w:szCs w:val="20"/>
              </w:rPr>
              <w:t>;</w:t>
            </w:r>
            <w:r w:rsidRPr="00863308">
              <w:rPr>
                <w:sz w:val="20"/>
                <w:szCs w:val="20"/>
              </w:rPr>
              <w:t xml:space="preserve"> safe environments to voice pain </w:t>
            </w:r>
            <w:r>
              <w:rPr>
                <w:sz w:val="20"/>
                <w:szCs w:val="20"/>
              </w:rPr>
              <w:t xml:space="preserve">and </w:t>
            </w:r>
            <w:r w:rsidRPr="00863308">
              <w:rPr>
                <w:sz w:val="20"/>
                <w:szCs w:val="20"/>
              </w:rPr>
              <w:t xml:space="preserve">enhance the ability to explore feelings and </w:t>
            </w:r>
            <w:r w:rsidRPr="00863308">
              <w:rPr>
                <w:sz w:val="20"/>
                <w:szCs w:val="20"/>
              </w:rPr>
              <w:lastRenderedPageBreak/>
              <w:t>attitudes</w:t>
            </w:r>
            <w:r>
              <w:rPr>
                <w:sz w:val="20"/>
                <w:szCs w:val="20"/>
              </w:rPr>
              <w:t>;</w:t>
            </w:r>
            <w:r w:rsidRPr="00863308">
              <w:rPr>
                <w:sz w:val="20"/>
                <w:szCs w:val="20"/>
              </w:rPr>
              <w:t xml:space="preserve"> reduced levels of alcohol consumption and conflict</w:t>
            </w:r>
            <w:r>
              <w:rPr>
                <w:sz w:val="20"/>
                <w:szCs w:val="20"/>
              </w:rPr>
              <w:t xml:space="preserve">; </w:t>
            </w:r>
            <w:r w:rsidRPr="00863308">
              <w:rPr>
                <w:sz w:val="20"/>
                <w:szCs w:val="20"/>
              </w:rPr>
              <w:t xml:space="preserve">interest in sharing experiences in dealing with suicide with other communities’ </w:t>
            </w:r>
            <w:r>
              <w:rPr>
                <w:sz w:val="20"/>
                <w:szCs w:val="20"/>
              </w:rPr>
              <w:t>(</w:t>
            </w:r>
            <w:r w:rsidRPr="00863308">
              <w:rPr>
                <w:sz w:val="20"/>
                <w:szCs w:val="20"/>
              </w:rPr>
              <w:t>pp 26-27</w:t>
            </w:r>
            <w:r>
              <w:rPr>
                <w:sz w:val="20"/>
                <w:szCs w:val="20"/>
              </w:rPr>
              <w:t>)</w:t>
            </w:r>
            <w:r w:rsidRPr="00863308">
              <w:rPr>
                <w:sz w:val="20"/>
                <w:szCs w:val="20"/>
              </w:rPr>
              <w:t>.</w:t>
            </w:r>
          </w:p>
          <w:p w14:paraId="23CB36DE" w14:textId="77777777" w:rsidR="009A75C0" w:rsidRPr="00863308" w:rsidRDefault="009A75C0" w:rsidP="00035AB3">
            <w:pPr>
              <w:spacing w:line="480" w:lineRule="auto"/>
              <w:rPr>
                <w:sz w:val="20"/>
                <w:szCs w:val="20"/>
              </w:rPr>
            </w:pPr>
            <w:r w:rsidRPr="00863308">
              <w:rPr>
                <w:sz w:val="20"/>
                <w:szCs w:val="20"/>
              </w:rPr>
              <w:t xml:space="preserve">While suicide is still a concern, both communities reported being more prepared in dealing with it when </w:t>
            </w:r>
            <w:r>
              <w:rPr>
                <w:sz w:val="20"/>
                <w:szCs w:val="20"/>
              </w:rPr>
              <w:t>it</w:t>
            </w:r>
            <w:r w:rsidRPr="00863308">
              <w:rPr>
                <w:sz w:val="20"/>
                <w:szCs w:val="20"/>
              </w:rPr>
              <w:t xml:space="preserve"> happen</w:t>
            </w:r>
            <w:r>
              <w:rPr>
                <w:sz w:val="20"/>
                <w:szCs w:val="20"/>
              </w:rPr>
              <w:t>s</w:t>
            </w:r>
            <w:r w:rsidRPr="00863308">
              <w:rPr>
                <w:sz w:val="20"/>
                <w:szCs w:val="20"/>
              </w:rPr>
              <w:t>.</w:t>
            </w:r>
          </w:p>
        </w:tc>
      </w:tr>
      <w:tr w:rsidR="009A75C0" w:rsidRPr="00863308" w14:paraId="10634B83" w14:textId="77777777" w:rsidTr="00035AB3">
        <w:tc>
          <w:tcPr>
            <w:tcW w:w="493" w:type="pct"/>
          </w:tcPr>
          <w:p w14:paraId="3B4A80EA"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4.</w:t>
            </w:r>
          </w:p>
        </w:tc>
        <w:tc>
          <w:tcPr>
            <w:tcW w:w="493" w:type="pct"/>
          </w:tcPr>
          <w:p w14:paraId="34406DB2"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Whiteside et al, 2018</w:t>
            </w:r>
          </w:p>
        </w:tc>
        <w:tc>
          <w:tcPr>
            <w:tcW w:w="756" w:type="pct"/>
          </w:tcPr>
          <w:p w14:paraId="26BD1397"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FWB training for Indigenous SEWB workers at </w:t>
            </w:r>
            <w:proofErr w:type="spellStart"/>
            <w:r w:rsidRPr="00863308">
              <w:rPr>
                <w:rFonts w:ascii="Times New Roman" w:hAnsi="Times New Roman" w:cs="Times New Roman"/>
                <w:color w:val="auto"/>
                <w:sz w:val="20"/>
                <w:szCs w:val="20"/>
              </w:rPr>
              <w:t>Mallee</w:t>
            </w:r>
            <w:proofErr w:type="spellEnd"/>
            <w:r w:rsidRPr="00863308">
              <w:rPr>
                <w:rFonts w:ascii="Times New Roman" w:hAnsi="Times New Roman" w:cs="Times New Roman"/>
                <w:color w:val="auto"/>
                <w:sz w:val="20"/>
                <w:szCs w:val="20"/>
              </w:rPr>
              <w:t xml:space="preserve"> District Aboriginal Services (MDAS) in rural Victoria 2017</w:t>
            </w:r>
            <w:r>
              <w:rPr>
                <w:rFonts w:ascii="Times New Roman" w:hAnsi="Times New Roman" w:cs="Times New Roman"/>
                <w:color w:val="auto"/>
                <w:sz w:val="20"/>
                <w:szCs w:val="20"/>
              </w:rPr>
              <w:t>.</w:t>
            </w:r>
          </w:p>
        </w:tc>
        <w:tc>
          <w:tcPr>
            <w:tcW w:w="785" w:type="pct"/>
          </w:tcPr>
          <w:p w14:paraId="3EA55E19"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Determine the feasibility of FWB in enhancing the capacity of Indigenous SEWB workers to improve their wellbeing so they </w:t>
            </w:r>
            <w:r w:rsidRPr="00863308">
              <w:rPr>
                <w:rFonts w:ascii="Times New Roman" w:hAnsi="Times New Roman" w:cs="Times New Roman"/>
                <w:color w:val="auto"/>
                <w:sz w:val="20"/>
                <w:szCs w:val="20"/>
              </w:rPr>
              <w:lastRenderedPageBreak/>
              <w:t>can better support users of methamphetamines (ICE) and their families</w:t>
            </w:r>
            <w:r>
              <w:rPr>
                <w:rFonts w:ascii="Times New Roman" w:hAnsi="Times New Roman" w:cs="Times New Roman"/>
                <w:color w:val="auto"/>
                <w:sz w:val="20"/>
                <w:szCs w:val="20"/>
              </w:rPr>
              <w:t>.</w:t>
            </w:r>
            <w:r w:rsidRPr="00863308">
              <w:rPr>
                <w:rFonts w:ascii="Times New Roman" w:hAnsi="Times New Roman" w:cs="Times New Roman"/>
                <w:color w:val="auto"/>
                <w:sz w:val="20"/>
                <w:szCs w:val="20"/>
              </w:rPr>
              <w:t xml:space="preserve"> </w:t>
            </w:r>
          </w:p>
          <w:p w14:paraId="6917C18B"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 </w:t>
            </w:r>
          </w:p>
        </w:tc>
        <w:tc>
          <w:tcPr>
            <w:tcW w:w="582" w:type="pct"/>
          </w:tcPr>
          <w:p w14:paraId="4F68D0E1"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N = 13 (11 employees, 1 researcher, 1 social work student)</w:t>
            </w:r>
          </w:p>
        </w:tc>
        <w:tc>
          <w:tcPr>
            <w:tcW w:w="814" w:type="pct"/>
          </w:tcPr>
          <w:p w14:paraId="03222A59"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Pre/post (3 months after) mixed methods using open-ended qualitative questions and Growth and Empowerment Measure (GEM)</w:t>
            </w:r>
          </w:p>
          <w:p w14:paraId="50BF4D4E"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tc>
        <w:tc>
          <w:tcPr>
            <w:tcW w:w="1077" w:type="pct"/>
          </w:tcPr>
          <w:p w14:paraId="56059349"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 xml:space="preserve">Qualitative: Participants reported improved wellbeing and feeling empowered in supporting users of methamphetamines and their families. </w:t>
            </w:r>
          </w:p>
          <w:p w14:paraId="2EF04238"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Quantitative: Significantly higher scores in the post-test life satisfaction scale (</w:t>
            </w:r>
            <w:r w:rsidRPr="00863308">
              <w:rPr>
                <w:rFonts w:ascii="Times New Roman" w:hAnsi="Times New Roman" w:cs="Times New Roman"/>
                <w:i/>
                <w:iCs/>
                <w:color w:val="auto"/>
                <w:sz w:val="20"/>
                <w:szCs w:val="20"/>
              </w:rPr>
              <w:t>z</w:t>
            </w:r>
            <w:r w:rsidRPr="00863308">
              <w:rPr>
                <w:rFonts w:ascii="Times New Roman" w:hAnsi="Times New Roman" w:cs="Times New Roman"/>
                <w:color w:val="auto"/>
                <w:sz w:val="20"/>
                <w:szCs w:val="20"/>
              </w:rPr>
              <w:t xml:space="preserve">=2.25,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=.024) and inner peace subscale of GEM (</w:t>
            </w:r>
            <w:r w:rsidRPr="00863308">
              <w:rPr>
                <w:rFonts w:ascii="Times New Roman" w:hAnsi="Times New Roman" w:cs="Times New Roman"/>
                <w:i/>
                <w:iCs/>
                <w:color w:val="auto"/>
                <w:sz w:val="20"/>
                <w:szCs w:val="20"/>
              </w:rPr>
              <w:t>z</w:t>
            </w:r>
            <w:r w:rsidRPr="00863308">
              <w:rPr>
                <w:rFonts w:ascii="Times New Roman" w:hAnsi="Times New Roman" w:cs="Times New Roman"/>
                <w:color w:val="auto"/>
                <w:sz w:val="20"/>
                <w:szCs w:val="20"/>
              </w:rPr>
              <w:t xml:space="preserve">=2.25,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=.024).</w:t>
            </w:r>
          </w:p>
          <w:p w14:paraId="52292AFF"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Effect sizes for all measures except for the self-capacity subscale were large and positive (0.62-0.69), the effect size for the self-capacity subscale was small but still positive (0.16).</w:t>
            </w:r>
          </w:p>
        </w:tc>
      </w:tr>
      <w:tr w:rsidR="009A75C0" w:rsidRPr="00863308" w14:paraId="317AC209" w14:textId="77777777" w:rsidTr="00035AB3">
        <w:tc>
          <w:tcPr>
            <w:tcW w:w="493" w:type="pct"/>
          </w:tcPr>
          <w:p w14:paraId="4C549005"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5.</w:t>
            </w:r>
          </w:p>
        </w:tc>
        <w:tc>
          <w:tcPr>
            <w:tcW w:w="493" w:type="pct"/>
          </w:tcPr>
          <w:p w14:paraId="6325E8D4"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roofErr w:type="spellStart"/>
            <w:r w:rsidRPr="00863308">
              <w:rPr>
                <w:rFonts w:ascii="Times New Roman" w:hAnsi="Times New Roman" w:cs="Times New Roman"/>
                <w:color w:val="auto"/>
                <w:sz w:val="20"/>
                <w:szCs w:val="20"/>
              </w:rPr>
              <w:t>Klieve</w:t>
            </w:r>
            <w:proofErr w:type="spellEnd"/>
            <w:r w:rsidRPr="00863308">
              <w:rPr>
                <w:rFonts w:ascii="Times New Roman" w:hAnsi="Times New Roman" w:cs="Times New Roman"/>
                <w:color w:val="auto"/>
                <w:sz w:val="20"/>
                <w:szCs w:val="20"/>
              </w:rPr>
              <w:t xml:space="preserve"> et al, 2019</w:t>
            </w:r>
          </w:p>
        </w:tc>
        <w:tc>
          <w:tcPr>
            <w:tcW w:w="756" w:type="pct"/>
          </w:tcPr>
          <w:p w14:paraId="40620520"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FWB training for disenfranchised young Aboriginal men at risk </w:t>
            </w:r>
            <w:r w:rsidRPr="00863308">
              <w:rPr>
                <w:rFonts w:ascii="Times New Roman" w:hAnsi="Times New Roman" w:cs="Times New Roman"/>
                <w:color w:val="auto"/>
                <w:sz w:val="20"/>
                <w:szCs w:val="20"/>
              </w:rPr>
              <w:lastRenderedPageBreak/>
              <w:t xml:space="preserve">of disengaging from school and/or entering the juvenile justice </w:t>
            </w:r>
            <w:r>
              <w:rPr>
                <w:rFonts w:ascii="Times New Roman" w:hAnsi="Times New Roman" w:cs="Times New Roman"/>
                <w:color w:val="auto"/>
                <w:sz w:val="20"/>
                <w:szCs w:val="20"/>
              </w:rPr>
              <w:t>in</w:t>
            </w:r>
            <w:r w:rsidRPr="00863308">
              <w:rPr>
                <w:rFonts w:ascii="Times New Roman" w:hAnsi="Times New Roman" w:cs="Times New Roman"/>
                <w:color w:val="auto"/>
                <w:sz w:val="20"/>
                <w:szCs w:val="20"/>
              </w:rPr>
              <w:t xml:space="preserve"> NSW Central Coast (3 waves of training between 2014 and 2018).</w:t>
            </w:r>
          </w:p>
        </w:tc>
        <w:tc>
          <w:tcPr>
            <w:tcW w:w="785" w:type="pct"/>
          </w:tcPr>
          <w:p w14:paraId="0B6B7CFC"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Assess the SEWB impacts among the training participants</w:t>
            </w:r>
            <w:r>
              <w:rPr>
                <w:rFonts w:ascii="Times New Roman" w:hAnsi="Times New Roman" w:cs="Times New Roman"/>
                <w:color w:val="auto"/>
                <w:sz w:val="20"/>
                <w:szCs w:val="20"/>
              </w:rPr>
              <w:t>.</w:t>
            </w:r>
            <w:r w:rsidRPr="00863308">
              <w:rPr>
                <w:rFonts w:ascii="Times New Roman" w:hAnsi="Times New Roman" w:cs="Times New Roman"/>
                <w:color w:val="auto"/>
                <w:sz w:val="20"/>
                <w:szCs w:val="20"/>
              </w:rPr>
              <w:t xml:space="preserve"> </w:t>
            </w:r>
          </w:p>
        </w:tc>
        <w:tc>
          <w:tcPr>
            <w:tcW w:w="582" w:type="pct"/>
          </w:tcPr>
          <w:p w14:paraId="35A699A7"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N = 378 (327 program participants, 51 </w:t>
            </w:r>
            <w:r w:rsidRPr="00863308">
              <w:rPr>
                <w:rFonts w:ascii="Times New Roman" w:hAnsi="Times New Roman" w:cs="Times New Roman"/>
                <w:color w:val="auto"/>
                <w:sz w:val="20"/>
                <w:szCs w:val="20"/>
              </w:rPr>
              <w:lastRenderedPageBreak/>
              <w:t>participant supporters)</w:t>
            </w:r>
          </w:p>
        </w:tc>
        <w:tc>
          <w:tcPr>
            <w:tcW w:w="814" w:type="pct"/>
          </w:tcPr>
          <w:p w14:paraId="536167CB"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 xml:space="preserve">Pre/post (3 months after) mixed methods using open-ended qualitative </w:t>
            </w:r>
            <w:r w:rsidRPr="00863308">
              <w:rPr>
                <w:rFonts w:ascii="Times New Roman" w:hAnsi="Times New Roman" w:cs="Times New Roman"/>
                <w:color w:val="auto"/>
                <w:sz w:val="20"/>
                <w:szCs w:val="20"/>
              </w:rPr>
              <w:lastRenderedPageBreak/>
              <w:t>questions; K5 and ASSIST (Alcohol, Smoking and Substance Involvement Screening Tool) quantitative measures</w:t>
            </w:r>
            <w:r>
              <w:rPr>
                <w:rFonts w:ascii="Times New Roman" w:hAnsi="Times New Roman" w:cs="Times New Roman"/>
                <w:color w:val="auto"/>
                <w:sz w:val="20"/>
                <w:szCs w:val="20"/>
              </w:rPr>
              <w:t>.</w:t>
            </w:r>
            <w:r w:rsidRPr="00863308">
              <w:rPr>
                <w:rFonts w:ascii="Times New Roman" w:hAnsi="Times New Roman" w:cs="Times New Roman"/>
                <w:color w:val="auto"/>
                <w:sz w:val="20"/>
                <w:szCs w:val="20"/>
              </w:rPr>
              <w:t xml:space="preserve"> </w:t>
            </w:r>
          </w:p>
        </w:tc>
        <w:tc>
          <w:tcPr>
            <w:tcW w:w="1077" w:type="pct"/>
          </w:tcPr>
          <w:p w14:paraId="5AD7C590"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 xml:space="preserve">Qualitative: Enhanced personal confidence, self-esteem and resilience in participants; ability to </w:t>
            </w:r>
            <w:r w:rsidRPr="00863308">
              <w:rPr>
                <w:rFonts w:ascii="Times New Roman" w:hAnsi="Times New Roman" w:cs="Times New Roman"/>
                <w:color w:val="auto"/>
                <w:sz w:val="20"/>
                <w:szCs w:val="20"/>
              </w:rPr>
              <w:lastRenderedPageBreak/>
              <w:t>control emotions; reduction in drug and alcohol use; improved relationship skills and relationships; planning for a better life; and engagement in learning and employment.</w:t>
            </w:r>
          </w:p>
          <w:p w14:paraId="22C317F4"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u w:val="single"/>
              </w:rPr>
            </w:pPr>
            <w:r w:rsidRPr="00B94DD0">
              <w:rPr>
                <w:rFonts w:ascii="Times New Roman" w:hAnsi="Times New Roman" w:cs="Times New Roman"/>
                <w:color w:val="auto"/>
                <w:sz w:val="20"/>
                <w:szCs w:val="20"/>
              </w:rPr>
              <w:t>Quantitative: Period 1:</w:t>
            </w:r>
            <w:r w:rsidRPr="00863308">
              <w:rPr>
                <w:rFonts w:ascii="Times New Roman" w:hAnsi="Times New Roman" w:cs="Times New Roman"/>
                <w:color w:val="auto"/>
                <w:sz w:val="20"/>
                <w:szCs w:val="20"/>
              </w:rPr>
              <w:t xml:space="preserve"> highly significant reduction in psychological distress across K5 items (</w:t>
            </w:r>
            <w:r w:rsidRPr="00863308">
              <w:rPr>
                <w:rFonts w:ascii="Times New Roman" w:hAnsi="Times New Roman" w:cs="Times New Roman"/>
                <w:i/>
                <w:iCs/>
                <w:color w:val="auto"/>
                <w:sz w:val="20"/>
                <w:szCs w:val="20"/>
              </w:rPr>
              <w:t>t</w:t>
            </w:r>
            <w:r w:rsidRPr="00863308">
              <w:rPr>
                <w:rFonts w:ascii="Times New Roman" w:hAnsi="Times New Roman" w:cs="Times New Roman"/>
                <w:color w:val="auto"/>
                <w:sz w:val="20"/>
                <w:szCs w:val="20"/>
              </w:rPr>
              <w:t xml:space="preserve">=3.67, </w:t>
            </w:r>
            <w:proofErr w:type="spellStart"/>
            <w:r w:rsidRPr="00863308">
              <w:rPr>
                <w:rFonts w:ascii="Times New Roman" w:hAnsi="Times New Roman" w:cs="Times New Roman"/>
                <w:i/>
                <w:iCs/>
                <w:color w:val="auto"/>
                <w:sz w:val="20"/>
                <w:szCs w:val="20"/>
              </w:rPr>
              <w:t>df</w:t>
            </w:r>
            <w:proofErr w:type="spellEnd"/>
            <w:r w:rsidRPr="00863308">
              <w:rPr>
                <w:rFonts w:ascii="Times New Roman" w:hAnsi="Times New Roman" w:cs="Times New Roman"/>
                <w:color w:val="auto"/>
                <w:sz w:val="20"/>
                <w:szCs w:val="20"/>
              </w:rPr>
              <w:t xml:space="preserve">=12,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=.003) with very strong effect size (</w:t>
            </w:r>
            <w:r w:rsidRPr="00863308">
              <w:rPr>
                <w:rFonts w:ascii="Times New Roman" w:hAnsi="Times New Roman" w:cs="Times New Roman"/>
                <w:i/>
                <w:iCs/>
                <w:color w:val="auto"/>
                <w:sz w:val="20"/>
                <w:szCs w:val="20"/>
              </w:rPr>
              <w:t>d</w:t>
            </w:r>
            <w:r w:rsidRPr="00863308">
              <w:rPr>
                <w:rFonts w:ascii="Times New Roman" w:hAnsi="Times New Roman" w:cs="Times New Roman"/>
                <w:color w:val="auto"/>
                <w:sz w:val="20"/>
                <w:szCs w:val="20"/>
              </w:rPr>
              <w:t xml:space="preserve">=1.02). </w:t>
            </w:r>
            <w:r w:rsidRPr="00B94DD0">
              <w:rPr>
                <w:rFonts w:ascii="Times New Roman" w:hAnsi="Times New Roman" w:cs="Times New Roman"/>
                <w:color w:val="auto"/>
                <w:sz w:val="20"/>
                <w:szCs w:val="20"/>
              </w:rPr>
              <w:t>Period 2:</w:t>
            </w:r>
            <w:r w:rsidRPr="00863308">
              <w:rPr>
                <w:rFonts w:ascii="Times New Roman" w:hAnsi="Times New Roman" w:cs="Times New Roman"/>
                <w:color w:val="auto"/>
                <w:sz w:val="20"/>
                <w:szCs w:val="20"/>
              </w:rPr>
              <w:t xml:space="preserve"> similar effect with a significant decrease in the aggregated scores across the K5 items (</w:t>
            </w:r>
            <w:r w:rsidRPr="00863308">
              <w:rPr>
                <w:rFonts w:ascii="Times New Roman" w:hAnsi="Times New Roman" w:cs="Times New Roman"/>
                <w:i/>
                <w:iCs/>
                <w:color w:val="auto"/>
                <w:sz w:val="20"/>
                <w:szCs w:val="20"/>
              </w:rPr>
              <w:t>t</w:t>
            </w:r>
            <w:r w:rsidRPr="00863308">
              <w:rPr>
                <w:rFonts w:ascii="Times New Roman" w:hAnsi="Times New Roman" w:cs="Times New Roman"/>
                <w:color w:val="auto"/>
                <w:sz w:val="20"/>
                <w:szCs w:val="20"/>
              </w:rPr>
              <w:t xml:space="preserve">=3.943, </w:t>
            </w:r>
            <w:proofErr w:type="spellStart"/>
            <w:r w:rsidRPr="00863308">
              <w:rPr>
                <w:rFonts w:ascii="Times New Roman" w:hAnsi="Times New Roman" w:cs="Times New Roman"/>
                <w:i/>
                <w:iCs/>
                <w:color w:val="auto"/>
                <w:sz w:val="20"/>
                <w:szCs w:val="20"/>
              </w:rPr>
              <w:t>df</w:t>
            </w:r>
            <w:proofErr w:type="spellEnd"/>
            <w:r w:rsidRPr="00863308">
              <w:rPr>
                <w:rFonts w:ascii="Times New Roman" w:hAnsi="Times New Roman" w:cs="Times New Roman"/>
                <w:color w:val="auto"/>
                <w:sz w:val="20"/>
                <w:szCs w:val="20"/>
              </w:rPr>
              <w:t xml:space="preserve">=47,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 xml:space="preserve">&lt; .001, </w:t>
            </w:r>
            <w:r w:rsidRPr="00863308">
              <w:rPr>
                <w:rFonts w:ascii="Times New Roman" w:hAnsi="Times New Roman" w:cs="Times New Roman"/>
                <w:i/>
                <w:iCs/>
                <w:color w:val="auto"/>
                <w:sz w:val="20"/>
                <w:szCs w:val="20"/>
              </w:rPr>
              <w:lastRenderedPageBreak/>
              <w:t>d</w:t>
            </w:r>
            <w:r w:rsidRPr="00863308">
              <w:rPr>
                <w:rFonts w:ascii="Times New Roman" w:hAnsi="Times New Roman" w:cs="Times New Roman"/>
                <w:color w:val="auto"/>
                <w:sz w:val="20"/>
                <w:szCs w:val="20"/>
              </w:rPr>
              <w:t xml:space="preserve">=0.5691), with the effect size indicating a medium to high effect. </w:t>
            </w:r>
            <w:r w:rsidRPr="00B94DD0">
              <w:rPr>
                <w:rFonts w:ascii="Times New Roman" w:hAnsi="Times New Roman" w:cs="Times New Roman"/>
                <w:color w:val="auto"/>
                <w:sz w:val="20"/>
                <w:szCs w:val="20"/>
              </w:rPr>
              <w:t>Period 3:</w:t>
            </w:r>
            <w:r w:rsidRPr="00863308">
              <w:rPr>
                <w:rFonts w:ascii="Times New Roman" w:hAnsi="Times New Roman" w:cs="Times New Roman"/>
                <w:color w:val="auto"/>
                <w:sz w:val="20"/>
                <w:szCs w:val="20"/>
              </w:rPr>
              <w:t xml:space="preserve"> alcohol and drug use identified in 84% of participants.</w:t>
            </w:r>
          </w:p>
        </w:tc>
      </w:tr>
      <w:tr w:rsidR="009A75C0" w:rsidRPr="00863308" w14:paraId="7EB0FD12" w14:textId="77777777" w:rsidTr="00035AB3">
        <w:tc>
          <w:tcPr>
            <w:tcW w:w="493" w:type="pct"/>
          </w:tcPr>
          <w:p w14:paraId="4D72974E"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6.</w:t>
            </w:r>
          </w:p>
        </w:tc>
        <w:tc>
          <w:tcPr>
            <w:tcW w:w="493" w:type="pct"/>
          </w:tcPr>
          <w:p w14:paraId="4023627A"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roofErr w:type="spellStart"/>
            <w:r w:rsidRPr="00863308">
              <w:rPr>
                <w:rFonts w:ascii="Times New Roman" w:hAnsi="Times New Roman" w:cs="Times New Roman"/>
                <w:color w:val="auto"/>
                <w:sz w:val="20"/>
                <w:szCs w:val="20"/>
              </w:rPr>
              <w:t>Onnis</w:t>
            </w:r>
            <w:proofErr w:type="spellEnd"/>
            <w:r w:rsidRPr="00863308">
              <w:rPr>
                <w:rFonts w:ascii="Times New Roman" w:hAnsi="Times New Roman" w:cs="Times New Roman"/>
                <w:color w:val="auto"/>
                <w:sz w:val="20"/>
                <w:szCs w:val="20"/>
              </w:rPr>
              <w:t xml:space="preserve"> et al, 2020</w:t>
            </w:r>
          </w:p>
        </w:tc>
        <w:tc>
          <w:tcPr>
            <w:tcW w:w="756" w:type="pct"/>
          </w:tcPr>
          <w:p w14:paraId="2885C5AD"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Train and support Indigenous child protection workers to integrate FWB as practice framework within their services, north Queensland, 2016-18 </w:t>
            </w:r>
          </w:p>
        </w:tc>
        <w:tc>
          <w:tcPr>
            <w:tcW w:w="785" w:type="pct"/>
          </w:tcPr>
          <w:p w14:paraId="2EFD5225" w14:textId="77777777" w:rsidR="009A75C0" w:rsidRPr="00863308" w:rsidRDefault="009A75C0" w:rsidP="00035AB3">
            <w:pPr>
              <w:autoSpaceDE w:val="0"/>
              <w:autoSpaceDN w:val="0"/>
              <w:adjustRightInd w:val="0"/>
              <w:spacing w:line="480" w:lineRule="auto"/>
              <w:rPr>
                <w:sz w:val="20"/>
                <w:szCs w:val="20"/>
              </w:rPr>
            </w:pPr>
            <w:r w:rsidRPr="00863308">
              <w:rPr>
                <w:sz w:val="20"/>
                <w:szCs w:val="20"/>
              </w:rPr>
              <w:t xml:space="preserve">Understand factors that enabled the successful integration of FWB program into the practices of a child and family support service. </w:t>
            </w:r>
          </w:p>
          <w:p w14:paraId="4745162E"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tc>
        <w:tc>
          <w:tcPr>
            <w:tcW w:w="582" w:type="pct"/>
          </w:tcPr>
          <w:p w14:paraId="4070BA27"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N = 42 employees</w:t>
            </w:r>
          </w:p>
        </w:tc>
        <w:tc>
          <w:tcPr>
            <w:tcW w:w="814" w:type="pct"/>
          </w:tcPr>
          <w:p w14:paraId="3FA24309"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Pre/post (3 months after) mixed methods using qualitative open-ended questions and quantitative K5 and AUWI measures  </w:t>
            </w:r>
          </w:p>
          <w:p w14:paraId="4EF27414"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
        </w:tc>
        <w:tc>
          <w:tcPr>
            <w:tcW w:w="1077" w:type="pct"/>
          </w:tcPr>
          <w:p w14:paraId="465C0BDE" w14:textId="77777777" w:rsidR="009A75C0" w:rsidRPr="00863308" w:rsidRDefault="009A75C0" w:rsidP="00035AB3">
            <w:pPr>
              <w:autoSpaceDE w:val="0"/>
              <w:autoSpaceDN w:val="0"/>
              <w:adjustRightInd w:val="0"/>
              <w:spacing w:line="480" w:lineRule="auto"/>
              <w:rPr>
                <w:sz w:val="20"/>
                <w:szCs w:val="20"/>
              </w:rPr>
            </w:pPr>
            <w:bookmarkStart w:id="2" w:name="_Hlk69200350"/>
            <w:r w:rsidRPr="00863308">
              <w:rPr>
                <w:sz w:val="20"/>
                <w:szCs w:val="20"/>
              </w:rPr>
              <w:t xml:space="preserve">A conceptual model of enablers of successful FWB integration that include: Indigenous leadership, common language, build capacity, personal wellbeing*, customisation of the program, and relationships.  </w:t>
            </w:r>
          </w:p>
          <w:p w14:paraId="54400D01"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*With regards to wellbeing, participants reported increased personal growth and development; </w:t>
            </w:r>
            <w:r w:rsidRPr="00863308">
              <w:rPr>
                <w:rFonts w:ascii="Times New Roman" w:hAnsi="Times New Roman" w:cs="Times New Roman"/>
                <w:color w:val="auto"/>
                <w:sz w:val="20"/>
                <w:szCs w:val="20"/>
              </w:rPr>
              <w:lastRenderedPageBreak/>
              <w:t>enhanced capacity to facilitate the program; and improved relationships within and across organisations.</w:t>
            </w:r>
          </w:p>
          <w:bookmarkEnd w:id="2"/>
          <w:p w14:paraId="383FB289"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Positive overall assessment of experiences (60-90%), low levels of psychological distress in more than half of participants. One very low score (27.5%/17) improved moderately after completion of training.</w:t>
            </w:r>
          </w:p>
        </w:tc>
      </w:tr>
      <w:tr w:rsidR="009A75C0" w:rsidRPr="00863308" w14:paraId="76255ECC" w14:textId="77777777" w:rsidTr="00035AB3">
        <w:tc>
          <w:tcPr>
            <w:tcW w:w="493" w:type="pct"/>
          </w:tcPr>
          <w:p w14:paraId="66E98A6E"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7.</w:t>
            </w:r>
          </w:p>
        </w:tc>
        <w:tc>
          <w:tcPr>
            <w:tcW w:w="493" w:type="pct"/>
          </w:tcPr>
          <w:p w14:paraId="28709792"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bookmarkStart w:id="3" w:name="_Hlk69200767"/>
            <w:r w:rsidRPr="00863308">
              <w:rPr>
                <w:rFonts w:ascii="Times New Roman" w:hAnsi="Times New Roman" w:cs="Times New Roman"/>
                <w:color w:val="auto"/>
                <w:sz w:val="20"/>
                <w:szCs w:val="20"/>
              </w:rPr>
              <w:t>Whiteside et al, 2017</w:t>
            </w:r>
          </w:p>
        </w:tc>
        <w:tc>
          <w:tcPr>
            <w:tcW w:w="756" w:type="pct"/>
          </w:tcPr>
          <w:p w14:paraId="02738E50"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bookmarkStart w:id="4" w:name="_Hlk67986771"/>
            <w:r w:rsidRPr="00863308">
              <w:rPr>
                <w:rFonts w:ascii="Times New Roman" w:hAnsi="Times New Roman" w:cs="Times New Roman"/>
                <w:color w:val="auto"/>
                <w:sz w:val="20"/>
                <w:szCs w:val="20"/>
              </w:rPr>
              <w:t>Integrate FWB into an undergraduate social work curriculum</w:t>
            </w:r>
            <w:bookmarkEnd w:id="4"/>
            <w:r w:rsidRPr="00863308">
              <w:rPr>
                <w:rFonts w:ascii="Times New Roman" w:hAnsi="Times New Roman" w:cs="Times New Roman"/>
                <w:color w:val="auto"/>
                <w:sz w:val="20"/>
                <w:szCs w:val="20"/>
              </w:rPr>
              <w:t xml:space="preserve"> 2016</w:t>
            </w:r>
          </w:p>
        </w:tc>
        <w:tc>
          <w:tcPr>
            <w:tcW w:w="785" w:type="pct"/>
          </w:tcPr>
          <w:p w14:paraId="26275779"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Assess the impact of FWB on student wellbeing</w:t>
            </w:r>
          </w:p>
        </w:tc>
        <w:tc>
          <w:tcPr>
            <w:tcW w:w="582" w:type="pct"/>
          </w:tcPr>
          <w:p w14:paraId="4E539094"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N = 64 students</w:t>
            </w:r>
          </w:p>
        </w:tc>
        <w:tc>
          <w:tcPr>
            <w:tcW w:w="814" w:type="pct"/>
          </w:tcPr>
          <w:p w14:paraId="76DE6384"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Pre/post mixed methods (3 months) using qualitative open-ended </w:t>
            </w:r>
            <w:r w:rsidRPr="00863308">
              <w:rPr>
                <w:rFonts w:ascii="Times New Roman" w:hAnsi="Times New Roman" w:cs="Times New Roman"/>
                <w:color w:val="auto"/>
                <w:sz w:val="20"/>
                <w:szCs w:val="20"/>
              </w:rPr>
              <w:lastRenderedPageBreak/>
              <w:t>questions and quantitative GEM and AUWI</w:t>
            </w:r>
          </w:p>
        </w:tc>
        <w:tc>
          <w:tcPr>
            <w:tcW w:w="1077" w:type="pct"/>
          </w:tcPr>
          <w:p w14:paraId="4C9CB26B"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 xml:space="preserve">Qualitative: Participants reported improved personal wellbeing; improved social competencies, </w:t>
            </w:r>
            <w:r w:rsidRPr="00863308">
              <w:rPr>
                <w:rFonts w:ascii="Times New Roman" w:hAnsi="Times New Roman" w:cs="Times New Roman"/>
                <w:color w:val="auto"/>
                <w:sz w:val="20"/>
                <w:szCs w:val="20"/>
              </w:rPr>
              <w:lastRenderedPageBreak/>
              <w:t xml:space="preserve">including self-awareness, self-confidence, building relationships, and managing stress; increased engagement with their university; and increased professional knowledge.  </w:t>
            </w:r>
          </w:p>
          <w:p w14:paraId="32758944"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Quantitative: A statistically significant change over time in the item “I feel knowledgeable about things that are important” (</w:t>
            </w:r>
            <w:r w:rsidRPr="00863308">
              <w:rPr>
                <w:rFonts w:ascii="Times New Roman" w:hAnsi="Times New Roman" w:cs="Times New Roman"/>
                <w:i/>
                <w:iCs/>
                <w:color w:val="auto"/>
                <w:sz w:val="20"/>
                <w:szCs w:val="20"/>
              </w:rPr>
              <w:t>Z</w:t>
            </w:r>
            <w:r w:rsidRPr="00863308">
              <w:rPr>
                <w:rFonts w:ascii="Times New Roman" w:hAnsi="Times New Roman" w:cs="Times New Roman"/>
                <w:color w:val="auto"/>
                <w:sz w:val="20"/>
                <w:szCs w:val="20"/>
              </w:rPr>
              <w:t xml:space="preserve">=−3.193,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&lt;.001) potentially influenced the outcomes for overall GEM14 (</w:t>
            </w:r>
            <w:r w:rsidRPr="00863308">
              <w:rPr>
                <w:rFonts w:ascii="Times New Roman" w:hAnsi="Times New Roman" w:cs="Times New Roman"/>
                <w:i/>
                <w:iCs/>
                <w:color w:val="auto"/>
                <w:sz w:val="20"/>
                <w:szCs w:val="20"/>
              </w:rPr>
              <w:t>Z</w:t>
            </w:r>
            <w:r w:rsidRPr="00863308">
              <w:rPr>
                <w:rFonts w:ascii="Times New Roman" w:hAnsi="Times New Roman" w:cs="Times New Roman"/>
                <w:color w:val="auto"/>
                <w:sz w:val="20"/>
                <w:szCs w:val="20"/>
              </w:rPr>
              <w:t xml:space="preserve">=−2.120, </w:t>
            </w:r>
            <w:r w:rsidRPr="00863308">
              <w:rPr>
                <w:rFonts w:ascii="Times New Roman" w:hAnsi="Times New Roman" w:cs="Times New Roman"/>
                <w:i/>
                <w:iCs/>
                <w:color w:val="auto"/>
                <w:sz w:val="20"/>
                <w:szCs w:val="20"/>
              </w:rPr>
              <w:lastRenderedPageBreak/>
              <w:t>p</w:t>
            </w:r>
            <w:r w:rsidRPr="00863308">
              <w:rPr>
                <w:rFonts w:ascii="Times New Roman" w:hAnsi="Times New Roman" w:cs="Times New Roman"/>
                <w:color w:val="auto"/>
                <w:sz w:val="20"/>
                <w:szCs w:val="20"/>
              </w:rPr>
              <w:t>=0.034), and the GEM14 “other” subscale (</w:t>
            </w:r>
            <w:r w:rsidRPr="00863308">
              <w:rPr>
                <w:rFonts w:ascii="Times New Roman" w:hAnsi="Times New Roman" w:cs="Times New Roman"/>
                <w:i/>
                <w:iCs/>
                <w:color w:val="auto"/>
                <w:sz w:val="20"/>
                <w:szCs w:val="20"/>
              </w:rPr>
              <w:t>Z</w:t>
            </w:r>
            <w:r w:rsidRPr="00863308">
              <w:rPr>
                <w:rFonts w:ascii="Times New Roman" w:hAnsi="Times New Roman" w:cs="Times New Roman"/>
                <w:color w:val="auto"/>
                <w:sz w:val="20"/>
                <w:szCs w:val="20"/>
              </w:rPr>
              <w:t xml:space="preserve">=−2.496,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&lt;.01).</w:t>
            </w:r>
          </w:p>
          <w:p w14:paraId="621FB9BC"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For the whole sample, there was a small effect size for the GEM14 (</w:t>
            </w:r>
            <w:r w:rsidRPr="00863308">
              <w:rPr>
                <w:rFonts w:ascii="Times New Roman" w:hAnsi="Times New Roman" w:cs="Times New Roman"/>
                <w:i/>
                <w:iCs/>
                <w:color w:val="auto"/>
                <w:sz w:val="20"/>
                <w:szCs w:val="20"/>
              </w:rPr>
              <w:t>r</w:t>
            </w:r>
            <w:r w:rsidRPr="00863308">
              <w:rPr>
                <w:rFonts w:ascii="Times New Roman" w:hAnsi="Times New Roman" w:cs="Times New Roman"/>
                <w:color w:val="auto"/>
                <w:sz w:val="20"/>
                <w:szCs w:val="20"/>
              </w:rPr>
              <w:t>=0.27), and a medium effect size for the GEM14 “other” subscale (</w:t>
            </w:r>
            <w:r w:rsidRPr="00863308">
              <w:rPr>
                <w:rFonts w:ascii="Times New Roman" w:hAnsi="Times New Roman" w:cs="Times New Roman"/>
                <w:i/>
                <w:iCs/>
                <w:color w:val="auto"/>
                <w:sz w:val="20"/>
                <w:szCs w:val="20"/>
              </w:rPr>
              <w:t>r</w:t>
            </w:r>
            <w:r w:rsidRPr="00863308">
              <w:rPr>
                <w:rFonts w:ascii="Times New Roman" w:hAnsi="Times New Roman" w:cs="Times New Roman"/>
                <w:color w:val="auto"/>
                <w:sz w:val="20"/>
                <w:szCs w:val="20"/>
              </w:rPr>
              <w:t>= 0.39); for the AUWI effect size was medium (</w:t>
            </w:r>
            <w:r w:rsidRPr="00863308">
              <w:rPr>
                <w:rFonts w:ascii="Times New Roman" w:hAnsi="Times New Roman" w:cs="Times New Roman"/>
                <w:i/>
                <w:iCs/>
                <w:color w:val="auto"/>
                <w:sz w:val="20"/>
                <w:szCs w:val="20"/>
              </w:rPr>
              <w:t>r</w:t>
            </w:r>
            <w:r w:rsidRPr="00863308">
              <w:rPr>
                <w:rFonts w:ascii="Times New Roman" w:hAnsi="Times New Roman" w:cs="Times New Roman"/>
                <w:color w:val="auto"/>
                <w:sz w:val="20"/>
                <w:szCs w:val="20"/>
              </w:rPr>
              <w:t>=0.31).</w:t>
            </w:r>
          </w:p>
        </w:tc>
      </w:tr>
      <w:tr w:rsidR="009A75C0" w:rsidRPr="00863308" w14:paraId="62713EC2" w14:textId="77777777" w:rsidTr="00035AB3">
        <w:tc>
          <w:tcPr>
            <w:tcW w:w="493" w:type="pct"/>
          </w:tcPr>
          <w:p w14:paraId="12B2C1D5"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8.</w:t>
            </w:r>
          </w:p>
        </w:tc>
        <w:bookmarkEnd w:id="3"/>
        <w:tc>
          <w:tcPr>
            <w:tcW w:w="493" w:type="pct"/>
          </w:tcPr>
          <w:p w14:paraId="6EC2B675"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proofErr w:type="spellStart"/>
            <w:r w:rsidRPr="00863308">
              <w:rPr>
                <w:rFonts w:ascii="Times New Roman" w:hAnsi="Times New Roman" w:cs="Times New Roman"/>
                <w:color w:val="auto"/>
                <w:sz w:val="20"/>
                <w:szCs w:val="20"/>
              </w:rPr>
              <w:t>Tsey</w:t>
            </w:r>
            <w:proofErr w:type="spellEnd"/>
            <w:r w:rsidRPr="00863308">
              <w:rPr>
                <w:rFonts w:ascii="Times New Roman" w:hAnsi="Times New Roman" w:cs="Times New Roman"/>
                <w:color w:val="auto"/>
                <w:sz w:val="20"/>
                <w:szCs w:val="20"/>
              </w:rPr>
              <w:t xml:space="preserve"> et al, 2018</w:t>
            </w:r>
          </w:p>
        </w:tc>
        <w:tc>
          <w:tcPr>
            <w:tcW w:w="756" w:type="pct"/>
          </w:tcPr>
          <w:p w14:paraId="3EDE9B8B"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FWB training for health managers and leaders from across the Timor-Leste Ministry of Health to facilitate wellbeing and  </w:t>
            </w:r>
            <w:r w:rsidRPr="00863308">
              <w:rPr>
                <w:rFonts w:ascii="Times New Roman" w:hAnsi="Times New Roman" w:cs="Times New Roman"/>
                <w:color w:val="auto"/>
                <w:sz w:val="20"/>
                <w:szCs w:val="20"/>
              </w:rPr>
              <w:lastRenderedPageBreak/>
              <w:t>leadership development, 2016</w:t>
            </w:r>
          </w:p>
        </w:tc>
        <w:tc>
          <w:tcPr>
            <w:tcW w:w="785" w:type="pct"/>
          </w:tcPr>
          <w:p w14:paraId="7D01F2D7"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 xml:space="preserve">Examine the acceptability and feasibility of the Aboriginal-developed FWB in the context </w:t>
            </w:r>
            <w:r>
              <w:rPr>
                <w:rFonts w:ascii="Times New Roman" w:hAnsi="Times New Roman" w:cs="Times New Roman"/>
                <w:color w:val="auto"/>
                <w:sz w:val="20"/>
                <w:szCs w:val="20"/>
              </w:rPr>
              <w:t xml:space="preserve">of </w:t>
            </w:r>
            <w:r w:rsidRPr="00863308">
              <w:rPr>
                <w:rFonts w:ascii="Times New Roman" w:hAnsi="Times New Roman" w:cs="Times New Roman"/>
                <w:color w:val="auto"/>
                <w:sz w:val="20"/>
                <w:szCs w:val="20"/>
              </w:rPr>
              <w:t xml:space="preserve">leadership soft skills </w:t>
            </w:r>
            <w:r w:rsidRPr="00863308">
              <w:rPr>
                <w:rFonts w:ascii="Times New Roman" w:hAnsi="Times New Roman" w:cs="Times New Roman"/>
                <w:color w:val="auto"/>
                <w:sz w:val="20"/>
                <w:szCs w:val="20"/>
              </w:rPr>
              <w:lastRenderedPageBreak/>
              <w:t>development among Timor-Lester health managers and leaders</w:t>
            </w:r>
            <w:r>
              <w:rPr>
                <w:rFonts w:ascii="Times New Roman" w:hAnsi="Times New Roman" w:cs="Times New Roman"/>
                <w:color w:val="auto"/>
                <w:sz w:val="20"/>
                <w:szCs w:val="20"/>
              </w:rPr>
              <w:t>.</w:t>
            </w:r>
            <w:r w:rsidRPr="00863308">
              <w:rPr>
                <w:rFonts w:ascii="Times New Roman" w:hAnsi="Times New Roman" w:cs="Times New Roman"/>
                <w:color w:val="auto"/>
                <w:sz w:val="20"/>
                <w:szCs w:val="20"/>
              </w:rPr>
              <w:t xml:space="preserve"> </w:t>
            </w:r>
          </w:p>
        </w:tc>
        <w:tc>
          <w:tcPr>
            <w:tcW w:w="582" w:type="pct"/>
          </w:tcPr>
          <w:p w14:paraId="4ECE3005"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N = 20 program participants</w:t>
            </w:r>
          </w:p>
        </w:tc>
        <w:tc>
          <w:tcPr>
            <w:tcW w:w="814" w:type="pct"/>
          </w:tcPr>
          <w:p w14:paraId="57150ADA"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An exploratory mixed-methods design was adopted, where quantitative impact data were collected at the end of the workshop to </w:t>
            </w:r>
            <w:r w:rsidRPr="00863308">
              <w:rPr>
                <w:rFonts w:ascii="Times New Roman" w:hAnsi="Times New Roman" w:cs="Times New Roman"/>
                <w:color w:val="auto"/>
                <w:sz w:val="20"/>
                <w:szCs w:val="20"/>
              </w:rPr>
              <w:lastRenderedPageBreak/>
              <w:t xml:space="preserve">complement qualitative workshop evaluation data. All 20 workshop participants answered online AUWI and </w:t>
            </w:r>
            <w:proofErr w:type="spellStart"/>
            <w:r w:rsidRPr="00863308">
              <w:rPr>
                <w:rFonts w:ascii="Times New Roman" w:hAnsi="Times New Roman" w:cs="Times New Roman"/>
                <w:color w:val="auto"/>
                <w:sz w:val="20"/>
                <w:szCs w:val="20"/>
              </w:rPr>
              <w:t>MindTools</w:t>
            </w:r>
            <w:proofErr w:type="spellEnd"/>
            <w:r w:rsidRPr="00863308">
              <w:rPr>
                <w:rFonts w:ascii="Times New Roman" w:hAnsi="Times New Roman" w:cs="Times New Roman"/>
                <w:color w:val="auto"/>
                <w:sz w:val="20"/>
                <w:szCs w:val="20"/>
              </w:rPr>
              <w:t xml:space="preserve"> Leadership qu</w:t>
            </w:r>
            <w:r>
              <w:rPr>
                <w:rFonts w:ascii="Times New Roman" w:hAnsi="Times New Roman" w:cs="Times New Roman"/>
                <w:color w:val="auto"/>
                <w:sz w:val="20"/>
                <w:szCs w:val="20"/>
              </w:rPr>
              <w:t>estionnaires at the end of the five</w:t>
            </w:r>
            <w:r w:rsidRPr="00863308">
              <w:rPr>
                <w:rFonts w:ascii="Times New Roman" w:hAnsi="Times New Roman" w:cs="Times New Roman"/>
                <w:color w:val="auto"/>
                <w:sz w:val="20"/>
                <w:szCs w:val="20"/>
              </w:rPr>
              <w:t xml:space="preserve">-day workshops to provide data on the level of their leadership skills before and after the workshop, their personal well-being before and after the </w:t>
            </w:r>
            <w:r w:rsidRPr="00863308">
              <w:rPr>
                <w:rFonts w:ascii="Times New Roman" w:hAnsi="Times New Roman" w:cs="Times New Roman"/>
                <w:color w:val="auto"/>
                <w:sz w:val="20"/>
                <w:szCs w:val="20"/>
              </w:rPr>
              <w:lastRenderedPageBreak/>
              <w:t>training, and workshop evaluation feedback.</w:t>
            </w:r>
          </w:p>
        </w:tc>
        <w:tc>
          <w:tcPr>
            <w:tcW w:w="1077" w:type="pct"/>
          </w:tcPr>
          <w:p w14:paraId="5D4E41A2"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 xml:space="preserve">Qualitative: Participants reported increased self-awareness and feeling well prepared for their leadership roles. </w:t>
            </w:r>
          </w:p>
          <w:p w14:paraId="1E38C808"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Quantitative: Significant increase in perceived pre-program </w:t>
            </w:r>
            <w:r w:rsidRPr="00863308">
              <w:rPr>
                <w:rFonts w:ascii="Times New Roman" w:hAnsi="Times New Roman" w:cs="Times New Roman"/>
                <w:color w:val="auto"/>
                <w:sz w:val="20"/>
                <w:szCs w:val="20"/>
              </w:rPr>
              <w:lastRenderedPageBreak/>
              <w:t>wellbeing scores (7.15-8.20)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&lt;.001), strong effect size in 7/8 (</w:t>
            </w:r>
            <w:r w:rsidRPr="00863308">
              <w:rPr>
                <w:rFonts w:ascii="Times New Roman" w:hAnsi="Times New Roman" w:cs="Times New Roman"/>
                <w:i/>
                <w:iCs/>
                <w:color w:val="auto"/>
                <w:sz w:val="20"/>
                <w:szCs w:val="20"/>
              </w:rPr>
              <w:t>d</w:t>
            </w:r>
            <w:r w:rsidRPr="00863308">
              <w:rPr>
                <w:rFonts w:ascii="Times New Roman" w:hAnsi="Times New Roman" w:cs="Times New Roman"/>
                <w:color w:val="auto"/>
                <w:sz w:val="20"/>
                <w:szCs w:val="20"/>
              </w:rPr>
              <w:t>&gt;0.7), medium effect size in 1/8 (</w:t>
            </w:r>
            <w:r w:rsidRPr="00863308">
              <w:rPr>
                <w:rFonts w:ascii="Times New Roman" w:hAnsi="Times New Roman" w:cs="Times New Roman"/>
                <w:i/>
                <w:iCs/>
                <w:color w:val="auto"/>
                <w:sz w:val="20"/>
                <w:szCs w:val="20"/>
              </w:rPr>
              <w:t>d</w:t>
            </w:r>
            <w:r w:rsidRPr="00863308">
              <w:rPr>
                <w:rFonts w:ascii="Times New Roman" w:hAnsi="Times New Roman" w:cs="Times New Roman"/>
                <w:color w:val="auto"/>
                <w:sz w:val="20"/>
                <w:szCs w:val="20"/>
              </w:rPr>
              <w:t>=0.622).</w:t>
            </w:r>
          </w:p>
          <w:p w14:paraId="035EAF21"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Highly significant improvement in understanding of leadership skills (</w:t>
            </w:r>
            <w:r w:rsidRPr="00863308">
              <w:rPr>
                <w:rFonts w:ascii="Times New Roman" w:hAnsi="Times New Roman" w:cs="Times New Roman"/>
                <w:i/>
                <w:iCs/>
                <w:color w:val="auto"/>
                <w:sz w:val="20"/>
                <w:szCs w:val="20"/>
              </w:rPr>
              <w:t xml:space="preserve">t </w:t>
            </w:r>
            <w:r w:rsidRPr="00863308">
              <w:rPr>
                <w:rFonts w:ascii="Times New Roman" w:hAnsi="Times New Roman" w:cs="Times New Roman"/>
                <w:color w:val="auto"/>
                <w:sz w:val="20"/>
                <w:szCs w:val="20"/>
              </w:rPr>
              <w:t xml:space="preserve">value=5.146,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&lt;.003). Highly significant scores in emotional intelligence (</w:t>
            </w:r>
            <w:r w:rsidRPr="00863308">
              <w:rPr>
                <w:rFonts w:ascii="Times New Roman" w:hAnsi="Times New Roman" w:cs="Times New Roman"/>
                <w:i/>
                <w:iCs/>
                <w:color w:val="auto"/>
                <w:sz w:val="20"/>
                <w:szCs w:val="20"/>
              </w:rPr>
              <w:t>t</w:t>
            </w:r>
            <w:r w:rsidRPr="00863308">
              <w:rPr>
                <w:rFonts w:ascii="Times New Roman" w:hAnsi="Times New Roman" w:cs="Times New Roman"/>
                <w:color w:val="auto"/>
                <w:sz w:val="20"/>
                <w:szCs w:val="20"/>
              </w:rPr>
              <w:t xml:space="preserve"> value: 7.855,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 xml:space="preserve">=.025) and in 3/5 transformational leadership </w:t>
            </w:r>
            <w:r>
              <w:rPr>
                <w:rFonts w:ascii="Times New Roman" w:hAnsi="Times New Roman" w:cs="Times New Roman"/>
                <w:color w:val="auto"/>
                <w:sz w:val="20"/>
                <w:szCs w:val="20"/>
              </w:rPr>
              <w:t>d</w:t>
            </w:r>
            <w:r w:rsidRPr="00863308">
              <w:rPr>
                <w:rFonts w:ascii="Times New Roman" w:hAnsi="Times New Roman" w:cs="Times New Roman"/>
                <w:color w:val="auto"/>
                <w:sz w:val="20"/>
                <w:szCs w:val="20"/>
              </w:rPr>
              <w:t>omains (</w:t>
            </w:r>
            <w:r w:rsidRPr="00863308">
              <w:rPr>
                <w:rFonts w:ascii="Times New Roman" w:hAnsi="Times New Roman" w:cs="Times New Roman"/>
                <w:i/>
                <w:iCs/>
                <w:color w:val="auto"/>
                <w:sz w:val="20"/>
                <w:szCs w:val="20"/>
              </w:rPr>
              <w:t xml:space="preserve">t </w:t>
            </w:r>
            <w:r w:rsidRPr="00863308">
              <w:rPr>
                <w:rFonts w:ascii="Times New Roman" w:hAnsi="Times New Roman" w:cs="Times New Roman"/>
                <w:color w:val="auto"/>
                <w:sz w:val="20"/>
                <w:szCs w:val="20"/>
              </w:rPr>
              <w:t>values 4.333, 4.925, 5.894</w:t>
            </w:r>
            <w:r w:rsidRPr="00863308">
              <w:rPr>
                <w:rFonts w:ascii="Times New Roman" w:hAnsi="Times New Roman" w:cs="Times New Roman"/>
                <w:i/>
                <w:iCs/>
                <w:color w:val="auto"/>
                <w:sz w:val="20"/>
                <w:szCs w:val="20"/>
              </w:rPr>
              <w:t>, p</w:t>
            </w:r>
            <w:r w:rsidRPr="00863308">
              <w:rPr>
                <w:rFonts w:ascii="Times New Roman" w:hAnsi="Times New Roman" w:cs="Times New Roman"/>
                <w:color w:val="auto"/>
                <w:sz w:val="20"/>
                <w:szCs w:val="20"/>
              </w:rPr>
              <w:t>=.000).</w:t>
            </w:r>
          </w:p>
        </w:tc>
      </w:tr>
      <w:tr w:rsidR="009A75C0" w:rsidRPr="00863308" w14:paraId="3993E7B8" w14:textId="77777777" w:rsidTr="00035AB3">
        <w:tc>
          <w:tcPr>
            <w:tcW w:w="493" w:type="pct"/>
          </w:tcPr>
          <w:p w14:paraId="2D81740A"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9.</w:t>
            </w:r>
          </w:p>
        </w:tc>
        <w:tc>
          <w:tcPr>
            <w:tcW w:w="493" w:type="pct"/>
          </w:tcPr>
          <w:p w14:paraId="5A4D7C1F"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Yan et al, 2018</w:t>
            </w:r>
          </w:p>
        </w:tc>
        <w:tc>
          <w:tcPr>
            <w:tcW w:w="756" w:type="pct"/>
          </w:tcPr>
          <w:p w14:paraId="699F9EF4"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FWB as soft skills leadership training for undergraduate International Trade students at Shenyang University of Chemical Technology (SUCT) in north-east China</w:t>
            </w:r>
            <w:r>
              <w:rPr>
                <w:rFonts w:ascii="Times New Roman" w:hAnsi="Times New Roman" w:cs="Times New Roman"/>
                <w:color w:val="auto"/>
                <w:sz w:val="20"/>
                <w:szCs w:val="20"/>
              </w:rPr>
              <w:t>.</w:t>
            </w:r>
          </w:p>
        </w:tc>
        <w:tc>
          <w:tcPr>
            <w:tcW w:w="785" w:type="pct"/>
          </w:tcPr>
          <w:p w14:paraId="2BA1F3D9"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Assess the impact of FWB on student wellbeing and leadership soft skills</w:t>
            </w:r>
            <w:r>
              <w:rPr>
                <w:rFonts w:ascii="Times New Roman" w:hAnsi="Times New Roman" w:cs="Times New Roman"/>
                <w:color w:val="auto"/>
                <w:sz w:val="20"/>
                <w:szCs w:val="20"/>
              </w:rPr>
              <w:t>.</w:t>
            </w:r>
          </w:p>
        </w:tc>
        <w:tc>
          <w:tcPr>
            <w:tcW w:w="582" w:type="pct"/>
          </w:tcPr>
          <w:p w14:paraId="7F14934F"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N = 29 students</w:t>
            </w:r>
          </w:p>
        </w:tc>
        <w:tc>
          <w:tcPr>
            <w:tcW w:w="814" w:type="pct"/>
          </w:tcPr>
          <w:p w14:paraId="536448D7"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An exploratory mixed-methods pre/post (3 months) design using qualitative open-ended questions and quantitative AUWI and </w:t>
            </w:r>
            <w:proofErr w:type="spellStart"/>
            <w:r w:rsidRPr="00863308">
              <w:rPr>
                <w:rFonts w:ascii="Times New Roman" w:hAnsi="Times New Roman" w:cs="Times New Roman"/>
                <w:color w:val="auto"/>
                <w:sz w:val="20"/>
                <w:szCs w:val="20"/>
              </w:rPr>
              <w:t>MindTools</w:t>
            </w:r>
            <w:proofErr w:type="spellEnd"/>
            <w:r w:rsidRPr="00863308">
              <w:rPr>
                <w:rFonts w:ascii="Times New Roman" w:hAnsi="Times New Roman" w:cs="Times New Roman"/>
                <w:color w:val="auto"/>
                <w:sz w:val="20"/>
                <w:szCs w:val="20"/>
              </w:rPr>
              <w:t xml:space="preserve"> online survey</w:t>
            </w:r>
            <w:r>
              <w:rPr>
                <w:rFonts w:ascii="Times New Roman" w:hAnsi="Times New Roman" w:cs="Times New Roman"/>
                <w:color w:val="auto"/>
                <w:sz w:val="20"/>
                <w:szCs w:val="20"/>
              </w:rPr>
              <w:t>.</w:t>
            </w:r>
          </w:p>
        </w:tc>
        <w:tc>
          <w:tcPr>
            <w:tcW w:w="1077" w:type="pct"/>
          </w:tcPr>
          <w:p w14:paraId="494B45C8"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bookmarkStart w:id="5" w:name="_Hlk69201448"/>
            <w:r w:rsidRPr="00863308">
              <w:rPr>
                <w:rFonts w:ascii="Times New Roman" w:hAnsi="Times New Roman" w:cs="Times New Roman"/>
                <w:color w:val="auto"/>
                <w:sz w:val="20"/>
                <w:szCs w:val="20"/>
              </w:rPr>
              <w:t>Qualitative: Students reported increased confidence; self-awareness; class harmony; improved relationships; increased positive attitude toward others; improved communication skills; and a deeper understanding of the leadership concept.</w:t>
            </w:r>
          </w:p>
          <w:bookmarkEnd w:id="5"/>
          <w:p w14:paraId="67C0F626"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Quantitat</w:t>
            </w:r>
            <w:r>
              <w:rPr>
                <w:rFonts w:ascii="Times New Roman" w:hAnsi="Times New Roman" w:cs="Times New Roman"/>
                <w:color w:val="auto"/>
                <w:sz w:val="20"/>
                <w:szCs w:val="20"/>
              </w:rPr>
              <w:t>ive: Statistically significant</w:t>
            </w:r>
            <w:r w:rsidRPr="00863308">
              <w:rPr>
                <w:rFonts w:ascii="Times New Roman" w:hAnsi="Times New Roman" w:cs="Times New Roman"/>
                <w:color w:val="auto"/>
                <w:sz w:val="20"/>
                <w:szCs w:val="20"/>
              </w:rPr>
              <w:t xml:space="preserve"> higher overall wellbeing index score (</w:t>
            </w:r>
            <w:r w:rsidRPr="00863308">
              <w:rPr>
                <w:rFonts w:ascii="Times New Roman" w:hAnsi="Times New Roman" w:cs="Times New Roman"/>
                <w:i/>
                <w:iCs/>
                <w:color w:val="auto"/>
                <w:sz w:val="20"/>
                <w:szCs w:val="20"/>
              </w:rPr>
              <w:t>p</w:t>
            </w:r>
            <w:r w:rsidRPr="00863308">
              <w:rPr>
                <w:rFonts w:ascii="Times New Roman" w:hAnsi="Times New Roman" w:cs="Times New Roman"/>
                <w:color w:val="auto"/>
                <w:sz w:val="20"/>
                <w:szCs w:val="20"/>
              </w:rPr>
              <w:t>&lt;0.001) than before the training.</w:t>
            </w:r>
          </w:p>
          <w:p w14:paraId="70B0109B"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lastRenderedPageBreak/>
              <w:t>Effect size overall large (0.85) with medium to large score individually (0.66-0.85).</w:t>
            </w:r>
          </w:p>
          <w:p w14:paraId="2D79ED5E" w14:textId="77777777" w:rsidR="009A75C0" w:rsidRPr="00863308" w:rsidRDefault="009A75C0" w:rsidP="00035AB3">
            <w:pPr>
              <w:pStyle w:val="Default"/>
              <w:spacing w:before="120" w:after="240" w:line="480" w:lineRule="auto"/>
              <w:rPr>
                <w:rFonts w:ascii="Times New Roman" w:hAnsi="Times New Roman" w:cs="Times New Roman"/>
                <w:color w:val="auto"/>
                <w:sz w:val="20"/>
                <w:szCs w:val="20"/>
              </w:rPr>
            </w:pPr>
            <w:r w:rsidRPr="00863308">
              <w:rPr>
                <w:rFonts w:ascii="Times New Roman" w:hAnsi="Times New Roman" w:cs="Times New Roman"/>
                <w:color w:val="auto"/>
                <w:sz w:val="20"/>
                <w:szCs w:val="20"/>
              </w:rPr>
              <w:t xml:space="preserve">Improved overall leadership skills post score of 64.90 (pre-53.24) with a </w:t>
            </w:r>
            <w:r w:rsidRPr="00863308">
              <w:rPr>
                <w:rFonts w:ascii="Times New Roman" w:hAnsi="Times New Roman" w:cs="Times New Roman"/>
                <w:i/>
                <w:iCs/>
                <w:color w:val="auto"/>
                <w:sz w:val="20"/>
                <w:szCs w:val="20"/>
              </w:rPr>
              <w:t xml:space="preserve">p </w:t>
            </w:r>
            <w:r w:rsidRPr="00863308">
              <w:rPr>
                <w:rFonts w:ascii="Times New Roman" w:hAnsi="Times New Roman" w:cs="Times New Roman"/>
                <w:color w:val="auto"/>
                <w:sz w:val="20"/>
                <w:szCs w:val="20"/>
              </w:rPr>
              <w:t>value of &lt; 0.001.</w:t>
            </w:r>
          </w:p>
        </w:tc>
      </w:tr>
    </w:tbl>
    <w:p w14:paraId="574C65BC" w14:textId="4E6A97C1" w:rsidR="004C0980" w:rsidRDefault="00EB734D"/>
    <w:p w14:paraId="498ACB4A" w14:textId="77777777" w:rsidR="00571128" w:rsidRDefault="00571128">
      <w:pPr>
        <w:sectPr w:rsidR="00571128" w:rsidSect="009171E7">
          <w:pgSz w:w="16840" w:h="11900" w:orient="landscape"/>
          <w:pgMar w:top="1800" w:right="1440" w:bottom="1800" w:left="1440" w:header="708" w:footer="708" w:gutter="0"/>
          <w:cols w:space="708"/>
          <w:docGrid w:linePitch="360"/>
        </w:sectPr>
      </w:pPr>
    </w:p>
    <w:p w14:paraId="6A4C94D0" w14:textId="623C1736" w:rsidR="00571128" w:rsidRDefault="00571128" w:rsidP="003B069D">
      <w:pPr>
        <w:pStyle w:val="Heading2"/>
      </w:pPr>
      <w:r>
        <w:lastRenderedPageBreak/>
        <w:t>References</w:t>
      </w:r>
    </w:p>
    <w:p w14:paraId="2B907E89" w14:textId="77777777" w:rsidR="003B069D" w:rsidRPr="003B069D" w:rsidRDefault="003B069D" w:rsidP="00EB734D">
      <w:pPr>
        <w:pStyle w:val="Bibliography"/>
        <w:spacing w:line="480" w:lineRule="auto"/>
      </w:pPr>
      <w:r>
        <w:fldChar w:fldCharType="begin"/>
      </w:r>
      <w:r>
        <w:instrText xml:space="preserve"> ADDIN ZOTERO_BIBL {"uncited":[],"omitted":[],"custom":[]} CSL_BIBLIOGRAPHY </w:instrText>
      </w:r>
      <w:r>
        <w:fldChar w:fldCharType="separate"/>
      </w:r>
      <w:r w:rsidRPr="003B069D">
        <w:t xml:space="preserve">1. </w:t>
      </w:r>
      <w:r w:rsidRPr="003B069D">
        <w:tab/>
        <w:t xml:space="preserve">Prince J, Jeffrey N, Baird L, Kingsburra S, Tipiloura B, Dudgeon P. Stories from community - How suicide rates fell in two Indigenous communities. Canberra, Australia: Aboriginal &amp; Torres Strait Islander Healing Foundation; 2018. </w:t>
      </w:r>
    </w:p>
    <w:p w14:paraId="6153280E" w14:textId="77777777" w:rsidR="003B069D" w:rsidRPr="003B069D" w:rsidRDefault="003B069D" w:rsidP="00EB734D">
      <w:pPr>
        <w:pStyle w:val="Bibliography"/>
        <w:spacing w:line="480" w:lineRule="auto"/>
      </w:pPr>
      <w:r w:rsidRPr="003B069D">
        <w:t xml:space="preserve">2. </w:t>
      </w:r>
      <w:r w:rsidRPr="003B069D">
        <w:tab/>
        <w:t xml:space="preserve">Tsey K, Whiteside M, Haswell-Elkins M, Bainbridge R, Cadet-James Y, Wilson A. Empowerment and Indigenous Australian health: a synthesis of findings from Family Wellbeing formative research. Health Soc Care Community. 2009;18(2):169–79. </w:t>
      </w:r>
    </w:p>
    <w:p w14:paraId="4E349C91" w14:textId="77777777" w:rsidR="003B069D" w:rsidRPr="003B069D" w:rsidRDefault="003B069D" w:rsidP="00EB734D">
      <w:pPr>
        <w:pStyle w:val="Bibliography"/>
        <w:spacing w:line="480" w:lineRule="auto"/>
      </w:pPr>
      <w:r w:rsidRPr="003B069D">
        <w:t xml:space="preserve">3. </w:t>
      </w:r>
      <w:r w:rsidRPr="003B069D">
        <w:tab/>
        <w:t>Kinchin I, Jacups S, Tsey K, Lines K. An empowerment intervention for Indigenous communities: an outcome assessment. BMC Psychol [Internet]. 2015 Aug 21 [cited 2021 May 11];3(1). Available from: https://www.ncbi.nlm.nih.gov/pmc/articles/PMC4546092/</w:t>
      </w:r>
    </w:p>
    <w:p w14:paraId="53674DB4" w14:textId="77777777" w:rsidR="003B069D" w:rsidRPr="003B069D" w:rsidRDefault="003B069D" w:rsidP="00EB734D">
      <w:pPr>
        <w:pStyle w:val="Bibliography"/>
        <w:spacing w:line="480" w:lineRule="auto"/>
      </w:pPr>
      <w:r w:rsidRPr="003B069D">
        <w:t xml:space="preserve">4. </w:t>
      </w:r>
      <w:r w:rsidRPr="003B069D">
        <w:tab/>
        <w:t>Klieve H, Cheer K, Whiteside M, Baird L, MacLean S, Tsey K. “A safe haven to support me”: an evaluation report on the Central Coast Family Wellbeing Program [Internet]. Cairns, Queensland: Cairns Institute; 2019 [cited 2020 Aug 19]. Available from: https://researchonline.jcu.edu.au/59155/</w:t>
      </w:r>
    </w:p>
    <w:p w14:paraId="3D1CC2DD" w14:textId="77777777" w:rsidR="003B069D" w:rsidRPr="003B069D" w:rsidRDefault="003B069D" w:rsidP="00EB734D">
      <w:pPr>
        <w:pStyle w:val="Bibliography"/>
        <w:spacing w:line="480" w:lineRule="auto"/>
      </w:pPr>
      <w:r w:rsidRPr="003B069D">
        <w:t xml:space="preserve">5. </w:t>
      </w:r>
      <w:r w:rsidRPr="003B069D">
        <w:tab/>
        <w:t xml:space="preserve">Whiteside M, MacLean S, Callinan S, Marshall P, Nolan S, Tsey K. Acceptability of an Aboriginal Wellbeing Intervention for Supporters of People Using Methamphetamines. Australian Social Work. 2018 Jul 3;71(3):358–66. </w:t>
      </w:r>
    </w:p>
    <w:p w14:paraId="136C7546" w14:textId="77777777" w:rsidR="003B069D" w:rsidRPr="003B069D" w:rsidRDefault="003B069D" w:rsidP="00EB734D">
      <w:pPr>
        <w:pStyle w:val="Bibliography"/>
        <w:spacing w:line="480" w:lineRule="auto"/>
      </w:pPr>
      <w:r w:rsidRPr="003B069D">
        <w:t xml:space="preserve">6. </w:t>
      </w:r>
      <w:r w:rsidRPr="003B069D">
        <w:tab/>
        <w:t xml:space="preserve">Onnis L-A, Moylan R, Whiteside M, Klieve H, Smith K, Tsey K. Integrating the Family Wellbeing Program Into Practice: A Conceptual Model. Australian Social Work. 2020 Oct 1;73(4):435–48. </w:t>
      </w:r>
      <w:bookmarkStart w:id="6" w:name="_GoBack"/>
      <w:bookmarkEnd w:id="6"/>
    </w:p>
    <w:p w14:paraId="42DBC1DE" w14:textId="77777777" w:rsidR="003B069D" w:rsidRPr="003B069D" w:rsidRDefault="003B069D" w:rsidP="00EB734D">
      <w:pPr>
        <w:pStyle w:val="Bibliography"/>
        <w:spacing w:line="480" w:lineRule="auto"/>
      </w:pPr>
      <w:r w:rsidRPr="003B069D">
        <w:lastRenderedPageBreak/>
        <w:t xml:space="preserve">7. </w:t>
      </w:r>
      <w:r w:rsidRPr="003B069D">
        <w:tab/>
        <w:t xml:space="preserve">Whiteside M, Bould E, Tsey K, Venville A, Cadet-James Y, Morris ME. Promoting Twenty-first-century Student Competencies: A Wellbeing Approach. Australian Social Work. 2017 Jul 3;70(3):324–36. </w:t>
      </w:r>
    </w:p>
    <w:p w14:paraId="03A92769" w14:textId="77777777" w:rsidR="003B069D" w:rsidRPr="003B069D" w:rsidRDefault="003B069D" w:rsidP="00EB734D">
      <w:pPr>
        <w:pStyle w:val="Bibliography"/>
        <w:spacing w:line="480" w:lineRule="auto"/>
      </w:pPr>
      <w:r w:rsidRPr="003B069D">
        <w:t xml:space="preserve">8. </w:t>
      </w:r>
      <w:r w:rsidRPr="003B069D">
        <w:tab/>
        <w:t xml:space="preserve">Yan L, Yinghong Y, Lui SM (Carrie), Whiteside M, Tsey K. Teaching “soft skills” to university students in China: the feasibility of an Australian approach. Educational Studies. 2019 Mar 4;45(2):242–58. </w:t>
      </w:r>
    </w:p>
    <w:p w14:paraId="0B599EBF" w14:textId="77777777" w:rsidR="003B069D" w:rsidRPr="003B069D" w:rsidRDefault="003B069D" w:rsidP="00EB734D">
      <w:pPr>
        <w:pStyle w:val="Bibliography"/>
        <w:spacing w:line="480" w:lineRule="auto"/>
      </w:pPr>
      <w:r w:rsidRPr="003B069D">
        <w:t xml:space="preserve">9. </w:t>
      </w:r>
      <w:r w:rsidRPr="003B069D">
        <w:tab/>
        <w:t xml:space="preserve">Tsey K, Lui SM (Carrie), Heyeres M, Pryce J, Yan L, Bauld S. Developing Soft Skills: Exploring the Feasibility of an Australian Well-Being Program for Health Managers and Leaders in Timor-Leste. SAGE Open. 2018 Oct 1;8(4):2158244018811404. </w:t>
      </w:r>
    </w:p>
    <w:p w14:paraId="3653651C" w14:textId="6DF66C32" w:rsidR="00571128" w:rsidRDefault="003B069D" w:rsidP="00EB734D">
      <w:pPr>
        <w:spacing w:line="480" w:lineRule="auto"/>
      </w:pPr>
      <w:r>
        <w:fldChar w:fldCharType="end"/>
      </w:r>
    </w:p>
    <w:sectPr w:rsidR="00571128" w:rsidSect="0057112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E1F103" w14:textId="77777777" w:rsidR="00F52849" w:rsidRDefault="003B069D">
      <w:r>
        <w:separator/>
      </w:r>
    </w:p>
  </w:endnote>
  <w:endnote w:type="continuationSeparator" w:id="0">
    <w:p w14:paraId="7056D8B6" w14:textId="77777777" w:rsidR="00F52849" w:rsidRDefault="003B06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nion Pro">
    <w:altName w:val="Cambria"/>
    <w:panose1 w:val="00000000000000000000"/>
    <w:charset w:val="00"/>
    <w:family w:val="roman"/>
    <w:notTrueType/>
    <w:pitch w:val="variable"/>
    <w:sig w:usb0="00000001"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3007881"/>
      <w:docPartObj>
        <w:docPartGallery w:val="Page Numbers (Bottom of Page)"/>
        <w:docPartUnique/>
      </w:docPartObj>
    </w:sdtPr>
    <w:sdtEndPr>
      <w:rPr>
        <w:noProof/>
      </w:rPr>
    </w:sdtEndPr>
    <w:sdtContent>
      <w:p w14:paraId="360939C4" w14:textId="1D483A8B" w:rsidR="009575D8" w:rsidRPr="004B04A0" w:rsidRDefault="00E41B16" w:rsidP="005955AA">
        <w:pPr>
          <w:pStyle w:val="Footer"/>
        </w:pPr>
        <w:r w:rsidRPr="004B04A0">
          <w:fldChar w:fldCharType="begin"/>
        </w:r>
        <w:r w:rsidRPr="004B04A0">
          <w:instrText xml:space="preserve"> PAGE   \* MERGEFORMAT </w:instrText>
        </w:r>
        <w:r w:rsidRPr="004B04A0">
          <w:fldChar w:fldCharType="separate"/>
        </w:r>
        <w:r w:rsidR="00EB734D">
          <w:rPr>
            <w:noProof/>
          </w:rPr>
          <w:t>18</w:t>
        </w:r>
        <w:r w:rsidRPr="004B04A0">
          <w:rPr>
            <w:noProof/>
          </w:rPr>
          <w:fldChar w:fldCharType="end"/>
        </w:r>
      </w:p>
    </w:sdtContent>
  </w:sdt>
  <w:p w14:paraId="1AF9D34C" w14:textId="77777777" w:rsidR="009575D8" w:rsidRDefault="00EB734D" w:rsidP="005955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E53733" w14:textId="77777777" w:rsidR="00F52849" w:rsidRDefault="003B069D">
      <w:r>
        <w:separator/>
      </w:r>
    </w:p>
  </w:footnote>
  <w:footnote w:type="continuationSeparator" w:id="0">
    <w:p w14:paraId="4491ECA2" w14:textId="77777777" w:rsidR="00F52849" w:rsidRDefault="003B06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D56CB7" w14:textId="77777777" w:rsidR="009575D8" w:rsidRDefault="00EB734D" w:rsidP="005955AA">
    <w:pPr>
      <w:pStyle w:val="Header"/>
    </w:pPr>
  </w:p>
  <w:p w14:paraId="71B85788" w14:textId="77777777" w:rsidR="009575D8" w:rsidRDefault="00EB734D" w:rsidP="005955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32263B"/>
    <w:multiLevelType w:val="hybridMultilevel"/>
    <w:tmpl w:val="ACB8A568"/>
    <w:lvl w:ilvl="0" w:tplc="0C090001">
      <w:start w:val="1"/>
      <w:numFmt w:val="bullet"/>
      <w:lvlText w:val=""/>
      <w:lvlJc w:val="left"/>
      <w:pPr>
        <w:ind w:left="780" w:hanging="360"/>
      </w:pPr>
      <w:rPr>
        <w:rFonts w:ascii="Symbol" w:hAnsi="Symbol" w:hint="default"/>
      </w:rPr>
    </w:lvl>
    <w:lvl w:ilvl="1" w:tplc="0C090003">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1" w15:restartNumberingAfterBreak="0">
    <w:nsid w:val="195F7C1B"/>
    <w:multiLevelType w:val="hybridMultilevel"/>
    <w:tmpl w:val="F5EC177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684F61FC"/>
    <w:multiLevelType w:val="hybridMultilevel"/>
    <w:tmpl w:val="92D0C5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5C0"/>
    <w:rsid w:val="0019666D"/>
    <w:rsid w:val="00326EE5"/>
    <w:rsid w:val="003B069D"/>
    <w:rsid w:val="00505F93"/>
    <w:rsid w:val="00571128"/>
    <w:rsid w:val="006B438A"/>
    <w:rsid w:val="00706C5F"/>
    <w:rsid w:val="00766F6B"/>
    <w:rsid w:val="00894F41"/>
    <w:rsid w:val="009A75C0"/>
    <w:rsid w:val="00A014E9"/>
    <w:rsid w:val="00DA22C3"/>
    <w:rsid w:val="00E41B16"/>
    <w:rsid w:val="00EB734D"/>
    <w:rsid w:val="00F5284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D97EE"/>
  <w15:chartTrackingRefBased/>
  <w15:docId w15:val="{B7679A2E-204F-46BA-9BC5-2E56E564F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75C0"/>
    <w:pPr>
      <w:spacing w:after="0" w:line="240" w:lineRule="auto"/>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uiPriority w:val="9"/>
    <w:qFormat/>
    <w:rsid w:val="009A75C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A75C0"/>
    <w:pPr>
      <w:keepNext/>
      <w:keepLines/>
      <w:spacing w:before="40" w:line="360" w:lineRule="auto"/>
      <w:outlineLvl w:val="1"/>
    </w:pPr>
    <w:rPr>
      <w:rFonts w:asciiTheme="majorHAnsi" w:eastAsiaTheme="majorEastAsia" w:hAnsiTheme="majorHAnsi" w:cstheme="majorBidi"/>
      <w:color w:val="2E74B5" w:themeColor="accent1" w:themeShade="BF"/>
      <w:sz w:val="26"/>
      <w:szCs w:val="26"/>
      <w:lang w:eastAsia="en-US"/>
    </w:rPr>
  </w:style>
  <w:style w:type="paragraph" w:styleId="Heading3">
    <w:name w:val="heading 3"/>
    <w:basedOn w:val="Normal"/>
    <w:next w:val="Normal"/>
    <w:link w:val="Heading3Char"/>
    <w:uiPriority w:val="9"/>
    <w:unhideWhenUsed/>
    <w:qFormat/>
    <w:rsid w:val="00766F6B"/>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9A75C0"/>
    <w:pPr>
      <w:keepNext/>
      <w:keepLines/>
      <w:spacing w:before="40" w:line="360" w:lineRule="auto"/>
      <w:outlineLvl w:val="3"/>
    </w:pPr>
    <w:rPr>
      <w:rFonts w:asciiTheme="majorHAnsi" w:eastAsiaTheme="majorEastAsia" w:hAnsiTheme="majorHAnsi" w:cstheme="majorBidi"/>
      <w:i/>
      <w:iCs/>
      <w:color w:val="2E74B5" w:themeColor="accent1" w:themeShade="BF"/>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5C0"/>
    <w:rPr>
      <w:rFonts w:asciiTheme="majorHAnsi" w:eastAsiaTheme="majorEastAsia" w:hAnsiTheme="majorHAnsi" w:cstheme="majorBidi"/>
      <w:color w:val="2E74B5" w:themeColor="accent1" w:themeShade="BF"/>
      <w:sz w:val="32"/>
      <w:szCs w:val="32"/>
      <w:lang w:eastAsia="en-AU"/>
    </w:rPr>
  </w:style>
  <w:style w:type="character" w:customStyle="1" w:styleId="Heading2Char">
    <w:name w:val="Heading 2 Char"/>
    <w:basedOn w:val="DefaultParagraphFont"/>
    <w:link w:val="Heading2"/>
    <w:uiPriority w:val="9"/>
    <w:rsid w:val="009A75C0"/>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rsid w:val="009A75C0"/>
    <w:rPr>
      <w:rFonts w:asciiTheme="majorHAnsi" w:eastAsiaTheme="majorEastAsia" w:hAnsiTheme="majorHAnsi" w:cstheme="majorBidi"/>
      <w:i/>
      <w:iCs/>
      <w:color w:val="2E74B5" w:themeColor="accent1" w:themeShade="BF"/>
      <w:sz w:val="24"/>
      <w:szCs w:val="24"/>
      <w:lang w:val="en-GB"/>
    </w:rPr>
  </w:style>
  <w:style w:type="paragraph" w:styleId="ListParagraph">
    <w:name w:val="List Paragraph"/>
    <w:basedOn w:val="Normal"/>
    <w:uiPriority w:val="34"/>
    <w:qFormat/>
    <w:rsid w:val="009A75C0"/>
    <w:pPr>
      <w:spacing w:line="360" w:lineRule="auto"/>
      <w:ind w:left="720"/>
      <w:contextualSpacing/>
    </w:pPr>
    <w:rPr>
      <w:rFonts w:eastAsiaTheme="minorEastAsia" w:cstheme="minorBidi"/>
      <w:lang w:val="en-GB" w:eastAsia="en-US"/>
    </w:rPr>
  </w:style>
  <w:style w:type="paragraph" w:styleId="Header">
    <w:name w:val="header"/>
    <w:basedOn w:val="Normal"/>
    <w:link w:val="HeaderChar"/>
    <w:uiPriority w:val="99"/>
    <w:unhideWhenUsed/>
    <w:rsid w:val="009A75C0"/>
    <w:pPr>
      <w:tabs>
        <w:tab w:val="center" w:pos="4513"/>
        <w:tab w:val="right" w:pos="9026"/>
      </w:tabs>
      <w:spacing w:line="360" w:lineRule="auto"/>
    </w:pPr>
    <w:rPr>
      <w:rFonts w:eastAsiaTheme="minorEastAsia" w:cstheme="minorBidi"/>
      <w:lang w:val="en-GB" w:eastAsia="en-US"/>
    </w:rPr>
  </w:style>
  <w:style w:type="character" w:customStyle="1" w:styleId="HeaderChar">
    <w:name w:val="Header Char"/>
    <w:basedOn w:val="DefaultParagraphFont"/>
    <w:link w:val="Header"/>
    <w:uiPriority w:val="99"/>
    <w:rsid w:val="009A75C0"/>
    <w:rPr>
      <w:rFonts w:ascii="Times New Roman" w:eastAsiaTheme="minorEastAsia" w:hAnsi="Times New Roman"/>
      <w:sz w:val="24"/>
      <w:szCs w:val="24"/>
      <w:lang w:val="en-GB"/>
    </w:rPr>
  </w:style>
  <w:style w:type="paragraph" w:styleId="Footer">
    <w:name w:val="footer"/>
    <w:basedOn w:val="Normal"/>
    <w:link w:val="FooterChar"/>
    <w:uiPriority w:val="99"/>
    <w:unhideWhenUsed/>
    <w:rsid w:val="009A75C0"/>
    <w:pPr>
      <w:tabs>
        <w:tab w:val="center" w:pos="4513"/>
        <w:tab w:val="right" w:pos="9026"/>
      </w:tabs>
      <w:spacing w:line="360" w:lineRule="auto"/>
    </w:pPr>
    <w:rPr>
      <w:rFonts w:eastAsiaTheme="minorEastAsia" w:cstheme="minorBidi"/>
      <w:lang w:val="en-GB" w:eastAsia="en-US"/>
    </w:rPr>
  </w:style>
  <w:style w:type="character" w:customStyle="1" w:styleId="FooterChar">
    <w:name w:val="Footer Char"/>
    <w:basedOn w:val="DefaultParagraphFont"/>
    <w:link w:val="Footer"/>
    <w:uiPriority w:val="99"/>
    <w:rsid w:val="009A75C0"/>
    <w:rPr>
      <w:rFonts w:ascii="Times New Roman" w:eastAsiaTheme="minorEastAsia" w:hAnsi="Times New Roman"/>
      <w:sz w:val="24"/>
      <w:szCs w:val="24"/>
      <w:lang w:val="en-GB"/>
    </w:rPr>
  </w:style>
  <w:style w:type="paragraph" w:styleId="PlainText">
    <w:name w:val="Plain Text"/>
    <w:basedOn w:val="Normal"/>
    <w:link w:val="PlainTextChar"/>
    <w:uiPriority w:val="99"/>
    <w:unhideWhenUsed/>
    <w:rsid w:val="009A75C0"/>
    <w:pPr>
      <w:spacing w:line="360" w:lineRule="auto"/>
    </w:pPr>
    <w:rPr>
      <w:rFonts w:ascii="Calibri" w:hAnsi="Calibri" w:cs="Calibri"/>
      <w:sz w:val="22"/>
      <w:szCs w:val="21"/>
    </w:rPr>
  </w:style>
  <w:style w:type="character" w:customStyle="1" w:styleId="PlainTextChar">
    <w:name w:val="Plain Text Char"/>
    <w:basedOn w:val="DefaultParagraphFont"/>
    <w:link w:val="PlainText"/>
    <w:uiPriority w:val="99"/>
    <w:rsid w:val="009A75C0"/>
    <w:rPr>
      <w:rFonts w:ascii="Calibri" w:eastAsia="Times New Roman" w:hAnsi="Calibri" w:cs="Calibri"/>
      <w:szCs w:val="21"/>
      <w:lang w:eastAsia="en-AU"/>
    </w:rPr>
  </w:style>
  <w:style w:type="table" w:styleId="TableGrid">
    <w:name w:val="Table Grid"/>
    <w:basedOn w:val="TableNormal"/>
    <w:uiPriority w:val="39"/>
    <w:rsid w:val="009A75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A75C0"/>
    <w:pPr>
      <w:autoSpaceDE w:val="0"/>
      <w:autoSpaceDN w:val="0"/>
      <w:adjustRightInd w:val="0"/>
      <w:spacing w:after="0" w:line="240" w:lineRule="auto"/>
    </w:pPr>
    <w:rPr>
      <w:rFonts w:ascii="Minion Pro" w:hAnsi="Minion Pro" w:cs="Minion Pro"/>
      <w:color w:val="000000"/>
      <w:sz w:val="24"/>
      <w:szCs w:val="24"/>
      <w:lang w:val="en-US"/>
    </w:rPr>
  </w:style>
  <w:style w:type="character" w:customStyle="1" w:styleId="Heading3Char">
    <w:name w:val="Heading 3 Char"/>
    <w:basedOn w:val="DefaultParagraphFont"/>
    <w:link w:val="Heading3"/>
    <w:uiPriority w:val="9"/>
    <w:rsid w:val="00766F6B"/>
    <w:rPr>
      <w:rFonts w:asciiTheme="majorHAnsi" w:eastAsiaTheme="majorEastAsia" w:hAnsiTheme="majorHAnsi" w:cstheme="majorBidi"/>
      <w:color w:val="1F4D78" w:themeColor="accent1" w:themeShade="7F"/>
      <w:sz w:val="24"/>
      <w:szCs w:val="24"/>
      <w:lang w:eastAsia="en-AU"/>
    </w:rPr>
  </w:style>
  <w:style w:type="paragraph" w:styleId="Bibliography">
    <w:name w:val="Bibliography"/>
    <w:basedOn w:val="Normal"/>
    <w:next w:val="Normal"/>
    <w:uiPriority w:val="37"/>
    <w:unhideWhenUsed/>
    <w:rsid w:val="003B069D"/>
    <w:pPr>
      <w:tabs>
        <w:tab w:val="left" w:pos="384"/>
      </w:tabs>
      <w:spacing w:after="240"/>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F4C729FABCDC48BC4F13847092CB78" ma:contentTypeVersion="12" ma:contentTypeDescription="Create a new document." ma:contentTypeScope="" ma:versionID="19f1e0ea2e068a207b9c7eecaa8e6a92">
  <xsd:schema xmlns:xsd="http://www.w3.org/2001/XMLSchema" xmlns:xs="http://www.w3.org/2001/XMLSchema" xmlns:p="http://schemas.microsoft.com/office/2006/metadata/properties" xmlns:ns3="85bfa582-2371-4624-9006-8172730b453f" xmlns:ns4="803eba48-1fa2-4a46-9c13-4d8669cae5d0" targetNamespace="http://schemas.microsoft.com/office/2006/metadata/properties" ma:root="true" ma:fieldsID="aca5fc4185c20ab110c5bc400311543a" ns3:_="" ns4:_="">
    <xsd:import namespace="85bfa582-2371-4624-9006-8172730b453f"/>
    <xsd:import namespace="803eba48-1fa2-4a46-9c13-4d8669cae5d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bfa582-2371-4624-9006-8172730b45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3eba48-1fa2-4a46-9c13-4d8669cae5d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9398F75-E6FC-473B-9371-D9383C4A27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bfa582-2371-4624-9006-8172730b453f"/>
    <ds:schemaRef ds:uri="803eba48-1fa2-4a46-9c13-4d8669cae5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8C6A90-C004-459A-ACB5-90B3796441B1}">
  <ds:schemaRefs>
    <ds:schemaRef ds:uri="http://schemas.microsoft.com/sharepoint/v3/contenttype/forms"/>
  </ds:schemaRefs>
</ds:datastoreItem>
</file>

<file path=customXml/itemProps3.xml><?xml version="1.0" encoding="utf-8"?>
<ds:datastoreItem xmlns:ds="http://schemas.openxmlformats.org/officeDocument/2006/customXml" ds:itemID="{E9FC5D80-36DA-48AA-B662-B4FB5695E58C}">
  <ds:schemaRef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803eba48-1fa2-4a46-9c13-4d8669cae5d0"/>
    <ds:schemaRef ds:uri="http://purl.org/dc/terms/"/>
    <ds:schemaRef ds:uri="85bfa582-2371-4624-9006-8172730b453f"/>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18</Pages>
  <Words>4988</Words>
  <Characters>28437</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Curtin University</Company>
  <LinksUpToDate>false</LinksUpToDate>
  <CharactersWithSpaces>33359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Niru</dc:creator>
  <cp:keywords/>
  <dc:description/>
  <cp:lastModifiedBy>Niru</cp:lastModifiedBy>
  <cp:revision>6</cp:revision>
  <dcterms:created xsi:type="dcterms:W3CDTF">2021-06-23T09:06:00Z</dcterms:created>
  <dcterms:modified xsi:type="dcterms:W3CDTF">2021-08-04T06:54:00Z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0x0101000BF4C729FABCDC48BC4F13847092CB78</vt:lpwstr>
  </property>
  <property fmtid="{D5CDD505-2E9C-101B-9397-08002B2CF9AE}" pid="3" name="ZOTERO_PREF_1">
    <vt:lpwstr>&lt;data data-version="3" zotero-version="5.0.96.2"&gt;&lt;session id="hEPGPtAe"/&gt;&lt;style id="http://www.zotero.org/styles/vancouver" locale="en-US" hasBibliography="1" bibliographyStyleHasBeenSet="1"/&gt;&lt;prefs&gt;&lt;pref name="fieldType" value="Field"/&gt;&lt;/prefs&gt;&lt;/data&gt;</vt:lpwstr>
  </property>
</Properties>
</file>