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4DDB" w:rsidRDefault="00F824A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Table 2. Differences in cognitive variables and adaptation indicators between selected disease entities: ANCOVA</w:t>
      </w:r>
    </w:p>
    <w:tbl>
      <w:tblPr>
        <w:tblStyle w:val="a"/>
        <w:tblW w:w="9972" w:type="dxa"/>
        <w:tblInd w:w="0" w:type="dxa"/>
        <w:tblLayout w:type="fixed"/>
        <w:tblLook w:val="0400" w:firstRow="0" w:lastRow="0" w:firstColumn="0" w:lastColumn="0" w:noHBand="0" w:noVBand="1"/>
      </w:tblPr>
      <w:tblGrid>
        <w:gridCol w:w="1123"/>
        <w:gridCol w:w="515"/>
        <w:gridCol w:w="433"/>
        <w:gridCol w:w="513"/>
        <w:gridCol w:w="517"/>
        <w:gridCol w:w="619"/>
        <w:gridCol w:w="601"/>
        <w:gridCol w:w="517"/>
        <w:gridCol w:w="513"/>
        <w:gridCol w:w="562"/>
        <w:gridCol w:w="474"/>
        <w:gridCol w:w="963"/>
        <w:gridCol w:w="879"/>
        <w:gridCol w:w="883"/>
        <w:gridCol w:w="860"/>
      </w:tblGrid>
      <w:tr w:rsidR="00A04DDB">
        <w:trPr>
          <w:trHeight w:val="301"/>
        </w:trPr>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Variables</w:t>
            </w:r>
          </w:p>
        </w:tc>
        <w:tc>
          <w:tcPr>
            <w:tcW w:w="948" w:type="dxa"/>
            <w:gridSpan w:val="2"/>
            <w:tcBorders>
              <w:top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RA</w:t>
            </w:r>
          </w:p>
        </w:tc>
        <w:tc>
          <w:tcPr>
            <w:tcW w:w="1030" w:type="dxa"/>
            <w:gridSpan w:val="2"/>
            <w:tcBorders>
              <w:top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Asthma</w:t>
            </w:r>
          </w:p>
        </w:tc>
        <w:tc>
          <w:tcPr>
            <w:tcW w:w="1220" w:type="dxa"/>
            <w:gridSpan w:val="2"/>
            <w:tcBorders>
              <w:top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Hypothyroidism</w:t>
            </w:r>
          </w:p>
        </w:tc>
        <w:tc>
          <w:tcPr>
            <w:tcW w:w="1030" w:type="dxa"/>
            <w:gridSpan w:val="2"/>
            <w:tcBorders>
              <w:top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Diabetes</w:t>
            </w:r>
          </w:p>
        </w:tc>
        <w:tc>
          <w:tcPr>
            <w:tcW w:w="1036" w:type="dxa"/>
            <w:gridSpan w:val="2"/>
            <w:tcBorders>
              <w:top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Hypertension</w:t>
            </w:r>
          </w:p>
        </w:tc>
        <w:tc>
          <w:tcPr>
            <w:tcW w:w="963" w:type="dxa"/>
            <w:vMerge w:val="restart"/>
            <w:tcBorders>
              <w:top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F</w:t>
            </w:r>
          </w:p>
        </w:tc>
        <w:tc>
          <w:tcPr>
            <w:tcW w:w="879" w:type="dxa"/>
            <w:vMerge w:val="restart"/>
            <w:tcBorders>
              <w:top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p</w:t>
            </w:r>
          </w:p>
        </w:tc>
        <w:tc>
          <w:tcPr>
            <w:tcW w:w="1743" w:type="dxa"/>
            <w:gridSpan w:val="2"/>
            <w:tcBorders>
              <w:top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Effect sizes</w:t>
            </w:r>
          </w:p>
        </w:tc>
      </w:tr>
      <w:tr w:rsidR="00A04DDB">
        <w:trPr>
          <w:trHeight w:val="301"/>
        </w:trPr>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04DDB" w:rsidRDefault="00A04DDB">
            <w:pPr>
              <w:widowControl w:val="0"/>
              <w:pBdr>
                <w:top w:val="nil"/>
                <w:left w:val="nil"/>
                <w:bottom w:val="nil"/>
                <w:right w:val="nil"/>
                <w:between w:val="nil"/>
              </w:pBdr>
              <w:spacing w:after="0" w:line="276" w:lineRule="auto"/>
              <w:rPr>
                <w:rFonts w:ascii="Times New Roman" w:eastAsia="Times New Roman" w:hAnsi="Times New Roman" w:cs="Times New Roman"/>
                <w:sz w:val="16"/>
                <w:szCs w:val="16"/>
              </w:rPr>
            </w:pP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M</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SD</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M</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SD</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M</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SD</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M</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SD</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M</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SD</w:t>
            </w:r>
          </w:p>
        </w:tc>
        <w:tc>
          <w:tcPr>
            <w:tcW w:w="963" w:type="dxa"/>
            <w:vMerge/>
            <w:tcBorders>
              <w:top w:val="single" w:sz="4" w:space="0" w:color="000000"/>
              <w:right w:val="single" w:sz="4" w:space="0" w:color="000000"/>
            </w:tcBorders>
            <w:shd w:val="clear" w:color="auto" w:fill="auto"/>
            <w:vAlign w:val="center"/>
          </w:tcPr>
          <w:p w:rsidR="00A04DDB" w:rsidRDefault="00A04DDB">
            <w:pPr>
              <w:widowControl w:val="0"/>
              <w:pBdr>
                <w:top w:val="nil"/>
                <w:left w:val="nil"/>
                <w:bottom w:val="nil"/>
                <w:right w:val="nil"/>
                <w:between w:val="nil"/>
              </w:pBdr>
              <w:spacing w:after="0" w:line="276" w:lineRule="auto"/>
              <w:rPr>
                <w:rFonts w:ascii="Times New Roman" w:eastAsia="Times New Roman" w:hAnsi="Times New Roman" w:cs="Times New Roman"/>
                <w:sz w:val="16"/>
                <w:szCs w:val="16"/>
              </w:rPr>
            </w:pPr>
          </w:p>
        </w:tc>
        <w:tc>
          <w:tcPr>
            <w:tcW w:w="879" w:type="dxa"/>
            <w:vMerge/>
            <w:tcBorders>
              <w:top w:val="single" w:sz="4" w:space="0" w:color="000000"/>
              <w:right w:val="single" w:sz="4" w:space="0" w:color="000000"/>
            </w:tcBorders>
            <w:shd w:val="clear" w:color="auto" w:fill="auto"/>
            <w:vAlign w:val="center"/>
          </w:tcPr>
          <w:p w:rsidR="00A04DDB" w:rsidRDefault="00A04DDB">
            <w:pPr>
              <w:widowControl w:val="0"/>
              <w:pBdr>
                <w:top w:val="nil"/>
                <w:left w:val="nil"/>
                <w:bottom w:val="nil"/>
                <w:right w:val="nil"/>
                <w:between w:val="nil"/>
              </w:pBdr>
              <w:spacing w:after="0" w:line="276" w:lineRule="auto"/>
              <w:rPr>
                <w:rFonts w:ascii="Times New Roman" w:eastAsia="Times New Roman" w:hAnsi="Times New Roman" w:cs="Times New Roman"/>
                <w:sz w:val="16"/>
                <w:szCs w:val="16"/>
              </w:rPr>
            </w:pPr>
          </w:p>
        </w:tc>
        <w:tc>
          <w:tcPr>
            <w:tcW w:w="88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Eta</w:t>
            </w:r>
            <w:r>
              <w:rPr>
                <w:rFonts w:ascii="Times New Roman" w:eastAsia="Times New Roman" w:hAnsi="Times New Roman" w:cs="Times New Roman"/>
                <w:sz w:val="16"/>
                <w:szCs w:val="16"/>
                <w:vertAlign w:val="superscript"/>
              </w:rPr>
              <w:t>2</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Cohen's d</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Illness will last for a very long time</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9.06</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1.89</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8.72</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1.88</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9.16</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1.74</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8.67</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2.04</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8.98</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1.63</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1.641</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0.163</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0.013</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0.230</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Illness will have very significant impact on life</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8.23</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2.36</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6.97</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2.50</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7.45</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2.30</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7.74</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2.36</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7.54</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2.02</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3.265</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0.012</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0.026</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0.327</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Condition will worsen</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7.67</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2.56</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6.57</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2.30</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6.32</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2.28</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6.94</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2.39</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6.50</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1.98</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3.647</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0.006</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0.029</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0.346</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Symptoms very visible to others</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5.56</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2.91</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4.97</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2.72</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3.94</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2.66</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4.57</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2.77</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3.41</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2.56</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7.659</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0.000</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0.058</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0.496</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Cannot predict course</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7.22</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2.65</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5.74</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2.25</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6.25</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2.47</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6.38</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2.39</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5.93</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2.32</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3.254</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0.012</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0.026</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0.327</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highlight w:val="yellow"/>
              </w:rPr>
            </w:pPr>
            <w:r>
              <w:rPr>
                <w:rFonts w:ascii="Times New Roman" w:eastAsia="Times New Roman" w:hAnsi="Times New Roman" w:cs="Times New Roman"/>
                <w:sz w:val="16"/>
                <w:szCs w:val="16"/>
              </w:rPr>
              <w:t>I know a lot about my illness</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8.34</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1.92</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7.93</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2.02</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7.96</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1.98</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7.80</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1.93</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7.84</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1.85</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1.159</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0.328</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0.009</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0.191</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Things I have done caused me to become ill</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3.14</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2.83</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3.43</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2.80</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3.08</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2.79</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4.96</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2.87</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4.46</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2.75</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5.378</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0.000</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0.042</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0.419</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Things I do have no effect on my illness</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5.00</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3.10</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5.05</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2.77</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4.34</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2.83</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4.14</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2.66</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4.16</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2.53</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2.894</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0.022</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0.023</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0.307</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highlight w:val="yellow"/>
              </w:rPr>
            </w:pPr>
            <w:r>
              <w:rPr>
                <w:rFonts w:ascii="Times New Roman" w:eastAsia="Times New Roman" w:hAnsi="Times New Roman" w:cs="Times New Roman"/>
                <w:sz w:val="16"/>
                <w:szCs w:val="16"/>
              </w:rPr>
              <w:t xml:space="preserve">Medical staff cannot influence the course of my </w:t>
            </w:r>
            <w:r>
              <w:rPr>
                <w:rFonts w:ascii="Times New Roman" w:eastAsia="Times New Roman" w:hAnsi="Times New Roman" w:cs="Times New Roman"/>
                <w:sz w:val="16"/>
                <w:szCs w:val="16"/>
              </w:rPr>
              <w:t>illness</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4.84</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2.75</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5.00</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2.72</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5.26</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2.77</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5.58</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2.50</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4.46</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2.52</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2.924</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0.021</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0.023</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0.307</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The treatment I get does not help me at all</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5.61</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2.69</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4.56</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2.19</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4.45</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2.38</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5.21</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2.48</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4.05</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2.17</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6.217</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0.000</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0.048</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0.449</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Others would regard me negatively due to the fact I have this illness</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4.44</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2.56</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4.29</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2.37</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4.06</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2.33</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4.35</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2.28</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4.04</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1.96</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0.358</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0.839</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0.003</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0.110</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My illness is embarrassing</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3.53</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3.12</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3.17</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2.67</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2.77</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2.55</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3.21</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2.68</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2.47</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2.30</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1.737</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0.141</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0.014</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0.238</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Compared to other people who have this illness, my symptoms are very severe</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4.92</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2.61</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4.34</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2.34</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4.16</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2.18</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4.35</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2.32</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3.67</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1.93</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3.144</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0.014</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0.025</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0.320</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IRAS: Loss</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15.36</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5.68</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12.75</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5.39</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12.41</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5.55</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13.71</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5.16</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11.44</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5.42</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5.827</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0.000</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0.045</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0.434</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IRAS: Harm</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12.84</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6.37</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11.30</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5.67</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11.07</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5.66</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12.10</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5.76</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10.07</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5.05</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3.056</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0.017</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0.024</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0.314</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IRAS: Advantage</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8.09</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4.40</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8.86</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4.38</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7.48</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3.62</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9.02</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4.36</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7.28</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3.20</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3.154</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0.014</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0.025</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0.320</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IRAS: Challenge</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16.97</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5.41</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13.55</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5.32</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13.85</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4.93</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15.40</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4.99</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12.93</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5.47</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7.816</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0.000</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0.059</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0.501</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IRAS: Value</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13.34</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5.43</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11.76</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5.16</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11.19</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4.76</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12.92</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4.36</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11.79</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4.80</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2.099</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0.080</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0.017</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0.263</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IRAS: Danger</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16.45</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5.91</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13.72</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5.33</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13.20</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5.53</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15.29</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5.24</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13.24</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5.20</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5.615</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0.000</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0.043</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0.424</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IRAS: Importance</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17.58</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4.22</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15.28</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4.22</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15.58</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4.69</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15.61</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4.03</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14.20</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4.26</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5.506</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0.000</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0.043</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0.424</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lastRenderedPageBreak/>
              <w:t>BDI-I Global Score</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13.91</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9.26</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14.03</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12.53</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15.19</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11.90</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12.56</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11.44</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11.41</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9.92</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0.476</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0.753</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0.004</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0.127</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BDI-I Cognitive-Affective Scale</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7.56</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5.90</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8.70</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8.11</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9.55</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7.89</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7.46</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7.51</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6.89</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6.78</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0.694</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0.596</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0.006</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0.155</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BDI-I Somatic Symptoms Scale</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6.34</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4.17</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5.33</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4.99</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5.65</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4.66</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5.11</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4.46</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4.53</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3.66</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1.103</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0.355</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0.009</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0.191</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Satisfaction with Life Despite the Disease</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15.17</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2.50</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16.10</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3.34</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15.67</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3.33</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15.79</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3.13</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16.67</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2.72</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2.082</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0.082</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0.017</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0.263</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Reconcilement with the Disease</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16.69</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2.22</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17.34</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2.70</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17.32</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2.72</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16.94</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2.94</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17.87</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2.15</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2.835</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0.024</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0.022</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0.300</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Self-distancing from the Disease</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14.39</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2.91</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16.10</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3.13</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15.98</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3.19</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15.42</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3.24</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16.79</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2.65</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6.275</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0.000</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0.048</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0.449</w:t>
            </w:r>
          </w:p>
        </w:tc>
      </w:tr>
      <w:tr w:rsidR="00A04DDB">
        <w:trPr>
          <w:trHeight w:val="301"/>
        </w:trPr>
        <w:tc>
          <w:tcPr>
            <w:tcW w:w="1123" w:type="dxa"/>
            <w:tcBorders>
              <w:left w:val="single" w:sz="4" w:space="0" w:color="000000"/>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Global Score</w:t>
            </w:r>
          </w:p>
        </w:tc>
        <w:tc>
          <w:tcPr>
            <w:tcW w:w="515"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46.25</w:t>
            </w:r>
          </w:p>
        </w:tc>
        <w:tc>
          <w:tcPr>
            <w:tcW w:w="43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6.76</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49.55</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8.36</w:t>
            </w:r>
          </w:p>
        </w:tc>
        <w:tc>
          <w:tcPr>
            <w:tcW w:w="619"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48.96</w:t>
            </w:r>
          </w:p>
        </w:tc>
        <w:tc>
          <w:tcPr>
            <w:tcW w:w="601"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8.53</w:t>
            </w:r>
          </w:p>
        </w:tc>
        <w:tc>
          <w:tcPr>
            <w:tcW w:w="517"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48.15</w:t>
            </w:r>
          </w:p>
        </w:tc>
        <w:tc>
          <w:tcPr>
            <w:tcW w:w="513"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8.60</w:t>
            </w:r>
          </w:p>
        </w:tc>
        <w:tc>
          <w:tcPr>
            <w:tcW w:w="562"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51.33</w:t>
            </w:r>
          </w:p>
        </w:tc>
        <w:tc>
          <w:tcPr>
            <w:tcW w:w="474"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6.84</w:t>
            </w:r>
          </w:p>
        </w:tc>
        <w:tc>
          <w:tcPr>
            <w:tcW w:w="96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3.968</w:t>
            </w:r>
          </w:p>
        </w:tc>
        <w:tc>
          <w:tcPr>
            <w:tcW w:w="879"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0.004</w:t>
            </w:r>
          </w:p>
        </w:tc>
        <w:tc>
          <w:tcPr>
            <w:tcW w:w="883" w:type="dxa"/>
            <w:tcBorders>
              <w:bottom w:val="single" w:sz="4" w:space="0" w:color="000000"/>
              <w:right w:val="single" w:sz="4" w:space="0" w:color="000000"/>
            </w:tcBorders>
            <w:shd w:val="clear" w:color="auto" w:fill="auto"/>
            <w:vAlign w:val="center"/>
          </w:tcPr>
          <w:p w:rsidR="00A04DDB" w:rsidRDefault="00F824A0">
            <w:pPr>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0.031</w:t>
            </w:r>
          </w:p>
        </w:tc>
        <w:tc>
          <w:tcPr>
            <w:tcW w:w="860" w:type="dxa"/>
            <w:tcBorders>
              <w:bottom w:val="single" w:sz="4" w:space="0" w:color="000000"/>
              <w:right w:val="single" w:sz="4" w:space="0" w:color="000000"/>
            </w:tcBorders>
            <w:shd w:val="clear" w:color="auto" w:fill="auto"/>
            <w:vAlign w:val="center"/>
          </w:tcPr>
          <w:p w:rsidR="00A04DDB" w:rsidRDefault="00F824A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0.358</w:t>
            </w:r>
          </w:p>
        </w:tc>
      </w:tr>
    </w:tbl>
    <w:p w:rsidR="00A04DDB" w:rsidRDefault="00F824A0">
      <w:pPr>
        <w:spacing w:line="48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RA – Rheumatoid Arthritis; IRAS</w:t>
      </w:r>
      <w:r>
        <w:rPr>
          <w:rFonts w:ascii="Times New Roman" w:eastAsia="Times New Roman" w:hAnsi="Times New Roman" w:cs="Times New Roman"/>
          <w:sz w:val="20"/>
          <w:szCs w:val="20"/>
        </w:rPr>
        <w:t xml:space="preserve"> – Illness-related Appraisals Scale</w:t>
      </w:r>
      <w:r>
        <w:rPr>
          <w:rFonts w:ascii="Times New Roman" w:eastAsia="Times New Roman" w:hAnsi="Times New Roman" w:cs="Times New Roman"/>
          <w:sz w:val="20"/>
          <w:szCs w:val="20"/>
        </w:rPr>
        <w:t xml:space="preserve">; BDI – Beck Depression Inventory; </w:t>
      </w:r>
    </w:p>
    <w:p w:rsidR="00A04DDB" w:rsidRDefault="00A04DDB">
      <w:pPr>
        <w:spacing w:line="480" w:lineRule="auto"/>
        <w:rPr>
          <w:rFonts w:ascii="Times New Roman" w:eastAsia="Times New Roman" w:hAnsi="Times New Roman" w:cs="Times New Roman"/>
          <w:sz w:val="24"/>
          <w:szCs w:val="24"/>
        </w:rPr>
      </w:pPr>
    </w:p>
    <w:p w:rsidR="00A04DDB" w:rsidRDefault="00F824A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data presented in the table above show that people with </w:t>
      </w:r>
      <w:r>
        <w:rPr>
          <w:rFonts w:ascii="Times New Roman" w:eastAsia="Times New Roman" w:hAnsi="Times New Roman" w:cs="Times New Roman"/>
          <w:sz w:val="24"/>
          <w:szCs w:val="24"/>
        </w:rPr>
        <w:t>the investigated diseases</w:t>
      </w:r>
      <w:r>
        <w:rPr>
          <w:rFonts w:ascii="Times New Roman" w:eastAsia="Times New Roman" w:hAnsi="Times New Roman" w:cs="Times New Roman"/>
          <w:sz w:val="24"/>
          <w:szCs w:val="24"/>
        </w:rPr>
        <w:t xml:space="preserve"> differ statistically significantly both in </w:t>
      </w:r>
      <w:r>
        <w:rPr>
          <w:rFonts w:ascii="Times New Roman" w:eastAsia="Times New Roman" w:hAnsi="Times New Roman" w:cs="Times New Roman"/>
          <w:sz w:val="24"/>
          <w:szCs w:val="24"/>
        </w:rPr>
        <w:t>the examined</w:t>
      </w:r>
      <w:r>
        <w:rPr>
          <w:rFonts w:ascii="Times New Roman" w:eastAsia="Times New Roman" w:hAnsi="Times New Roman" w:cs="Times New Roman"/>
          <w:sz w:val="24"/>
          <w:szCs w:val="24"/>
        </w:rPr>
        <w:t xml:space="preserve"> cognitive factors and in their levels of adaptation to living with </w:t>
      </w:r>
      <w:r>
        <w:rPr>
          <w:rFonts w:ascii="Times New Roman" w:eastAsia="Times New Roman" w:hAnsi="Times New Roman" w:cs="Times New Roman"/>
          <w:sz w:val="24"/>
          <w:szCs w:val="24"/>
        </w:rPr>
        <w:t xml:space="preserve">disease. Effect sizes vary from no effect to intermediate between IRBs. </w:t>
      </w:r>
    </w:p>
    <w:p w:rsidR="00A04DDB" w:rsidRDefault="00F824A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Applying the m</w:t>
      </w:r>
      <w:r>
        <w:rPr>
          <w:rFonts w:ascii="Times New Roman" w:eastAsia="Times New Roman" w:hAnsi="Times New Roman" w:cs="Times New Roman"/>
          <w:sz w:val="24"/>
          <w:szCs w:val="24"/>
        </w:rPr>
        <w:t xml:space="preserve">arginal means test with </w:t>
      </w:r>
      <w:proofErr w:type="spellStart"/>
      <w:r>
        <w:rPr>
          <w:rFonts w:ascii="Times New Roman" w:eastAsia="Times New Roman" w:hAnsi="Times New Roman" w:cs="Times New Roman"/>
          <w:sz w:val="24"/>
          <w:szCs w:val="24"/>
        </w:rPr>
        <w:t>Bonferroni</w:t>
      </w:r>
      <w:proofErr w:type="spellEnd"/>
      <w:r>
        <w:rPr>
          <w:rFonts w:ascii="Times New Roman" w:eastAsia="Times New Roman" w:hAnsi="Times New Roman" w:cs="Times New Roman"/>
          <w:sz w:val="24"/>
          <w:szCs w:val="24"/>
        </w:rPr>
        <w:t xml:space="preserve"> correction</w:t>
      </w:r>
      <w:r>
        <w:rPr>
          <w:rFonts w:ascii="Times New Roman" w:eastAsia="Times New Roman" w:hAnsi="Times New Roman" w:cs="Times New Roman"/>
          <w:sz w:val="24"/>
          <w:szCs w:val="24"/>
        </w:rPr>
        <w:t xml:space="preserve"> to IRBs</w:t>
      </w:r>
      <w:r>
        <w:rPr>
          <w:rFonts w:ascii="Times New Roman" w:eastAsia="Times New Roman" w:hAnsi="Times New Roman" w:cs="Times New Roman"/>
          <w:sz w:val="24"/>
          <w:szCs w:val="24"/>
        </w:rPr>
        <w:t xml:space="preserve"> showed t</w:t>
      </w:r>
      <w:r>
        <w:rPr>
          <w:rFonts w:ascii="Times New Roman" w:eastAsia="Times New Roman" w:hAnsi="Times New Roman" w:cs="Times New Roman"/>
          <w:sz w:val="24"/>
          <w:szCs w:val="24"/>
        </w:rPr>
        <w:t>hat there was a statistically significant difference between people with RA and asthma in terms of the consequences of the illness on their life. It was also noticed that people with RA differed statistically significantly from people with hypothyroidism a</w:t>
      </w:r>
      <w:r>
        <w:rPr>
          <w:rFonts w:ascii="Times New Roman" w:eastAsia="Times New Roman" w:hAnsi="Times New Roman" w:cs="Times New Roman"/>
          <w:sz w:val="24"/>
          <w:szCs w:val="24"/>
        </w:rPr>
        <w:t>nd hypertension in terms of beliefs about deteriorating health. Further differences concerned the visibility of the symptoms: people with hypertension differed statistically significantly in this belief from those with RA, asthma, and diabetes. People with</w:t>
      </w:r>
      <w:r>
        <w:rPr>
          <w:rFonts w:ascii="Times New Roman" w:eastAsia="Times New Roman" w:hAnsi="Times New Roman" w:cs="Times New Roman"/>
          <w:sz w:val="24"/>
          <w:szCs w:val="24"/>
        </w:rPr>
        <w:t xml:space="preserve"> RA also differed from those with hypothyroidism</w:t>
      </w:r>
      <w:r>
        <w:rPr>
          <w:rFonts w:ascii="Times New Roman" w:eastAsia="Times New Roman" w:hAnsi="Times New Roman" w:cs="Times New Roman"/>
          <w:sz w:val="24"/>
          <w:szCs w:val="24"/>
        </w:rPr>
        <w:t xml:space="preserve"> in this regard</w:t>
      </w:r>
      <w:r>
        <w:rPr>
          <w:rFonts w:ascii="Times New Roman" w:eastAsia="Times New Roman" w:hAnsi="Times New Roman" w:cs="Times New Roman"/>
          <w:sz w:val="24"/>
          <w:szCs w:val="24"/>
        </w:rPr>
        <w:t>. Additionally, statistically significant differences were observed between perceived availability to predict the course of the disease between people with RA, asthma, and hypertension. People with diabetes also differed in their beliefs about the impact o</w:t>
      </w:r>
      <w:r>
        <w:rPr>
          <w:rFonts w:ascii="Times New Roman" w:eastAsia="Times New Roman" w:hAnsi="Times New Roman" w:cs="Times New Roman"/>
          <w:sz w:val="24"/>
          <w:szCs w:val="24"/>
        </w:rPr>
        <w:t xml:space="preserve">n the disease from those with RA and hypothyroidism. Also, those with hypothyroidism differed from those with hypertension on this IRB. A statistically significant difference was </w:t>
      </w:r>
      <w:r>
        <w:rPr>
          <w:rFonts w:ascii="Times New Roman" w:eastAsia="Times New Roman" w:hAnsi="Times New Roman" w:cs="Times New Roman"/>
          <w:sz w:val="24"/>
          <w:szCs w:val="24"/>
        </w:rPr>
        <w:lastRenderedPageBreak/>
        <w:t>observed between people with diabetes and hypertension in terms of the IRB re</w:t>
      </w:r>
      <w:r>
        <w:rPr>
          <w:rFonts w:ascii="Times New Roman" w:eastAsia="Times New Roman" w:hAnsi="Times New Roman" w:cs="Times New Roman"/>
          <w:sz w:val="24"/>
          <w:szCs w:val="24"/>
        </w:rPr>
        <w:t xml:space="preserve">garding </w:t>
      </w:r>
      <w:r>
        <w:rPr>
          <w:rFonts w:ascii="Times New Roman" w:eastAsia="Times New Roman" w:hAnsi="Times New Roman" w:cs="Times New Roman"/>
          <w:sz w:val="24"/>
          <w:szCs w:val="24"/>
        </w:rPr>
        <w:t>the influence of medical personnel on</w:t>
      </w:r>
      <w:r>
        <w:rPr>
          <w:rFonts w:ascii="Times New Roman" w:eastAsia="Times New Roman" w:hAnsi="Times New Roman" w:cs="Times New Roman"/>
          <w:sz w:val="24"/>
          <w:szCs w:val="24"/>
        </w:rPr>
        <w:t xml:space="preserve"> the course of the disease. On the other hand, people with RA differed statistically significantly from people with asthma, hypothyroidism, and hypertension</w:t>
      </w:r>
      <w:r>
        <w:rPr>
          <w:rFonts w:ascii="Times New Roman" w:eastAsia="Times New Roman" w:hAnsi="Times New Roman" w:cs="Times New Roman"/>
          <w:sz w:val="24"/>
          <w:szCs w:val="24"/>
        </w:rPr>
        <w:t xml:space="preserve"> in the</w:t>
      </w:r>
      <w:r>
        <w:rPr>
          <w:rFonts w:ascii="Times New Roman" w:eastAsia="Times New Roman" w:hAnsi="Times New Roman" w:cs="Times New Roman"/>
          <w:sz w:val="24"/>
          <w:szCs w:val="24"/>
        </w:rPr>
        <w:t xml:space="preserve"> IRB regarding treatment effectiveness</w:t>
      </w:r>
      <w:r>
        <w:rPr>
          <w:rFonts w:ascii="Times New Roman" w:eastAsia="Times New Roman" w:hAnsi="Times New Roman" w:cs="Times New Roman"/>
          <w:sz w:val="24"/>
          <w:szCs w:val="24"/>
        </w:rPr>
        <w:t>; people with hypertension also differed from those with diabetes in this regard</w:t>
      </w:r>
      <w:r>
        <w:rPr>
          <w:rFonts w:ascii="Times New Roman" w:eastAsia="Times New Roman" w:hAnsi="Times New Roman" w:cs="Times New Roman"/>
          <w:sz w:val="24"/>
          <w:szCs w:val="24"/>
        </w:rPr>
        <w:t>. The last difference in IRBs between the analyzed diagnoses wa</w:t>
      </w:r>
      <w:r>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between people with RA and hypertension in terms of</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subjective assessment of the severity of symptoms compared to other people</w:t>
      </w:r>
      <w:r>
        <w:rPr>
          <w:rFonts w:ascii="Times New Roman" w:eastAsia="Times New Roman" w:hAnsi="Times New Roman" w:cs="Times New Roman"/>
          <w:sz w:val="24"/>
          <w:szCs w:val="24"/>
        </w:rPr>
        <w:t>.</w:t>
      </w:r>
    </w:p>
    <w:p w:rsidR="00A04DDB" w:rsidRDefault="00F824A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terms of </w:t>
      </w:r>
      <w:r>
        <w:rPr>
          <w:rFonts w:ascii="Times New Roman" w:eastAsia="Times New Roman" w:hAnsi="Times New Roman" w:cs="Times New Roman"/>
          <w:sz w:val="24"/>
          <w:szCs w:val="24"/>
        </w:rPr>
        <w:t>cognitive appraisals</w:t>
      </w:r>
      <w:r>
        <w:rPr>
          <w:rFonts w:ascii="Times New Roman" w:eastAsia="Times New Roman" w:hAnsi="Times New Roman" w:cs="Times New Roman"/>
          <w:sz w:val="24"/>
          <w:szCs w:val="24"/>
        </w:rPr>
        <w:t xml:space="preserve">, a statistically significant difference was noticed between people with RA and </w:t>
      </w:r>
      <w:r>
        <w:rPr>
          <w:rFonts w:ascii="Times New Roman" w:eastAsia="Times New Roman" w:hAnsi="Times New Roman" w:cs="Times New Roman"/>
          <w:sz w:val="24"/>
          <w:szCs w:val="24"/>
        </w:rPr>
        <w:t xml:space="preserve">those with </w:t>
      </w:r>
      <w:r>
        <w:rPr>
          <w:rFonts w:ascii="Times New Roman" w:eastAsia="Times New Roman" w:hAnsi="Times New Roman" w:cs="Times New Roman"/>
          <w:sz w:val="24"/>
          <w:szCs w:val="24"/>
        </w:rPr>
        <w:t xml:space="preserve">asthma, hypothyroidism, </w:t>
      </w:r>
      <w:r>
        <w:rPr>
          <w:rFonts w:ascii="Times New Roman" w:eastAsia="Times New Roman" w:hAnsi="Times New Roman" w:cs="Times New Roman"/>
          <w:sz w:val="24"/>
          <w:szCs w:val="24"/>
        </w:rPr>
        <w:t xml:space="preserve">and </w:t>
      </w:r>
      <w:r>
        <w:rPr>
          <w:rFonts w:ascii="Times New Roman" w:eastAsia="Times New Roman" w:hAnsi="Times New Roman" w:cs="Times New Roman"/>
          <w:sz w:val="24"/>
          <w:szCs w:val="24"/>
        </w:rPr>
        <w:t>hypertension in terms of Loss, Challenge, Threat, and Significance. Also, people with diabetes and hypertension differed significantly in</w:t>
      </w:r>
      <w:r>
        <w:rPr>
          <w:rFonts w:ascii="Times New Roman" w:eastAsia="Times New Roman" w:hAnsi="Times New Roman" w:cs="Times New Roman"/>
          <w:sz w:val="24"/>
          <w:szCs w:val="24"/>
        </w:rPr>
        <w:t xml:space="preserve"> terms of Loss, Benefit, and Challenge. </w:t>
      </w:r>
    </w:p>
    <w:p w:rsidR="00A04DDB" w:rsidRDefault="00F824A0">
      <w:pPr>
        <w:spacing w:line="480" w:lineRule="auto"/>
        <w:rPr>
          <w:rFonts w:ascii="Times New Roman" w:eastAsia="Times New Roman" w:hAnsi="Times New Roman" w:cs="Times New Roman"/>
          <w:sz w:val="24"/>
          <w:szCs w:val="24"/>
        </w:rPr>
      </w:pPr>
      <w:bookmarkStart w:id="0" w:name="_gjdgxs" w:colFirst="0" w:colLast="0"/>
      <w:bookmarkEnd w:id="0"/>
      <w:r>
        <w:rPr>
          <w:rFonts w:ascii="Times New Roman" w:eastAsia="Times New Roman" w:hAnsi="Times New Roman" w:cs="Times New Roman"/>
          <w:sz w:val="24"/>
          <w:szCs w:val="24"/>
        </w:rPr>
        <w:t>There were no statistically significant differences between the groups in terms of the severity of depressive symptoms. In turn, in the case of the ALDS Self-distancing from the Disease scale, differences were notic</w:t>
      </w:r>
      <w:r>
        <w:rPr>
          <w:rFonts w:ascii="Times New Roman" w:eastAsia="Times New Roman" w:hAnsi="Times New Roman" w:cs="Times New Roman"/>
          <w:sz w:val="24"/>
          <w:szCs w:val="24"/>
        </w:rPr>
        <w:t xml:space="preserve">ed between people with RA and with asthma, hypothyroidism, and hypertension as well as between people with diabetes and with hypertension. People with RA differed statistically significantly from those with hypertension in terms of </w:t>
      </w:r>
      <w:r>
        <w:rPr>
          <w:rFonts w:ascii="Times New Roman" w:eastAsia="Times New Roman" w:hAnsi="Times New Roman" w:cs="Times New Roman"/>
          <w:sz w:val="24"/>
          <w:szCs w:val="24"/>
        </w:rPr>
        <w:t>acceptance of living</w:t>
      </w:r>
      <w:r>
        <w:rPr>
          <w:rFonts w:ascii="Times New Roman" w:eastAsia="Times New Roman" w:hAnsi="Times New Roman" w:cs="Times New Roman"/>
          <w:sz w:val="24"/>
          <w:szCs w:val="24"/>
        </w:rPr>
        <w:t xml:space="preserve"> with </w:t>
      </w:r>
      <w:bookmarkStart w:id="1" w:name="_GoBack"/>
      <w:bookmarkEnd w:id="1"/>
      <w:r>
        <w:rPr>
          <w:rFonts w:ascii="Times New Roman" w:eastAsia="Times New Roman" w:hAnsi="Times New Roman" w:cs="Times New Roman"/>
          <w:sz w:val="24"/>
          <w:szCs w:val="24"/>
        </w:rPr>
        <w:t>disease global score.</w:t>
      </w:r>
    </w:p>
    <w:p w:rsidR="00A04DDB" w:rsidRDefault="00A04DDB"/>
    <w:sectPr w:rsidR="00A04DDB">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eorgia">
    <w:panose1 w:val="02040502050405020303"/>
    <w:charset w:val="00"/>
    <w:family w:val="auto"/>
    <w:pitch w:val="default"/>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DDB"/>
    <w:rsid w:val="00A04DDB"/>
    <w:rsid w:val="00F824A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3BA8C2A-AD7B-4F86-86AC-4DE05F643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style>
  <w:style w:type="paragraph" w:styleId="Nagwek1">
    <w:name w:val="heading 1"/>
    <w:basedOn w:val="Normalny"/>
    <w:next w:val="Normalny"/>
    <w:pPr>
      <w:keepNext/>
      <w:keepLines/>
      <w:spacing w:before="480" w:after="120"/>
      <w:outlineLvl w:val="0"/>
    </w:pPr>
    <w:rPr>
      <w:b/>
      <w:sz w:val="48"/>
      <w:szCs w:val="48"/>
    </w:rPr>
  </w:style>
  <w:style w:type="paragraph" w:styleId="Nagwek2">
    <w:name w:val="heading 2"/>
    <w:basedOn w:val="Normalny"/>
    <w:next w:val="Normalny"/>
    <w:pPr>
      <w:keepNext/>
      <w:keepLines/>
      <w:spacing w:before="360" w:after="80"/>
      <w:outlineLvl w:val="1"/>
    </w:pPr>
    <w:rPr>
      <w:b/>
      <w:sz w:val="36"/>
      <w:szCs w:val="36"/>
    </w:rPr>
  </w:style>
  <w:style w:type="paragraph" w:styleId="Nagwek3">
    <w:name w:val="heading 3"/>
    <w:basedOn w:val="Normalny"/>
    <w:next w:val="Normalny"/>
    <w:pPr>
      <w:keepNext/>
      <w:keepLines/>
      <w:spacing w:before="280" w:after="80"/>
      <w:outlineLvl w:val="2"/>
    </w:pPr>
    <w:rPr>
      <w:b/>
      <w:sz w:val="28"/>
      <w:szCs w:val="28"/>
    </w:rPr>
  </w:style>
  <w:style w:type="paragraph" w:styleId="Nagwek4">
    <w:name w:val="heading 4"/>
    <w:basedOn w:val="Normalny"/>
    <w:next w:val="Normalny"/>
    <w:pPr>
      <w:keepNext/>
      <w:keepLines/>
      <w:spacing w:before="240" w:after="40"/>
      <w:outlineLvl w:val="3"/>
    </w:pPr>
    <w:rPr>
      <w:b/>
      <w:sz w:val="24"/>
      <w:szCs w:val="24"/>
    </w:rPr>
  </w:style>
  <w:style w:type="paragraph" w:styleId="Nagwek5">
    <w:name w:val="heading 5"/>
    <w:basedOn w:val="Normalny"/>
    <w:next w:val="Normalny"/>
    <w:pPr>
      <w:keepNext/>
      <w:keepLines/>
      <w:spacing w:before="220" w:after="40"/>
      <w:outlineLvl w:val="4"/>
    </w:pPr>
    <w:rPr>
      <w:b/>
    </w:rPr>
  </w:style>
  <w:style w:type="paragraph" w:styleId="Nagwek6">
    <w:name w:val="heading 6"/>
    <w:basedOn w:val="Normalny"/>
    <w:next w:val="Normalny"/>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pPr>
      <w:keepNext/>
      <w:keepLines/>
      <w:spacing w:before="480" w:after="120"/>
    </w:pPr>
    <w:rPr>
      <w:b/>
      <w:sz w:val="72"/>
      <w:szCs w:val="72"/>
    </w:rPr>
  </w:style>
  <w:style w:type="paragraph" w:styleId="Podtytu">
    <w:name w:val="Subtitle"/>
    <w:basedOn w:val="Normalny"/>
    <w:next w:val="Normalny"/>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70" w:type="dxa"/>
        <w:bottom w:w="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864</Words>
  <Characters>5190</Characters>
  <Application>Microsoft Office Word</Application>
  <DocSecurity>0</DocSecurity>
  <Lines>43</Lines>
  <Paragraphs>12</Paragraphs>
  <ScaleCrop>false</ScaleCrop>
  <Company/>
  <LinksUpToDate>false</LinksUpToDate>
  <CharactersWithSpaces>6042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Użytkownik systemu Windows</cp:lastModifiedBy>
  <cp:revision>3</cp:revision>
  <dcterms:created xsi:type="dcterms:W3CDTF">2021-04-16T12:22:00Z</dcterms:created>
  <dcterms:modified xsi:type="dcterms:W3CDTF">2021-04-16T12:23:00Z</dcterms:modified>
</cp:coreProperties>
</file>