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5B0C" w:rsidRDefault="006B5B0C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B5B0C" w:rsidRDefault="00CF6C8C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Appendix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Frequencies of clinically important depressive symptoms and suicidal ideations and tendencies.</w:t>
      </w:r>
    </w:p>
    <w:tbl>
      <w:tblPr>
        <w:tblStyle w:val="a"/>
        <w:tblW w:w="1006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452"/>
        <w:gridCol w:w="2153"/>
        <w:gridCol w:w="716"/>
        <w:gridCol w:w="1437"/>
        <w:gridCol w:w="1436"/>
        <w:gridCol w:w="717"/>
        <w:gridCol w:w="2154"/>
      </w:tblGrid>
      <w:tr w:rsidR="006B5B0C">
        <w:trPr>
          <w:trHeight w:val="388"/>
        </w:trPr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Depressive symptoms</w:t>
            </w:r>
          </w:p>
        </w:tc>
        <w:tc>
          <w:tcPr>
            <w:tcW w:w="21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No clinically significant depressive symptoms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215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ild depressive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symptoms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severity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215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oderate depressive symptoms severity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21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Severe depressive symptoms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(%)</w:t>
            </w:r>
          </w:p>
        </w:tc>
      </w:tr>
      <w:tr w:rsidR="006B5B0C">
        <w:trPr>
          <w:trHeight w:val="388"/>
        </w:trPr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General</w:t>
            </w:r>
          </w:p>
        </w:tc>
        <w:tc>
          <w:tcPr>
            <w:tcW w:w="2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 (47.7)</w:t>
            </w:r>
          </w:p>
        </w:tc>
        <w:tc>
          <w:tcPr>
            <w:tcW w:w="215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 (24.8)</w:t>
            </w:r>
          </w:p>
        </w:tc>
        <w:tc>
          <w:tcPr>
            <w:tcW w:w="215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 (16.6)</w:t>
            </w:r>
          </w:p>
        </w:tc>
        <w:tc>
          <w:tcPr>
            <w:tcW w:w="2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 (10.9)</w:t>
            </w:r>
          </w:p>
        </w:tc>
      </w:tr>
      <w:tr w:rsidR="006B5B0C">
        <w:trPr>
          <w:trHeight w:val="388"/>
        </w:trPr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</w:t>
            </w:r>
          </w:p>
        </w:tc>
        <w:tc>
          <w:tcPr>
            <w:tcW w:w="2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 (40.6)</w:t>
            </w:r>
          </w:p>
        </w:tc>
        <w:tc>
          <w:tcPr>
            <w:tcW w:w="215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 (29.7)</w:t>
            </w:r>
          </w:p>
        </w:tc>
        <w:tc>
          <w:tcPr>
            <w:tcW w:w="215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 (23.4)</w:t>
            </w:r>
          </w:p>
        </w:tc>
        <w:tc>
          <w:tcPr>
            <w:tcW w:w="2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(6.3)</w:t>
            </w:r>
          </w:p>
        </w:tc>
      </w:tr>
      <w:tr w:rsidR="006B5B0C">
        <w:trPr>
          <w:trHeight w:val="388"/>
        </w:trPr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Asthma</w:t>
            </w:r>
          </w:p>
        </w:tc>
        <w:tc>
          <w:tcPr>
            <w:tcW w:w="2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 (49.4)</w:t>
            </w:r>
          </w:p>
        </w:tc>
        <w:tc>
          <w:tcPr>
            <w:tcW w:w="215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 (20.7)</w:t>
            </w:r>
          </w:p>
        </w:tc>
        <w:tc>
          <w:tcPr>
            <w:tcW w:w="215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 (16.1)</w:t>
            </w:r>
          </w:p>
        </w:tc>
        <w:tc>
          <w:tcPr>
            <w:tcW w:w="2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(13.8)</w:t>
            </w:r>
          </w:p>
        </w:tc>
      </w:tr>
      <w:tr w:rsidR="006B5B0C">
        <w:trPr>
          <w:trHeight w:val="388"/>
        </w:trPr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Hypothyroidism</w:t>
            </w:r>
          </w:p>
        </w:tc>
        <w:tc>
          <w:tcPr>
            <w:tcW w:w="2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 (39.2)</w:t>
            </w:r>
          </w:p>
        </w:tc>
        <w:tc>
          <w:tcPr>
            <w:tcW w:w="215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 (28.5)</w:t>
            </w:r>
          </w:p>
        </w:tc>
        <w:tc>
          <w:tcPr>
            <w:tcW w:w="215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 (18.5)</w:t>
            </w:r>
          </w:p>
        </w:tc>
        <w:tc>
          <w:tcPr>
            <w:tcW w:w="2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 (13.8)</w:t>
            </w:r>
          </w:p>
        </w:tc>
      </w:tr>
      <w:tr w:rsidR="006B5B0C">
        <w:trPr>
          <w:trHeight w:val="388"/>
        </w:trPr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2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 (52.5)</w:t>
            </w:r>
          </w:p>
        </w:tc>
        <w:tc>
          <w:tcPr>
            <w:tcW w:w="215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 (19.8)</w:t>
            </w:r>
          </w:p>
        </w:tc>
        <w:tc>
          <w:tcPr>
            <w:tcW w:w="215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 (17.8)</w:t>
            </w:r>
          </w:p>
        </w:tc>
        <w:tc>
          <w:tcPr>
            <w:tcW w:w="2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(9.9)</w:t>
            </w:r>
          </w:p>
        </w:tc>
      </w:tr>
      <w:tr w:rsidR="006B5B0C">
        <w:trPr>
          <w:trHeight w:val="388"/>
        </w:trPr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21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 (55.3)</w:t>
            </w:r>
          </w:p>
        </w:tc>
        <w:tc>
          <w:tcPr>
            <w:tcW w:w="215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 (25.2)</w:t>
            </w:r>
          </w:p>
        </w:tc>
        <w:tc>
          <w:tcPr>
            <w:tcW w:w="215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 (10.6)</w:t>
            </w:r>
          </w:p>
        </w:tc>
        <w:tc>
          <w:tcPr>
            <w:tcW w:w="2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 (8.9)</w:t>
            </w:r>
          </w:p>
        </w:tc>
      </w:tr>
      <w:tr w:rsidR="006B5B0C">
        <w:trPr>
          <w:trHeight w:val="388"/>
        </w:trPr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Suicidal ideations/tendencies</w:t>
            </w:r>
          </w:p>
        </w:tc>
        <w:tc>
          <w:tcPr>
            <w:tcW w:w="286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287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Suicid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ideation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28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Suicid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tendencies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(%)</w:t>
            </w:r>
          </w:p>
        </w:tc>
      </w:tr>
      <w:tr w:rsidR="006B5B0C">
        <w:trPr>
          <w:trHeight w:val="388"/>
        </w:trPr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General</w:t>
            </w:r>
          </w:p>
        </w:tc>
        <w:tc>
          <w:tcPr>
            <w:tcW w:w="286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 (83.4)</w:t>
            </w:r>
          </w:p>
        </w:tc>
        <w:tc>
          <w:tcPr>
            <w:tcW w:w="287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 (13.1)</w:t>
            </w:r>
          </w:p>
        </w:tc>
        <w:tc>
          <w:tcPr>
            <w:tcW w:w="28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 (3.6)</w:t>
            </w:r>
          </w:p>
        </w:tc>
      </w:tr>
      <w:tr w:rsidR="006B5B0C">
        <w:trPr>
          <w:trHeight w:val="388"/>
        </w:trPr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</w:t>
            </w:r>
          </w:p>
        </w:tc>
        <w:tc>
          <w:tcPr>
            <w:tcW w:w="286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 (82.8)</w:t>
            </w:r>
          </w:p>
        </w:tc>
        <w:tc>
          <w:tcPr>
            <w:tcW w:w="287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(15.6)</w:t>
            </w:r>
          </w:p>
        </w:tc>
        <w:tc>
          <w:tcPr>
            <w:tcW w:w="28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(1.6)</w:t>
            </w:r>
          </w:p>
        </w:tc>
      </w:tr>
      <w:tr w:rsidR="006B5B0C">
        <w:trPr>
          <w:trHeight w:val="388"/>
        </w:trPr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Asthma</w:t>
            </w:r>
          </w:p>
        </w:tc>
        <w:tc>
          <w:tcPr>
            <w:tcW w:w="286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 (81.6)</w:t>
            </w:r>
          </w:p>
        </w:tc>
        <w:tc>
          <w:tcPr>
            <w:tcW w:w="287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(9.2)</w:t>
            </w:r>
          </w:p>
        </w:tc>
        <w:tc>
          <w:tcPr>
            <w:tcW w:w="28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(9.2)</w:t>
            </w:r>
          </w:p>
        </w:tc>
      </w:tr>
      <w:tr w:rsidR="006B5B0C">
        <w:trPr>
          <w:trHeight w:val="388"/>
        </w:trPr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Hypothyroidism</w:t>
            </w:r>
          </w:p>
        </w:tc>
        <w:tc>
          <w:tcPr>
            <w:tcW w:w="286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 (79.2)</w:t>
            </w:r>
          </w:p>
        </w:tc>
        <w:tc>
          <w:tcPr>
            <w:tcW w:w="287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 (17.7)</w:t>
            </w:r>
          </w:p>
        </w:tc>
        <w:tc>
          <w:tcPr>
            <w:tcW w:w="28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(3.1)</w:t>
            </w:r>
          </w:p>
        </w:tc>
      </w:tr>
      <w:tr w:rsidR="006B5B0C">
        <w:trPr>
          <w:trHeight w:val="388"/>
        </w:trPr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286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 (85.1)</w:t>
            </w:r>
          </w:p>
        </w:tc>
        <w:tc>
          <w:tcPr>
            <w:tcW w:w="287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(11.9)</w:t>
            </w:r>
          </w:p>
        </w:tc>
        <w:tc>
          <w:tcPr>
            <w:tcW w:w="28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(3.0)</w:t>
            </w:r>
          </w:p>
        </w:tc>
      </w:tr>
      <w:tr w:rsidR="006B5B0C">
        <w:trPr>
          <w:trHeight w:val="388"/>
        </w:trPr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286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 (87.8)</w:t>
            </w:r>
          </w:p>
        </w:tc>
        <w:tc>
          <w:tcPr>
            <w:tcW w:w="287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 (10.6)</w:t>
            </w:r>
          </w:p>
        </w:tc>
        <w:tc>
          <w:tcPr>
            <w:tcW w:w="287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0C" w:rsidRDefault="00CF6C8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(1.6)</w:t>
            </w:r>
          </w:p>
        </w:tc>
      </w:tr>
    </w:tbl>
    <w:p w:rsidR="006B5B0C" w:rsidRDefault="00CF6C8C">
      <w:pPr>
        <w:spacing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RA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Rheumatoid arthritis</w:t>
      </w:r>
    </w:p>
    <w:p w:rsidR="006B5B0C" w:rsidRDefault="00CF6C8C">
      <w:pPr>
        <w:spacing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incidence of clinically significant depressive symptoms (understood as moderate/severe depressive symptoms according to BDI-I cut-off scores)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the whole group, they had a prevalence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27.5</w:t>
      </w:r>
      <w:r>
        <w:rPr>
          <w:rFonts w:ascii="Times New Roman" w:eastAsia="Times New Roman" w:hAnsi="Times New Roman" w:cs="Times New Roman"/>
          <w:sz w:val="24"/>
          <w:szCs w:val="24"/>
        </w:rPr>
        <w:t>%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they were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highest in the group of people with hypothyroidism. (32.3%) and the lowest in people diagnosed with hypertension (19.5%). The </w:t>
      </w:r>
      <w:r>
        <w:rPr>
          <w:rFonts w:ascii="Times New Roman" w:eastAsia="Times New Roman" w:hAnsi="Times New Roman" w:cs="Times New Roman"/>
          <w:sz w:val="24"/>
          <w:szCs w:val="24"/>
        </w:rPr>
        <w:t>frequencies of suicidal thoughts and ideations were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also analyzed, </w:t>
      </w:r>
      <w:r>
        <w:rPr>
          <w:rFonts w:ascii="Times New Roman" w:eastAsia="Times New Roman" w:hAnsi="Times New Roman" w:cs="Times New Roman"/>
          <w:sz w:val="24"/>
          <w:szCs w:val="24"/>
        </w:rPr>
        <w:t>amounting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13.1% (</w:t>
      </w:r>
      <w:r>
        <w:rPr>
          <w:rFonts w:ascii="Times New Roman" w:eastAsia="Times New Roman" w:hAnsi="Times New Roman" w:cs="Times New Roman"/>
          <w:sz w:val="24"/>
          <w:szCs w:val="24"/>
        </w:rPr>
        <w:t>ideation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and 3.6% (tendencies) in the whole group. The highest incidence of suicidal </w:t>
      </w:r>
      <w:r>
        <w:rPr>
          <w:rFonts w:ascii="Times New Roman" w:eastAsia="Times New Roman" w:hAnsi="Times New Roman" w:cs="Times New Roman"/>
          <w:sz w:val="24"/>
          <w:szCs w:val="24"/>
        </w:rPr>
        <w:t>ideation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was found in people with hypothyroidism (17.7%), and the lowest in people with asthma (9.2%).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he highest percentage of people with suicidal tendencies was observed in the group of people with asthma (9.2%) and the lowest in the group of people with hypertension and RA (1.6%).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The results of other studies focusing on determining the frequ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ency of depressive symptoms show a very wide range due to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differences in the clinical groups studied and the tools used (e.g., </w:t>
      </w:r>
      <w:r>
        <w:rPr>
          <w:rFonts w:ascii="Times New Roman" w:eastAsia="Times New Roman" w:hAnsi="Times New Roman" w:cs="Times New Roman"/>
          <w:sz w:val="24"/>
          <w:szCs w:val="24"/>
        </w:rPr>
        <w:t>ranging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from 4.27% to even 75%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eastAsia="Times New Roman" w:hAnsi="Times New Roman" w:cs="Times New Roman"/>
          <w:sz w:val="24"/>
          <w:szCs w:val="24"/>
        </w:rPr>
        <w:t>systemic lupus erythematosus; Macedo et al., 2018; Solaro et al., 2018)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method </w:t>
      </w:r>
      <w:r>
        <w:rPr>
          <w:rFonts w:ascii="Times New Roman" w:eastAsia="Times New Roman" w:hAnsi="Times New Roman" w:cs="Times New Roman"/>
          <w:sz w:val="24"/>
          <w:szCs w:val="24"/>
        </w:rPr>
        <w:t>used to determine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 the presence of clinically significant symptoms and applying specific cut-off points. Older analyses (Katon &amp; Schulberg, 1992) estimate the prevalence of major depression as 5–10% in primary care cli</w:t>
      </w:r>
      <w:r>
        <w:rPr>
          <w:rFonts w:ascii="Times New Roman" w:eastAsia="Times New Roman" w:hAnsi="Times New Roman" w:cs="Times New Roman"/>
          <w:sz w:val="24"/>
          <w:szCs w:val="24"/>
        </w:rPr>
        <w:t>nics and 6–14% in inpatient wards. It is worth remembering that some depressive symptoms assessed with BDI-I may overlap with symptoms of the analyzed chronic diseases.</w:t>
      </w:r>
    </w:p>
    <w:p w:rsidR="006B5B0C" w:rsidRDefault="00CF6C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Katon, W., &amp; Schulberg, H. (1992). Epidemiology of depression in primary care.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General hospital psychiatry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14</w:t>
      </w:r>
      <w:r>
        <w:rPr>
          <w:rFonts w:ascii="Times New Roman" w:eastAsia="Times New Roman" w:hAnsi="Times New Roman" w:cs="Times New Roman"/>
          <w:sz w:val="24"/>
          <w:szCs w:val="24"/>
        </w:rPr>
        <w:t>(4), 237-247.</w:t>
      </w:r>
    </w:p>
    <w:p w:rsidR="006B5B0C" w:rsidRDefault="006B5B0C"/>
    <w:p w:rsidR="006B5B0C" w:rsidRDefault="00CF6C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Macedo, E. A., Appenzeller, S., &amp; Costallat, L. T. L. (2018). Depression in systemic lupus erythematosus: gender differences in the performance of the Beck Depression Inventory (BDI), Center for Epidemiologic 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tudies Depression Scale (CES-D), and Hospital Anxiety and Depression Scale (HADS).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Lupus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27</w:t>
      </w:r>
      <w:r>
        <w:rPr>
          <w:rFonts w:ascii="Times New Roman" w:eastAsia="Times New Roman" w:hAnsi="Times New Roman" w:cs="Times New Roman"/>
          <w:sz w:val="24"/>
          <w:szCs w:val="24"/>
        </w:rPr>
        <w:t>(2), 179-189.</w:t>
      </w:r>
    </w:p>
    <w:p w:rsidR="006B5B0C" w:rsidRDefault="006B5B0C"/>
    <w:p w:rsidR="006B5B0C" w:rsidRDefault="00CF6C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Solaro, C., Gamberini, G., &amp; Masuccio, F. G. (2018). Depression in multiple sclerosis: epidemiology, aetiology, diagnosis and treatment.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CNS drugs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(2), 117-133.</w:t>
      </w:r>
    </w:p>
    <w:p w:rsidR="006B5B0C" w:rsidRDefault="006B5B0C">
      <w:bookmarkStart w:id="1" w:name="_gjdgxs" w:colFirst="0" w:colLast="0"/>
      <w:bookmarkEnd w:id="1"/>
    </w:p>
    <w:sectPr w:rsidR="006B5B0C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B0C"/>
    <w:rsid w:val="006B5B0C"/>
    <w:rsid w:val="00CF6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BF9936-2F4B-4360-A9DC-D75DEF3DB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6C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6C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</Words>
  <Characters>2609</Characters>
  <Application>Microsoft Office Word</Application>
  <DocSecurity>0</DocSecurity>
  <Lines>21</Lines>
  <Paragraphs>6</Paragraphs>
  <ScaleCrop>false</ScaleCrop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Użytkownik systemu Windows</cp:lastModifiedBy>
  <cp:revision>2</cp:revision>
  <dcterms:created xsi:type="dcterms:W3CDTF">2021-04-16T12:19:00Z</dcterms:created>
  <dcterms:modified xsi:type="dcterms:W3CDTF">2021-04-16T12:20:00Z</dcterms:modified>
</cp:coreProperties>
</file>