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09C91" w14:textId="77777777" w:rsidR="002225D3" w:rsidRPr="00314543" w:rsidRDefault="002225D3" w:rsidP="002225D3">
      <w:pPr>
        <w:pStyle w:val="SupplementaryMaterial"/>
        <w:rPr>
          <w:i w:val="0"/>
          <w:iCs/>
          <w:sz w:val="28"/>
          <w:szCs w:val="28"/>
        </w:rPr>
      </w:pPr>
      <w:r w:rsidRPr="00314543">
        <w:rPr>
          <w:i w:val="0"/>
          <w:iCs/>
          <w:sz w:val="28"/>
          <w:szCs w:val="28"/>
        </w:rPr>
        <w:t>Supplementary Material</w:t>
      </w:r>
    </w:p>
    <w:p w14:paraId="5C0CB6E7" w14:textId="6C395D02" w:rsidR="009B01D2" w:rsidRDefault="009B01D2"/>
    <w:p w14:paraId="7228EC3F" w14:textId="77777777" w:rsidR="00314543" w:rsidRDefault="00314543" w:rsidP="00314543">
      <w:pPr>
        <w:jc w:val="both"/>
        <w:rPr>
          <w:lang w:val="en-US"/>
        </w:rPr>
      </w:pPr>
      <w:r w:rsidRPr="006E4BBD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S</w:t>
      </w:r>
      <w:r w:rsidRPr="006E4BBD">
        <w:rPr>
          <w:b/>
          <w:bCs/>
          <w:lang w:val="en-US"/>
        </w:rPr>
        <w:t xml:space="preserve">1: </w:t>
      </w:r>
      <w:r w:rsidRPr="006E4BBD">
        <w:rPr>
          <w:lang w:val="en-US"/>
        </w:rPr>
        <w:t>Autoantibodies dataset and full name</w:t>
      </w:r>
    </w:p>
    <w:p w14:paraId="26FC1F74" w14:textId="77777777" w:rsidR="00314543" w:rsidRPr="006E4BBD" w:rsidRDefault="00314543" w:rsidP="00314543">
      <w:pPr>
        <w:jc w:val="both"/>
        <w:rPr>
          <w:lang w:val="en-US"/>
        </w:rPr>
      </w:pPr>
    </w:p>
    <w:tbl>
      <w:tblPr>
        <w:tblStyle w:val="GridTable2-Accent3"/>
        <w:tblW w:w="0" w:type="auto"/>
        <w:tblLook w:val="04A0" w:firstRow="1" w:lastRow="0" w:firstColumn="1" w:lastColumn="0" w:noHBand="0" w:noVBand="1"/>
      </w:tblPr>
      <w:tblGrid>
        <w:gridCol w:w="4508"/>
        <w:gridCol w:w="3789"/>
      </w:tblGrid>
      <w:tr w:rsidR="00314543" w14:paraId="704E7A09" w14:textId="77777777" w:rsidTr="00127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14F74A4" w14:textId="77777777" w:rsidR="00314543" w:rsidRPr="004131D9" w:rsidRDefault="00314543" w:rsidP="00127554">
            <w:pPr>
              <w:jc w:val="both"/>
              <w:rPr>
                <w:lang w:val="de-DE"/>
              </w:rPr>
            </w:pPr>
            <w:proofErr w:type="spellStart"/>
            <w:r w:rsidRPr="004131D9">
              <w:rPr>
                <w:lang w:val="de-DE"/>
              </w:rPr>
              <w:t>A</w:t>
            </w:r>
            <w:r>
              <w:rPr>
                <w:lang w:val="de-DE"/>
              </w:rPr>
              <w:t>utoantibodies</w:t>
            </w:r>
            <w:proofErr w:type="spellEnd"/>
            <w:r w:rsidRPr="004131D9">
              <w:rPr>
                <w:lang w:val="de-DE"/>
              </w:rPr>
              <w:t xml:space="preserve"> </w:t>
            </w:r>
            <w:proofErr w:type="spellStart"/>
            <w:r w:rsidRPr="004131D9">
              <w:rPr>
                <w:lang w:val="de-DE"/>
              </w:rPr>
              <w:t>dataset</w:t>
            </w:r>
            <w:proofErr w:type="spellEnd"/>
            <w:r w:rsidRPr="004131D9">
              <w:rPr>
                <w:lang w:val="de-DE"/>
              </w:rPr>
              <w:t xml:space="preserve"> </w:t>
            </w:r>
          </w:p>
        </w:tc>
        <w:tc>
          <w:tcPr>
            <w:tcW w:w="3789" w:type="dxa"/>
          </w:tcPr>
          <w:p w14:paraId="503A86B4" w14:textId="77777777" w:rsidR="00314543" w:rsidRPr="004131D9" w:rsidRDefault="00314543" w:rsidP="0012755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proofErr w:type="spellStart"/>
            <w:r w:rsidRPr="004131D9">
              <w:rPr>
                <w:lang w:val="de-DE"/>
              </w:rPr>
              <w:t>Full</w:t>
            </w:r>
            <w:proofErr w:type="spellEnd"/>
            <w:r w:rsidRPr="004131D9">
              <w:rPr>
                <w:lang w:val="de-DE"/>
              </w:rPr>
              <w:t xml:space="preserve"> </w:t>
            </w:r>
            <w:proofErr w:type="spellStart"/>
            <w:r w:rsidRPr="004131D9">
              <w:rPr>
                <w:lang w:val="de-DE"/>
              </w:rPr>
              <w:t>name</w:t>
            </w:r>
            <w:proofErr w:type="spellEnd"/>
            <w:r w:rsidRPr="004131D9">
              <w:rPr>
                <w:lang w:val="de-DE"/>
              </w:rPr>
              <w:t xml:space="preserve"> </w:t>
            </w:r>
          </w:p>
        </w:tc>
      </w:tr>
      <w:tr w:rsidR="00314543" w14:paraId="307DDDD8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7" w:type="dxa"/>
            <w:gridSpan w:val="2"/>
          </w:tcPr>
          <w:p w14:paraId="0DAC9286" w14:textId="77777777" w:rsidR="00314543" w:rsidRPr="0032436E" w:rsidRDefault="00314543" w:rsidP="00127554">
            <w:pPr>
              <w:rPr>
                <w:u w:val="single"/>
              </w:rPr>
            </w:pPr>
            <w:r w:rsidRPr="0032436E">
              <w:rPr>
                <w:u w:val="single"/>
              </w:rPr>
              <w:t>G protein-coupled receptors</w:t>
            </w:r>
          </w:p>
        </w:tc>
      </w:tr>
      <w:tr w:rsidR="00314543" w14:paraId="2E4A7604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7B48607" w14:textId="77777777" w:rsidR="00314543" w:rsidRPr="004131D9" w:rsidRDefault="00314543" w:rsidP="00127554">
            <w:r>
              <w:t>AT1R</w:t>
            </w:r>
          </w:p>
        </w:tc>
        <w:tc>
          <w:tcPr>
            <w:tcW w:w="3789" w:type="dxa"/>
          </w:tcPr>
          <w:p w14:paraId="13869D3A" w14:textId="77777777" w:rsidR="00314543" w:rsidRPr="004131D9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angiotensin II receptor type 1 </w:t>
            </w:r>
          </w:p>
        </w:tc>
      </w:tr>
      <w:tr w:rsidR="00314543" w14:paraId="324A2666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99E36EA" w14:textId="77777777" w:rsidR="00314543" w:rsidRDefault="00314543" w:rsidP="00127554">
            <w:r>
              <w:t>AT2R</w:t>
            </w:r>
          </w:p>
        </w:tc>
        <w:tc>
          <w:tcPr>
            <w:tcW w:w="3789" w:type="dxa"/>
          </w:tcPr>
          <w:p w14:paraId="45ADA971" w14:textId="77777777" w:rsidR="00314543" w:rsidRPr="004131D9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t xml:space="preserve">angiotensin II receptor type </w:t>
            </w:r>
            <w:r>
              <w:rPr>
                <w:lang w:val="de-DE"/>
              </w:rPr>
              <w:t>2</w:t>
            </w:r>
          </w:p>
        </w:tc>
      </w:tr>
      <w:tr w:rsidR="00314543" w14:paraId="7E96ECC6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1AFE26E" w14:textId="77777777" w:rsidR="00314543" w:rsidRPr="004131D9" w:rsidRDefault="00314543" w:rsidP="00127554">
            <w:r>
              <w:t xml:space="preserve">ADRB2 </w:t>
            </w:r>
          </w:p>
        </w:tc>
        <w:tc>
          <w:tcPr>
            <w:tcW w:w="3789" w:type="dxa"/>
          </w:tcPr>
          <w:p w14:paraId="338E8BD3" w14:textId="77777777" w:rsidR="00314543" w:rsidRPr="004131D9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beta-2 adrenergic receptor</w:t>
            </w:r>
          </w:p>
        </w:tc>
      </w:tr>
      <w:tr w:rsidR="00314543" w14:paraId="4DB69403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F0660EF" w14:textId="77777777" w:rsidR="00314543" w:rsidRDefault="00314543" w:rsidP="00127554">
            <w:r w:rsidRPr="005E669B">
              <w:t>ADRA1A</w:t>
            </w:r>
          </w:p>
        </w:tc>
        <w:tc>
          <w:tcPr>
            <w:tcW w:w="3789" w:type="dxa"/>
          </w:tcPr>
          <w:p w14:paraId="32C1BE84" w14:textId="77777777" w:rsidR="00314543" w:rsidRPr="005E669B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 xml:space="preserve">alpha-1 </w:t>
            </w:r>
            <w:r>
              <w:t>adrenergic receptor</w:t>
            </w:r>
          </w:p>
        </w:tc>
      </w:tr>
      <w:tr w:rsidR="00314543" w14:paraId="7773651B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0590A8F" w14:textId="77777777" w:rsidR="00314543" w:rsidRPr="004131D9" w:rsidRDefault="00314543" w:rsidP="00127554">
            <w:r>
              <w:t>CXCR3</w:t>
            </w:r>
          </w:p>
        </w:tc>
        <w:tc>
          <w:tcPr>
            <w:tcW w:w="3789" w:type="dxa"/>
          </w:tcPr>
          <w:p w14:paraId="22F6F721" w14:textId="77777777" w:rsidR="00314543" w:rsidRPr="00382290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chemokine (C-X-C motif receptor 3</w:t>
            </w:r>
          </w:p>
        </w:tc>
      </w:tr>
      <w:tr w:rsidR="00314543" w14:paraId="315B827F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0FABEE3" w14:textId="77777777" w:rsidR="00314543" w:rsidRPr="008450B5" w:rsidRDefault="00314543" w:rsidP="00127554">
            <w:pPr>
              <w:rPr>
                <w:lang w:val="de-DE"/>
              </w:rPr>
            </w:pPr>
            <w:r>
              <w:t xml:space="preserve">ETAR </w:t>
            </w:r>
            <w:proofErr w:type="spellStart"/>
            <w:r>
              <w:rPr>
                <w:lang w:val="de-DE"/>
              </w:rPr>
              <w:t>or</w:t>
            </w:r>
            <w:proofErr w:type="spellEnd"/>
            <w:r>
              <w:rPr>
                <w:lang w:val="de-DE"/>
              </w:rPr>
              <w:t xml:space="preserve"> </w:t>
            </w:r>
            <w:r w:rsidRPr="001437B1">
              <w:t>EDNRA</w:t>
            </w:r>
          </w:p>
        </w:tc>
        <w:tc>
          <w:tcPr>
            <w:tcW w:w="3789" w:type="dxa"/>
          </w:tcPr>
          <w:p w14:paraId="4E79CA87" w14:textId="77777777" w:rsidR="00314543" w:rsidRDefault="00314543" w:rsidP="00127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endothelin receptor type A</w:t>
            </w:r>
          </w:p>
        </w:tc>
      </w:tr>
      <w:tr w:rsidR="00314543" w14:paraId="5551AD71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EAA19BB" w14:textId="77777777" w:rsidR="00314543" w:rsidRPr="008450B5" w:rsidRDefault="00314543" w:rsidP="00127554">
            <w:pPr>
              <w:jc w:val="both"/>
              <w:rPr>
                <w:b w:val="0"/>
                <w:bCs w:val="0"/>
                <w:lang w:val="de-DE"/>
              </w:rPr>
            </w:pPr>
            <w:r>
              <w:t xml:space="preserve">ETBR </w:t>
            </w:r>
            <w:proofErr w:type="spellStart"/>
            <w:r>
              <w:rPr>
                <w:lang w:val="de-DE"/>
              </w:rPr>
              <w:t>or</w:t>
            </w:r>
            <w:proofErr w:type="spellEnd"/>
            <w:r>
              <w:rPr>
                <w:lang w:val="de-DE"/>
              </w:rPr>
              <w:t xml:space="preserve"> </w:t>
            </w:r>
            <w:r w:rsidRPr="001437B1">
              <w:t>EDNR</w:t>
            </w:r>
            <w:r>
              <w:rPr>
                <w:lang w:val="de-DE"/>
              </w:rPr>
              <w:t>B</w:t>
            </w:r>
          </w:p>
        </w:tc>
        <w:tc>
          <w:tcPr>
            <w:tcW w:w="3789" w:type="dxa"/>
          </w:tcPr>
          <w:p w14:paraId="7EA9DB5E" w14:textId="77777777" w:rsidR="00314543" w:rsidRPr="004131D9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endothelin receptor type B </w:t>
            </w:r>
          </w:p>
        </w:tc>
      </w:tr>
      <w:tr w:rsidR="00314543" w14:paraId="1D9A0626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977B17A" w14:textId="77777777" w:rsidR="00314543" w:rsidRDefault="00314543" w:rsidP="00127554">
            <w:pPr>
              <w:jc w:val="both"/>
            </w:pPr>
            <w:r w:rsidRPr="0032436E">
              <w:t>MAS1</w:t>
            </w:r>
          </w:p>
        </w:tc>
        <w:tc>
          <w:tcPr>
            <w:tcW w:w="3789" w:type="dxa"/>
          </w:tcPr>
          <w:p w14:paraId="3FE05E9A" w14:textId="77777777" w:rsidR="00314543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436E">
              <w:t>mitochondrial assembly protein 1</w:t>
            </w:r>
          </w:p>
        </w:tc>
      </w:tr>
      <w:tr w:rsidR="00314543" w14:paraId="2C0EA1A0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8EAAF3B" w14:textId="77777777" w:rsidR="00314543" w:rsidRDefault="00314543" w:rsidP="00127554">
            <w:pPr>
              <w:rPr>
                <w:b w:val="0"/>
                <w:bCs w:val="0"/>
              </w:rPr>
            </w:pPr>
            <w:r>
              <w:t>M5 or CHRM5</w:t>
            </w:r>
          </w:p>
        </w:tc>
        <w:tc>
          <w:tcPr>
            <w:tcW w:w="3789" w:type="dxa"/>
          </w:tcPr>
          <w:p w14:paraId="1E513298" w14:textId="77777777" w:rsidR="00314543" w:rsidRDefault="00314543" w:rsidP="00127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cholinergic receptor muscarinic 5</w:t>
            </w:r>
          </w:p>
        </w:tc>
      </w:tr>
      <w:tr w:rsidR="00314543" w14:paraId="329EAAC4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85B37A3" w14:textId="77777777" w:rsidR="00314543" w:rsidRDefault="00314543" w:rsidP="00127554">
            <w:pPr>
              <w:rPr>
                <w:b w:val="0"/>
                <w:bCs w:val="0"/>
              </w:rPr>
            </w:pPr>
            <w:r>
              <w:t>PAR1</w:t>
            </w:r>
          </w:p>
        </w:tc>
        <w:tc>
          <w:tcPr>
            <w:tcW w:w="3789" w:type="dxa"/>
          </w:tcPr>
          <w:p w14:paraId="6E72511D" w14:textId="77777777" w:rsidR="00314543" w:rsidRDefault="00314543" w:rsidP="00127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Protease-activated receptor 1</w:t>
            </w:r>
          </w:p>
        </w:tc>
      </w:tr>
      <w:tr w:rsidR="00314543" w14:paraId="7F7F612F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C09E3F8" w14:textId="77777777" w:rsidR="00314543" w:rsidRDefault="00314543" w:rsidP="00127554">
            <w:pPr>
              <w:jc w:val="both"/>
              <w:rPr>
                <w:b w:val="0"/>
                <w:bCs w:val="0"/>
              </w:rPr>
            </w:pPr>
            <w:r>
              <w:t>PAR2</w:t>
            </w:r>
          </w:p>
        </w:tc>
        <w:tc>
          <w:tcPr>
            <w:tcW w:w="3789" w:type="dxa"/>
          </w:tcPr>
          <w:p w14:paraId="727B4E7F" w14:textId="77777777" w:rsidR="00314543" w:rsidRPr="004131D9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Protease-activated receptor 2</w:t>
            </w:r>
          </w:p>
        </w:tc>
      </w:tr>
      <w:tr w:rsidR="00314543" w14:paraId="16B03CC5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4C03C70" w14:textId="77777777" w:rsidR="00314543" w:rsidRDefault="00314543" w:rsidP="00127554">
            <w:pPr>
              <w:jc w:val="both"/>
              <w:rPr>
                <w:b w:val="0"/>
                <w:bCs w:val="0"/>
              </w:rPr>
            </w:pPr>
            <w:r w:rsidRPr="00AE5446">
              <w:rPr>
                <w:color w:val="2E2E2E"/>
                <w:shd w:val="clear" w:color="auto" w:fill="FFFFFF"/>
              </w:rPr>
              <w:t>BDKRB1</w:t>
            </w:r>
          </w:p>
        </w:tc>
        <w:tc>
          <w:tcPr>
            <w:tcW w:w="3789" w:type="dxa"/>
          </w:tcPr>
          <w:p w14:paraId="6DDB71F9" w14:textId="77777777" w:rsidR="00314543" w:rsidRPr="004131D9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31D9">
              <w:t>Bradykinin receptor B1</w:t>
            </w:r>
          </w:p>
        </w:tc>
      </w:tr>
      <w:tr w:rsidR="00314543" w14:paraId="6ECB4590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7" w:type="dxa"/>
            <w:gridSpan w:val="2"/>
          </w:tcPr>
          <w:p w14:paraId="021806D8" w14:textId="77777777" w:rsidR="00314543" w:rsidRPr="0032436E" w:rsidRDefault="00314543" w:rsidP="00127554">
            <w:pPr>
              <w:jc w:val="both"/>
              <w:rPr>
                <w:b w:val="0"/>
                <w:bCs w:val="0"/>
                <w:u w:val="single"/>
                <w:lang w:val="de-DE"/>
              </w:rPr>
            </w:pPr>
            <w:r w:rsidRPr="0032436E">
              <w:rPr>
                <w:u w:val="single"/>
              </w:rPr>
              <w:t xml:space="preserve">Scavenger receptors </w:t>
            </w:r>
            <w:r w:rsidRPr="0032436E">
              <w:rPr>
                <w:u w:val="single"/>
                <w:lang w:val="de-DE"/>
              </w:rPr>
              <w:t>(</w:t>
            </w:r>
            <w:r w:rsidRPr="0032436E">
              <w:rPr>
                <w:color w:val="2E2E2E"/>
                <w:u w:val="single"/>
                <w:shd w:val="clear" w:color="auto" w:fill="FFFFFF"/>
              </w:rPr>
              <w:t>transmembrane receptors</w:t>
            </w:r>
            <w:r w:rsidRPr="0032436E">
              <w:rPr>
                <w:color w:val="2E2E2E"/>
                <w:u w:val="single"/>
                <w:shd w:val="clear" w:color="auto" w:fill="FFFFFF"/>
                <w:lang w:val="de-DE"/>
              </w:rPr>
              <w:t>)</w:t>
            </w:r>
          </w:p>
        </w:tc>
      </w:tr>
      <w:tr w:rsidR="00314543" w14:paraId="515E82D5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7388EE5" w14:textId="77777777" w:rsidR="00314543" w:rsidRPr="004131D9" w:rsidRDefault="00314543" w:rsidP="00127554">
            <w:r>
              <w:t xml:space="preserve">STAB1 </w:t>
            </w:r>
          </w:p>
        </w:tc>
        <w:tc>
          <w:tcPr>
            <w:tcW w:w="3789" w:type="dxa"/>
          </w:tcPr>
          <w:p w14:paraId="1FCE88B0" w14:textId="77777777" w:rsidR="00314543" w:rsidRPr="004131D9" w:rsidRDefault="00314543" w:rsidP="00127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e-DE"/>
              </w:rPr>
            </w:pPr>
            <w:r>
              <w:t>stabilin-1</w:t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receptor</w:t>
            </w:r>
            <w:proofErr w:type="spellEnd"/>
          </w:p>
        </w:tc>
      </w:tr>
      <w:tr w:rsidR="00314543" w14:paraId="345178BF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1CDF661" w14:textId="77777777" w:rsidR="00314543" w:rsidRDefault="00314543" w:rsidP="00127554">
            <w:r w:rsidRPr="004131D9">
              <w:t>ANXA2R</w:t>
            </w:r>
          </w:p>
        </w:tc>
        <w:tc>
          <w:tcPr>
            <w:tcW w:w="3789" w:type="dxa"/>
          </w:tcPr>
          <w:p w14:paraId="4571A847" w14:textId="77777777" w:rsidR="00314543" w:rsidRPr="004131D9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E2E2E"/>
                <w:shd w:val="clear" w:color="auto" w:fill="FFFFFF"/>
                <w:lang w:val="de-DE"/>
              </w:rPr>
              <w:t>a</w:t>
            </w:r>
            <w:r w:rsidRPr="00AE5446">
              <w:rPr>
                <w:color w:val="2E2E2E"/>
                <w:shd w:val="clear" w:color="auto" w:fill="FFFFFF"/>
              </w:rPr>
              <w:t xml:space="preserve">nnexin </w:t>
            </w:r>
            <w:r w:rsidRPr="004131D9">
              <w:t>A2 receptor</w:t>
            </w:r>
          </w:p>
        </w:tc>
      </w:tr>
      <w:tr w:rsidR="00314543" w14:paraId="600DEDE0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7" w:type="dxa"/>
            <w:gridSpan w:val="2"/>
          </w:tcPr>
          <w:p w14:paraId="3491FFC5" w14:textId="77777777" w:rsidR="00314543" w:rsidRPr="0032436E" w:rsidRDefault="00314543" w:rsidP="00127554">
            <w:pPr>
              <w:rPr>
                <w:color w:val="2E2E2E"/>
                <w:u w:val="single"/>
                <w:shd w:val="clear" w:color="auto" w:fill="FFFFFF"/>
              </w:rPr>
            </w:pPr>
            <w:r w:rsidRPr="0032436E">
              <w:rPr>
                <w:color w:val="2E2E2E"/>
                <w:u w:val="single"/>
                <w:shd w:val="clear" w:color="auto" w:fill="FFFFFF"/>
              </w:rPr>
              <w:t>Proteins</w:t>
            </w:r>
          </w:p>
        </w:tc>
      </w:tr>
      <w:tr w:rsidR="00314543" w14:paraId="7C5EB012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16B84E4" w14:textId="77777777" w:rsidR="00314543" w:rsidRPr="00C469E3" w:rsidRDefault="00314543" w:rsidP="00127554">
            <w:pPr>
              <w:rPr>
                <w:color w:val="2E2E2E"/>
                <w:shd w:val="clear" w:color="auto" w:fill="FFFFFF"/>
              </w:rPr>
            </w:pPr>
            <w:r w:rsidRPr="00AE5446">
              <w:rPr>
                <w:color w:val="2E2E2E"/>
                <w:shd w:val="clear" w:color="auto" w:fill="FFFFFF"/>
              </w:rPr>
              <w:t>ACE2</w:t>
            </w:r>
          </w:p>
        </w:tc>
        <w:tc>
          <w:tcPr>
            <w:tcW w:w="3789" w:type="dxa"/>
          </w:tcPr>
          <w:p w14:paraId="64D5E27D" w14:textId="77777777" w:rsidR="00314543" w:rsidRPr="00C469E3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2E2E"/>
                <w:shd w:val="clear" w:color="auto" w:fill="FFFFFF"/>
              </w:rPr>
            </w:pPr>
            <w:r w:rsidRPr="00C469E3">
              <w:rPr>
                <w:color w:val="2E2E2E"/>
                <w:shd w:val="clear" w:color="auto" w:fill="FFFFFF"/>
              </w:rPr>
              <w:t>angiotensin converting enzyme 2</w:t>
            </w:r>
          </w:p>
        </w:tc>
      </w:tr>
      <w:tr w:rsidR="00314543" w14:paraId="52FAF9F3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7959A80" w14:textId="77777777" w:rsidR="00314543" w:rsidRDefault="00314543" w:rsidP="00127554">
            <w:pPr>
              <w:jc w:val="both"/>
              <w:rPr>
                <w:b w:val="0"/>
                <w:bCs w:val="0"/>
              </w:rPr>
            </w:pPr>
            <w:r w:rsidRPr="004131D9">
              <w:t>ANXA2</w:t>
            </w:r>
          </w:p>
        </w:tc>
        <w:tc>
          <w:tcPr>
            <w:tcW w:w="3789" w:type="dxa"/>
          </w:tcPr>
          <w:p w14:paraId="2154F300" w14:textId="77777777" w:rsidR="00314543" w:rsidRPr="004131D9" w:rsidRDefault="00314543" w:rsidP="00127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proofErr w:type="spellStart"/>
            <w:r>
              <w:rPr>
                <w:lang w:val="de-DE"/>
              </w:rPr>
              <w:t>a</w:t>
            </w:r>
            <w:r w:rsidRPr="004131D9">
              <w:rPr>
                <w:lang w:val="de-DE"/>
              </w:rPr>
              <w:t>nnexin</w:t>
            </w:r>
            <w:proofErr w:type="spellEnd"/>
            <w:r w:rsidRPr="004131D9">
              <w:rPr>
                <w:lang w:val="de-DE"/>
              </w:rPr>
              <w:t xml:space="preserve"> A2</w:t>
            </w:r>
          </w:p>
        </w:tc>
      </w:tr>
    </w:tbl>
    <w:p w14:paraId="0153CCE7" w14:textId="77777777" w:rsidR="00314543" w:rsidRDefault="00314543" w:rsidP="00314543">
      <w:pPr>
        <w:jc w:val="both"/>
        <w:rPr>
          <w:b/>
          <w:bCs/>
        </w:rPr>
      </w:pPr>
    </w:p>
    <w:p w14:paraId="06E8636F" w14:textId="77777777" w:rsidR="00314543" w:rsidRPr="000D7335" w:rsidRDefault="00314543" w:rsidP="00314543">
      <w:pPr>
        <w:jc w:val="both"/>
        <w:rPr>
          <w:bCs/>
          <w:lang w:val="en-US"/>
        </w:rPr>
      </w:pPr>
      <w:r w:rsidRPr="000D7335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S2</w:t>
      </w:r>
      <w:r w:rsidRPr="000D7335">
        <w:rPr>
          <w:b/>
          <w:bCs/>
          <w:lang w:val="en-US"/>
        </w:rPr>
        <w:t>:</w:t>
      </w:r>
      <w:r w:rsidRPr="000D7335">
        <w:rPr>
          <w:lang w:val="en-US"/>
        </w:rPr>
        <w:t xml:space="preserve"> </w:t>
      </w:r>
      <w:r w:rsidRPr="000D7335">
        <w:rPr>
          <w:bCs/>
          <w:lang w:val="en-US"/>
        </w:rPr>
        <w:t>Fluorochrome coupled antibodies and fluorescent dye for analysis of CXCR3+ T cells</w:t>
      </w:r>
    </w:p>
    <w:p w14:paraId="1C3B3E91" w14:textId="77777777" w:rsidR="00314543" w:rsidRPr="000D7335" w:rsidRDefault="00314543" w:rsidP="00314543">
      <w:pPr>
        <w:jc w:val="both"/>
        <w:rPr>
          <w:lang w:val="en-US"/>
        </w:rPr>
      </w:pPr>
    </w:p>
    <w:tbl>
      <w:tblPr>
        <w:tblStyle w:val="GridTable2-Accent3"/>
        <w:tblW w:w="8359" w:type="dxa"/>
        <w:tblLook w:val="04A0" w:firstRow="1" w:lastRow="0" w:firstColumn="1" w:lastColumn="0" w:noHBand="0" w:noVBand="1"/>
      </w:tblPr>
      <w:tblGrid>
        <w:gridCol w:w="3564"/>
        <w:gridCol w:w="1683"/>
        <w:gridCol w:w="1650"/>
        <w:gridCol w:w="1462"/>
      </w:tblGrid>
      <w:tr w:rsidR="00314543" w:rsidRPr="000D7335" w14:paraId="0A88A5C6" w14:textId="77777777" w:rsidTr="00127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27DC0A38" w14:textId="77777777" w:rsidR="00314543" w:rsidRPr="000D7335" w:rsidRDefault="00314543" w:rsidP="00127554">
            <w:pPr>
              <w:rPr>
                <w:b w:val="0"/>
                <w:color w:val="000000"/>
              </w:rPr>
            </w:pPr>
            <w:r w:rsidRPr="000D7335">
              <w:rPr>
                <w:color w:val="000000"/>
              </w:rPr>
              <w:t>Antibodies or fluorescent dye</w:t>
            </w:r>
          </w:p>
        </w:tc>
        <w:tc>
          <w:tcPr>
            <w:tcW w:w="1683" w:type="dxa"/>
          </w:tcPr>
          <w:p w14:paraId="3F80D7C1" w14:textId="77777777" w:rsidR="00314543" w:rsidRPr="000D7335" w:rsidRDefault="00314543" w:rsidP="00127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0D7335">
              <w:rPr>
                <w:color w:val="000000"/>
              </w:rPr>
              <w:t>Fluorochrome</w:t>
            </w:r>
          </w:p>
        </w:tc>
        <w:tc>
          <w:tcPr>
            <w:tcW w:w="1650" w:type="dxa"/>
          </w:tcPr>
          <w:p w14:paraId="4CE1DB4B" w14:textId="77777777" w:rsidR="00314543" w:rsidRPr="000D7335" w:rsidRDefault="00314543" w:rsidP="00127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0D7335">
              <w:rPr>
                <w:color w:val="000000"/>
              </w:rPr>
              <w:t>Source</w:t>
            </w:r>
          </w:p>
        </w:tc>
        <w:tc>
          <w:tcPr>
            <w:tcW w:w="1462" w:type="dxa"/>
          </w:tcPr>
          <w:p w14:paraId="0FA6BC0B" w14:textId="77777777" w:rsidR="00314543" w:rsidRPr="000D7335" w:rsidRDefault="00314543" w:rsidP="00127554">
            <w:pPr>
              <w:ind w:right="-27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Cat. Nr.</w:t>
            </w:r>
          </w:p>
        </w:tc>
      </w:tr>
      <w:tr w:rsidR="00314543" w:rsidRPr="000D7335" w14:paraId="4A390DA6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374C641D" w14:textId="77777777" w:rsidR="00314543" w:rsidRPr="000D7335" w:rsidRDefault="00314543" w:rsidP="00127554">
            <w:pPr>
              <w:rPr>
                <w:color w:val="000000"/>
                <w:lang w:val="en-US"/>
              </w:rPr>
            </w:pPr>
            <w:r w:rsidRPr="000D7335">
              <w:rPr>
                <w:lang w:val="en-US"/>
              </w:rPr>
              <w:t>Fixable Viability-Dye</w:t>
            </w:r>
          </w:p>
        </w:tc>
        <w:tc>
          <w:tcPr>
            <w:tcW w:w="1683" w:type="dxa"/>
          </w:tcPr>
          <w:p w14:paraId="08A97572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lang w:val="en-US"/>
              </w:rPr>
              <w:t>eFluor780</w:t>
            </w:r>
          </w:p>
        </w:tc>
        <w:tc>
          <w:tcPr>
            <w:tcW w:w="1650" w:type="dxa"/>
          </w:tcPr>
          <w:p w14:paraId="680B3FC6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proofErr w:type="spellStart"/>
            <w:r w:rsidRPr="000D7335">
              <w:rPr>
                <w:color w:val="000000"/>
                <w:lang w:val="en-US"/>
              </w:rPr>
              <w:t>eBioscience</w:t>
            </w:r>
            <w:proofErr w:type="spellEnd"/>
          </w:p>
        </w:tc>
        <w:tc>
          <w:tcPr>
            <w:tcW w:w="1462" w:type="dxa"/>
          </w:tcPr>
          <w:p w14:paraId="129A72F6" w14:textId="77777777" w:rsidR="00314543" w:rsidRPr="000D7335" w:rsidRDefault="00314543" w:rsidP="00127554">
            <w:pPr>
              <w:ind w:right="-5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65-0865</w:t>
            </w:r>
            <w:r>
              <w:rPr>
                <w:color w:val="000000"/>
                <w:lang w:val="en-US"/>
              </w:rPr>
              <w:t>-14</w:t>
            </w:r>
          </w:p>
        </w:tc>
      </w:tr>
      <w:tr w:rsidR="00314543" w:rsidRPr="000D7335" w14:paraId="3F66687E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09CD81AF" w14:textId="77777777" w:rsidR="00314543" w:rsidRPr="000D7335" w:rsidRDefault="00314543" w:rsidP="00127554">
            <w:pPr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anti CD3 (clone OKT3)</w:t>
            </w:r>
          </w:p>
        </w:tc>
        <w:tc>
          <w:tcPr>
            <w:tcW w:w="1683" w:type="dxa"/>
          </w:tcPr>
          <w:p w14:paraId="2BF4CB07" w14:textId="77777777" w:rsidR="00314543" w:rsidRPr="000D7335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BV785</w:t>
            </w:r>
          </w:p>
        </w:tc>
        <w:tc>
          <w:tcPr>
            <w:tcW w:w="1650" w:type="dxa"/>
          </w:tcPr>
          <w:p w14:paraId="691D84B6" w14:textId="77777777" w:rsidR="00314543" w:rsidRPr="000D7335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proofErr w:type="spellStart"/>
            <w:r w:rsidRPr="000D7335">
              <w:rPr>
                <w:color w:val="000000"/>
                <w:lang w:val="en-US"/>
              </w:rPr>
              <w:t>BioLegend</w:t>
            </w:r>
            <w:proofErr w:type="spellEnd"/>
          </w:p>
        </w:tc>
        <w:tc>
          <w:tcPr>
            <w:tcW w:w="1462" w:type="dxa"/>
          </w:tcPr>
          <w:p w14:paraId="2C792AA9" w14:textId="77777777" w:rsidR="00314543" w:rsidRPr="000D7335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317330</w:t>
            </w:r>
          </w:p>
        </w:tc>
      </w:tr>
      <w:tr w:rsidR="00314543" w:rsidRPr="000D7335" w14:paraId="2BB57A0C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56C36E1B" w14:textId="77777777" w:rsidR="00314543" w:rsidRPr="000D7335" w:rsidRDefault="00314543" w:rsidP="00127554">
            <w:pPr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anti CD4 (clone OKT4)</w:t>
            </w:r>
          </w:p>
        </w:tc>
        <w:tc>
          <w:tcPr>
            <w:tcW w:w="1683" w:type="dxa"/>
          </w:tcPr>
          <w:p w14:paraId="2263F4D3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A700</w:t>
            </w:r>
          </w:p>
        </w:tc>
        <w:tc>
          <w:tcPr>
            <w:tcW w:w="1650" w:type="dxa"/>
          </w:tcPr>
          <w:p w14:paraId="6FB41585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proofErr w:type="spellStart"/>
            <w:r w:rsidRPr="000D7335">
              <w:rPr>
                <w:color w:val="000000"/>
                <w:lang w:val="en-US"/>
              </w:rPr>
              <w:t>BioLegend</w:t>
            </w:r>
            <w:proofErr w:type="spellEnd"/>
          </w:p>
        </w:tc>
        <w:tc>
          <w:tcPr>
            <w:tcW w:w="1462" w:type="dxa"/>
          </w:tcPr>
          <w:p w14:paraId="6AAA8B78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317426</w:t>
            </w:r>
          </w:p>
        </w:tc>
      </w:tr>
      <w:tr w:rsidR="00314543" w:rsidRPr="000D7335" w14:paraId="777F208F" w14:textId="77777777" w:rsidTr="0012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6C17F712" w14:textId="77777777" w:rsidR="00314543" w:rsidRPr="000D7335" w:rsidRDefault="00314543" w:rsidP="00127554">
            <w:pPr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anti CD8 (clone RPA-T8)</w:t>
            </w:r>
          </w:p>
        </w:tc>
        <w:tc>
          <w:tcPr>
            <w:tcW w:w="1683" w:type="dxa"/>
          </w:tcPr>
          <w:p w14:paraId="6E6E7023" w14:textId="77777777" w:rsidR="00314543" w:rsidRPr="000D7335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V500</w:t>
            </w:r>
          </w:p>
        </w:tc>
        <w:tc>
          <w:tcPr>
            <w:tcW w:w="1650" w:type="dxa"/>
          </w:tcPr>
          <w:p w14:paraId="1DD0DFA2" w14:textId="77777777" w:rsidR="00314543" w:rsidRPr="000D7335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BD Biosciences</w:t>
            </w:r>
          </w:p>
        </w:tc>
        <w:tc>
          <w:tcPr>
            <w:tcW w:w="1462" w:type="dxa"/>
          </w:tcPr>
          <w:p w14:paraId="7120197F" w14:textId="77777777" w:rsidR="00314543" w:rsidRPr="000D7335" w:rsidRDefault="00314543" w:rsidP="00127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560775</w:t>
            </w:r>
          </w:p>
        </w:tc>
      </w:tr>
      <w:tr w:rsidR="00314543" w:rsidRPr="000D7335" w14:paraId="19733E78" w14:textId="77777777" w:rsidTr="0012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4" w:type="dxa"/>
          </w:tcPr>
          <w:p w14:paraId="6310FEDD" w14:textId="77777777" w:rsidR="00314543" w:rsidRPr="000D7335" w:rsidRDefault="00314543" w:rsidP="00127554">
            <w:pPr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anti CD183 (CXCR3) (clone G025H7)</w:t>
            </w:r>
          </w:p>
        </w:tc>
        <w:tc>
          <w:tcPr>
            <w:tcW w:w="1683" w:type="dxa"/>
          </w:tcPr>
          <w:p w14:paraId="1E0E5A4D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BV605</w:t>
            </w:r>
          </w:p>
        </w:tc>
        <w:tc>
          <w:tcPr>
            <w:tcW w:w="1650" w:type="dxa"/>
          </w:tcPr>
          <w:p w14:paraId="27AAF2AC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proofErr w:type="spellStart"/>
            <w:r w:rsidRPr="000D7335">
              <w:rPr>
                <w:color w:val="000000"/>
                <w:lang w:val="en-US"/>
              </w:rPr>
              <w:t>BioLegend</w:t>
            </w:r>
            <w:proofErr w:type="spellEnd"/>
          </w:p>
        </w:tc>
        <w:tc>
          <w:tcPr>
            <w:tcW w:w="1462" w:type="dxa"/>
          </w:tcPr>
          <w:p w14:paraId="642C7AE3" w14:textId="77777777" w:rsidR="00314543" w:rsidRPr="000D7335" w:rsidRDefault="00314543" w:rsidP="00127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US"/>
              </w:rPr>
            </w:pPr>
            <w:r w:rsidRPr="000D7335">
              <w:rPr>
                <w:color w:val="000000"/>
                <w:lang w:val="en-US"/>
              </w:rPr>
              <w:t>353728</w:t>
            </w:r>
          </w:p>
        </w:tc>
      </w:tr>
    </w:tbl>
    <w:p w14:paraId="75303990" w14:textId="77777777" w:rsidR="00314543" w:rsidRDefault="00314543" w:rsidP="00314543">
      <w:pPr>
        <w:jc w:val="both"/>
        <w:rPr>
          <w:b/>
          <w:bCs/>
        </w:rPr>
      </w:pPr>
    </w:p>
    <w:p w14:paraId="561D3D73" w14:textId="77777777" w:rsidR="00314543" w:rsidRDefault="00314543" w:rsidP="00314543">
      <w:pPr>
        <w:jc w:val="both"/>
        <w:rPr>
          <w:b/>
          <w:bCs/>
        </w:rPr>
      </w:pPr>
    </w:p>
    <w:p w14:paraId="6FB20B5D" w14:textId="3ACB5399" w:rsidR="00314543" w:rsidRDefault="00314543">
      <w:r>
        <w:br w:type="page"/>
      </w:r>
    </w:p>
    <w:p w14:paraId="2C52B743" w14:textId="77777777" w:rsidR="00314543" w:rsidRDefault="00314543">
      <w:pPr>
        <w:rPr>
          <w:lang w:val="de-DE"/>
        </w:rPr>
      </w:pPr>
    </w:p>
    <w:p w14:paraId="3A69B183" w14:textId="77777777" w:rsidR="00314543" w:rsidRDefault="00314543">
      <w:pPr>
        <w:rPr>
          <w:lang w:val="de-DE"/>
        </w:rPr>
      </w:pPr>
    </w:p>
    <w:p w14:paraId="39960F80" w14:textId="30D18F91" w:rsidR="00314543" w:rsidRDefault="00314543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727D8D5B" wp14:editId="39F7BCE9">
            <wp:extent cx="5731510" cy="5610225"/>
            <wp:effectExtent l="0" t="0" r="0" b="0"/>
            <wp:docPr id="3" name="Picture 3" descr="A group of do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dots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6D32" w14:textId="77777777" w:rsidR="00314543" w:rsidRDefault="00314543">
      <w:pPr>
        <w:rPr>
          <w:lang w:val="de-DE"/>
        </w:rPr>
      </w:pPr>
    </w:p>
    <w:p w14:paraId="09BFF63C" w14:textId="53B8F691" w:rsidR="00C417A6" w:rsidRPr="00C417A6" w:rsidRDefault="00314543" w:rsidP="00C417A6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200" w:line="360" w:lineRule="auto"/>
        <w:jc w:val="both"/>
        <w:rPr>
          <w:rFonts w:ascii="Times New Roman" w:hAnsi="Times New Roman" w:cs="Times New Roman"/>
          <w:lang w:val="en-US"/>
        </w:rPr>
      </w:pPr>
      <w:r w:rsidRPr="00C417A6">
        <w:rPr>
          <w:rFonts w:ascii="Times New Roman" w:hAnsi="Times New Roman" w:cs="Times New Roman"/>
          <w:b/>
          <w:bCs/>
          <w:lang w:val="en-US"/>
        </w:rPr>
        <w:t>Figure S1</w:t>
      </w:r>
      <w:r w:rsidR="00C417A6" w:rsidRPr="00C417A6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C417A6">
        <w:rPr>
          <w:rFonts w:ascii="Times New Roman" w:hAnsi="Times New Roman" w:cs="Times New Roman"/>
          <w:b/>
          <w:bCs/>
          <w:lang w:val="en-US"/>
        </w:rPr>
        <w:t>Comparison</w:t>
      </w:r>
      <w:r w:rsidR="00C417A6" w:rsidRPr="00C22888">
        <w:rPr>
          <w:rFonts w:ascii="Times New Roman" w:hAnsi="Times New Roman" w:cs="Times New Roman"/>
          <w:b/>
          <w:bCs/>
          <w:lang w:val="en-US"/>
        </w:rPr>
        <w:t xml:space="preserve"> of </w:t>
      </w:r>
      <w:r w:rsidR="00C417A6">
        <w:rPr>
          <w:rFonts w:ascii="Times New Roman" w:hAnsi="Times New Roman" w:cs="Times New Roman"/>
          <w:b/>
          <w:bCs/>
          <w:lang w:val="en-US"/>
        </w:rPr>
        <w:t xml:space="preserve">anti-GPCR </w:t>
      </w:r>
      <w:proofErr w:type="spellStart"/>
      <w:r w:rsidR="00C417A6">
        <w:rPr>
          <w:rFonts w:ascii="Times New Roman" w:hAnsi="Times New Roman" w:cs="Times New Roman"/>
          <w:b/>
          <w:bCs/>
          <w:lang w:val="en-US"/>
        </w:rPr>
        <w:t>Aab</w:t>
      </w:r>
      <w:proofErr w:type="spellEnd"/>
      <w:r w:rsidR="00C417A6">
        <w:rPr>
          <w:rFonts w:ascii="Times New Roman" w:hAnsi="Times New Roman" w:cs="Times New Roman"/>
          <w:b/>
          <w:bCs/>
          <w:lang w:val="en-US"/>
        </w:rPr>
        <w:t xml:space="preserve"> among adults and children.</w:t>
      </w:r>
      <w:r w:rsidR="00C417A6" w:rsidRPr="00C2288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C417A6" w:rsidRPr="00C417A6">
        <w:rPr>
          <w:rFonts w:ascii="Times New Roman" w:hAnsi="Times New Roman" w:cs="Times New Roman"/>
          <w:lang w:val="en-US"/>
        </w:rPr>
        <w:t>Analysis of</w:t>
      </w:r>
      <w:r w:rsidR="00C417A6" w:rsidRPr="00C417A6">
        <w:rPr>
          <w:rFonts w:ascii="Times New Roman" w:hAnsi="Times New Roman" w:cs="Times New Roman"/>
          <w:lang w:val="en-US"/>
        </w:rPr>
        <w:t xml:space="preserve"> </w:t>
      </w:r>
      <w:r w:rsidR="00C417A6" w:rsidRPr="00C417A6">
        <w:rPr>
          <w:rFonts w:ascii="Times New Roman" w:hAnsi="Times New Roman" w:cs="Times New Roman"/>
          <w:lang w:val="en-US"/>
        </w:rPr>
        <w:t xml:space="preserve">anti-GPCR </w:t>
      </w:r>
      <w:proofErr w:type="spellStart"/>
      <w:r w:rsidR="00C417A6" w:rsidRPr="00C417A6">
        <w:rPr>
          <w:rFonts w:ascii="Times New Roman" w:hAnsi="Times New Roman" w:cs="Times New Roman"/>
          <w:lang w:val="en-US"/>
        </w:rPr>
        <w:t>Aab</w:t>
      </w:r>
      <w:proofErr w:type="spellEnd"/>
      <w:r w:rsidR="00C417A6" w:rsidRPr="00C417A6">
        <w:rPr>
          <w:rFonts w:ascii="Times New Roman" w:hAnsi="Times New Roman" w:cs="Times New Roman"/>
          <w:lang w:val="en-US"/>
        </w:rPr>
        <w:t xml:space="preserve"> </w:t>
      </w:r>
      <w:r w:rsidR="00C417A6" w:rsidRPr="00C417A6">
        <w:rPr>
          <w:rFonts w:ascii="Times New Roman" w:hAnsi="Times New Roman" w:cs="Times New Roman"/>
          <w:lang w:val="en-US"/>
        </w:rPr>
        <w:t xml:space="preserve">concentrations </w:t>
      </w:r>
      <w:r w:rsidR="00C417A6" w:rsidRPr="00C417A6">
        <w:rPr>
          <w:rFonts w:ascii="Times New Roman" w:hAnsi="Times New Roman" w:cs="Times New Roman"/>
          <w:lang w:val="en-US"/>
        </w:rPr>
        <w:t>of both study groups. Sc</w:t>
      </w:r>
      <w:r w:rsidR="00C417A6" w:rsidRPr="00C22888">
        <w:rPr>
          <w:rFonts w:ascii="Times New Roman" w:hAnsi="Times New Roman" w:cs="Times New Roman"/>
          <w:lang w:val="en-US"/>
        </w:rPr>
        <w:t>atterplots show line at median</w:t>
      </w:r>
      <w:r w:rsidR="00C417A6" w:rsidRPr="00C22888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 xml:space="preserve">. Unpaired data were compared with Mann-Whitney-test. </w:t>
      </w:r>
      <w:r w:rsidR="00C417A6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>p</w:t>
      </w:r>
      <w:r w:rsidR="00C417A6" w:rsidRPr="00C22888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>&lt;0.05 was considered significant, only significant p values are documented in the figures.</w:t>
      </w:r>
    </w:p>
    <w:p w14:paraId="2552E0DC" w14:textId="24560BD4" w:rsidR="00314543" w:rsidRPr="00C417A6" w:rsidRDefault="00314543">
      <w:pPr>
        <w:rPr>
          <w:lang w:val="en-US"/>
        </w:rPr>
      </w:pPr>
    </w:p>
    <w:p w14:paraId="603FA250" w14:textId="7017102E" w:rsidR="00314543" w:rsidRPr="00C417A6" w:rsidRDefault="00314543">
      <w:pPr>
        <w:rPr>
          <w:lang w:val="en-US"/>
        </w:rPr>
      </w:pPr>
    </w:p>
    <w:p w14:paraId="3FD4B73D" w14:textId="2818DC95" w:rsidR="00314543" w:rsidRDefault="00314543">
      <w:pPr>
        <w:rPr>
          <w:lang w:val="de-DE"/>
        </w:rPr>
      </w:pPr>
      <w:r>
        <w:rPr>
          <w:noProof/>
          <w:lang w:val="de-DE"/>
        </w:rPr>
        <w:lastRenderedPageBreak/>
        <w:drawing>
          <wp:inline distT="0" distB="0" distL="0" distR="0" wp14:anchorId="5CD31279" wp14:editId="2A7AFCF5">
            <wp:extent cx="5731510" cy="5281930"/>
            <wp:effectExtent l="0" t="0" r="0" b="0"/>
            <wp:docPr id="4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729E" w14:textId="01C77899" w:rsidR="005453D6" w:rsidRPr="00C417A6" w:rsidRDefault="00314543" w:rsidP="005453D6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200" w:line="360" w:lineRule="auto"/>
        <w:jc w:val="both"/>
        <w:rPr>
          <w:rFonts w:ascii="Times New Roman" w:hAnsi="Times New Roman" w:cs="Times New Roman"/>
          <w:lang w:val="en-US"/>
        </w:rPr>
      </w:pPr>
      <w:r w:rsidRPr="005453D6">
        <w:rPr>
          <w:rFonts w:ascii="Times New Roman" w:hAnsi="Times New Roman" w:cs="Times New Roman"/>
          <w:b/>
          <w:bCs/>
          <w:lang w:val="en-US"/>
        </w:rPr>
        <w:t>Figure S2</w:t>
      </w:r>
      <w:r w:rsidR="005453D6" w:rsidRPr="005453D6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5453D6">
        <w:rPr>
          <w:rFonts w:ascii="Times New Roman" w:hAnsi="Times New Roman" w:cs="Times New Roman"/>
          <w:b/>
          <w:bCs/>
          <w:lang w:val="en-US"/>
        </w:rPr>
        <w:t>Comparison</w:t>
      </w:r>
      <w:r w:rsidR="005453D6" w:rsidRPr="00C22888">
        <w:rPr>
          <w:rFonts w:ascii="Times New Roman" w:hAnsi="Times New Roman" w:cs="Times New Roman"/>
          <w:b/>
          <w:bCs/>
          <w:lang w:val="en-US"/>
        </w:rPr>
        <w:t xml:space="preserve"> of </w:t>
      </w:r>
      <w:r w:rsidR="005453D6">
        <w:rPr>
          <w:rFonts w:ascii="Times New Roman" w:hAnsi="Times New Roman" w:cs="Times New Roman"/>
          <w:b/>
          <w:bCs/>
          <w:lang w:val="en-US"/>
        </w:rPr>
        <w:t xml:space="preserve">anti-GPCR </w:t>
      </w:r>
      <w:proofErr w:type="spellStart"/>
      <w:r w:rsidR="005453D6">
        <w:rPr>
          <w:rFonts w:ascii="Times New Roman" w:hAnsi="Times New Roman" w:cs="Times New Roman"/>
          <w:b/>
          <w:bCs/>
          <w:lang w:val="en-US"/>
        </w:rPr>
        <w:t>Aab</w:t>
      </w:r>
      <w:proofErr w:type="spellEnd"/>
      <w:r w:rsidR="005453D6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453D6">
        <w:rPr>
          <w:rFonts w:ascii="Times New Roman" w:hAnsi="Times New Roman" w:cs="Times New Roman"/>
          <w:b/>
          <w:bCs/>
          <w:lang w:val="en-US"/>
        </w:rPr>
        <w:t>among female and male participants</w:t>
      </w:r>
      <w:r w:rsidR="005453D6">
        <w:rPr>
          <w:rFonts w:ascii="Times New Roman" w:hAnsi="Times New Roman" w:cs="Times New Roman"/>
          <w:b/>
          <w:bCs/>
          <w:lang w:val="en-US"/>
        </w:rPr>
        <w:t>.</w:t>
      </w:r>
      <w:r w:rsidR="005453D6" w:rsidRPr="00C2288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5453D6" w:rsidRPr="00C417A6">
        <w:rPr>
          <w:rFonts w:ascii="Times New Roman" w:hAnsi="Times New Roman" w:cs="Times New Roman"/>
          <w:lang w:val="en-US"/>
        </w:rPr>
        <w:t xml:space="preserve">Analysis of anti-GPCR </w:t>
      </w:r>
      <w:proofErr w:type="spellStart"/>
      <w:r w:rsidR="005453D6" w:rsidRPr="00C417A6">
        <w:rPr>
          <w:rFonts w:ascii="Times New Roman" w:hAnsi="Times New Roman" w:cs="Times New Roman"/>
          <w:lang w:val="en-US"/>
        </w:rPr>
        <w:t>Aab</w:t>
      </w:r>
      <w:proofErr w:type="spellEnd"/>
      <w:r w:rsidR="005453D6" w:rsidRPr="00C417A6">
        <w:rPr>
          <w:rFonts w:ascii="Times New Roman" w:hAnsi="Times New Roman" w:cs="Times New Roman"/>
          <w:lang w:val="en-US"/>
        </w:rPr>
        <w:t xml:space="preserve"> concentrations of both study groups. Sc</w:t>
      </w:r>
      <w:r w:rsidR="005453D6" w:rsidRPr="00C22888">
        <w:rPr>
          <w:rFonts w:ascii="Times New Roman" w:hAnsi="Times New Roman" w:cs="Times New Roman"/>
          <w:lang w:val="en-US"/>
        </w:rPr>
        <w:t>atterplots show line at median</w:t>
      </w:r>
      <w:r w:rsidR="005453D6" w:rsidRPr="00C22888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5453D6" w:rsidRPr="00BC20BE">
        <w:rPr>
          <w:rFonts w:ascii="Times New Roman" w:hAnsi="Times New Roman" w:cs="Times New Roman"/>
          <w:lang w:val="en-US"/>
        </w:rPr>
        <w:t>Unpaired</w:t>
      </w:r>
      <w:r w:rsidR="005453D6" w:rsidRPr="00C22888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 xml:space="preserve"> data were compared with Mann-Whitney-test. </w:t>
      </w:r>
      <w:r w:rsidR="005453D6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>p</w:t>
      </w:r>
      <w:r w:rsidR="005453D6" w:rsidRPr="00C22888">
        <w:rPr>
          <w:rFonts w:ascii="Times New Roman" w:eastAsia="Arial" w:hAnsi="Times New Roman" w:cs="Times New Roman"/>
          <w:color w:val="auto"/>
          <w:lang w:val="en-US"/>
          <w14:textOutline w14:w="0" w14:cap="rnd" w14:cmpd="sng" w14:algn="ctr">
            <w14:noFill/>
            <w14:prstDash w14:val="solid"/>
            <w14:bevel/>
          </w14:textOutline>
        </w:rPr>
        <w:t>&lt;0.05 was considered significant, only significant p values are documented in the figures.</w:t>
      </w:r>
    </w:p>
    <w:p w14:paraId="1268E777" w14:textId="3C36E925" w:rsidR="00314543" w:rsidRPr="00314543" w:rsidRDefault="00314543">
      <w:pPr>
        <w:rPr>
          <w:lang w:val="en-US"/>
        </w:rPr>
      </w:pPr>
    </w:p>
    <w:p w14:paraId="1DF79CC7" w14:textId="4B470205" w:rsidR="00314543" w:rsidRDefault="00314543">
      <w:pPr>
        <w:rPr>
          <w:lang w:val="en-US"/>
        </w:rPr>
      </w:pPr>
    </w:p>
    <w:p w14:paraId="7E254A70" w14:textId="650699D6" w:rsidR="00CE0ABF" w:rsidRDefault="00CE0ABF">
      <w:pPr>
        <w:rPr>
          <w:lang w:val="en-US"/>
        </w:rPr>
      </w:pPr>
      <w:r>
        <w:rPr>
          <w:lang w:val="en-US"/>
        </w:rPr>
        <w:br w:type="page"/>
      </w:r>
    </w:p>
    <w:p w14:paraId="49489689" w14:textId="0B77C613" w:rsidR="00314543" w:rsidRPr="00314543" w:rsidRDefault="00CE0AB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CF68A7E" wp14:editId="669142C5">
            <wp:simplePos x="0" y="0"/>
            <wp:positionH relativeFrom="column">
              <wp:posOffset>-728345</wp:posOffset>
            </wp:positionH>
            <wp:positionV relativeFrom="paragraph">
              <wp:posOffset>0</wp:posOffset>
            </wp:positionV>
            <wp:extent cx="7221220" cy="3779520"/>
            <wp:effectExtent l="0" t="0" r="5080" b="5080"/>
            <wp:wrapTopAndBottom/>
            <wp:docPr id="5" name="Picture 5" descr="A chart with numbers and a number of childr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art with numbers and a number of children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AADB0" w14:textId="77777777" w:rsidR="00CE0ABF" w:rsidRDefault="00CE0ABF">
      <w:pPr>
        <w:rPr>
          <w:lang w:val="en-US"/>
        </w:rPr>
      </w:pPr>
    </w:p>
    <w:p w14:paraId="0A8C671A" w14:textId="77777777" w:rsidR="0048070E" w:rsidRDefault="00314543" w:rsidP="00BC20BE">
      <w:pPr>
        <w:spacing w:line="360" w:lineRule="auto"/>
        <w:jc w:val="both"/>
        <w:rPr>
          <w:b/>
          <w:bCs/>
          <w:color w:val="2E2E2E"/>
          <w:shd w:val="clear" w:color="auto" w:fill="FFFFFF"/>
          <w:lang w:val="en-US"/>
        </w:rPr>
      </w:pPr>
      <w:r w:rsidRPr="00DE6A96">
        <w:rPr>
          <w:b/>
          <w:bCs/>
          <w:lang w:val="en-US"/>
        </w:rPr>
        <w:t>Figure S3</w:t>
      </w:r>
      <w:r w:rsidR="00D36AC8" w:rsidRPr="00DE6A96">
        <w:rPr>
          <w:b/>
          <w:bCs/>
          <w:lang w:val="en-US"/>
        </w:rPr>
        <w:t xml:space="preserve">. Correlation </w:t>
      </w:r>
      <w:r w:rsidR="00DE6A96" w:rsidRPr="00DE6A96">
        <w:rPr>
          <w:b/>
          <w:bCs/>
          <w:lang w:val="en-US"/>
        </w:rPr>
        <w:t xml:space="preserve">of diverse </w:t>
      </w:r>
      <w:r w:rsidR="00DE6A96" w:rsidRPr="00DE6A96">
        <w:rPr>
          <w:b/>
          <w:bCs/>
          <w:lang w:val="en-US"/>
        </w:rPr>
        <w:t>anti-GPCR</w:t>
      </w:r>
      <w:r w:rsidR="00DE6A96" w:rsidRPr="00DE6A96">
        <w:rPr>
          <w:b/>
          <w:bCs/>
          <w:lang w:val="en-US"/>
        </w:rPr>
        <w:t xml:space="preserve"> </w:t>
      </w:r>
      <w:proofErr w:type="spellStart"/>
      <w:r w:rsidR="00DE6A96" w:rsidRPr="00DE6A96">
        <w:rPr>
          <w:b/>
          <w:bCs/>
          <w:lang w:val="en-US"/>
        </w:rPr>
        <w:t>Aab</w:t>
      </w:r>
      <w:proofErr w:type="spellEnd"/>
      <w:r w:rsidR="00DE6A96" w:rsidRPr="00DE6A96">
        <w:rPr>
          <w:b/>
          <w:bCs/>
          <w:lang w:val="en-US"/>
        </w:rPr>
        <w:t xml:space="preserve"> </w:t>
      </w:r>
      <w:r w:rsidR="00DE6A96" w:rsidRPr="00DE6A96">
        <w:rPr>
          <w:b/>
          <w:bCs/>
          <w:color w:val="2E2E2E"/>
          <w:shd w:val="clear" w:color="auto" w:fill="FFFFFF"/>
          <w:lang w:val="en-US"/>
        </w:rPr>
        <w:t xml:space="preserve">based on </w:t>
      </w:r>
      <w:r w:rsidR="00DE6A96" w:rsidRPr="00DE6A96">
        <w:rPr>
          <w:b/>
          <w:bCs/>
          <w:color w:val="2E2E2E"/>
          <w:shd w:val="clear" w:color="auto" w:fill="FFFFFF"/>
          <w:lang w:val="en-US"/>
        </w:rPr>
        <w:t>chronological age</w:t>
      </w:r>
      <w:r w:rsidR="00DE6A96" w:rsidRPr="00DE6A96">
        <w:rPr>
          <w:b/>
          <w:bCs/>
          <w:color w:val="2E2E2E"/>
          <w:shd w:val="clear" w:color="auto" w:fill="FFFFFF"/>
          <w:lang w:val="en-US"/>
        </w:rPr>
        <w:t xml:space="preserve">. </w:t>
      </w:r>
    </w:p>
    <w:p w14:paraId="166282F2" w14:textId="4AE115C0" w:rsidR="00C62546" w:rsidRPr="00B4797E" w:rsidRDefault="0048070E" w:rsidP="00BC20BE">
      <w:pPr>
        <w:spacing w:line="360" w:lineRule="auto"/>
        <w:jc w:val="both"/>
      </w:pPr>
      <w:r w:rsidRPr="0048070E">
        <w:rPr>
          <w:color w:val="2E2E2E"/>
          <w:shd w:val="clear" w:color="auto" w:fill="FFFFFF"/>
          <w:lang w:val="en-US"/>
        </w:rPr>
        <w:t xml:space="preserve">A. </w:t>
      </w:r>
      <w:r w:rsidRPr="0048070E">
        <w:rPr>
          <w:lang w:val="en-US"/>
        </w:rPr>
        <w:t>Correlation</w:t>
      </w:r>
      <w:r w:rsidRPr="0048070E">
        <w:rPr>
          <w:lang w:val="en-US"/>
        </w:rPr>
        <w:t>s</w:t>
      </w:r>
      <w:r w:rsidRPr="0048070E">
        <w:rPr>
          <w:lang w:val="en-US"/>
        </w:rPr>
        <w:t xml:space="preserve"> of diverse anti-GPCR </w:t>
      </w:r>
      <w:proofErr w:type="spellStart"/>
      <w:r w:rsidRPr="0048070E">
        <w:rPr>
          <w:lang w:val="en-US"/>
        </w:rPr>
        <w:t>Aab</w:t>
      </w:r>
      <w:proofErr w:type="spellEnd"/>
      <w:r w:rsidRPr="0048070E">
        <w:rPr>
          <w:lang w:val="en-US"/>
        </w:rPr>
        <w:t xml:space="preserve"> </w:t>
      </w:r>
      <w:r w:rsidRPr="0048070E">
        <w:rPr>
          <w:color w:val="2E2E2E"/>
          <w:shd w:val="clear" w:color="auto" w:fill="FFFFFF"/>
          <w:lang w:val="en-US"/>
        </w:rPr>
        <w:t xml:space="preserve">among children. B. </w:t>
      </w:r>
      <w:r w:rsidRPr="0048070E">
        <w:rPr>
          <w:lang w:val="en-US"/>
        </w:rPr>
        <w:t>Correlation</w:t>
      </w:r>
      <w:r w:rsidRPr="0048070E">
        <w:rPr>
          <w:lang w:val="en-US"/>
        </w:rPr>
        <w:t>s</w:t>
      </w:r>
      <w:r w:rsidRPr="0048070E">
        <w:rPr>
          <w:lang w:val="en-US"/>
        </w:rPr>
        <w:t xml:space="preserve"> of diverse anti-GPCR </w:t>
      </w:r>
      <w:proofErr w:type="spellStart"/>
      <w:r w:rsidRPr="0048070E">
        <w:rPr>
          <w:lang w:val="en-US"/>
        </w:rPr>
        <w:t>Aab</w:t>
      </w:r>
      <w:proofErr w:type="spellEnd"/>
      <w:r w:rsidRPr="0048070E">
        <w:rPr>
          <w:lang w:val="en-US"/>
        </w:rPr>
        <w:t xml:space="preserve"> </w:t>
      </w:r>
      <w:r w:rsidRPr="0048070E">
        <w:rPr>
          <w:color w:val="2E2E2E"/>
          <w:shd w:val="clear" w:color="auto" w:fill="FFFFFF"/>
          <w:lang w:val="en-US"/>
        </w:rPr>
        <w:t xml:space="preserve">among children. </w:t>
      </w:r>
      <w:r w:rsidR="00B4797E" w:rsidRPr="00B4797E">
        <w:t>Moderate correlations are shown in yellow, while strong correlations are shown in green.</w:t>
      </w:r>
      <w:r w:rsidR="00C62546">
        <w:rPr>
          <w:lang w:val="en-US"/>
        </w:rPr>
        <w:br w:type="page"/>
      </w:r>
    </w:p>
    <w:p w14:paraId="4E4550F8" w14:textId="6DBB5F06" w:rsidR="00C62546" w:rsidRPr="00314543" w:rsidRDefault="00C6254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0ED9FD" wp14:editId="15F4406D">
            <wp:simplePos x="0" y="0"/>
            <wp:positionH relativeFrom="column">
              <wp:posOffset>-718820</wp:posOffset>
            </wp:positionH>
            <wp:positionV relativeFrom="paragraph">
              <wp:posOffset>0</wp:posOffset>
            </wp:positionV>
            <wp:extent cx="7221855" cy="3460750"/>
            <wp:effectExtent l="0" t="0" r="4445" b="6350"/>
            <wp:wrapTopAndBottom/>
            <wp:docPr id="6" name="Picture 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A5C8F" w14:textId="6E4EE023" w:rsidR="00B4797E" w:rsidRDefault="00314543" w:rsidP="00BC20BE">
      <w:pPr>
        <w:spacing w:line="360" w:lineRule="auto"/>
        <w:jc w:val="both"/>
        <w:rPr>
          <w:b/>
          <w:bCs/>
          <w:color w:val="2E2E2E"/>
          <w:shd w:val="clear" w:color="auto" w:fill="FFFFFF"/>
          <w:lang w:val="en-US"/>
        </w:rPr>
      </w:pPr>
      <w:r w:rsidRPr="00B4797E">
        <w:rPr>
          <w:b/>
          <w:bCs/>
          <w:lang w:val="en-US"/>
        </w:rPr>
        <w:t>Figure S4</w:t>
      </w:r>
      <w:r w:rsidR="00B4797E" w:rsidRPr="00B4797E">
        <w:rPr>
          <w:b/>
          <w:bCs/>
          <w:lang w:val="en-US"/>
        </w:rPr>
        <w:t>.</w:t>
      </w:r>
      <w:r w:rsidR="00B4797E">
        <w:rPr>
          <w:lang w:val="en-US"/>
        </w:rPr>
        <w:t xml:space="preserve"> </w:t>
      </w:r>
      <w:r w:rsidR="00B4797E" w:rsidRPr="00DE6A96">
        <w:rPr>
          <w:b/>
          <w:bCs/>
          <w:lang w:val="en-US"/>
        </w:rPr>
        <w:t xml:space="preserve">Correlation of diverse anti-GPCR </w:t>
      </w:r>
      <w:proofErr w:type="spellStart"/>
      <w:r w:rsidR="00B4797E" w:rsidRPr="00DE6A96">
        <w:rPr>
          <w:b/>
          <w:bCs/>
          <w:lang w:val="en-US"/>
        </w:rPr>
        <w:t>Aab</w:t>
      </w:r>
      <w:proofErr w:type="spellEnd"/>
      <w:r w:rsidR="00B4797E" w:rsidRPr="00DE6A96">
        <w:rPr>
          <w:b/>
          <w:bCs/>
          <w:lang w:val="en-US"/>
        </w:rPr>
        <w:t xml:space="preserve"> </w:t>
      </w:r>
      <w:r w:rsidR="00B4797E" w:rsidRPr="00DE6A96">
        <w:rPr>
          <w:b/>
          <w:bCs/>
          <w:color w:val="2E2E2E"/>
          <w:shd w:val="clear" w:color="auto" w:fill="FFFFFF"/>
          <w:lang w:val="en-US"/>
        </w:rPr>
        <w:t>based on age</w:t>
      </w:r>
      <w:r w:rsidR="00B4797E">
        <w:rPr>
          <w:b/>
          <w:bCs/>
          <w:color w:val="2E2E2E"/>
          <w:shd w:val="clear" w:color="auto" w:fill="FFFFFF"/>
          <w:lang w:val="en-US"/>
        </w:rPr>
        <w:t xml:space="preserve"> gap (</w:t>
      </w:r>
      <w:r w:rsidR="00B4797E">
        <w:rPr>
          <w:b/>
          <w:bCs/>
          <w:color w:val="2E2E2E"/>
          <w:shd w:val="clear" w:color="auto" w:fill="FFFFFF"/>
          <w:lang w:val="el-GR"/>
        </w:rPr>
        <w:t>Δ</w:t>
      </w:r>
      <w:r w:rsidR="00B4797E" w:rsidRPr="00B4797E">
        <w:rPr>
          <w:b/>
          <w:bCs/>
          <w:color w:val="2E2E2E"/>
          <w:shd w:val="clear" w:color="auto" w:fill="FFFFFF"/>
          <w:lang w:val="en-US"/>
        </w:rPr>
        <w:t xml:space="preserve"> age)</w:t>
      </w:r>
      <w:r w:rsidR="00B4797E" w:rsidRPr="00DE6A96">
        <w:rPr>
          <w:b/>
          <w:bCs/>
          <w:color w:val="2E2E2E"/>
          <w:shd w:val="clear" w:color="auto" w:fill="FFFFFF"/>
          <w:lang w:val="en-US"/>
        </w:rPr>
        <w:t xml:space="preserve">. </w:t>
      </w:r>
    </w:p>
    <w:p w14:paraId="60E927D1" w14:textId="5096254F" w:rsidR="00314543" w:rsidRPr="00314543" w:rsidRDefault="00B4797E" w:rsidP="00BC20BE">
      <w:pPr>
        <w:spacing w:line="360" w:lineRule="auto"/>
        <w:jc w:val="both"/>
        <w:rPr>
          <w:lang w:val="en-US"/>
        </w:rPr>
      </w:pPr>
      <w:r w:rsidRPr="0048070E">
        <w:rPr>
          <w:color w:val="2E2E2E"/>
          <w:shd w:val="clear" w:color="auto" w:fill="FFFFFF"/>
          <w:lang w:val="en-US"/>
        </w:rPr>
        <w:t xml:space="preserve">A. </w:t>
      </w:r>
      <w:r w:rsidRPr="0048070E">
        <w:rPr>
          <w:lang w:val="en-US"/>
        </w:rPr>
        <w:t xml:space="preserve">Correlations of diverse anti-GPCR </w:t>
      </w:r>
      <w:proofErr w:type="spellStart"/>
      <w:r w:rsidRPr="0048070E">
        <w:rPr>
          <w:lang w:val="en-US"/>
        </w:rPr>
        <w:t>Aab</w:t>
      </w:r>
      <w:proofErr w:type="spellEnd"/>
      <w:r w:rsidRPr="0048070E">
        <w:rPr>
          <w:lang w:val="en-US"/>
        </w:rPr>
        <w:t xml:space="preserve"> </w:t>
      </w:r>
      <w:r>
        <w:rPr>
          <w:color w:val="2E2E2E"/>
          <w:shd w:val="clear" w:color="auto" w:fill="FFFFFF"/>
          <w:lang w:val="en-US"/>
        </w:rPr>
        <w:t xml:space="preserve">among adults with </w:t>
      </w:r>
      <w:r w:rsidRPr="00B4797E">
        <w:rPr>
          <w:color w:val="2E2E2E"/>
          <w:shd w:val="clear" w:color="auto" w:fill="FFFFFF"/>
          <w:lang w:val="en-US"/>
        </w:rPr>
        <w:t xml:space="preserve">negative </w:t>
      </w:r>
      <w:r w:rsidRPr="00B4797E">
        <w:rPr>
          <w:color w:val="2E2E2E"/>
          <w:shd w:val="clear" w:color="auto" w:fill="FFFFFF"/>
          <w:lang w:val="el-GR"/>
        </w:rPr>
        <w:t>Δ</w:t>
      </w:r>
      <w:r w:rsidRPr="00B4797E">
        <w:rPr>
          <w:color w:val="2E2E2E"/>
          <w:shd w:val="clear" w:color="auto" w:fill="FFFFFF"/>
          <w:lang w:val="en-US"/>
        </w:rPr>
        <w:t xml:space="preserve"> age</w:t>
      </w:r>
      <w:r w:rsidRPr="0048070E">
        <w:rPr>
          <w:color w:val="2E2E2E"/>
          <w:shd w:val="clear" w:color="auto" w:fill="FFFFFF"/>
          <w:lang w:val="en-US"/>
        </w:rPr>
        <w:t xml:space="preserve">. B. </w:t>
      </w:r>
      <w:r w:rsidRPr="0048070E">
        <w:rPr>
          <w:lang w:val="en-US"/>
        </w:rPr>
        <w:t xml:space="preserve">Correlations of diverse anti-GPCR </w:t>
      </w:r>
      <w:proofErr w:type="spellStart"/>
      <w:r w:rsidRPr="0048070E">
        <w:rPr>
          <w:lang w:val="en-US"/>
        </w:rPr>
        <w:t>Aab</w:t>
      </w:r>
      <w:proofErr w:type="spellEnd"/>
      <w:r w:rsidRPr="0048070E">
        <w:rPr>
          <w:lang w:val="en-US"/>
        </w:rPr>
        <w:t xml:space="preserve"> </w:t>
      </w:r>
      <w:r w:rsidRPr="0048070E">
        <w:rPr>
          <w:color w:val="2E2E2E"/>
          <w:shd w:val="clear" w:color="auto" w:fill="FFFFFF"/>
          <w:lang w:val="en-US"/>
        </w:rPr>
        <w:t xml:space="preserve">among </w:t>
      </w:r>
      <w:r>
        <w:rPr>
          <w:color w:val="2E2E2E"/>
          <w:shd w:val="clear" w:color="auto" w:fill="FFFFFF"/>
          <w:lang w:val="en-US"/>
        </w:rPr>
        <w:t xml:space="preserve">adults with </w:t>
      </w:r>
      <w:r>
        <w:rPr>
          <w:color w:val="2E2E2E"/>
          <w:shd w:val="clear" w:color="auto" w:fill="FFFFFF"/>
          <w:lang w:val="en-US"/>
        </w:rPr>
        <w:t>positive</w:t>
      </w:r>
      <w:r w:rsidRPr="00B4797E">
        <w:rPr>
          <w:color w:val="2E2E2E"/>
          <w:shd w:val="clear" w:color="auto" w:fill="FFFFFF"/>
          <w:lang w:val="en-US"/>
        </w:rPr>
        <w:t xml:space="preserve"> </w:t>
      </w:r>
      <w:r w:rsidRPr="00B4797E">
        <w:rPr>
          <w:color w:val="2E2E2E"/>
          <w:shd w:val="clear" w:color="auto" w:fill="FFFFFF"/>
          <w:lang w:val="el-GR"/>
        </w:rPr>
        <w:t>Δ</w:t>
      </w:r>
      <w:r w:rsidRPr="00B4797E">
        <w:rPr>
          <w:color w:val="2E2E2E"/>
          <w:shd w:val="clear" w:color="auto" w:fill="FFFFFF"/>
          <w:lang w:val="en-US"/>
        </w:rPr>
        <w:t xml:space="preserve"> age</w:t>
      </w:r>
      <w:r w:rsidRPr="0048070E">
        <w:rPr>
          <w:color w:val="2E2E2E"/>
          <w:shd w:val="clear" w:color="auto" w:fill="FFFFFF"/>
          <w:lang w:val="en-US"/>
        </w:rPr>
        <w:t xml:space="preserve">. </w:t>
      </w:r>
      <w:r w:rsidRPr="00B4797E">
        <w:t>Moderate correlations are shown in yellow, while strong correlations are shown in green.</w:t>
      </w:r>
    </w:p>
    <w:sectPr w:rsidR="00314543" w:rsidRPr="00314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5D3"/>
    <w:rsid w:val="002225D3"/>
    <w:rsid w:val="00314543"/>
    <w:rsid w:val="003D65D0"/>
    <w:rsid w:val="0048070E"/>
    <w:rsid w:val="005453D6"/>
    <w:rsid w:val="00930106"/>
    <w:rsid w:val="009B01D2"/>
    <w:rsid w:val="00B4797E"/>
    <w:rsid w:val="00BC20BE"/>
    <w:rsid w:val="00C417A6"/>
    <w:rsid w:val="00C62546"/>
    <w:rsid w:val="00CE0ABF"/>
    <w:rsid w:val="00D36AC8"/>
    <w:rsid w:val="00DE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A9EB48"/>
  <w15:chartTrackingRefBased/>
  <w15:docId w15:val="{279B7992-B29B-6544-9753-19CB31F7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543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2225D3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225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225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dTable2-Accent3">
    <w:name w:val="Grid Table 2 Accent 3"/>
    <w:basedOn w:val="TableNormal"/>
    <w:uiPriority w:val="47"/>
    <w:rsid w:val="0031454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C417A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line="288" w:lineRule="auto"/>
    </w:pPr>
    <w:rPr>
      <w:rFonts w:ascii="Helvetica Neue" w:eastAsia="Arial Unicode MS" w:hAnsi="Helvetica Neue" w:cs="Arial Unicode MS"/>
      <w:color w:val="000000"/>
      <w:lang w:val="de-DE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Krystallenia Paniskaki</dc:creator>
  <cp:keywords/>
  <dc:description/>
  <cp:lastModifiedBy>Krystallenia Paniskaki</cp:lastModifiedBy>
  <cp:revision>4</cp:revision>
  <dcterms:created xsi:type="dcterms:W3CDTF">2025-08-31T17:34:00Z</dcterms:created>
  <dcterms:modified xsi:type="dcterms:W3CDTF">2025-08-31T18:14:00Z</dcterms:modified>
</cp:coreProperties>
</file>