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CA583">
      <w:pPr>
        <w:spacing w:before="100" w:beforeAutospacing="1" w:after="100" w:afterAutospacing="1" w:line="360" w:lineRule="auto"/>
        <w:jc w:val="center"/>
        <w:outlineLvl w:val="2"/>
        <w:rPr>
          <w:rFonts w:eastAsia="Times New Roman" w:asciiTheme="majorBidi" w:hAnsiTheme="majorBidi" w:cstheme="majorBidi"/>
          <w:b/>
          <w:bCs/>
          <w:kern w:val="0"/>
          <w:sz w:val="28"/>
          <w:szCs w:val="28"/>
          <w14:ligatures w14:val="none"/>
        </w:rPr>
      </w:pPr>
      <w:r>
        <w:rPr>
          <w:rFonts w:eastAsia="Times New Roman" w:asciiTheme="majorBidi" w:hAnsiTheme="majorBidi" w:cstheme="majorBidi"/>
          <w:b/>
          <w:bCs/>
          <w:kern w:val="0"/>
          <w:sz w:val="28"/>
          <w:szCs w:val="28"/>
          <w14:ligatures w14:val="none"/>
        </w:rPr>
        <w:t>Sustainable Actinomycete Biofilters Enable Optimized Phenol Removal and Agricultural Reuse of Olive Mill Wastewater within a Circular Economy Framework</w:t>
      </w:r>
    </w:p>
    <w:p w14:paraId="5A463F3F">
      <w:pPr>
        <w:spacing w:after="0" w:line="360" w:lineRule="auto"/>
        <w:jc w:val="center"/>
        <w:outlineLvl w:val="2"/>
        <w:rPr>
          <w:rFonts w:eastAsia="Times New Roman" w:asciiTheme="majorBidi" w:hAnsiTheme="majorBidi" w:cstheme="majorBidi"/>
          <w:kern w:val="0"/>
          <w:sz w:val="20"/>
          <w:szCs w:val="20"/>
          <w14:ligatures w14:val="none"/>
        </w:rPr>
      </w:pPr>
      <w:r>
        <w:rPr>
          <w:rFonts w:eastAsia="Times New Roman" w:asciiTheme="majorBidi" w:hAnsiTheme="majorBidi" w:cstheme="majorBidi"/>
          <w:kern w:val="0"/>
          <w:sz w:val="20"/>
          <w:szCs w:val="20"/>
          <w14:ligatures w14:val="none"/>
        </w:rPr>
        <w:t>Omnia Alshamy</w:t>
      </w:r>
      <w:r>
        <w:rPr>
          <w:rFonts w:eastAsia="Times New Roman" w:asciiTheme="majorBidi" w:hAnsiTheme="majorBidi" w:cstheme="majorBidi"/>
          <w:kern w:val="0"/>
          <w:sz w:val="20"/>
          <w:szCs w:val="20"/>
          <w:vertAlign w:val="superscript"/>
          <w:lang w:val="en-GB"/>
          <w14:ligatures w14:val="none"/>
        </w:rPr>
        <w:t>1</w:t>
      </w:r>
      <w:r>
        <w:rPr>
          <w:rFonts w:eastAsia="Times New Roman" w:asciiTheme="majorBidi" w:hAnsiTheme="majorBidi" w:cstheme="majorBidi"/>
          <w:kern w:val="0"/>
          <w:sz w:val="20"/>
          <w:szCs w:val="20"/>
          <w14:ligatures w14:val="none"/>
        </w:rPr>
        <w:t>, Sameh M. Mustafa</w:t>
      </w:r>
      <w:r>
        <w:rPr>
          <w:rFonts w:eastAsia="Times New Roman" w:asciiTheme="majorBidi" w:hAnsiTheme="majorBidi" w:cstheme="majorBidi"/>
          <w:kern w:val="0"/>
          <w:sz w:val="20"/>
          <w:szCs w:val="20"/>
          <w:vertAlign w:val="superscript"/>
          <w:lang w:val="en-GB"/>
          <w14:ligatures w14:val="none"/>
        </w:rPr>
        <w:t>1</w:t>
      </w:r>
      <w:r>
        <w:rPr>
          <w:rFonts w:eastAsia="Times New Roman" w:asciiTheme="majorBidi" w:hAnsiTheme="majorBidi" w:cstheme="majorBidi"/>
          <w:kern w:val="0"/>
          <w:sz w:val="20"/>
          <w:szCs w:val="20"/>
          <w14:ligatures w14:val="none"/>
        </w:rPr>
        <w:t>, Alaaeldin Rashad</w:t>
      </w:r>
      <w:r>
        <w:rPr>
          <w:rFonts w:eastAsia="Times New Roman" w:asciiTheme="majorBidi" w:hAnsiTheme="majorBidi" w:cstheme="majorBidi"/>
          <w:kern w:val="0"/>
          <w:sz w:val="20"/>
          <w:szCs w:val="20"/>
          <w:vertAlign w:val="superscript"/>
          <w:lang w:val="en-GB"/>
          <w14:ligatures w14:val="none"/>
        </w:rPr>
        <w:t>1</w:t>
      </w:r>
      <w:r>
        <w:rPr>
          <w:rFonts w:eastAsia="Times New Roman" w:asciiTheme="majorBidi" w:hAnsiTheme="majorBidi" w:cstheme="majorBidi"/>
          <w:kern w:val="0"/>
          <w:sz w:val="20"/>
          <w:szCs w:val="20"/>
          <w14:ligatures w14:val="none"/>
        </w:rPr>
        <w:t>, Amal A. Hassan</w:t>
      </w:r>
      <w:r>
        <w:rPr>
          <w:rFonts w:eastAsia="Times New Roman" w:asciiTheme="majorBidi" w:hAnsiTheme="majorBidi" w:cstheme="majorBidi"/>
          <w:kern w:val="0"/>
          <w:sz w:val="20"/>
          <w:szCs w:val="20"/>
          <w:vertAlign w:val="superscript"/>
          <w:lang w:val="en-GB"/>
          <w14:ligatures w14:val="none"/>
        </w:rPr>
        <w:t>1</w:t>
      </w:r>
      <w:r>
        <w:rPr>
          <w:rFonts w:eastAsia="Times New Roman" w:asciiTheme="majorBidi" w:hAnsiTheme="majorBidi" w:cstheme="majorBidi"/>
          <w:kern w:val="0"/>
          <w:sz w:val="20"/>
          <w:szCs w:val="20"/>
          <w14:ligatures w14:val="none"/>
        </w:rPr>
        <w:t xml:space="preserve">, </w:t>
      </w:r>
      <w:r>
        <w:rPr>
          <w:rFonts w:eastAsia="Times New Roman" w:asciiTheme="majorBidi" w:hAnsiTheme="majorBidi" w:cstheme="majorBidi"/>
          <w:kern w:val="0"/>
          <w:sz w:val="20"/>
          <w:szCs w:val="20"/>
          <w:lang w:val="en-GB"/>
          <w14:ligatures w14:val="none"/>
        </w:rPr>
        <w:t>Abeer El Shahawy</w:t>
      </w:r>
      <w:r>
        <w:rPr>
          <w:rFonts w:eastAsia="Times New Roman" w:asciiTheme="majorBidi" w:hAnsiTheme="majorBidi" w:cstheme="majorBidi"/>
          <w:kern w:val="0"/>
          <w:sz w:val="20"/>
          <w:szCs w:val="20"/>
          <w:vertAlign w:val="superscript"/>
          <w:lang w:val="en-GB"/>
          <w14:ligatures w14:val="none"/>
        </w:rPr>
        <w:t>2</w:t>
      </w:r>
      <w:r>
        <w:rPr>
          <w:rFonts w:eastAsia="Times New Roman" w:asciiTheme="majorBidi" w:hAnsiTheme="majorBidi" w:cstheme="majorBidi"/>
          <w:kern w:val="0"/>
          <w:sz w:val="20"/>
          <w:szCs w:val="20"/>
          <w14:ligatures w14:val="none"/>
        </w:rPr>
        <w:t>, Sahar Ahmed El-Shatoury</w:t>
      </w:r>
      <w:r>
        <w:rPr>
          <w:rFonts w:eastAsia="Times New Roman" w:asciiTheme="majorBidi" w:hAnsiTheme="majorBidi" w:cstheme="majorBidi"/>
          <w:kern w:val="0"/>
          <w:sz w:val="20"/>
          <w:szCs w:val="20"/>
          <w:vertAlign w:val="superscript"/>
          <w:lang w:val="en-GB"/>
          <w14:ligatures w14:val="none"/>
        </w:rPr>
        <w:t>1</w:t>
      </w:r>
      <w:r>
        <w:rPr>
          <w:rFonts w:eastAsia="Times New Roman" w:asciiTheme="majorBidi" w:hAnsiTheme="majorBidi" w:cstheme="majorBidi"/>
          <w:kern w:val="0"/>
          <w:sz w:val="20"/>
          <w:szCs w:val="20"/>
          <w14:ligatures w14:val="none"/>
        </w:rPr>
        <w:t xml:space="preserve"> and Hesham Abdullah</w:t>
      </w:r>
      <w:r>
        <w:rPr>
          <w:rFonts w:eastAsia="Times New Roman" w:asciiTheme="majorBidi" w:hAnsiTheme="majorBidi" w:cstheme="majorBidi"/>
          <w:kern w:val="0"/>
          <w:sz w:val="20"/>
          <w:szCs w:val="20"/>
          <w:vertAlign w:val="superscript"/>
          <w:lang w:val="en-GB"/>
          <w14:ligatures w14:val="none"/>
        </w:rPr>
        <w:t>1</w:t>
      </w:r>
    </w:p>
    <w:p w14:paraId="53F5379E">
      <w:pPr>
        <w:spacing w:after="0" w:line="360" w:lineRule="auto"/>
        <w:jc w:val="center"/>
        <w:outlineLvl w:val="2"/>
        <w:rPr>
          <w:rFonts w:eastAsia="Times New Roman" w:asciiTheme="majorBidi" w:hAnsiTheme="majorBidi" w:cstheme="majorBidi"/>
          <w:kern w:val="0"/>
          <w:sz w:val="18"/>
          <w:szCs w:val="18"/>
          <w:lang w:val="de-DE"/>
          <w14:ligatures w14:val="none"/>
        </w:rPr>
      </w:pPr>
      <w:r>
        <w:rPr>
          <w:rFonts w:eastAsia="Times New Roman" w:asciiTheme="majorBidi" w:hAnsiTheme="majorBidi" w:cstheme="majorBidi"/>
          <w:kern w:val="0"/>
          <w:sz w:val="18"/>
          <w:szCs w:val="18"/>
          <w:vertAlign w:val="superscript"/>
          <w:lang w:val="de-DE"/>
          <w14:ligatures w14:val="none"/>
        </w:rPr>
        <w:t>1</w:t>
      </w:r>
      <w:r>
        <w:rPr>
          <w:rFonts w:eastAsia="Times New Roman" w:asciiTheme="majorBidi" w:hAnsiTheme="majorBidi" w:cstheme="majorBidi"/>
          <w:kern w:val="0"/>
          <w:sz w:val="18"/>
          <w:szCs w:val="18"/>
          <w:lang w:val="de-DE"/>
          <w14:ligatures w14:val="none"/>
        </w:rPr>
        <w:t>Botany and Microbiology Dept, Suez Canal University, 41522 Ismailia, Egypt</w:t>
      </w:r>
    </w:p>
    <w:p w14:paraId="016384A4">
      <w:pPr>
        <w:spacing w:after="0" w:line="360" w:lineRule="auto"/>
        <w:jc w:val="center"/>
        <w:outlineLvl w:val="2"/>
        <w:rPr>
          <w:rFonts w:eastAsia="Times New Roman" w:asciiTheme="majorBidi" w:hAnsiTheme="majorBidi" w:cstheme="majorBidi"/>
          <w:kern w:val="0"/>
          <w:sz w:val="20"/>
          <w:szCs w:val="20"/>
          <w:lang w:val="de-DE"/>
          <w14:ligatures w14:val="none"/>
        </w:rPr>
      </w:pPr>
      <w:r>
        <w:rPr>
          <w:rFonts w:asciiTheme="majorBidi" w:hAnsiTheme="majorBidi" w:cstheme="majorBidi"/>
          <w:color w:val="000000"/>
          <w:sz w:val="18"/>
          <w:szCs w:val="18"/>
          <w:vertAlign w:val="superscript"/>
        </w:rPr>
        <w:t>2</w:t>
      </w:r>
      <w:r>
        <w:rPr>
          <w:rFonts w:asciiTheme="majorBidi" w:hAnsiTheme="majorBidi" w:cstheme="majorBidi"/>
          <w:color w:val="000000"/>
          <w:sz w:val="18"/>
          <w:szCs w:val="18"/>
        </w:rPr>
        <w:t>Department of Civil Engineering, Faculty of Engineering, Suez Canal University, P.O. Box 41522, Ismailia, Egypt</w:t>
      </w:r>
    </w:p>
    <w:p w14:paraId="61E42BB1">
      <w:pPr>
        <w:spacing w:after="0" w:line="360" w:lineRule="auto"/>
        <w:jc w:val="both"/>
        <w:rPr>
          <w:rFonts w:asciiTheme="majorBidi" w:hAnsiTheme="majorBidi" w:cstheme="majorBidi"/>
          <w:b/>
          <w:bCs/>
          <w:sz w:val="20"/>
          <w:szCs w:val="20"/>
          <w:lang w:val="de-DE"/>
        </w:rPr>
      </w:pPr>
    </w:p>
    <w:p w14:paraId="42E335CE">
      <w:pPr>
        <w:rPr>
          <w:lang w:val="de-DE"/>
        </w:rPr>
      </w:pPr>
    </w:p>
    <w:p w14:paraId="5FC623C0">
      <w:r>
        <w:rPr>
          <w:rFonts w:asciiTheme="majorBidi" w:hAnsiTheme="majorBidi" w:cstheme="majorBidi"/>
          <w:b/>
        </w:rPr>
        <w:drawing>
          <wp:anchor distT="0" distB="0" distL="114300" distR="114300" simplePos="0" relativeHeight="251659264" behindDoc="0" locked="0" layoutInCell="1" allowOverlap="1">
            <wp:simplePos x="0" y="0"/>
            <wp:positionH relativeFrom="column">
              <wp:posOffset>1384935</wp:posOffset>
            </wp:positionH>
            <wp:positionV relativeFrom="paragraph">
              <wp:posOffset>269240</wp:posOffset>
            </wp:positionV>
            <wp:extent cx="2268855" cy="25438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a:extLst>
                        <a:ext uri="{28A0092B-C50C-407E-A947-70E740481C1C}">
                          <a14:useLocalDpi xmlns:a14="http://schemas.microsoft.com/office/drawing/2010/main" val="0"/>
                        </a:ext>
                      </a:extLst>
                    </a:blip>
                    <a:srcRect l="27748" r="25682"/>
                    <a:stretch>
                      <a:fillRect/>
                    </a:stretch>
                  </pic:blipFill>
                  <pic:spPr>
                    <a:xfrm>
                      <a:off x="0" y="0"/>
                      <a:ext cx="2268855" cy="2543810"/>
                    </a:xfrm>
                    <a:prstGeom prst="rect">
                      <a:avLst/>
                    </a:prstGeom>
                    <a:ln>
                      <a:noFill/>
                    </a:ln>
                  </pic:spPr>
                </pic:pic>
              </a:graphicData>
            </a:graphic>
          </wp:anchor>
        </w:drawing>
      </w:r>
    </w:p>
    <w:p w14:paraId="0E9BDD0B"/>
    <w:p w14:paraId="47B3AB9C"/>
    <w:p w14:paraId="5ABE54EC"/>
    <w:p w14:paraId="15E849AF"/>
    <w:p w14:paraId="6BEE5D1E"/>
    <w:p w14:paraId="256EFB43"/>
    <w:p w14:paraId="6B0E7E2C"/>
    <w:p w14:paraId="1C0C95EA"/>
    <w:p w14:paraId="11088E78"/>
    <w:p w14:paraId="1EB23720">
      <w:pPr>
        <w:jc w:val="both"/>
        <w:rPr>
          <w:rFonts w:asciiTheme="majorBidi" w:hAnsiTheme="majorBidi" w:cstheme="majorBidi"/>
        </w:rPr>
      </w:pPr>
      <w:r>
        <w:rPr>
          <w:rFonts w:asciiTheme="majorBidi" w:hAnsiTheme="majorBidi" w:cstheme="majorBidi"/>
          <w:b/>
          <w:bCs/>
        </w:rPr>
        <w:t>Figure S1.</w:t>
      </w:r>
      <w:r>
        <w:rPr>
          <w:rFonts w:asciiTheme="majorBidi" w:hAnsiTheme="majorBidi" w:cstheme="majorBidi"/>
        </w:rPr>
        <w:t xml:space="preserve"> Experimental setup of percolating microcosms for olive mill wastewater treatment. The system consists of vertically arranged glass columns packed with supporting material and connected to influent reservoirs (top row) delivering raw wastewater and treatments (with/without casein or activated c</w:t>
      </w:r>
      <w:bookmarkStart w:id="0" w:name="_GoBack"/>
      <w:bookmarkEnd w:id="0"/>
      <w:r>
        <w:rPr>
          <w:rFonts w:asciiTheme="majorBidi" w:hAnsiTheme="majorBidi" w:cstheme="majorBidi"/>
        </w:rPr>
        <w:t>arbon) to the microcosm columns, under controlled flow. Effluents were collected at the bottom for subsequent analysis.</w:t>
      </w:r>
    </w:p>
    <w:p w14:paraId="242187B5"/>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3A"/>
    <w:rsid w:val="001B1FBA"/>
    <w:rsid w:val="0035333E"/>
    <w:rsid w:val="004E3454"/>
    <w:rsid w:val="0082158B"/>
    <w:rsid w:val="008E4D4D"/>
    <w:rsid w:val="0093433A"/>
    <w:rsid w:val="00D3610F"/>
    <w:rsid w:val="00D74E0A"/>
    <w:rsid w:val="00EE2E4D"/>
    <w:rsid w:val="00F52F67"/>
    <w:rsid w:val="00FA0546"/>
    <w:rsid w:val="5CC54A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136</Words>
  <Characters>780</Characters>
  <Lines>6</Lines>
  <Paragraphs>1</Paragraphs>
  <TotalTime>9</TotalTime>
  <ScaleCrop>false</ScaleCrop>
  <LinksUpToDate>false</LinksUpToDate>
  <CharactersWithSpaces>915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2025-09-18T12:19:00Z</dcterms:created>
  <dc:creator>S. E.</dc:creator>
  <cp:lastModifiedBy>Sahar</cp:lastModifiedBy>
  <dcterms:modified xsi:type="dcterms:W3CDTF">2025-10-12T19:28:08Z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5874E0AA3E564477A1435360CB07B351_12</vt:lpwstr>
  </property>
</Properties>
</file>