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493D3" w14:textId="77777777" w:rsidR="00CF000B" w:rsidRPr="00ED5F07" w:rsidRDefault="00CF000B" w:rsidP="00CF000B">
      <w:pPr>
        <w:rPr>
          <w:rFonts w:asciiTheme="majorBidi" w:hAnsiTheme="majorBidi" w:cstheme="majorBidi"/>
        </w:rPr>
      </w:pPr>
      <w:r w:rsidRPr="00ED5F07">
        <w:rPr>
          <w:rFonts w:asciiTheme="majorBidi" w:hAnsiTheme="majorBidi" w:cstheme="majorBidi"/>
          <w:b/>
          <w:bCs/>
        </w:rPr>
        <w:t>Table S1.</w:t>
      </w:r>
      <w:r w:rsidRPr="00ED5F07">
        <w:rPr>
          <w:rFonts w:asciiTheme="majorBidi" w:hAnsiTheme="majorBidi" w:cstheme="majorBidi"/>
        </w:rPr>
        <w:t xml:space="preserve"> Participants and exposure factors characteristics before PS Matching.</w:t>
      </w:r>
    </w:p>
    <w:p w14:paraId="1B37F0A7" w14:textId="77777777" w:rsidR="00CF000B" w:rsidRPr="00ED5F07" w:rsidRDefault="00CF000B" w:rsidP="00CF000B">
      <w:pPr>
        <w:rPr>
          <w:rFonts w:asciiTheme="majorBidi" w:hAnsiTheme="majorBidi" w:cstheme="majorBidi"/>
        </w:rPr>
      </w:pPr>
      <w:r w:rsidRPr="00ED5F07">
        <w:rPr>
          <w:rFonts w:asciiTheme="majorBidi" w:hAnsiTheme="majorBidi" w:cstheme="majorBidi"/>
          <w:vertAlign w:val="superscript"/>
        </w:rPr>
        <w:t>1</w:t>
      </w:r>
      <w:r w:rsidRPr="00ED5F07">
        <w:rPr>
          <w:rFonts w:asciiTheme="majorBidi" w:hAnsiTheme="majorBidi" w:cstheme="majorBidi"/>
        </w:rPr>
        <w:t xml:space="preserve">Gestatioal Hypertension </w:t>
      </w:r>
      <w:r w:rsidRPr="00ED5F07">
        <w:rPr>
          <w:rFonts w:asciiTheme="majorBidi" w:hAnsiTheme="majorBidi" w:cstheme="majorBidi"/>
          <w:vertAlign w:val="superscript"/>
        </w:rPr>
        <w:t>2</w:t>
      </w:r>
      <w:r w:rsidRPr="00ED5F07">
        <w:rPr>
          <w:rFonts w:asciiTheme="majorBidi" w:hAnsiTheme="majorBidi" w:cstheme="majorBidi"/>
        </w:rPr>
        <w:t>Circulatory system disease.</w:t>
      </w:r>
    </w:p>
    <w:p w14:paraId="4C17F8D4" w14:textId="77777777" w:rsidR="00CF000B" w:rsidRPr="00ED5F07" w:rsidRDefault="00CF000B" w:rsidP="00CF000B">
      <w:pPr>
        <w:rPr>
          <w:rFonts w:asciiTheme="majorBidi" w:hAnsiTheme="majorBidi" w:cstheme="majorBidi"/>
        </w:rPr>
      </w:pPr>
      <w:r w:rsidRPr="00ED5F07">
        <w:rPr>
          <w:rFonts w:asciiTheme="majorBidi" w:hAnsiTheme="majorBidi" w:cstheme="majorBidi"/>
        </w:rPr>
        <w:t xml:space="preserve">Baseline characteristics of the total study population prior to propensity score matching, stratified by gestational hypertension (GHTN) status. Continuous variables are presented as mean ± standard deviation, and categorical variables as number (percentage). p-values were calculated using chi-square tests for categorical variables and t-tests for continuous variables to assess differences between groups. Significant differences were observed in age, income level, city of residence, and Circulatory system disease (CSD) status, indicating imbalance before matching.  </w:t>
      </w:r>
    </w:p>
    <w:p w14:paraId="4EB1C5C4" w14:textId="77777777" w:rsidR="00CF000B" w:rsidRPr="00ED5F07" w:rsidRDefault="00CF000B" w:rsidP="00CF000B">
      <w:pPr>
        <w:rPr>
          <w:rFonts w:asciiTheme="majorBidi" w:hAnsiTheme="majorBidi" w:cstheme="majorBidi"/>
          <w:szCs w:val="18"/>
        </w:rPr>
      </w:pPr>
      <w:r w:rsidRPr="00ED5F07">
        <w:rPr>
          <w:rFonts w:asciiTheme="majorBidi" w:hAnsiTheme="majorBidi" w:cstheme="majorBidi"/>
          <w:b/>
          <w:bCs/>
        </w:rPr>
        <w:t>Table S2.</w:t>
      </w:r>
      <w:r w:rsidRPr="00ED5F07">
        <w:rPr>
          <w:rFonts w:asciiTheme="majorBidi" w:hAnsiTheme="majorBidi" w:cstheme="majorBidi"/>
        </w:rPr>
        <w:t xml:space="preserve"> Association of environmental and climate exposures with circulatory system disease (without considering the </w:t>
      </w:r>
      <w:r w:rsidRPr="00ED5F07">
        <w:rPr>
          <w:rFonts w:asciiTheme="majorBidi" w:hAnsiTheme="majorBidi" w:cstheme="majorBidi"/>
          <w:vertAlign w:val="superscript"/>
        </w:rPr>
        <w:t>1</w:t>
      </w:r>
      <w:r w:rsidRPr="00ED5F07">
        <w:rPr>
          <w:rFonts w:asciiTheme="majorBidi" w:hAnsiTheme="majorBidi" w:cstheme="majorBidi"/>
        </w:rPr>
        <w:t>GHTN effect).</w:t>
      </w:r>
    </w:p>
    <w:p w14:paraId="14FCC77F" w14:textId="77777777" w:rsidR="00CF000B" w:rsidRPr="00ED5F07" w:rsidRDefault="00CF000B" w:rsidP="00CF000B">
      <w:pPr>
        <w:rPr>
          <w:rFonts w:asciiTheme="majorBidi" w:hAnsiTheme="majorBidi" w:cstheme="majorBidi"/>
        </w:rPr>
      </w:pPr>
      <w:r w:rsidRPr="00B36ADE">
        <w:rPr>
          <w:rFonts w:asciiTheme="majorBidi" w:hAnsiTheme="majorBidi" w:cstheme="majorBidi"/>
          <w:vertAlign w:val="superscript"/>
        </w:rPr>
        <w:t>1</w:t>
      </w:r>
      <w:r w:rsidRPr="00B36ADE">
        <w:rPr>
          <w:rFonts w:asciiTheme="majorBidi" w:hAnsiTheme="majorBidi" w:cstheme="majorBidi"/>
        </w:rPr>
        <w:t xml:space="preserve">Gestatioal Hypertension, </w:t>
      </w:r>
      <w:r w:rsidRPr="00B36ADE">
        <w:rPr>
          <w:rFonts w:asciiTheme="majorBidi" w:hAnsiTheme="majorBidi" w:cstheme="majorBidi"/>
          <w:vertAlign w:val="superscript"/>
        </w:rPr>
        <w:t xml:space="preserve">2 </w:t>
      </w:r>
      <w:r w:rsidRPr="00B36ADE">
        <w:rPr>
          <w:rFonts w:asciiTheme="majorBidi" w:hAnsiTheme="majorBidi" w:cstheme="majorBidi"/>
        </w:rPr>
        <w:t>Particular matter &lt;2.5(µg/m³</w:t>
      </w:r>
      <w:proofErr w:type="gramStart"/>
      <w:r w:rsidRPr="00B36ADE">
        <w:rPr>
          <w:rFonts w:asciiTheme="majorBidi" w:hAnsiTheme="majorBidi" w:cstheme="majorBidi"/>
        </w:rPr>
        <w:t>),</w:t>
      </w:r>
      <w:r w:rsidRPr="00B36ADE">
        <w:rPr>
          <w:rFonts w:asciiTheme="majorBidi" w:hAnsiTheme="majorBidi" w:cstheme="majorBidi"/>
          <w:vertAlign w:val="superscript"/>
        </w:rPr>
        <w:t xml:space="preserve">  3</w:t>
      </w:r>
      <w:proofErr w:type="gramEnd"/>
      <w:r w:rsidRPr="00B36ADE">
        <w:rPr>
          <w:rFonts w:asciiTheme="majorBidi" w:hAnsiTheme="majorBidi" w:cstheme="majorBidi"/>
        </w:rPr>
        <w:t xml:space="preserve"> High daily temperature exposure,</w:t>
      </w:r>
    </w:p>
    <w:p w14:paraId="407E1E11" w14:textId="77777777" w:rsidR="00CF000B" w:rsidRPr="00B36ADE" w:rsidRDefault="00CF000B" w:rsidP="00CF000B">
      <w:pPr>
        <w:rPr>
          <w:rFonts w:asciiTheme="majorBidi" w:hAnsiTheme="majorBidi" w:cstheme="majorBidi"/>
        </w:rPr>
      </w:pPr>
      <w:r w:rsidRPr="00B36ADE">
        <w:rPr>
          <w:rFonts w:asciiTheme="majorBidi" w:hAnsiTheme="majorBidi" w:cstheme="majorBidi"/>
          <w:vertAlign w:val="superscript"/>
        </w:rPr>
        <w:t xml:space="preserve">4 </w:t>
      </w:r>
      <w:r w:rsidRPr="00B36ADE">
        <w:rPr>
          <w:rFonts w:asciiTheme="majorBidi" w:hAnsiTheme="majorBidi" w:cstheme="majorBidi"/>
        </w:rPr>
        <w:t>Average Atmospheric Pressure exposure. OR: odds ratio; CI: confidence interval.</w:t>
      </w:r>
    </w:p>
    <w:p w14:paraId="41543E3A" w14:textId="77777777" w:rsidR="00CF000B" w:rsidRPr="00ED5F07" w:rsidRDefault="00CF000B" w:rsidP="00CF000B">
      <w:pPr>
        <w:rPr>
          <w:rFonts w:asciiTheme="majorBidi" w:hAnsiTheme="majorBidi" w:cstheme="majorBidi"/>
        </w:rPr>
      </w:pPr>
      <w:r w:rsidRPr="00B36ADE">
        <w:rPr>
          <w:rFonts w:asciiTheme="majorBidi" w:hAnsiTheme="majorBidi" w:cstheme="majorBidi"/>
        </w:rPr>
        <w:t>Logistic regression models were conducted after propensity score matching across three exposure periods. Model 1 included PM</w:t>
      </w:r>
      <w:proofErr w:type="gramStart"/>
      <w:r w:rsidRPr="00B36ADE">
        <w:rPr>
          <w:rFonts w:asciiTheme="majorBidi" w:hAnsiTheme="majorBidi" w:cstheme="majorBidi"/>
        </w:rPr>
        <w:t>₂.₅</w:t>
      </w:r>
      <w:proofErr w:type="gramEnd"/>
      <w:r w:rsidRPr="00B36ADE">
        <w:rPr>
          <w:rFonts w:asciiTheme="majorBidi" w:hAnsiTheme="majorBidi" w:cstheme="majorBidi"/>
        </w:rPr>
        <w:t xml:space="preserve"> only; Model 2 included PM</w:t>
      </w:r>
      <w:proofErr w:type="gramStart"/>
      <w:r w:rsidRPr="00B36ADE">
        <w:rPr>
          <w:rFonts w:asciiTheme="majorBidi" w:hAnsiTheme="majorBidi" w:cstheme="majorBidi"/>
        </w:rPr>
        <w:t>₂.₅</w:t>
      </w:r>
      <w:proofErr w:type="gramEnd"/>
      <w:r w:rsidRPr="00B36ADE">
        <w:rPr>
          <w:rFonts w:asciiTheme="majorBidi" w:hAnsiTheme="majorBidi" w:cstheme="majorBidi"/>
        </w:rPr>
        <w:t>, high daily temperature, and average atmospheric pressure; Model 3 included all variables, including age, income level, and residential area. Gestational hypertension (GHTN) was not considered in these models. For income, the high level was used as the reference group, and for residential area, Gwangju was used as the reference city.</w:t>
      </w:r>
    </w:p>
    <w:p w14:paraId="57E41EEB" w14:textId="77777777" w:rsidR="00CF000B" w:rsidRPr="00ED5F07" w:rsidRDefault="00CF000B" w:rsidP="00CF000B">
      <w:pPr>
        <w:rPr>
          <w:rFonts w:asciiTheme="majorBidi" w:eastAsia="Times New Roman Uni" w:hAnsiTheme="majorBidi" w:cstheme="majorBidi"/>
        </w:rPr>
      </w:pPr>
      <w:r w:rsidRPr="00ED5F07">
        <w:rPr>
          <w:rFonts w:asciiTheme="majorBidi" w:hAnsiTheme="majorBidi" w:cstheme="majorBidi"/>
          <w:b/>
          <w:bCs/>
        </w:rPr>
        <w:t xml:space="preserve">Table S3. </w:t>
      </w:r>
      <w:r w:rsidRPr="00ED5F07">
        <w:rPr>
          <w:rFonts w:asciiTheme="majorBidi" w:eastAsia="Times New Roman Uni" w:hAnsiTheme="majorBidi" w:cstheme="majorBidi"/>
        </w:rPr>
        <w:t>ICD-10–based categorization of circulatory system disease conditions among the study participants.</w:t>
      </w:r>
    </w:p>
    <w:p w14:paraId="65831421" w14:textId="77777777" w:rsidR="00CF000B" w:rsidRPr="00ED5F07" w:rsidRDefault="00CF000B" w:rsidP="00CF000B">
      <w:pPr>
        <w:rPr>
          <w:rFonts w:asciiTheme="majorBidi" w:hAnsiTheme="majorBidi" w:cstheme="majorBidi"/>
        </w:rPr>
      </w:pPr>
      <w:r w:rsidRPr="00ED5F07">
        <w:rPr>
          <w:rFonts w:asciiTheme="majorBidi" w:hAnsiTheme="majorBidi" w:cstheme="majorBidi"/>
          <w:vertAlign w:val="superscript"/>
        </w:rPr>
        <w:t>1</w:t>
      </w:r>
      <w:r w:rsidRPr="00ED5F07">
        <w:rPr>
          <w:rFonts w:asciiTheme="majorBidi" w:hAnsiTheme="majorBidi" w:cstheme="majorBidi"/>
        </w:rPr>
        <w:t>Gestatioal Hypertension.</w:t>
      </w:r>
    </w:p>
    <w:p w14:paraId="70A8325E" w14:textId="77777777" w:rsidR="00CF000B" w:rsidRPr="00ED5F07" w:rsidRDefault="00CF000B" w:rsidP="00CF000B">
      <w:pPr>
        <w:rPr>
          <w:rFonts w:asciiTheme="majorBidi" w:hAnsiTheme="majorBidi" w:cstheme="majorBidi"/>
        </w:rPr>
      </w:pPr>
      <w:r w:rsidRPr="00ED5F07">
        <w:rPr>
          <w:rFonts w:asciiTheme="majorBidi" w:hAnsiTheme="majorBidi" w:cstheme="majorBidi"/>
        </w:rPr>
        <w:t>This table presents the distribution of circulatory system diseases classified by ICD-10 codes, including total case counts and the number of cases observed among participants with gestational hypertension (GHTN). Disease categories were grouped by ICD-10 code ranges to reflect major clinical subtypes. The total row summarizes the overall burden of circulatory system diseases and the subset affected by GHTN. (Note: The total number of disease cases exceeds the number of individual participants because some individuals were diagnosed with multiple conditions.)</w:t>
      </w:r>
    </w:p>
    <w:p w14:paraId="4DB0A4FD"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Uni">
    <w:charset w:val="80"/>
    <w:family w:val="roman"/>
    <w:pitch w:val="variable"/>
    <w:sig w:usb0="B334AAFF" w:usb1="F9DFFFFF" w:usb2="0000003E" w:usb3="00000000" w:csb0="001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00B"/>
    <w:rsid w:val="00066677"/>
    <w:rsid w:val="003A4E89"/>
    <w:rsid w:val="00556784"/>
    <w:rsid w:val="008B07A6"/>
    <w:rsid w:val="00987B63"/>
    <w:rsid w:val="00C97E24"/>
    <w:rsid w:val="00CF000B"/>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346AD"/>
  <w15:chartTrackingRefBased/>
  <w15:docId w15:val="{18B3A280-F406-496E-9279-90290DFB4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00B"/>
    <w:rPr>
      <w:rFonts w:eastAsiaTheme="minorEastAsia"/>
      <w:lang w:eastAsia="ko-KR"/>
    </w:rPr>
  </w:style>
  <w:style w:type="paragraph" w:styleId="Heading1">
    <w:name w:val="heading 1"/>
    <w:basedOn w:val="Normal"/>
    <w:next w:val="Normal"/>
    <w:link w:val="Heading1Char"/>
    <w:uiPriority w:val="9"/>
    <w:qFormat/>
    <w:rsid w:val="00CF000B"/>
    <w:pPr>
      <w:keepNext/>
      <w:keepLines/>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CF000B"/>
    <w:pPr>
      <w:keepNext/>
      <w:keepLines/>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CF000B"/>
    <w:pPr>
      <w:keepNext/>
      <w:keepLines/>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CF000B"/>
    <w:pPr>
      <w:keepNext/>
      <w:keepLines/>
      <w:spacing w:before="80" w:after="40"/>
      <w:outlineLvl w:val="3"/>
    </w:pPr>
    <w:rPr>
      <w:rFonts w:eastAsiaTheme="majorEastAsia" w:cstheme="majorBidi"/>
      <w:i/>
      <w:iCs/>
      <w:color w:val="0F4761" w:themeColor="accent1" w:themeShade="BF"/>
      <w:lang w:eastAsia="en-US"/>
    </w:rPr>
  </w:style>
  <w:style w:type="paragraph" w:styleId="Heading5">
    <w:name w:val="heading 5"/>
    <w:basedOn w:val="Normal"/>
    <w:next w:val="Normal"/>
    <w:link w:val="Heading5Char"/>
    <w:uiPriority w:val="9"/>
    <w:semiHidden/>
    <w:unhideWhenUsed/>
    <w:qFormat/>
    <w:rsid w:val="00CF000B"/>
    <w:pPr>
      <w:keepNext/>
      <w:keepLines/>
      <w:spacing w:before="80" w:after="40"/>
      <w:outlineLvl w:val="4"/>
    </w:pPr>
    <w:rPr>
      <w:rFonts w:eastAsiaTheme="majorEastAsia" w:cstheme="majorBidi"/>
      <w:color w:val="0F4761" w:themeColor="accent1" w:themeShade="BF"/>
      <w:lang w:eastAsia="en-US"/>
    </w:rPr>
  </w:style>
  <w:style w:type="paragraph" w:styleId="Heading6">
    <w:name w:val="heading 6"/>
    <w:basedOn w:val="Normal"/>
    <w:next w:val="Normal"/>
    <w:link w:val="Heading6Char"/>
    <w:uiPriority w:val="9"/>
    <w:semiHidden/>
    <w:unhideWhenUsed/>
    <w:qFormat/>
    <w:rsid w:val="00CF000B"/>
    <w:pPr>
      <w:keepNext/>
      <w:keepLines/>
      <w:spacing w:before="40" w:after="0"/>
      <w:outlineLvl w:val="5"/>
    </w:pPr>
    <w:rPr>
      <w:rFonts w:eastAsiaTheme="majorEastAsia" w:cstheme="majorBidi"/>
      <w:i/>
      <w:iCs/>
      <w:color w:val="595959" w:themeColor="text1" w:themeTint="A6"/>
      <w:lang w:eastAsia="en-US"/>
    </w:rPr>
  </w:style>
  <w:style w:type="paragraph" w:styleId="Heading7">
    <w:name w:val="heading 7"/>
    <w:basedOn w:val="Normal"/>
    <w:next w:val="Normal"/>
    <w:link w:val="Heading7Char"/>
    <w:uiPriority w:val="9"/>
    <w:semiHidden/>
    <w:unhideWhenUsed/>
    <w:qFormat/>
    <w:rsid w:val="00CF000B"/>
    <w:pPr>
      <w:keepNext/>
      <w:keepLines/>
      <w:spacing w:before="40" w:after="0"/>
      <w:outlineLvl w:val="6"/>
    </w:pPr>
    <w:rPr>
      <w:rFonts w:eastAsiaTheme="majorEastAsia" w:cstheme="majorBidi"/>
      <w:color w:val="595959" w:themeColor="text1" w:themeTint="A6"/>
      <w:lang w:eastAsia="en-US"/>
    </w:rPr>
  </w:style>
  <w:style w:type="paragraph" w:styleId="Heading8">
    <w:name w:val="heading 8"/>
    <w:basedOn w:val="Normal"/>
    <w:next w:val="Normal"/>
    <w:link w:val="Heading8Char"/>
    <w:uiPriority w:val="9"/>
    <w:semiHidden/>
    <w:unhideWhenUsed/>
    <w:qFormat/>
    <w:rsid w:val="00CF000B"/>
    <w:pPr>
      <w:keepNext/>
      <w:keepLines/>
      <w:spacing w:after="0"/>
      <w:outlineLvl w:val="7"/>
    </w:pPr>
    <w:rPr>
      <w:rFonts w:eastAsiaTheme="majorEastAsia" w:cstheme="majorBidi"/>
      <w:i/>
      <w:iCs/>
      <w:color w:val="272727" w:themeColor="text1" w:themeTint="D8"/>
      <w:lang w:eastAsia="en-US"/>
    </w:rPr>
  </w:style>
  <w:style w:type="paragraph" w:styleId="Heading9">
    <w:name w:val="heading 9"/>
    <w:basedOn w:val="Normal"/>
    <w:next w:val="Normal"/>
    <w:link w:val="Heading9Char"/>
    <w:uiPriority w:val="9"/>
    <w:semiHidden/>
    <w:unhideWhenUsed/>
    <w:qFormat/>
    <w:rsid w:val="00CF000B"/>
    <w:pPr>
      <w:keepNext/>
      <w:keepLines/>
      <w:spacing w:after="0"/>
      <w:outlineLvl w:val="8"/>
    </w:pPr>
    <w:rPr>
      <w:rFonts w:eastAsiaTheme="majorEastAsia" w:cstheme="majorBidi"/>
      <w:color w:val="272727" w:themeColor="text1" w:themeTint="D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00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00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00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00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00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00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00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00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000B"/>
    <w:rPr>
      <w:rFonts w:eastAsiaTheme="majorEastAsia" w:cstheme="majorBidi"/>
      <w:color w:val="272727" w:themeColor="text1" w:themeTint="D8"/>
    </w:rPr>
  </w:style>
  <w:style w:type="paragraph" w:styleId="Title">
    <w:name w:val="Title"/>
    <w:basedOn w:val="Normal"/>
    <w:next w:val="Normal"/>
    <w:link w:val="TitleChar"/>
    <w:uiPriority w:val="10"/>
    <w:qFormat/>
    <w:rsid w:val="00CF000B"/>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CF00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000B"/>
    <w:pPr>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CF00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000B"/>
    <w:pPr>
      <w:spacing w:before="160"/>
      <w:jc w:val="center"/>
    </w:pPr>
    <w:rPr>
      <w:rFonts w:eastAsiaTheme="minorHAnsi"/>
      <w:i/>
      <w:iCs/>
      <w:color w:val="404040" w:themeColor="text1" w:themeTint="BF"/>
      <w:lang w:eastAsia="en-US"/>
    </w:rPr>
  </w:style>
  <w:style w:type="character" w:customStyle="1" w:styleId="QuoteChar">
    <w:name w:val="Quote Char"/>
    <w:basedOn w:val="DefaultParagraphFont"/>
    <w:link w:val="Quote"/>
    <w:uiPriority w:val="29"/>
    <w:rsid w:val="00CF000B"/>
    <w:rPr>
      <w:i/>
      <w:iCs/>
      <w:color w:val="404040" w:themeColor="text1" w:themeTint="BF"/>
    </w:rPr>
  </w:style>
  <w:style w:type="paragraph" w:styleId="ListParagraph">
    <w:name w:val="List Paragraph"/>
    <w:basedOn w:val="Normal"/>
    <w:uiPriority w:val="34"/>
    <w:qFormat/>
    <w:rsid w:val="00CF000B"/>
    <w:pPr>
      <w:ind w:left="720"/>
      <w:contextualSpacing/>
    </w:pPr>
    <w:rPr>
      <w:rFonts w:eastAsiaTheme="minorHAnsi"/>
      <w:lang w:eastAsia="en-US"/>
    </w:rPr>
  </w:style>
  <w:style w:type="character" w:styleId="IntenseEmphasis">
    <w:name w:val="Intense Emphasis"/>
    <w:basedOn w:val="DefaultParagraphFont"/>
    <w:uiPriority w:val="21"/>
    <w:qFormat/>
    <w:rsid w:val="00CF000B"/>
    <w:rPr>
      <w:i/>
      <w:iCs/>
      <w:color w:val="0F4761" w:themeColor="accent1" w:themeShade="BF"/>
    </w:rPr>
  </w:style>
  <w:style w:type="paragraph" w:styleId="IntenseQuote">
    <w:name w:val="Intense Quote"/>
    <w:basedOn w:val="Normal"/>
    <w:next w:val="Normal"/>
    <w:link w:val="IntenseQuoteChar"/>
    <w:uiPriority w:val="30"/>
    <w:qFormat/>
    <w:rsid w:val="00CF000B"/>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eastAsia="en-US"/>
    </w:rPr>
  </w:style>
  <w:style w:type="character" w:customStyle="1" w:styleId="IntenseQuoteChar">
    <w:name w:val="Intense Quote Char"/>
    <w:basedOn w:val="DefaultParagraphFont"/>
    <w:link w:val="IntenseQuote"/>
    <w:uiPriority w:val="30"/>
    <w:rsid w:val="00CF000B"/>
    <w:rPr>
      <w:i/>
      <w:iCs/>
      <w:color w:val="0F4761" w:themeColor="accent1" w:themeShade="BF"/>
    </w:rPr>
  </w:style>
  <w:style w:type="character" w:styleId="IntenseReference">
    <w:name w:val="Intense Reference"/>
    <w:basedOn w:val="DefaultParagraphFont"/>
    <w:uiPriority w:val="32"/>
    <w:qFormat/>
    <w:rsid w:val="00CF00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1902</Characters>
  <Application>Microsoft Office Word</Application>
  <DocSecurity>0</DocSecurity>
  <Lines>29</Lines>
  <Paragraphs>9</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2025-11-10T07:08:00Z</dcterms:created>
  <dcterms:modified xsi:type="dcterms:W3CDTF">2025-11-10T07:08:00Z</dcterms:modified>
</cp:coreProperties>
</file>