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18E" w:rsidRDefault="0055618E" w:rsidP="0055618E">
      <w:pPr>
        <w:jc w:val="center"/>
        <w:rPr>
          <w:b/>
          <w:bCs/>
        </w:rPr>
      </w:pPr>
      <w:r w:rsidRPr="005016A7">
        <w:rPr>
          <w:b/>
          <w:bCs/>
        </w:rPr>
        <w:t xml:space="preserve">Supplemental </w:t>
      </w:r>
      <w:r>
        <w:rPr>
          <w:b/>
          <w:bCs/>
        </w:rPr>
        <w:t>Figures</w:t>
      </w:r>
    </w:p>
    <w:p w:rsidR="0055618E" w:rsidRPr="006D7B3A" w:rsidRDefault="0055618E" w:rsidP="0055618E">
      <w:pPr>
        <w:rPr>
          <w:b/>
          <w:bCs/>
        </w:rPr>
      </w:pPr>
      <w:r w:rsidRPr="005016A7">
        <w:rPr>
          <w:b/>
          <w:bCs/>
        </w:rPr>
        <w:t xml:space="preserve">Supplemental </w:t>
      </w:r>
      <w:r w:rsidRPr="006D7B3A">
        <w:rPr>
          <w:b/>
          <w:bCs/>
        </w:rPr>
        <w:t>Figure 1</w:t>
      </w:r>
    </w:p>
    <w:p w:rsidR="0055618E" w:rsidRDefault="0055618E" w:rsidP="0055618E">
      <w:r w:rsidRPr="001F3B49">
        <w:rPr>
          <w:noProof/>
        </w:rPr>
        <w:drawing>
          <wp:inline distT="0" distB="0" distL="0" distR="0" wp14:anchorId="3A9DBD41" wp14:editId="507247A5">
            <wp:extent cx="5182948" cy="5819775"/>
            <wp:effectExtent l="0" t="0" r="0" b="0"/>
            <wp:docPr id="9" name="Picture 9" descr="C:\Users\fyjing\Documents\Lab\Thioesterase\manuscripts\Directed evolution\2019\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yjing\Documents\Lab\Thioesterase\manuscripts\Directed evolution\2019\Figure 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56" b="5259"/>
                    <a:stretch/>
                  </pic:blipFill>
                  <pic:spPr bwMode="auto">
                    <a:xfrm>
                      <a:off x="0" y="0"/>
                      <a:ext cx="5185758" cy="58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18E" w:rsidRPr="00F15588" w:rsidRDefault="0055618E" w:rsidP="0055618E">
      <w:pPr>
        <w:spacing w:line="360" w:lineRule="auto"/>
      </w:pPr>
      <w:r w:rsidRPr="005016A7">
        <w:rPr>
          <w:b/>
          <w:bCs/>
        </w:rPr>
        <w:t xml:space="preserve">Supplemental </w:t>
      </w:r>
      <w:r w:rsidRPr="00C13FE9">
        <w:rPr>
          <w:b/>
          <w:bCs/>
        </w:rPr>
        <w:t>Figure 1.</w:t>
      </w:r>
      <w:r w:rsidRPr="0052314C">
        <w:t xml:space="preserve"> </w:t>
      </w:r>
      <w:r>
        <w:t>Sequence a</w:t>
      </w:r>
      <w:r w:rsidRPr="0052314C">
        <w:t>lignment of</w:t>
      </w:r>
      <w:r>
        <w:t xml:space="preserve"> the </w:t>
      </w:r>
      <w:r w:rsidRPr="0052314C">
        <w:t>six parental acyl-ACP TEs</w:t>
      </w:r>
      <w:r>
        <w:t xml:space="preserve"> and the Designed acyl-ACP TE protein.</w:t>
      </w:r>
      <w:r w:rsidRPr="0052314C">
        <w:t xml:space="preserve"> </w:t>
      </w:r>
      <w:r>
        <w:t xml:space="preserve">The </w:t>
      </w:r>
      <w:r w:rsidRPr="0017266D">
        <w:t xml:space="preserve">multiple sequence alignment </w:t>
      </w:r>
      <w:r>
        <w:t xml:space="preserve">was constructed by </w:t>
      </w:r>
      <w:r w:rsidRPr="0017266D">
        <w:t>using ClustalW2 (</w:t>
      </w:r>
      <w:hyperlink r:id="rId5" w:history="1">
        <w:r w:rsidRPr="0017266D">
          <w:rPr>
            <w:rStyle w:val="Hyperlink"/>
          </w:rPr>
          <w:t>http://www.ebi.ac.uk/Tools/msa/clustalw2/</w:t>
        </w:r>
      </w:hyperlink>
      <w:r w:rsidRPr="0017266D">
        <w:t>)</w:t>
      </w:r>
      <w:r>
        <w:t xml:space="preserve">.  The “X” residues in the Designed sequence identify the amino acids that were potentially varied in the reassembled acyl-ACP TE variants. Arrows (labeled as M1-1 to M1-10, M2-1 to M2-10, and M3-1 to M3-10) indicate the location of the primers that were used to reassemble the Designed acyl-ACP TE sequences. </w:t>
      </w:r>
      <w:r w:rsidRPr="0052314C">
        <w:t>Conserved residues are shown with white font</w:t>
      </w:r>
      <w:r>
        <w:t xml:space="preserve"> on a black background</w:t>
      </w:r>
      <w:r w:rsidRPr="0052314C">
        <w:t xml:space="preserve">, and </w:t>
      </w:r>
      <w:r>
        <w:t>white font residues on a grey background identify residues that are functionally similar.</w:t>
      </w:r>
      <w:r>
        <w:br w:type="page"/>
      </w:r>
    </w:p>
    <w:p w:rsidR="0055618E" w:rsidRPr="00854761" w:rsidRDefault="0055618E" w:rsidP="0055618E">
      <w:pPr>
        <w:jc w:val="center"/>
      </w:pPr>
    </w:p>
    <w:p w:rsidR="0055618E" w:rsidRPr="005016A7" w:rsidRDefault="0055618E" w:rsidP="0055618E">
      <w:pPr>
        <w:rPr>
          <w:b/>
          <w:bCs/>
        </w:rPr>
      </w:pPr>
      <w:r w:rsidRPr="005016A7">
        <w:rPr>
          <w:b/>
          <w:bCs/>
        </w:rPr>
        <w:t xml:space="preserve">Supplemental Figure </w:t>
      </w:r>
      <w:r>
        <w:rPr>
          <w:b/>
          <w:bCs/>
        </w:rPr>
        <w:t>2</w:t>
      </w:r>
    </w:p>
    <w:p w:rsidR="0055618E" w:rsidRPr="00FC2847" w:rsidRDefault="0055618E" w:rsidP="0055618E">
      <w:pPr>
        <w:spacing w:line="480" w:lineRule="auto"/>
        <w:jc w:val="center"/>
      </w:pPr>
      <w:r w:rsidRPr="00FC2847">
        <w:rPr>
          <w:noProof/>
        </w:rPr>
        <w:drawing>
          <wp:inline distT="0" distB="0" distL="0" distR="0" wp14:anchorId="4B336766" wp14:editId="0E128176">
            <wp:extent cx="5253183" cy="2000250"/>
            <wp:effectExtent l="0" t="0" r="5080" b="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222" cy="200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5618E" w:rsidRPr="00FC2847" w:rsidRDefault="0055618E" w:rsidP="0055618E">
      <w:pPr>
        <w:spacing w:line="480" w:lineRule="auto"/>
        <w:jc w:val="center"/>
      </w:pPr>
    </w:p>
    <w:p w:rsidR="0055618E" w:rsidRPr="002F2A83" w:rsidRDefault="0055618E" w:rsidP="0055618E">
      <w:pPr>
        <w:spacing w:line="480" w:lineRule="auto"/>
      </w:pPr>
      <w:r w:rsidRPr="006258DB">
        <w:rPr>
          <w:b/>
          <w:bCs/>
        </w:rPr>
        <w:t xml:space="preserve">Supplemental Figure </w:t>
      </w:r>
      <w:r>
        <w:rPr>
          <w:b/>
          <w:bCs/>
        </w:rPr>
        <w:t>2</w:t>
      </w:r>
      <w:r w:rsidRPr="006258DB">
        <w:rPr>
          <w:b/>
          <w:bCs/>
        </w:rPr>
        <w:t xml:space="preserve">. </w:t>
      </w:r>
      <w:r>
        <w:t>S</w:t>
      </w:r>
      <w:r w:rsidRPr="00FC2847">
        <w:t xml:space="preserve">chematic </w:t>
      </w:r>
      <w:r>
        <w:t>map</w:t>
      </w:r>
      <w:r w:rsidRPr="00FC2847">
        <w:t xml:space="preserve"> of </w:t>
      </w:r>
      <w:r>
        <w:t>the</w:t>
      </w:r>
      <w:r w:rsidRPr="00FC2847">
        <w:t xml:space="preserve"> pUCHisGm </w:t>
      </w:r>
      <w:r>
        <w:t xml:space="preserve">expression </w:t>
      </w:r>
      <w:r w:rsidRPr="00FC2847">
        <w:t>vector</w:t>
      </w:r>
      <w:r>
        <w:t xml:space="preserve"> used to construct the acyl-ACP TE variant library. 6xH, hexa-histidine sequence tag; lacZ P, promoter of </w:t>
      </w:r>
      <w:r w:rsidRPr="00854761">
        <w:rPr>
          <w:i/>
        </w:rPr>
        <w:t>lacZ</w:t>
      </w:r>
      <w:r>
        <w:t xml:space="preserve"> gene; 3x(GGGGS), [Gly-Gly-Gly-Gly-Ser]</w:t>
      </w:r>
      <w:r w:rsidRPr="002F2A83">
        <w:rPr>
          <w:vertAlign w:val="subscript"/>
        </w:rPr>
        <w:t>3</w:t>
      </w:r>
      <w:r>
        <w:t xml:space="preserve"> linker sequence; Gm</w:t>
      </w:r>
      <w:r w:rsidRPr="00854761">
        <w:rPr>
          <w:vertAlign w:val="superscript"/>
        </w:rPr>
        <w:t>R</w:t>
      </w:r>
      <w:r>
        <w:t xml:space="preserve">, </w:t>
      </w:r>
      <w:r w:rsidRPr="00FC2847">
        <w:t>gentamicin</w:t>
      </w:r>
      <w:r>
        <w:t>-resistance gene, fused in-frame with the acyl-ACP TE sequence.</w:t>
      </w:r>
    </w:p>
    <w:p w:rsidR="0055618E" w:rsidRDefault="0055618E" w:rsidP="0055618E"/>
    <w:p w:rsidR="0055618E" w:rsidRDefault="0055618E" w:rsidP="0055618E">
      <w:r>
        <w:br w:type="page"/>
      </w:r>
    </w:p>
    <w:p w:rsidR="0055618E" w:rsidRPr="005016A7" w:rsidRDefault="0055618E" w:rsidP="0055618E">
      <w:pPr>
        <w:ind w:right="2250"/>
      </w:pPr>
      <w:r w:rsidRPr="005016A7">
        <w:rPr>
          <w:b/>
          <w:bCs/>
        </w:rPr>
        <w:t xml:space="preserve">Supplemental Figure </w:t>
      </w:r>
      <w:r>
        <w:rPr>
          <w:b/>
          <w:bCs/>
        </w:rPr>
        <w:t xml:space="preserve">3.  </w:t>
      </w:r>
      <w:r>
        <w:t>Multisequence alignment of acyl-ACP TE variants characterized in this study.</w:t>
      </w:r>
    </w:p>
    <w:p w:rsidR="0055618E" w:rsidRDefault="0055618E" w:rsidP="0055618E">
      <w:r w:rsidRPr="008A20B3">
        <w:rPr>
          <w:noProof/>
        </w:rPr>
        <w:drawing>
          <wp:inline distT="0" distB="0" distL="0" distR="0" wp14:anchorId="76FD3154" wp14:editId="6A5A5CD3">
            <wp:extent cx="4416552" cy="3520440"/>
            <wp:effectExtent l="0" t="0" r="317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552" cy="352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18E" w:rsidRDefault="0055618E" w:rsidP="0055618E">
      <w:r w:rsidRPr="008A20B3">
        <w:rPr>
          <w:noProof/>
        </w:rPr>
        <w:drawing>
          <wp:inline distT="0" distB="0" distL="0" distR="0" wp14:anchorId="27A7E77E" wp14:editId="6F688245">
            <wp:extent cx="4425696" cy="351129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696" cy="3511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18E" w:rsidRDefault="0055618E" w:rsidP="0055618E">
      <w:r>
        <w:br w:type="page"/>
      </w:r>
    </w:p>
    <w:p w:rsidR="0055618E" w:rsidRDefault="0055618E" w:rsidP="0055618E">
      <w:r w:rsidRPr="005016A7">
        <w:rPr>
          <w:b/>
          <w:bCs/>
        </w:rPr>
        <w:t xml:space="preserve">Supplemental Figure </w:t>
      </w:r>
      <w:r>
        <w:rPr>
          <w:b/>
          <w:bCs/>
        </w:rPr>
        <w:t>3 (</w:t>
      </w:r>
      <w:r>
        <w:t>continued)</w:t>
      </w:r>
    </w:p>
    <w:p w:rsidR="0055618E" w:rsidRDefault="0055618E" w:rsidP="0055618E">
      <w:r w:rsidRPr="008A20B3">
        <w:rPr>
          <w:noProof/>
        </w:rPr>
        <w:drawing>
          <wp:inline distT="0" distB="0" distL="0" distR="0" wp14:anchorId="175A856F" wp14:editId="06BDAA40">
            <wp:extent cx="4425696" cy="351129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696" cy="3511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18E" w:rsidRDefault="0055618E" w:rsidP="0055618E">
      <w:r w:rsidRPr="008A20B3">
        <w:rPr>
          <w:noProof/>
        </w:rPr>
        <w:drawing>
          <wp:inline distT="0" distB="0" distL="0" distR="0" wp14:anchorId="35391232" wp14:editId="697BE3CD">
            <wp:extent cx="4425696" cy="351129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696" cy="3511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18E" w:rsidRDefault="0055618E" w:rsidP="0055618E"/>
    <w:p w:rsidR="0055618E" w:rsidRDefault="0055618E" w:rsidP="0055618E"/>
    <w:p w:rsidR="0055618E" w:rsidRDefault="0055618E" w:rsidP="0055618E">
      <w:pPr>
        <w:rPr>
          <w:b/>
          <w:bCs/>
        </w:rPr>
      </w:pPr>
      <w:r>
        <w:rPr>
          <w:b/>
          <w:bCs/>
        </w:rPr>
        <w:br w:type="page"/>
      </w:r>
    </w:p>
    <w:p w:rsidR="0055618E" w:rsidRDefault="0055618E" w:rsidP="0055618E">
      <w:r w:rsidRPr="005016A7">
        <w:rPr>
          <w:b/>
          <w:bCs/>
        </w:rPr>
        <w:t xml:space="preserve">Supplemental Figure </w:t>
      </w:r>
      <w:r>
        <w:rPr>
          <w:b/>
          <w:bCs/>
        </w:rPr>
        <w:t>3 (</w:t>
      </w:r>
      <w:r>
        <w:t>continued)</w:t>
      </w:r>
    </w:p>
    <w:p w:rsidR="0055618E" w:rsidRDefault="0055618E" w:rsidP="0055618E">
      <w:r w:rsidRPr="008A20B3">
        <w:rPr>
          <w:noProof/>
        </w:rPr>
        <w:drawing>
          <wp:inline distT="0" distB="0" distL="0" distR="0" wp14:anchorId="50DF0EEE" wp14:editId="184CAA0A">
            <wp:extent cx="4425696" cy="3520440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696" cy="352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18E" w:rsidRDefault="0055618E" w:rsidP="0055618E">
      <w:r w:rsidRPr="008A20B3">
        <w:rPr>
          <w:noProof/>
        </w:rPr>
        <w:drawing>
          <wp:inline distT="0" distB="0" distL="0" distR="0" wp14:anchorId="5023F27C" wp14:editId="0E1A6960">
            <wp:extent cx="3172968" cy="3483864"/>
            <wp:effectExtent l="0" t="0" r="889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968" cy="3483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36A" w:rsidRPr="006B5B57" w:rsidRDefault="0032236A" w:rsidP="006B5B57">
      <w:bookmarkStart w:id="0" w:name="_GoBack"/>
      <w:bookmarkEnd w:id="0"/>
    </w:p>
    <w:sectPr w:rsidR="0032236A" w:rsidRPr="006B5B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CAF"/>
    <w:rsid w:val="0013228E"/>
    <w:rsid w:val="0016198D"/>
    <w:rsid w:val="0032236A"/>
    <w:rsid w:val="003E54F6"/>
    <w:rsid w:val="0048097D"/>
    <w:rsid w:val="0055618E"/>
    <w:rsid w:val="006B5B57"/>
    <w:rsid w:val="006B6F17"/>
    <w:rsid w:val="00C7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931B0"/>
  <w15:chartTrackingRefBased/>
  <w15:docId w15:val="{6FAA9633-B714-438F-A329-CF125EBA6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F17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61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hyperlink" Target="http://www.ebi.ac.uk/Tools/msa/clustalw2/" TargetMode="External"/><Relationship Id="rId10" Type="http://schemas.openxmlformats.org/officeDocument/2006/relationships/image" Target="media/image6.emf"/><Relationship Id="rId4" Type="http://schemas.openxmlformats.org/officeDocument/2006/relationships/image" Target="media/image1.jpeg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2021-08-31T10:26:00Z</dcterms:created>
  <dcterms:modified xsi:type="dcterms:W3CDTF">2021-09-02T06:32:00Z</dcterms:modified>
</cp:coreProperties>
</file>