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09FD2">
      <w:pPr>
        <w:pStyle w:val="6"/>
        <w:spacing w:line="360" w:lineRule="auto"/>
        <w:rPr>
          <w:lang w:eastAsia="zh-CN"/>
        </w:rPr>
      </w:pPr>
      <w:r>
        <w:t xml:space="preserve">Figure S1. </w:t>
      </w:r>
      <w:r>
        <w:rPr>
          <w:rFonts w:hint="eastAsia"/>
          <w:lang w:eastAsia="zh-CN"/>
        </w:rPr>
        <w:t>Reaction</w:t>
      </w:r>
      <w:r>
        <w:rPr>
          <w:lang w:eastAsia="zh-CN"/>
        </w:rPr>
        <w:t xml:space="preserve"> time of participants in discrinimating emotions under four conditions.</w:t>
      </w:r>
    </w:p>
    <w:p w14:paraId="4B363077">
      <w:pPr>
        <w:snapToGrid w:val="0"/>
        <w:spacing w:line="360" w:lineRule="auto"/>
        <w:jc w:val="both"/>
        <w:rPr>
          <w:rFonts w:eastAsia="HCFkxc-2019"/>
          <w:szCs w:val="24"/>
          <w:lang w:eastAsia="ja-JP"/>
        </w:rPr>
      </w:pPr>
      <w:r>
        <w:rPr>
          <w:rFonts w:eastAsia="HCFkxc-2019"/>
          <w:szCs w:val="24"/>
          <w:lang w:eastAsia="ja-JP"/>
        </w:rPr>
        <w:t xml:space="preserve">Each circle indicated the mean reaction time of each participant in discriminating emotions under each condition. Data were presented as mean ± SEM. One-way ANOVA was </w:t>
      </w:r>
      <w:r>
        <w:rPr>
          <w:rFonts w:hint="eastAsia" w:eastAsia="HCFkxc-2019"/>
          <w:szCs w:val="24"/>
          <w:lang w:eastAsia="ja-JP"/>
        </w:rPr>
        <w:t>used</w:t>
      </w:r>
      <w:r>
        <w:rPr>
          <w:rFonts w:eastAsia="HCFkxc-2019"/>
          <w:szCs w:val="24"/>
          <w:lang w:eastAsia="ja-JP"/>
        </w:rPr>
        <w:t xml:space="preserve"> to compare reaction times across four conditions (</w:t>
      </w:r>
      <w:r>
        <w:rPr>
          <w:rFonts w:eastAsia="HCFkxc-2019"/>
          <w:i/>
          <w:iCs/>
          <w:szCs w:val="24"/>
          <w:lang w:eastAsia="ja-JP"/>
        </w:rPr>
        <w:t>P</w:t>
      </w:r>
      <w:r>
        <w:rPr>
          <w:rFonts w:eastAsia="HCFkxc-2019"/>
          <w:szCs w:val="24"/>
          <w:lang w:eastAsia="ja-JP"/>
        </w:rPr>
        <w:t xml:space="preserve"> &lt; 0.0001, F(1.764, 17.64) = 33.86), with the Sidak test applied for post hoc comparisons (for SFSE vs. SFDE, ***</w:t>
      </w:r>
      <w:r>
        <w:rPr>
          <w:rFonts w:eastAsia="HCFkxc-2019"/>
          <w:i/>
          <w:iCs/>
          <w:szCs w:val="24"/>
          <w:lang w:eastAsia="ja-JP"/>
        </w:rPr>
        <w:t>P</w:t>
      </w:r>
      <w:r>
        <w:rPr>
          <w:rFonts w:eastAsia="HCFkxc-2019"/>
          <w:szCs w:val="24"/>
          <w:lang w:eastAsia="ja-JP"/>
        </w:rPr>
        <w:t xml:space="preserve"> &lt; 0.0001; for SFSE vs. DFSE, ***</w:t>
      </w:r>
      <w:r>
        <w:rPr>
          <w:rFonts w:eastAsia="HCFkxc-2019"/>
          <w:i/>
          <w:iCs/>
          <w:szCs w:val="24"/>
          <w:lang w:eastAsia="ja-JP"/>
        </w:rPr>
        <w:t>P</w:t>
      </w:r>
      <w:r>
        <w:rPr>
          <w:rFonts w:eastAsia="HCFkxc-2019"/>
          <w:szCs w:val="24"/>
          <w:lang w:eastAsia="ja-JP"/>
        </w:rPr>
        <w:t xml:space="preserve"> &lt; 0.0001; for SFSE vs. DFDE, ***</w:t>
      </w:r>
      <w:r>
        <w:rPr>
          <w:rFonts w:eastAsia="HCFkxc-2019"/>
          <w:i/>
          <w:iCs/>
          <w:szCs w:val="24"/>
          <w:lang w:eastAsia="ja-JP"/>
        </w:rPr>
        <w:t>P</w:t>
      </w:r>
      <w:r>
        <w:rPr>
          <w:rFonts w:eastAsia="HCFkxc-2019"/>
          <w:szCs w:val="24"/>
          <w:lang w:eastAsia="ja-JP"/>
        </w:rPr>
        <w:t xml:space="preserve"> &lt; 0.0001; for SFDE vs DFSE, *</w:t>
      </w:r>
      <w:r>
        <w:rPr>
          <w:rFonts w:eastAsia="HCFkxc-2019"/>
          <w:i/>
          <w:iCs/>
          <w:szCs w:val="24"/>
          <w:lang w:eastAsia="ja-JP"/>
        </w:rPr>
        <w:t>P</w:t>
      </w:r>
      <w:r>
        <w:rPr>
          <w:rFonts w:eastAsia="HCFkxc-2019"/>
          <w:szCs w:val="24"/>
          <w:lang w:eastAsia="ja-JP"/>
        </w:rPr>
        <w:t xml:space="preserve"> = 0.0149; for SFDE vs. DFDE, </w:t>
      </w:r>
      <w:r>
        <w:rPr>
          <w:rFonts w:eastAsia="HCFkxc-2019"/>
          <w:i/>
          <w:iCs/>
          <w:szCs w:val="24"/>
          <w:lang w:eastAsia="ja-JP"/>
        </w:rPr>
        <w:t>P</w:t>
      </w:r>
      <w:r>
        <w:rPr>
          <w:rFonts w:eastAsia="HCFkxc-2019"/>
          <w:szCs w:val="24"/>
          <w:lang w:eastAsia="ja-JP"/>
        </w:rPr>
        <w:t xml:space="preserve"> = 0.2168; and for DFSE vs. DFDE, </w:t>
      </w:r>
      <w:r>
        <w:rPr>
          <w:rFonts w:eastAsia="HCFkxc-2019"/>
          <w:i/>
          <w:iCs/>
          <w:szCs w:val="24"/>
          <w:lang w:eastAsia="ja-JP"/>
        </w:rPr>
        <w:t>P</w:t>
      </w:r>
      <w:r>
        <w:rPr>
          <w:rFonts w:eastAsia="HCFkxc-2019"/>
          <w:szCs w:val="24"/>
          <w:lang w:eastAsia="ja-JP"/>
        </w:rPr>
        <w:t xml:space="preserve"> = 0.1323).</w:t>
      </w:r>
    </w:p>
    <w:p w14:paraId="0E720D87">
      <w:pPr>
        <w:snapToGrid w:val="0"/>
        <w:spacing w:line="360" w:lineRule="auto"/>
        <w:jc w:val="both"/>
        <w:rPr>
          <w:rFonts w:eastAsia="HCFkxc-2019"/>
          <w:szCs w:val="24"/>
          <w:lang w:eastAsia="ja-JP"/>
        </w:rPr>
      </w:pPr>
      <w:r>
        <w:rPr>
          <w:rFonts w:eastAsia="HCFkxc-2019"/>
        </w:rPr>
        <w:t>Abbreviation: SFSE, same face and same emotion; SFDE, same face and different emotions; DFSE, different faces and same emotions; DFDE, different faces and different emotions.</w:t>
      </w:r>
    </w:p>
    <w:p w14:paraId="198E218F">
      <w:pPr>
        <w:jc w:val="center"/>
      </w:pPr>
      <w:r>
        <w:drawing>
          <wp:inline distT="0" distB="0" distL="0" distR="0">
            <wp:extent cx="26289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28900" cy="2590800"/>
                    </a:xfrm>
                    <a:prstGeom prst="rect">
                      <a:avLst/>
                    </a:prstGeom>
                  </pic:spPr>
                </pic:pic>
              </a:graphicData>
            </a:graphic>
          </wp:inline>
        </w:drawing>
      </w:r>
    </w:p>
    <w:p w14:paraId="765A823B">
      <w:r>
        <w:br w:type="page"/>
      </w:r>
    </w:p>
    <w:p w14:paraId="058D095B">
      <w:pPr>
        <w:pStyle w:val="6"/>
        <w:spacing w:line="360" w:lineRule="auto"/>
        <w:rPr>
          <w:lang w:eastAsia="zh-CN"/>
        </w:rPr>
      </w:pPr>
      <w:r>
        <w:t xml:space="preserve">Figure S2. </w:t>
      </w:r>
      <w:r>
        <w:rPr>
          <w:lang w:eastAsia="zh-CN"/>
        </w:rPr>
        <w:t>Correlations between participants’ performances and sex, age, as well as epileptic focus locations.</w:t>
      </w:r>
    </w:p>
    <w:p w14:paraId="17A69B4A">
      <w:pPr>
        <w:snapToGrid w:val="0"/>
        <w:spacing w:line="360" w:lineRule="auto"/>
        <w:jc w:val="both"/>
        <w:rPr>
          <w:rFonts w:eastAsia="HCFkxc-2019"/>
        </w:rPr>
      </w:pPr>
      <w:r>
        <w:rPr>
          <w:rFonts w:eastAsia="HCFkxc-2019"/>
        </w:rPr>
        <w:t>Spearman correlation of pairwise elements, including the age, sex, accuracies and reaction times of four conditions, and the laterization and focuci lobes. The correlation coefficient was shown in the heatmap, as the red indicated the positive correlation and the blue indicated the negative correlation as scale labeled. *</w:t>
      </w:r>
      <w:r>
        <w:rPr>
          <w:rFonts w:eastAsia="HCFkxc-2019"/>
          <w:i/>
          <w:iCs/>
        </w:rPr>
        <w:t>P</w:t>
      </w:r>
      <w:r>
        <w:rPr>
          <w:rFonts w:eastAsia="HCFkxc-2019"/>
        </w:rPr>
        <w:t xml:space="preserve"> &lt; 0.05.</w:t>
      </w:r>
    </w:p>
    <w:p w14:paraId="2502E798">
      <w:pPr>
        <w:snapToGrid w:val="0"/>
        <w:spacing w:line="360" w:lineRule="auto"/>
        <w:jc w:val="both"/>
        <w:rPr>
          <w:rFonts w:eastAsia="HCFkxc-2019"/>
          <w:szCs w:val="24"/>
          <w:lang w:eastAsia="ja-JP"/>
        </w:rPr>
      </w:pPr>
      <w:bookmarkStart w:id="2" w:name="_GoBack"/>
      <w:bookmarkEnd w:id="2"/>
      <w:r>
        <w:rPr>
          <w:rFonts w:eastAsia="HCFkxc-2019"/>
        </w:rPr>
        <w:t>Abbreviation: SFSE, same face and same emotion; SFDE, same face and different emotions; DFSE, different faces and same emotions; DFDE, different faces and different emotions.</w:t>
      </w:r>
    </w:p>
    <w:p w14:paraId="4BB67824">
      <w:pPr>
        <w:snapToGrid w:val="0"/>
        <w:spacing w:line="360" w:lineRule="auto"/>
        <w:jc w:val="center"/>
        <w:rPr>
          <w:rFonts w:eastAsia="HCFkxc-2019"/>
          <w:szCs w:val="24"/>
          <w:lang w:eastAsia="ja-JP"/>
        </w:rPr>
      </w:pPr>
      <w:r>
        <w:rPr>
          <w:rFonts w:eastAsia="HCFkxc-2019"/>
          <w:szCs w:val="24"/>
          <w:lang w:eastAsia="ja-JP"/>
        </w:rPr>
        <w:drawing>
          <wp:inline distT="0" distB="0" distL="0" distR="0">
            <wp:extent cx="4114800" cy="359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3594100"/>
                    </a:xfrm>
                    <a:prstGeom prst="rect">
                      <a:avLst/>
                    </a:prstGeom>
                  </pic:spPr>
                </pic:pic>
              </a:graphicData>
            </a:graphic>
          </wp:inline>
        </w:drawing>
      </w:r>
    </w:p>
    <w:p w14:paraId="318F54E1">
      <w:pPr>
        <w:rPr>
          <w:rFonts w:eastAsia="HCFkxc-2019"/>
          <w:szCs w:val="24"/>
          <w:lang w:eastAsia="ja-JP"/>
        </w:rPr>
      </w:pPr>
      <w:r>
        <w:rPr>
          <w:rFonts w:eastAsia="HCFkxc-2019"/>
          <w:szCs w:val="24"/>
          <w:lang w:eastAsia="ja-JP"/>
        </w:rPr>
        <w:br w:type="page"/>
      </w:r>
    </w:p>
    <w:p w14:paraId="60AEF8E1">
      <w:pPr>
        <w:pStyle w:val="6"/>
        <w:spacing w:line="360" w:lineRule="auto"/>
      </w:pPr>
      <w:r>
        <w:t xml:space="preserve">Figure S3. ERPs of subregions </w:t>
      </w:r>
      <w:r>
        <w:rPr>
          <w:rFonts w:hint="eastAsia"/>
        </w:rPr>
        <w:t>participating</w:t>
      </w:r>
      <w:r>
        <w:t xml:space="preserve"> in the dysfunctional processing emotional incongruencies.</w:t>
      </w:r>
    </w:p>
    <w:p w14:paraId="338EBF62">
      <w:pPr>
        <w:spacing w:line="360" w:lineRule="auto"/>
        <w:jc w:val="both"/>
      </w:pPr>
      <w:r>
        <w:t xml:space="preserve">Averaged ERPs traces of trials were indicated as solid line and SEM was shown as the shadow. The gray vertical rectangles indicated the durations of S1 and S2, respectively. FDR corrected multiple t-test was applied between correct trials (green) and incorrect trials (dark red), and black horizontal bars indicated corrected </w:t>
      </w:r>
      <w:r>
        <w:rPr>
          <w:i/>
          <w:iCs/>
        </w:rPr>
        <w:t>P</w:t>
      </w:r>
      <w:r>
        <w:t xml:space="preserve"> &lt; 0.05.</w:t>
      </w:r>
    </w:p>
    <w:p w14:paraId="67805442">
      <w:pPr>
        <w:spacing w:line="360" w:lineRule="auto"/>
        <w:jc w:val="both"/>
      </w:pPr>
      <w:r>
        <w:t>Abbreviation: HIP, hippocampus; ITG, inferior temporal gyrus; MFG, middle frontal gyrus; PI, posterior insula; preCG, precentral gyrus; SFG, superior frontal gyrus. The sites label was shown in the template of left (.L) and right (.R) hemisphere.</w:t>
      </w:r>
    </w:p>
    <w:p w14:paraId="529460A5">
      <w:pPr>
        <w:spacing w:line="360" w:lineRule="auto"/>
        <w:jc w:val="center"/>
      </w:pPr>
      <w:r>
        <w:drawing>
          <wp:inline distT="0" distB="0" distL="0" distR="0">
            <wp:extent cx="5943600" cy="2431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31415"/>
                    </a:xfrm>
                    <a:prstGeom prst="rect">
                      <a:avLst/>
                    </a:prstGeom>
                  </pic:spPr>
                </pic:pic>
              </a:graphicData>
            </a:graphic>
          </wp:inline>
        </w:drawing>
      </w:r>
    </w:p>
    <w:p w14:paraId="3CF89D9B">
      <w:pPr>
        <w:rPr>
          <w:rFonts w:eastAsia="HCFkxc-2019"/>
          <w:szCs w:val="24"/>
          <w:lang w:eastAsia="zh-CN"/>
        </w:rPr>
      </w:pPr>
      <w:r>
        <w:rPr>
          <w:rFonts w:eastAsia="HCFkxc-2019"/>
          <w:szCs w:val="24"/>
          <w:lang w:eastAsia="zh-CN"/>
        </w:rPr>
        <w:br w:type="page"/>
      </w:r>
    </w:p>
    <w:p w14:paraId="4AECE2C4">
      <w:pPr>
        <w:pStyle w:val="6"/>
        <w:spacing w:line="360" w:lineRule="auto"/>
      </w:pPr>
      <w:r>
        <w:t>Figure S4. Correlation between subregions associated with incorrect discrimination of emotions across different time windows.</w:t>
      </w:r>
    </w:p>
    <w:p w14:paraId="4A9FA107">
      <w:pPr>
        <w:snapToGrid w:val="0"/>
        <w:spacing w:line="360" w:lineRule="auto"/>
        <w:jc w:val="both"/>
        <w:rPr>
          <w:rFonts w:eastAsia="HCFkxc-2019"/>
          <w:szCs w:val="24"/>
          <w:lang w:eastAsia="zh-CN"/>
        </w:rPr>
      </w:pPr>
      <w:r>
        <w:rPr>
          <w:rFonts w:eastAsia="HCFkxc-2019"/>
          <w:szCs w:val="24"/>
          <w:lang w:eastAsia="zh-CN"/>
        </w:rPr>
        <w:t>Correlation coefficients between sites locating in pairwise of nodes, which participant in correctly and incorrectly disciminating emotions, respectively. S1: the 300 ms duration of S1; S1-S2: the intervals between S1 offset and S2 onset; S2: the 300 ms duration of S1; &gt;S2(401–700 ms): the 401–700 ms after S2 onset; &gt;S2(701–1,000 ms): the 701–1,000 ms after S2 onset; and &gt;S2(1,001–1,500 ms): the 1,001–1,500 ms after S2 onset.</w:t>
      </w:r>
      <w:r>
        <w:rPr>
          <w:rFonts w:eastAsia="HCFkxc-2019"/>
          <w:szCs w:val="24"/>
          <w:lang w:eastAsia="ja-JP"/>
        </w:rPr>
        <w:t xml:space="preserve"> Each circle indicated the correlation coefficient between each pairwise site. Data were presented as mean ± SEM</w:t>
      </w:r>
      <w:r>
        <w:rPr>
          <w:rFonts w:eastAsia="HCFkxc-2019"/>
          <w:szCs w:val="24"/>
          <w:lang w:eastAsia="zh-CN"/>
        </w:rPr>
        <w:t xml:space="preserve"> after a Mann-Whitney test. *</w:t>
      </w:r>
      <w:r>
        <w:rPr>
          <w:rFonts w:eastAsia="HCFkxc-2019"/>
          <w:i/>
          <w:iCs/>
          <w:szCs w:val="24"/>
          <w:lang w:eastAsia="zh-CN"/>
        </w:rPr>
        <w:t>P</w:t>
      </w:r>
      <w:r>
        <w:rPr>
          <w:rFonts w:eastAsia="HCFkxc-2019"/>
          <w:szCs w:val="24"/>
          <w:lang w:eastAsia="zh-CN"/>
        </w:rPr>
        <w:t xml:space="preserve"> &lt; 0.05, **</w:t>
      </w:r>
      <w:r>
        <w:rPr>
          <w:rFonts w:eastAsia="HCFkxc-2019"/>
          <w:i/>
          <w:iCs/>
          <w:szCs w:val="24"/>
          <w:lang w:eastAsia="zh-CN"/>
        </w:rPr>
        <w:t>P</w:t>
      </w:r>
      <w:r>
        <w:rPr>
          <w:rFonts w:eastAsia="HCFkxc-2019"/>
          <w:szCs w:val="24"/>
          <w:lang w:eastAsia="zh-CN"/>
        </w:rPr>
        <w:t xml:space="preserve"> &lt; 0.01, and ***</w:t>
      </w:r>
      <w:r>
        <w:rPr>
          <w:rFonts w:eastAsia="HCFkxc-2019"/>
          <w:i/>
          <w:iCs/>
          <w:szCs w:val="24"/>
          <w:lang w:eastAsia="zh-CN"/>
        </w:rPr>
        <w:t>P</w:t>
      </w:r>
      <w:r>
        <w:rPr>
          <w:rFonts w:eastAsia="HCFkxc-2019"/>
          <w:szCs w:val="24"/>
          <w:lang w:eastAsia="zh-CN"/>
        </w:rPr>
        <w:t xml:space="preserve"> &lt; 0.001.</w:t>
      </w:r>
    </w:p>
    <w:p w14:paraId="19F8635B">
      <w:pPr>
        <w:snapToGrid w:val="0"/>
        <w:spacing w:line="360" w:lineRule="auto"/>
        <w:jc w:val="center"/>
        <w:rPr>
          <w:rFonts w:eastAsia="HCFkxc-2019"/>
          <w:szCs w:val="24"/>
          <w:lang w:eastAsia="ja-JP"/>
        </w:rPr>
      </w:pPr>
      <w:r>
        <w:rPr>
          <w:rFonts w:eastAsia="HCFkxc-2019"/>
          <w:szCs w:val="24"/>
          <w:lang w:eastAsia="ja-JP"/>
        </w:rPr>
        <w:drawing>
          <wp:inline distT="0" distB="0" distL="0" distR="0">
            <wp:extent cx="4592955" cy="55308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0472" cy="5552270"/>
                    </a:xfrm>
                    <a:prstGeom prst="rect">
                      <a:avLst/>
                    </a:prstGeom>
                  </pic:spPr>
                </pic:pic>
              </a:graphicData>
            </a:graphic>
          </wp:inline>
        </w:drawing>
      </w:r>
    </w:p>
    <w:p w14:paraId="01988FA8">
      <w:pPr>
        <w:rPr>
          <w:rFonts w:eastAsia="HCFkxc-2019"/>
          <w:szCs w:val="24"/>
          <w:lang w:eastAsia="ja-JP"/>
        </w:rPr>
      </w:pPr>
      <w:r>
        <w:rPr>
          <w:rFonts w:eastAsia="HCFkxc-2019"/>
          <w:szCs w:val="24"/>
          <w:lang w:eastAsia="ja-JP"/>
        </w:rPr>
        <w:br w:type="page"/>
      </w:r>
    </w:p>
    <w:p w14:paraId="0E79F5FC">
      <w:pPr>
        <w:pStyle w:val="6"/>
        <w:spacing w:line="360" w:lineRule="auto"/>
      </w:pPr>
      <w:r>
        <w:t>Table S1. SEEG recording information of 11 participants.</w:t>
      </w:r>
    </w:p>
    <w:tbl>
      <w:tblPr>
        <w:tblStyle w:val="7"/>
        <w:tblW w:w="9356"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4"/>
        <w:gridCol w:w="1534"/>
        <w:gridCol w:w="956"/>
        <w:gridCol w:w="1351"/>
        <w:gridCol w:w="1985"/>
        <w:gridCol w:w="2126"/>
      </w:tblGrid>
      <w:tr w14:paraId="19AFAA09">
        <w:trPr>
          <w:trHeight w:val="547" w:hRule="atLeast"/>
        </w:trPr>
        <w:tc>
          <w:tcPr>
            <w:tcW w:w="1404" w:type="dxa"/>
            <w:tcBorders>
              <w:top w:val="single" w:color="000000" w:themeColor="text1" w:sz="4" w:space="0"/>
              <w:bottom w:val="single" w:color="000000" w:themeColor="text1" w:sz="4" w:space="0"/>
              <w:insideH w:val="single" w:sz="4" w:space="0"/>
            </w:tcBorders>
            <w:vAlign w:val="center"/>
          </w:tcPr>
          <w:p w14:paraId="77DE8CA0">
            <w:pPr>
              <w:jc w:val="center"/>
              <w:rPr>
                <w:b/>
                <w:bCs/>
                <w:color w:val="000000" w:themeColor="text1"/>
                <w:szCs w:val="24"/>
                <w14:textFill>
                  <w14:solidFill>
                    <w14:schemeClr w14:val="tx1"/>
                  </w14:solidFill>
                </w14:textFill>
              </w:rPr>
            </w:pPr>
            <w:bookmarkStart w:id="0" w:name="_Hlk134515744"/>
            <w:r>
              <w:rPr>
                <w:b/>
                <w:bCs/>
                <w:color w:val="000000" w:themeColor="text1"/>
                <w:szCs w:val="24"/>
                <w14:textFill>
                  <w14:solidFill>
                    <w14:schemeClr w14:val="tx1"/>
                  </w14:solidFill>
                </w14:textFill>
              </w:rPr>
              <w:t>Subject NO.</w:t>
            </w:r>
          </w:p>
        </w:tc>
        <w:tc>
          <w:tcPr>
            <w:tcW w:w="1534" w:type="dxa"/>
            <w:tcBorders>
              <w:top w:val="single" w:color="000000" w:themeColor="text1" w:sz="4" w:space="0"/>
              <w:bottom w:val="single" w:color="000000" w:themeColor="text1" w:sz="4" w:space="0"/>
              <w:insideH w:val="single" w:sz="4" w:space="0"/>
            </w:tcBorders>
            <w:vAlign w:val="center"/>
          </w:tcPr>
          <w:p w14:paraId="2FC5CC4A">
            <w:pPr>
              <w:jc w:val="center"/>
              <w:rPr>
                <w:b/>
                <w:bCs/>
                <w:color w:val="000000" w:themeColor="text1"/>
                <w:szCs w:val="24"/>
                <w14:textFill>
                  <w14:solidFill>
                    <w14:schemeClr w14:val="tx1"/>
                  </w14:solidFill>
                </w14:textFill>
              </w:rPr>
            </w:pPr>
            <w:r>
              <w:rPr>
                <w:b/>
                <w:bCs/>
                <w:color w:val="000000" w:themeColor="text1"/>
                <w:szCs w:val="24"/>
                <w:lang w:eastAsia="zh-CN"/>
                <w14:textFill>
                  <w14:solidFill>
                    <w14:schemeClr w14:val="tx1"/>
                  </w14:solidFill>
                </w14:textFill>
              </w:rPr>
              <w:t>Sex</w:t>
            </w:r>
            <w:r>
              <w:rPr>
                <w:b/>
                <w:bCs/>
                <w:color w:val="000000" w:themeColor="text1"/>
                <w:szCs w:val="24"/>
                <w14:textFill>
                  <w14:solidFill>
                    <w14:schemeClr w14:val="tx1"/>
                  </w14:solidFill>
                </w14:textFill>
              </w:rPr>
              <w:t xml:space="preserve"> (F/M)</w:t>
            </w:r>
          </w:p>
        </w:tc>
        <w:tc>
          <w:tcPr>
            <w:tcW w:w="956" w:type="dxa"/>
            <w:tcBorders>
              <w:top w:val="single" w:color="000000" w:themeColor="text1" w:sz="4" w:space="0"/>
              <w:bottom w:val="single" w:color="000000" w:themeColor="text1" w:sz="4" w:space="0"/>
              <w:insideH w:val="single" w:sz="4" w:space="0"/>
            </w:tcBorders>
            <w:vAlign w:val="center"/>
          </w:tcPr>
          <w:p w14:paraId="523AF797">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Age (years)</w:t>
            </w:r>
          </w:p>
        </w:tc>
        <w:tc>
          <w:tcPr>
            <w:tcW w:w="1351" w:type="dxa"/>
            <w:tcBorders>
              <w:top w:val="single" w:color="000000" w:themeColor="text1" w:sz="4" w:space="0"/>
              <w:bottom w:val="single" w:color="000000" w:themeColor="text1" w:sz="4" w:space="0"/>
              <w:insideH w:val="single" w:sz="4" w:space="0"/>
            </w:tcBorders>
            <w:vAlign w:val="center"/>
          </w:tcPr>
          <w:p w14:paraId="430E825D">
            <w:pPr>
              <w:jc w:val="center"/>
              <w:rPr>
                <w:b w:val="0"/>
                <w:bCs w:val="0"/>
                <w:color w:val="000000" w:themeColor="text1"/>
                <w:szCs w:val="24"/>
                <w14:textFill>
                  <w14:solidFill>
                    <w14:schemeClr w14:val="tx1"/>
                  </w14:solidFill>
                </w14:textFill>
              </w:rPr>
            </w:pPr>
            <w:r>
              <w:rPr>
                <w:b/>
                <w:bCs/>
                <w:color w:val="000000" w:themeColor="text1"/>
                <w:szCs w:val="24"/>
                <w14:textFill>
                  <w14:solidFill>
                    <w14:schemeClr w14:val="tx1"/>
                  </w14:solidFill>
                </w14:textFill>
              </w:rPr>
              <w:t>Available</w:t>
            </w:r>
          </w:p>
          <w:p w14:paraId="3B394B59">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sites count</w:t>
            </w:r>
          </w:p>
        </w:tc>
        <w:tc>
          <w:tcPr>
            <w:tcW w:w="1985" w:type="dxa"/>
            <w:tcBorders>
              <w:top w:val="single" w:color="000000" w:themeColor="text1" w:sz="4" w:space="0"/>
              <w:bottom w:val="single" w:color="000000" w:themeColor="text1" w:sz="4" w:space="0"/>
              <w:insideH w:val="single" w:sz="4" w:space="0"/>
            </w:tcBorders>
            <w:vAlign w:val="center"/>
          </w:tcPr>
          <w:p w14:paraId="5D95E997">
            <w:pPr>
              <w:jc w:val="center"/>
              <w:rPr>
                <w:b w:val="0"/>
                <w:bCs w:val="0"/>
                <w:color w:val="000000" w:themeColor="text1"/>
                <w:szCs w:val="24"/>
                <w14:textFill>
                  <w14:solidFill>
                    <w14:schemeClr w14:val="tx1"/>
                  </w14:solidFill>
                </w14:textFill>
              </w:rPr>
            </w:pPr>
            <w:r>
              <w:rPr>
                <w:b/>
                <w:bCs/>
                <w:color w:val="000000" w:themeColor="text1"/>
                <w:szCs w:val="24"/>
                <w14:textFill>
                  <w14:solidFill>
                    <w14:schemeClr w14:val="tx1"/>
                  </w14:solidFill>
                </w14:textFill>
              </w:rPr>
              <w:t xml:space="preserve">Available </w:t>
            </w:r>
          </w:p>
          <w:p w14:paraId="200C79F7">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electrodes count</w:t>
            </w:r>
          </w:p>
        </w:tc>
        <w:tc>
          <w:tcPr>
            <w:tcW w:w="2126" w:type="dxa"/>
            <w:tcBorders>
              <w:top w:val="single" w:color="000000" w:themeColor="text1" w:sz="4" w:space="0"/>
              <w:bottom w:val="single" w:color="000000" w:themeColor="text1" w:sz="4" w:space="0"/>
              <w:insideH w:val="single" w:sz="4" w:space="0"/>
            </w:tcBorders>
          </w:tcPr>
          <w:p w14:paraId="56517C66">
            <w:pPr>
              <w:jc w:val="center"/>
              <w:rPr>
                <w:b/>
                <w:bCs/>
                <w:color w:val="000000" w:themeColor="text1"/>
                <w:szCs w:val="24"/>
                <w:lang w:eastAsia="zh-CN"/>
                <w14:textFill>
                  <w14:solidFill>
                    <w14:schemeClr w14:val="tx1"/>
                  </w14:solidFill>
                </w14:textFill>
              </w:rPr>
            </w:pPr>
            <w:r>
              <w:rPr>
                <w:b/>
                <w:bCs/>
                <w:color w:val="000000" w:themeColor="text1"/>
                <w:szCs w:val="24"/>
                <w:lang w:eastAsia="zh-CN"/>
                <w14:textFill>
                  <w14:solidFill>
                    <w14:schemeClr w14:val="tx1"/>
                  </w14:solidFill>
                </w14:textFill>
              </w:rPr>
              <w:t>Epileptic Focus Localization</w:t>
            </w:r>
          </w:p>
        </w:tc>
      </w:tr>
      <w:tr w14:paraId="6A862160">
        <w:trPr>
          <w:trHeight w:val="300" w:hRule="atLeast"/>
        </w:trPr>
        <w:tc>
          <w:tcPr>
            <w:tcW w:w="1404" w:type="dxa"/>
            <w:shd w:val="clear" w:color="auto" w:fill="CCCCCC" w:themeFill="text1" w:themeFillTint="33"/>
            <w:vAlign w:val="center"/>
          </w:tcPr>
          <w:p w14:paraId="031AE2AE">
            <w:pPr>
              <w:jc w:val="center"/>
              <w:rPr>
                <w:b/>
                <w:bCs/>
                <w:color w:val="000000" w:themeColor="text1"/>
                <w:szCs w:val="24"/>
                <w14:textFill>
                  <w14:solidFill>
                    <w14:schemeClr w14:val="tx1"/>
                  </w14:solidFill>
                </w14:textFill>
              </w:rPr>
            </w:pPr>
            <w:bookmarkStart w:id="1" w:name="_Hlk134515775"/>
            <w:r>
              <w:rPr>
                <w:b/>
                <w:bCs/>
                <w:color w:val="000000" w:themeColor="text1"/>
                <w:szCs w:val="24"/>
                <w14:textFill>
                  <w14:solidFill>
                    <w14:schemeClr w14:val="tx1"/>
                  </w14:solidFill>
                </w14:textFill>
              </w:rPr>
              <w:t>1#</w:t>
            </w:r>
          </w:p>
        </w:tc>
        <w:tc>
          <w:tcPr>
            <w:tcW w:w="1534" w:type="dxa"/>
            <w:shd w:val="clear" w:color="auto" w:fill="CCCCCC" w:themeFill="text1" w:themeFillTint="33"/>
          </w:tcPr>
          <w:p w14:paraId="3976E4A9">
            <w:pPr>
              <w:jc w:val="center"/>
              <w:rPr>
                <w:color w:val="000000" w:themeColor="text1"/>
                <w:szCs w:val="24"/>
                <w14:textFill>
                  <w14:solidFill>
                    <w14:schemeClr w14:val="tx1"/>
                  </w14:solidFill>
                </w14:textFill>
              </w:rPr>
            </w:pPr>
            <w:r>
              <w:rPr>
                <w:color w:val="000000" w:themeColor="text1"/>
                <w:szCs w:val="24"/>
                <w:lang w:eastAsia="zh-CN"/>
                <w14:textFill>
                  <w14:solidFill>
                    <w14:schemeClr w14:val="tx1"/>
                  </w14:solidFill>
                </w14:textFill>
              </w:rPr>
              <w:t>M</w:t>
            </w:r>
          </w:p>
        </w:tc>
        <w:tc>
          <w:tcPr>
            <w:tcW w:w="956" w:type="dxa"/>
            <w:shd w:val="clear" w:color="auto" w:fill="CCCCCC" w:themeFill="text1" w:themeFillTint="33"/>
            <w:vAlign w:val="bottom"/>
          </w:tcPr>
          <w:p w14:paraId="212EEAC2">
            <w:pPr>
              <w:jc w:val="center"/>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18</w:t>
            </w:r>
          </w:p>
        </w:tc>
        <w:tc>
          <w:tcPr>
            <w:tcW w:w="1351" w:type="dxa"/>
            <w:shd w:val="clear" w:color="auto" w:fill="CCCCCC" w:themeFill="text1" w:themeFillTint="33"/>
          </w:tcPr>
          <w:p w14:paraId="1FF0EA4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38</w:t>
            </w:r>
          </w:p>
        </w:tc>
        <w:tc>
          <w:tcPr>
            <w:tcW w:w="1985" w:type="dxa"/>
            <w:shd w:val="clear" w:color="auto" w:fill="CCCCCC" w:themeFill="text1" w:themeFillTint="33"/>
          </w:tcPr>
          <w:p w14:paraId="7858321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tc>
        <w:tc>
          <w:tcPr>
            <w:tcW w:w="2126" w:type="dxa"/>
            <w:shd w:val="clear" w:color="auto" w:fill="CCCCCC" w:themeFill="text1" w:themeFillTint="33"/>
          </w:tcPr>
          <w:p w14:paraId="162D3F85">
            <w:pPr>
              <w:jc w:val="center"/>
              <w:rPr>
                <w:color w:val="000000" w:themeColor="text1"/>
                <w:szCs w:val="24"/>
                <w14:textFill>
                  <w14:solidFill>
                    <w14:schemeClr w14:val="tx1"/>
                  </w14:solidFill>
                </w14:textFill>
              </w:rPr>
            </w:pPr>
            <w:r>
              <w:rPr>
                <w:color w:val="000000" w:themeColor="text1"/>
                <w:szCs w:val="24"/>
                <w:lang w:eastAsia="zh-CN"/>
                <w14:textFill>
                  <w14:solidFill>
                    <w14:schemeClr w14:val="tx1"/>
                  </w14:solidFill>
                </w14:textFill>
              </w:rPr>
              <w:t>r</w:t>
            </w:r>
            <w:r>
              <w:rPr>
                <w:rFonts w:hint="eastAsia"/>
                <w:color w:val="000000" w:themeColor="text1"/>
                <w:szCs w:val="24"/>
                <w:lang w:eastAsia="zh-CN"/>
                <w14:textFill>
                  <w14:solidFill>
                    <w14:schemeClr w14:val="tx1"/>
                  </w14:solidFill>
                </w14:textFill>
              </w:rPr>
              <w:t>ight</w:t>
            </w:r>
            <w:r>
              <w:rPr>
                <w:color w:val="000000" w:themeColor="text1"/>
                <w:szCs w:val="24"/>
                <w:lang w:eastAsia="zh-CN"/>
                <w14:textFill>
                  <w14:solidFill>
                    <w14:schemeClr w14:val="tx1"/>
                  </w14:solidFill>
                </w14:textFill>
              </w:rPr>
              <w:t xml:space="preserve"> insula</w:t>
            </w:r>
          </w:p>
        </w:tc>
      </w:tr>
      <w:tr w14:paraId="1B9BC744">
        <w:trPr>
          <w:trHeight w:val="300" w:hRule="atLeast"/>
        </w:trPr>
        <w:tc>
          <w:tcPr>
            <w:tcW w:w="1404" w:type="dxa"/>
            <w:vAlign w:val="center"/>
          </w:tcPr>
          <w:p w14:paraId="36BB404F">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2#</w:t>
            </w:r>
          </w:p>
        </w:tc>
        <w:tc>
          <w:tcPr>
            <w:tcW w:w="1534" w:type="dxa"/>
          </w:tcPr>
          <w:p w14:paraId="489EE7C5">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M</w:t>
            </w:r>
          </w:p>
        </w:tc>
        <w:tc>
          <w:tcPr>
            <w:tcW w:w="956" w:type="dxa"/>
            <w:vAlign w:val="bottom"/>
          </w:tcPr>
          <w:p w14:paraId="132E5EF0">
            <w:pPr>
              <w:jc w:val="center"/>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35</w:t>
            </w:r>
          </w:p>
        </w:tc>
        <w:tc>
          <w:tcPr>
            <w:tcW w:w="1351" w:type="dxa"/>
          </w:tcPr>
          <w:p w14:paraId="74FCE60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14</w:t>
            </w:r>
          </w:p>
        </w:tc>
        <w:tc>
          <w:tcPr>
            <w:tcW w:w="1985" w:type="dxa"/>
          </w:tcPr>
          <w:p w14:paraId="2511169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tc>
        <w:tc>
          <w:tcPr>
            <w:tcW w:w="2126" w:type="dxa"/>
          </w:tcPr>
          <w:p w14:paraId="1F9375D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right temporal</w:t>
            </w:r>
          </w:p>
        </w:tc>
      </w:tr>
      <w:tr w14:paraId="0CB6E3D3">
        <w:trPr>
          <w:trHeight w:val="300" w:hRule="atLeast"/>
        </w:trPr>
        <w:tc>
          <w:tcPr>
            <w:tcW w:w="1404" w:type="dxa"/>
            <w:shd w:val="clear" w:color="auto" w:fill="CCCCCC" w:themeFill="text1" w:themeFillTint="33"/>
            <w:vAlign w:val="center"/>
          </w:tcPr>
          <w:p w14:paraId="42384894">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3#</w:t>
            </w:r>
          </w:p>
        </w:tc>
        <w:tc>
          <w:tcPr>
            <w:tcW w:w="1534" w:type="dxa"/>
            <w:shd w:val="clear" w:color="auto" w:fill="CCCCCC" w:themeFill="text1" w:themeFillTint="33"/>
            <w:vAlign w:val="center"/>
          </w:tcPr>
          <w:p w14:paraId="04453D8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M</w:t>
            </w:r>
          </w:p>
        </w:tc>
        <w:tc>
          <w:tcPr>
            <w:tcW w:w="956" w:type="dxa"/>
            <w:shd w:val="clear" w:color="auto" w:fill="CCCCCC" w:themeFill="text1" w:themeFillTint="33"/>
            <w:vAlign w:val="center"/>
          </w:tcPr>
          <w:p w14:paraId="6F56C6E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18</w:t>
            </w:r>
          </w:p>
        </w:tc>
        <w:tc>
          <w:tcPr>
            <w:tcW w:w="1351" w:type="dxa"/>
            <w:shd w:val="clear" w:color="auto" w:fill="CCCCCC" w:themeFill="text1" w:themeFillTint="33"/>
            <w:vAlign w:val="center"/>
          </w:tcPr>
          <w:p w14:paraId="6F1A4C3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tc>
        <w:tc>
          <w:tcPr>
            <w:tcW w:w="1985" w:type="dxa"/>
            <w:shd w:val="clear" w:color="auto" w:fill="CCCCCC" w:themeFill="text1" w:themeFillTint="33"/>
            <w:vAlign w:val="center"/>
          </w:tcPr>
          <w:p w14:paraId="5EEB876A">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2126" w:type="dxa"/>
            <w:shd w:val="clear" w:color="auto" w:fill="CCCCCC" w:themeFill="text1" w:themeFillTint="33"/>
            <w:vAlign w:val="center"/>
          </w:tcPr>
          <w:p w14:paraId="79AEC4A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right hippocampus</w:t>
            </w:r>
          </w:p>
        </w:tc>
      </w:tr>
      <w:tr w14:paraId="1BAF0AA2">
        <w:trPr>
          <w:trHeight w:val="323" w:hRule="atLeast"/>
        </w:trPr>
        <w:tc>
          <w:tcPr>
            <w:tcW w:w="1404" w:type="dxa"/>
            <w:vAlign w:val="center"/>
          </w:tcPr>
          <w:p w14:paraId="5F4EC1DC">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4#</w:t>
            </w:r>
          </w:p>
        </w:tc>
        <w:tc>
          <w:tcPr>
            <w:tcW w:w="1534" w:type="dxa"/>
            <w:vAlign w:val="center"/>
          </w:tcPr>
          <w:p w14:paraId="6B6FF53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vAlign w:val="center"/>
          </w:tcPr>
          <w:p w14:paraId="411EB56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38</w:t>
            </w:r>
          </w:p>
        </w:tc>
        <w:tc>
          <w:tcPr>
            <w:tcW w:w="1351" w:type="dxa"/>
            <w:vAlign w:val="center"/>
          </w:tcPr>
          <w:p w14:paraId="52218D9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21</w:t>
            </w:r>
          </w:p>
        </w:tc>
        <w:tc>
          <w:tcPr>
            <w:tcW w:w="1985" w:type="dxa"/>
            <w:vAlign w:val="center"/>
          </w:tcPr>
          <w:p w14:paraId="6C412ED8">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tc>
        <w:tc>
          <w:tcPr>
            <w:tcW w:w="2126" w:type="dxa"/>
            <w:vAlign w:val="center"/>
          </w:tcPr>
          <w:p w14:paraId="7F68D5E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right frontal</w:t>
            </w:r>
          </w:p>
        </w:tc>
      </w:tr>
      <w:tr w14:paraId="49A33AFE">
        <w:trPr>
          <w:trHeight w:val="300" w:hRule="atLeast"/>
        </w:trPr>
        <w:tc>
          <w:tcPr>
            <w:tcW w:w="1404" w:type="dxa"/>
            <w:shd w:val="clear" w:color="auto" w:fill="CCCCCC" w:themeFill="text1" w:themeFillTint="33"/>
            <w:vAlign w:val="center"/>
          </w:tcPr>
          <w:p w14:paraId="2537AD90">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5#</w:t>
            </w:r>
          </w:p>
        </w:tc>
        <w:tc>
          <w:tcPr>
            <w:tcW w:w="1534" w:type="dxa"/>
            <w:shd w:val="clear" w:color="auto" w:fill="CCCCCC" w:themeFill="text1" w:themeFillTint="33"/>
            <w:vAlign w:val="center"/>
          </w:tcPr>
          <w:p w14:paraId="640A367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shd w:val="clear" w:color="auto" w:fill="CCCCCC" w:themeFill="text1" w:themeFillTint="33"/>
            <w:vAlign w:val="center"/>
          </w:tcPr>
          <w:p w14:paraId="76D771A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23</w:t>
            </w:r>
          </w:p>
        </w:tc>
        <w:tc>
          <w:tcPr>
            <w:tcW w:w="1351" w:type="dxa"/>
            <w:shd w:val="clear" w:color="auto" w:fill="CCCCCC" w:themeFill="text1" w:themeFillTint="33"/>
            <w:vAlign w:val="center"/>
          </w:tcPr>
          <w:p w14:paraId="4230F7E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37</w:t>
            </w:r>
          </w:p>
        </w:tc>
        <w:tc>
          <w:tcPr>
            <w:tcW w:w="1985" w:type="dxa"/>
            <w:shd w:val="clear" w:color="auto" w:fill="CCCCCC" w:themeFill="text1" w:themeFillTint="33"/>
            <w:vAlign w:val="center"/>
          </w:tcPr>
          <w:p w14:paraId="6BA23A4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2126" w:type="dxa"/>
            <w:shd w:val="clear" w:color="auto" w:fill="CCCCCC" w:themeFill="text1" w:themeFillTint="33"/>
            <w:vAlign w:val="center"/>
          </w:tcPr>
          <w:p w14:paraId="1171CA1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left temporal</w:t>
            </w:r>
          </w:p>
        </w:tc>
      </w:tr>
      <w:tr w14:paraId="47BDD61F">
        <w:trPr>
          <w:trHeight w:val="300" w:hRule="atLeast"/>
        </w:trPr>
        <w:tc>
          <w:tcPr>
            <w:tcW w:w="1404" w:type="dxa"/>
            <w:vAlign w:val="center"/>
          </w:tcPr>
          <w:p w14:paraId="161B03E8">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6#</w:t>
            </w:r>
          </w:p>
        </w:tc>
        <w:tc>
          <w:tcPr>
            <w:tcW w:w="1534" w:type="dxa"/>
            <w:vAlign w:val="center"/>
          </w:tcPr>
          <w:p w14:paraId="2571A8C2">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vAlign w:val="center"/>
          </w:tcPr>
          <w:p w14:paraId="1463ED4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20</w:t>
            </w:r>
          </w:p>
        </w:tc>
        <w:tc>
          <w:tcPr>
            <w:tcW w:w="1351" w:type="dxa"/>
            <w:vAlign w:val="center"/>
          </w:tcPr>
          <w:p w14:paraId="5892654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34</w:t>
            </w:r>
          </w:p>
        </w:tc>
        <w:tc>
          <w:tcPr>
            <w:tcW w:w="1985" w:type="dxa"/>
            <w:vAlign w:val="center"/>
          </w:tcPr>
          <w:p w14:paraId="03434BC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2126" w:type="dxa"/>
            <w:vAlign w:val="center"/>
          </w:tcPr>
          <w:p w14:paraId="703E9C7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right temporal</w:t>
            </w:r>
          </w:p>
        </w:tc>
      </w:tr>
      <w:tr w14:paraId="0964E9D3">
        <w:trPr>
          <w:trHeight w:val="300" w:hRule="atLeast"/>
        </w:trPr>
        <w:tc>
          <w:tcPr>
            <w:tcW w:w="1404" w:type="dxa"/>
            <w:shd w:val="clear" w:color="auto" w:fill="CCCCCC" w:themeFill="text1" w:themeFillTint="33"/>
            <w:vAlign w:val="center"/>
          </w:tcPr>
          <w:p w14:paraId="58CC4724">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7#</w:t>
            </w:r>
          </w:p>
        </w:tc>
        <w:tc>
          <w:tcPr>
            <w:tcW w:w="1534" w:type="dxa"/>
            <w:shd w:val="clear" w:color="auto" w:fill="CCCCCC" w:themeFill="text1" w:themeFillTint="33"/>
            <w:vAlign w:val="center"/>
          </w:tcPr>
          <w:p w14:paraId="2FD225C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shd w:val="clear" w:color="auto" w:fill="CCCCCC" w:themeFill="text1" w:themeFillTint="33"/>
            <w:vAlign w:val="center"/>
          </w:tcPr>
          <w:p w14:paraId="2C009DE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34</w:t>
            </w:r>
          </w:p>
        </w:tc>
        <w:tc>
          <w:tcPr>
            <w:tcW w:w="1351" w:type="dxa"/>
            <w:shd w:val="clear" w:color="auto" w:fill="CCCCCC" w:themeFill="text1" w:themeFillTint="33"/>
            <w:vAlign w:val="center"/>
          </w:tcPr>
          <w:p w14:paraId="2EB7B4B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36</w:t>
            </w:r>
          </w:p>
        </w:tc>
        <w:tc>
          <w:tcPr>
            <w:tcW w:w="1985" w:type="dxa"/>
            <w:shd w:val="clear" w:color="auto" w:fill="CCCCCC" w:themeFill="text1" w:themeFillTint="33"/>
            <w:vAlign w:val="center"/>
          </w:tcPr>
          <w:p w14:paraId="589C909E">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2126" w:type="dxa"/>
            <w:shd w:val="clear" w:color="auto" w:fill="CCCCCC" w:themeFill="text1" w:themeFillTint="33"/>
            <w:vAlign w:val="center"/>
          </w:tcPr>
          <w:p w14:paraId="446931E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left insular</w:t>
            </w:r>
          </w:p>
        </w:tc>
      </w:tr>
      <w:tr w14:paraId="33A513B6">
        <w:trPr>
          <w:trHeight w:val="323" w:hRule="atLeast"/>
        </w:trPr>
        <w:tc>
          <w:tcPr>
            <w:tcW w:w="1404" w:type="dxa"/>
            <w:vAlign w:val="center"/>
          </w:tcPr>
          <w:p w14:paraId="7F6AF0C1">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8#</w:t>
            </w:r>
          </w:p>
        </w:tc>
        <w:tc>
          <w:tcPr>
            <w:tcW w:w="1534" w:type="dxa"/>
            <w:vAlign w:val="center"/>
          </w:tcPr>
          <w:p w14:paraId="44A329A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M</w:t>
            </w:r>
          </w:p>
        </w:tc>
        <w:tc>
          <w:tcPr>
            <w:tcW w:w="956" w:type="dxa"/>
            <w:vAlign w:val="center"/>
          </w:tcPr>
          <w:p w14:paraId="4281CA2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45</w:t>
            </w:r>
          </w:p>
        </w:tc>
        <w:tc>
          <w:tcPr>
            <w:tcW w:w="1351" w:type="dxa"/>
            <w:vAlign w:val="center"/>
          </w:tcPr>
          <w:p w14:paraId="083515E2">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37</w:t>
            </w:r>
          </w:p>
        </w:tc>
        <w:tc>
          <w:tcPr>
            <w:tcW w:w="1985" w:type="dxa"/>
            <w:vAlign w:val="center"/>
          </w:tcPr>
          <w:p w14:paraId="77953F2A">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tc>
        <w:tc>
          <w:tcPr>
            <w:tcW w:w="2126" w:type="dxa"/>
            <w:vAlign w:val="center"/>
          </w:tcPr>
          <w:p w14:paraId="0F735129">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left insular</w:t>
            </w:r>
          </w:p>
        </w:tc>
      </w:tr>
      <w:tr w14:paraId="04DF0072">
        <w:trPr>
          <w:trHeight w:val="300" w:hRule="atLeast"/>
        </w:trPr>
        <w:tc>
          <w:tcPr>
            <w:tcW w:w="1404" w:type="dxa"/>
            <w:shd w:val="clear" w:color="auto" w:fill="CCCCCC" w:themeFill="text1" w:themeFillTint="33"/>
            <w:vAlign w:val="center"/>
          </w:tcPr>
          <w:p w14:paraId="5EF204DB">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9#</w:t>
            </w:r>
          </w:p>
        </w:tc>
        <w:tc>
          <w:tcPr>
            <w:tcW w:w="1534" w:type="dxa"/>
            <w:shd w:val="clear" w:color="auto" w:fill="CCCCCC" w:themeFill="text1" w:themeFillTint="33"/>
            <w:vAlign w:val="center"/>
          </w:tcPr>
          <w:p w14:paraId="05B13A4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shd w:val="clear" w:color="auto" w:fill="CCCCCC" w:themeFill="text1" w:themeFillTint="33"/>
            <w:vAlign w:val="center"/>
          </w:tcPr>
          <w:p w14:paraId="7B164F4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35</w:t>
            </w:r>
          </w:p>
        </w:tc>
        <w:tc>
          <w:tcPr>
            <w:tcW w:w="1351" w:type="dxa"/>
            <w:shd w:val="clear" w:color="auto" w:fill="CCCCCC" w:themeFill="text1" w:themeFillTint="33"/>
            <w:vAlign w:val="center"/>
          </w:tcPr>
          <w:p w14:paraId="21ED00B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24</w:t>
            </w:r>
          </w:p>
        </w:tc>
        <w:tc>
          <w:tcPr>
            <w:tcW w:w="1985" w:type="dxa"/>
            <w:shd w:val="clear" w:color="auto" w:fill="CCCCCC" w:themeFill="text1" w:themeFillTint="33"/>
            <w:vAlign w:val="center"/>
          </w:tcPr>
          <w:p w14:paraId="1C41016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tc>
        <w:tc>
          <w:tcPr>
            <w:tcW w:w="2126" w:type="dxa"/>
            <w:shd w:val="clear" w:color="auto" w:fill="CCCCCC" w:themeFill="text1" w:themeFillTint="33"/>
            <w:vAlign w:val="center"/>
          </w:tcPr>
          <w:p w14:paraId="701EC1E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right hippocampus</w:t>
            </w:r>
          </w:p>
        </w:tc>
      </w:tr>
      <w:tr w14:paraId="5AA8CEE0">
        <w:trPr>
          <w:trHeight w:val="300" w:hRule="atLeast"/>
        </w:trPr>
        <w:tc>
          <w:tcPr>
            <w:tcW w:w="1404" w:type="dxa"/>
            <w:vAlign w:val="center"/>
          </w:tcPr>
          <w:p w14:paraId="7A20C1D8">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10#</w:t>
            </w:r>
          </w:p>
        </w:tc>
        <w:tc>
          <w:tcPr>
            <w:tcW w:w="1534" w:type="dxa"/>
            <w:vAlign w:val="center"/>
          </w:tcPr>
          <w:p w14:paraId="55B970A8">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M</w:t>
            </w:r>
          </w:p>
        </w:tc>
        <w:tc>
          <w:tcPr>
            <w:tcW w:w="956" w:type="dxa"/>
            <w:vAlign w:val="center"/>
          </w:tcPr>
          <w:p w14:paraId="4623BA2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37</w:t>
            </w:r>
          </w:p>
        </w:tc>
        <w:tc>
          <w:tcPr>
            <w:tcW w:w="1351" w:type="dxa"/>
            <w:vAlign w:val="center"/>
          </w:tcPr>
          <w:p w14:paraId="63A9D4FE">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43</w:t>
            </w:r>
          </w:p>
        </w:tc>
        <w:tc>
          <w:tcPr>
            <w:tcW w:w="1985" w:type="dxa"/>
            <w:vAlign w:val="center"/>
          </w:tcPr>
          <w:p w14:paraId="055CF828">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2126" w:type="dxa"/>
            <w:vAlign w:val="center"/>
          </w:tcPr>
          <w:p w14:paraId="3E5C3A3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left frontal</w:t>
            </w:r>
          </w:p>
        </w:tc>
      </w:tr>
      <w:tr w14:paraId="75BF2C7A">
        <w:trPr>
          <w:trHeight w:val="300" w:hRule="atLeast"/>
        </w:trPr>
        <w:tc>
          <w:tcPr>
            <w:tcW w:w="1404" w:type="dxa"/>
            <w:shd w:val="clear" w:color="auto" w:fill="CCCCCC" w:themeFill="text1" w:themeFillTint="33"/>
            <w:vAlign w:val="center"/>
          </w:tcPr>
          <w:p w14:paraId="191557FF">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11#</w:t>
            </w:r>
          </w:p>
        </w:tc>
        <w:tc>
          <w:tcPr>
            <w:tcW w:w="1534" w:type="dxa"/>
            <w:shd w:val="clear" w:color="auto" w:fill="CCCCCC" w:themeFill="text1" w:themeFillTint="33"/>
            <w:vAlign w:val="center"/>
          </w:tcPr>
          <w:p w14:paraId="62DD855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F</w:t>
            </w:r>
          </w:p>
        </w:tc>
        <w:tc>
          <w:tcPr>
            <w:tcW w:w="956" w:type="dxa"/>
            <w:shd w:val="clear" w:color="auto" w:fill="CCCCCC" w:themeFill="text1" w:themeFillTint="33"/>
            <w:vAlign w:val="center"/>
          </w:tcPr>
          <w:p w14:paraId="67511AD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34</w:t>
            </w:r>
          </w:p>
        </w:tc>
        <w:tc>
          <w:tcPr>
            <w:tcW w:w="1351" w:type="dxa"/>
            <w:shd w:val="clear" w:color="auto" w:fill="CCCCCC" w:themeFill="text1" w:themeFillTint="33"/>
            <w:vAlign w:val="center"/>
          </w:tcPr>
          <w:p w14:paraId="2D7EB75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63</w:t>
            </w:r>
          </w:p>
        </w:tc>
        <w:tc>
          <w:tcPr>
            <w:tcW w:w="1985" w:type="dxa"/>
            <w:shd w:val="clear" w:color="auto" w:fill="CCCCCC" w:themeFill="text1" w:themeFillTint="33"/>
            <w:vAlign w:val="center"/>
          </w:tcPr>
          <w:p w14:paraId="714B6DC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2126" w:type="dxa"/>
            <w:shd w:val="clear" w:color="auto" w:fill="CCCCCC" w:themeFill="text1" w:themeFillTint="33"/>
            <w:vAlign w:val="center"/>
          </w:tcPr>
          <w:p w14:paraId="4CF574E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left hippocampus</w:t>
            </w:r>
          </w:p>
        </w:tc>
      </w:tr>
      <w:bookmarkEnd w:id="0"/>
      <w:bookmarkEnd w:id="1"/>
    </w:tbl>
    <w:p w14:paraId="30EC6CFE">
      <w:pPr>
        <w:rPr>
          <w:b/>
          <w:bCs/>
          <w:kern w:val="32"/>
          <w:szCs w:val="24"/>
        </w:rPr>
      </w:pPr>
      <w:r>
        <w:br w:type="page"/>
      </w:r>
    </w:p>
    <w:p w14:paraId="5D20299E">
      <w:pPr>
        <w:pStyle w:val="6"/>
        <w:spacing w:line="360" w:lineRule="auto"/>
      </w:pPr>
      <w:r>
        <w:t>Table S2. Subregions of individual cortical lobes locating the recording sites.</w:t>
      </w:r>
    </w:p>
    <w:tbl>
      <w:tblPr>
        <w:tblStyle w:val="7"/>
        <w:tblW w:w="9226"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3785"/>
        <w:gridCol w:w="1614"/>
        <w:gridCol w:w="1842"/>
      </w:tblGrid>
      <w:tr w14:paraId="670766BF">
        <w:trPr>
          <w:trHeight w:val="519" w:hRule="atLeast"/>
        </w:trPr>
        <w:tc>
          <w:tcPr>
            <w:tcW w:w="1985" w:type="dxa"/>
            <w:tcBorders>
              <w:top w:val="single" w:color="000000" w:themeColor="text1" w:sz="4" w:space="0"/>
              <w:bottom w:val="single" w:color="000000" w:themeColor="text1" w:sz="4" w:space="0"/>
              <w:insideH w:val="single" w:sz="4" w:space="0"/>
            </w:tcBorders>
            <w:vAlign w:val="center"/>
          </w:tcPr>
          <w:p w14:paraId="35E9899C">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Lobes</w:t>
            </w:r>
          </w:p>
        </w:tc>
        <w:tc>
          <w:tcPr>
            <w:tcW w:w="3785" w:type="dxa"/>
            <w:tcBorders>
              <w:top w:val="single" w:color="000000" w:themeColor="text1" w:sz="4" w:space="0"/>
              <w:bottom w:val="single" w:color="000000" w:themeColor="text1" w:sz="4" w:space="0"/>
              <w:insideH w:val="single" w:sz="4" w:space="0"/>
            </w:tcBorders>
            <w:vAlign w:val="center"/>
          </w:tcPr>
          <w:p w14:paraId="5B50FF23">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Subregions</w:t>
            </w:r>
          </w:p>
        </w:tc>
        <w:tc>
          <w:tcPr>
            <w:tcW w:w="1614" w:type="dxa"/>
            <w:tcBorders>
              <w:top w:val="single" w:color="000000" w:themeColor="text1" w:sz="4" w:space="0"/>
              <w:bottom w:val="single" w:color="000000" w:themeColor="text1" w:sz="4" w:space="0"/>
              <w:insideH w:val="single" w:sz="4" w:space="0"/>
            </w:tcBorders>
            <w:vAlign w:val="center"/>
          </w:tcPr>
          <w:p w14:paraId="4D58B6E8">
            <w:pPr>
              <w:jc w:val="center"/>
              <w:rPr>
                <w:b w:val="0"/>
                <w:bCs w:val="0"/>
                <w:color w:val="000000" w:themeColor="text1"/>
                <w:szCs w:val="24"/>
                <w14:textFill>
                  <w14:solidFill>
                    <w14:schemeClr w14:val="tx1"/>
                  </w14:solidFill>
                </w14:textFill>
              </w:rPr>
            </w:pPr>
            <w:r>
              <w:rPr>
                <w:b/>
                <w:bCs/>
                <w:color w:val="000000" w:themeColor="text1"/>
                <w:szCs w:val="24"/>
                <w14:textFill>
                  <w14:solidFill>
                    <w14:schemeClr w14:val="tx1"/>
                  </w14:solidFill>
                </w14:textFill>
              </w:rPr>
              <w:t>Site counts</w:t>
            </w:r>
          </w:p>
          <w:p w14:paraId="5F6DD046">
            <w:pPr>
              <w:jc w:val="center"/>
              <w:rPr>
                <w:b/>
                <w:bCs/>
                <w:color w:val="000000" w:themeColor="text1"/>
                <w:szCs w:val="24"/>
                <w:lang w:eastAsia="zh-CN"/>
                <w14:textFill>
                  <w14:solidFill>
                    <w14:schemeClr w14:val="tx1"/>
                  </w14:solidFill>
                </w14:textFill>
              </w:rPr>
            </w:pPr>
            <w:r>
              <w:rPr>
                <w:b/>
                <w:bCs/>
                <w:color w:val="000000" w:themeColor="text1"/>
                <w:szCs w:val="24"/>
                <w:lang w:eastAsia="zh-CN"/>
                <w14:textFill>
                  <w14:solidFill>
                    <w14:schemeClr w14:val="tx1"/>
                  </w14:solidFill>
                </w14:textFill>
              </w:rPr>
              <w:t>(Left hemisphere)</w:t>
            </w:r>
          </w:p>
        </w:tc>
        <w:tc>
          <w:tcPr>
            <w:tcW w:w="1842" w:type="dxa"/>
            <w:tcBorders>
              <w:top w:val="single" w:color="000000" w:themeColor="text1" w:sz="4" w:space="0"/>
              <w:bottom w:val="single" w:color="000000" w:themeColor="text1" w:sz="4" w:space="0"/>
              <w:insideH w:val="single" w:sz="4" w:space="0"/>
            </w:tcBorders>
          </w:tcPr>
          <w:p w14:paraId="12DC0026">
            <w:pPr>
              <w:jc w:val="center"/>
              <w:rPr>
                <w:b w:val="0"/>
                <w:bCs w:val="0"/>
                <w:color w:val="000000" w:themeColor="text1"/>
                <w:szCs w:val="24"/>
                <w14:textFill>
                  <w14:solidFill>
                    <w14:schemeClr w14:val="tx1"/>
                  </w14:solidFill>
                </w14:textFill>
              </w:rPr>
            </w:pPr>
            <w:r>
              <w:rPr>
                <w:b/>
                <w:bCs/>
                <w:color w:val="000000" w:themeColor="text1"/>
                <w:szCs w:val="24"/>
                <w14:textFill>
                  <w14:solidFill>
                    <w14:schemeClr w14:val="tx1"/>
                  </w14:solidFill>
                </w14:textFill>
              </w:rPr>
              <w:t>Site counts</w:t>
            </w:r>
          </w:p>
          <w:p w14:paraId="1CFE68CE">
            <w:pPr>
              <w:jc w:val="center"/>
              <w:rPr>
                <w:b/>
                <w:bCs/>
                <w:color w:val="000000" w:themeColor="text1"/>
                <w:szCs w:val="24"/>
                <w14:textFill>
                  <w14:solidFill>
                    <w14:schemeClr w14:val="tx1"/>
                  </w14:solidFill>
                </w14:textFill>
              </w:rPr>
            </w:pPr>
            <w:r>
              <w:rPr>
                <w:b/>
                <w:bCs/>
                <w:color w:val="000000" w:themeColor="text1"/>
                <w:szCs w:val="24"/>
                <w:lang w:eastAsia="zh-CN"/>
                <w14:textFill>
                  <w14:solidFill>
                    <w14:schemeClr w14:val="tx1"/>
                  </w14:solidFill>
                </w14:textFill>
              </w:rPr>
              <w:t>(Right hemisphere)</w:t>
            </w:r>
          </w:p>
        </w:tc>
      </w:tr>
      <w:tr w14:paraId="4A2CB39C">
        <w:trPr>
          <w:trHeight w:val="284" w:hRule="atLeast"/>
        </w:trPr>
        <w:tc>
          <w:tcPr>
            <w:tcW w:w="1985" w:type="dxa"/>
            <w:shd w:val="clear" w:color="auto" w:fill="CCCCCC" w:themeFill="text1" w:themeFillTint="33"/>
            <w:vAlign w:val="center"/>
          </w:tcPr>
          <w:p w14:paraId="21FDAB45">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Frontal lobe</w:t>
            </w:r>
          </w:p>
        </w:tc>
        <w:tc>
          <w:tcPr>
            <w:tcW w:w="3785" w:type="dxa"/>
            <w:shd w:val="clear" w:color="auto" w:fill="CCCCCC" w:themeFill="text1" w:themeFillTint="33"/>
            <w:vAlign w:val="center"/>
          </w:tcPr>
          <w:p w14:paraId="1BA02F8A">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6B4C80D2">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81</w:t>
            </w:r>
          </w:p>
        </w:tc>
        <w:tc>
          <w:tcPr>
            <w:tcW w:w="1842" w:type="dxa"/>
            <w:shd w:val="clear" w:color="auto" w:fill="CCCCCC" w:themeFill="text1" w:themeFillTint="33"/>
            <w:vAlign w:val="center"/>
          </w:tcPr>
          <w:p w14:paraId="70F6E143">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56</w:t>
            </w:r>
          </w:p>
        </w:tc>
      </w:tr>
      <w:tr w14:paraId="0F16DCBF">
        <w:trPr>
          <w:trHeight w:val="284" w:hRule="atLeast"/>
        </w:trPr>
        <w:tc>
          <w:tcPr>
            <w:tcW w:w="1985" w:type="dxa"/>
            <w:vAlign w:val="center"/>
          </w:tcPr>
          <w:p w14:paraId="2FF353A5">
            <w:pPr>
              <w:rPr>
                <w:b/>
                <w:bCs/>
                <w:color w:val="000000" w:themeColor="text1"/>
                <w:szCs w:val="24"/>
                <w14:textFill>
                  <w14:solidFill>
                    <w14:schemeClr w14:val="tx1"/>
                  </w14:solidFill>
                </w14:textFill>
              </w:rPr>
            </w:pPr>
          </w:p>
        </w:tc>
        <w:tc>
          <w:tcPr>
            <w:tcW w:w="3785" w:type="dxa"/>
            <w:vAlign w:val="center"/>
          </w:tcPr>
          <w:p w14:paraId="24DCB0F8">
            <w:pPr>
              <w:rPr>
                <w:color w:val="000000" w:themeColor="text1"/>
                <w:szCs w:val="24"/>
                <w14:textFill>
                  <w14:solidFill>
                    <w14:schemeClr w14:val="tx1"/>
                  </w14:solidFill>
                </w14:textFill>
              </w:rPr>
            </w:pPr>
            <w:r>
              <w:rPr>
                <w:color w:val="000000" w:themeColor="text1"/>
                <w:szCs w:val="24"/>
                <w14:textFill>
                  <w14:solidFill>
                    <w14:schemeClr w14:val="tx1"/>
                  </w14:solidFill>
                </w14:textFill>
              </w:rPr>
              <w:t>Middle Frontal Gyrus</w:t>
            </w:r>
          </w:p>
          <w:p w14:paraId="417DCD45">
            <w:pPr>
              <w:rPr>
                <w:color w:val="000000" w:themeColor="text1"/>
                <w:szCs w:val="24"/>
                <w14:textFill>
                  <w14:solidFill>
                    <w14:schemeClr w14:val="tx1"/>
                  </w14:solidFill>
                </w14:textFill>
              </w:rPr>
            </w:pPr>
            <w:r>
              <w:rPr>
                <w:color w:val="000000" w:themeColor="text1"/>
                <w:szCs w:val="24"/>
                <w14:textFill>
                  <w14:solidFill>
                    <w14:schemeClr w14:val="tx1"/>
                  </w14:solidFill>
                </w14:textFill>
              </w:rPr>
              <w:t>Inferior Frontal Gyrus</w:t>
            </w:r>
          </w:p>
          <w:p w14:paraId="1238AC3B">
            <w:pPr>
              <w:rPr>
                <w:color w:val="000000" w:themeColor="text1"/>
                <w:szCs w:val="24"/>
                <w14:textFill>
                  <w14:solidFill>
                    <w14:schemeClr w14:val="tx1"/>
                  </w14:solidFill>
                </w14:textFill>
              </w:rPr>
            </w:pPr>
            <w:r>
              <w:rPr>
                <w:color w:val="000000" w:themeColor="text1"/>
                <w:szCs w:val="24"/>
                <w14:textFill>
                  <w14:solidFill>
                    <w14:schemeClr w14:val="tx1"/>
                  </w14:solidFill>
                </w14:textFill>
              </w:rPr>
              <w:t>Precentral Gyrus</w:t>
            </w:r>
          </w:p>
          <w:p w14:paraId="233416F2">
            <w:pPr>
              <w:rPr>
                <w:color w:val="000000" w:themeColor="text1"/>
                <w:szCs w:val="24"/>
                <w14:textFill>
                  <w14:solidFill>
                    <w14:schemeClr w14:val="tx1"/>
                  </w14:solidFill>
                </w14:textFill>
              </w:rPr>
            </w:pPr>
            <w:r>
              <w:rPr>
                <w:color w:val="000000" w:themeColor="text1"/>
                <w:szCs w:val="24"/>
                <w14:textFill>
                  <w14:solidFill>
                    <w14:schemeClr w14:val="tx1"/>
                  </w14:solidFill>
                </w14:textFill>
              </w:rPr>
              <w:t>Orbital Gyrus</w:t>
            </w:r>
          </w:p>
          <w:p w14:paraId="02474445">
            <w:pPr>
              <w:rPr>
                <w:color w:val="000000" w:themeColor="text1"/>
                <w:szCs w:val="24"/>
                <w14:textFill>
                  <w14:solidFill>
                    <w14:schemeClr w14:val="tx1"/>
                  </w14:solidFill>
                </w14:textFill>
              </w:rPr>
            </w:pPr>
            <w:r>
              <w:rPr>
                <w:color w:val="000000" w:themeColor="text1"/>
                <w:szCs w:val="24"/>
                <w14:textFill>
                  <w14:solidFill>
                    <w14:schemeClr w14:val="tx1"/>
                  </w14:solidFill>
                </w14:textFill>
              </w:rPr>
              <w:t>Superior Frontal Gyrus</w:t>
            </w:r>
          </w:p>
          <w:p w14:paraId="20610EA5">
            <w:pPr>
              <w:rPr>
                <w:color w:val="000000" w:themeColor="text1"/>
                <w:szCs w:val="24"/>
                <w14:textFill>
                  <w14:solidFill>
                    <w14:schemeClr w14:val="tx1"/>
                  </w14:solidFill>
                </w14:textFill>
              </w:rPr>
            </w:pPr>
            <w:r>
              <w:rPr>
                <w:color w:val="000000" w:themeColor="text1"/>
                <w:szCs w:val="24"/>
                <w14:textFill>
                  <w14:solidFill>
                    <w14:schemeClr w14:val="tx1"/>
                  </w14:solidFill>
                </w14:textFill>
              </w:rPr>
              <w:t>Paracentral Lobule</w:t>
            </w:r>
          </w:p>
        </w:tc>
        <w:tc>
          <w:tcPr>
            <w:tcW w:w="1614" w:type="dxa"/>
            <w:vAlign w:val="center"/>
          </w:tcPr>
          <w:p w14:paraId="047D4DE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28</w:t>
            </w:r>
          </w:p>
          <w:p w14:paraId="213BCFD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p w14:paraId="731A1E02">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16</w:t>
            </w:r>
          </w:p>
          <w:p w14:paraId="706AD7F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14</w:t>
            </w:r>
          </w:p>
          <w:p w14:paraId="24CE126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13</w:t>
            </w:r>
          </w:p>
          <w:p w14:paraId="07EAA60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1842" w:type="dxa"/>
            <w:vAlign w:val="center"/>
          </w:tcPr>
          <w:p w14:paraId="1BF097AE">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23</w:t>
            </w:r>
          </w:p>
          <w:p w14:paraId="74897182">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13</w:t>
            </w:r>
          </w:p>
          <w:p w14:paraId="0E7A419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p w14:paraId="716D6CF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p w14:paraId="6BF3EDE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6</w:t>
            </w:r>
          </w:p>
          <w:p w14:paraId="27E81FC0">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r>
      <w:tr w14:paraId="5CB585DB">
        <w:trPr>
          <w:trHeight w:val="284" w:hRule="atLeast"/>
        </w:trPr>
        <w:tc>
          <w:tcPr>
            <w:tcW w:w="1985" w:type="dxa"/>
            <w:shd w:val="clear" w:color="auto" w:fill="CCCCCC" w:themeFill="text1" w:themeFillTint="33"/>
            <w:vAlign w:val="center"/>
          </w:tcPr>
          <w:p w14:paraId="7B1F569D">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Parietal lobe</w:t>
            </w:r>
          </w:p>
        </w:tc>
        <w:tc>
          <w:tcPr>
            <w:tcW w:w="3785" w:type="dxa"/>
            <w:shd w:val="clear" w:color="auto" w:fill="CCCCCC" w:themeFill="text1" w:themeFillTint="33"/>
            <w:vAlign w:val="center"/>
          </w:tcPr>
          <w:p w14:paraId="7C4AACF5">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57DA30CF">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12</w:t>
            </w:r>
          </w:p>
        </w:tc>
        <w:tc>
          <w:tcPr>
            <w:tcW w:w="1842" w:type="dxa"/>
            <w:shd w:val="clear" w:color="auto" w:fill="CCCCCC" w:themeFill="text1" w:themeFillTint="33"/>
            <w:vAlign w:val="center"/>
          </w:tcPr>
          <w:p w14:paraId="688F4E23">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28</w:t>
            </w:r>
          </w:p>
        </w:tc>
      </w:tr>
      <w:tr w14:paraId="25ADC0E2">
        <w:trPr>
          <w:trHeight w:val="306" w:hRule="atLeast"/>
        </w:trPr>
        <w:tc>
          <w:tcPr>
            <w:tcW w:w="1985" w:type="dxa"/>
            <w:vAlign w:val="center"/>
          </w:tcPr>
          <w:p w14:paraId="3ADD070A">
            <w:pPr>
              <w:rPr>
                <w:b/>
                <w:bCs/>
                <w:color w:val="000000" w:themeColor="text1"/>
                <w:szCs w:val="24"/>
                <w14:textFill>
                  <w14:solidFill>
                    <w14:schemeClr w14:val="tx1"/>
                  </w14:solidFill>
                </w14:textFill>
              </w:rPr>
            </w:pPr>
          </w:p>
        </w:tc>
        <w:tc>
          <w:tcPr>
            <w:tcW w:w="3785" w:type="dxa"/>
            <w:vAlign w:val="center"/>
          </w:tcPr>
          <w:p w14:paraId="4C63D45D">
            <w:pPr>
              <w:rPr>
                <w:color w:val="000000" w:themeColor="text1"/>
                <w:szCs w:val="24"/>
                <w14:textFill>
                  <w14:solidFill>
                    <w14:schemeClr w14:val="tx1"/>
                  </w14:solidFill>
                </w14:textFill>
              </w:rPr>
            </w:pPr>
            <w:r>
              <w:rPr>
                <w:color w:val="000000" w:themeColor="text1"/>
                <w:szCs w:val="24"/>
                <w14:textFill>
                  <w14:solidFill>
                    <w14:schemeClr w14:val="tx1"/>
                  </w14:solidFill>
                </w14:textFill>
              </w:rPr>
              <w:t>Postcentral Gyrus</w:t>
            </w:r>
          </w:p>
          <w:p w14:paraId="2CD6C36F">
            <w:pPr>
              <w:rPr>
                <w:color w:val="000000" w:themeColor="text1"/>
                <w:szCs w:val="24"/>
                <w14:textFill>
                  <w14:solidFill>
                    <w14:schemeClr w14:val="tx1"/>
                  </w14:solidFill>
                </w14:textFill>
              </w:rPr>
            </w:pPr>
            <w:r>
              <w:rPr>
                <w:color w:val="000000" w:themeColor="text1"/>
                <w:szCs w:val="24"/>
                <w14:textFill>
                  <w14:solidFill>
                    <w14:schemeClr w14:val="tx1"/>
                  </w14:solidFill>
                </w14:textFill>
              </w:rPr>
              <w:t>Supramarginal Gyrus</w:t>
            </w:r>
          </w:p>
          <w:p w14:paraId="46145663">
            <w:pPr>
              <w:rPr>
                <w:color w:val="000000" w:themeColor="text1"/>
                <w:szCs w:val="24"/>
                <w14:textFill>
                  <w14:solidFill>
                    <w14:schemeClr w14:val="tx1"/>
                  </w14:solidFill>
                </w14:textFill>
              </w:rPr>
            </w:pPr>
            <w:r>
              <w:rPr>
                <w:color w:val="000000" w:themeColor="text1"/>
                <w:szCs w:val="24"/>
                <w14:textFill>
                  <w14:solidFill>
                    <w14:schemeClr w14:val="tx1"/>
                  </w14:solidFill>
                </w14:textFill>
              </w:rPr>
              <w:t>Angular Gyrus</w:t>
            </w:r>
          </w:p>
          <w:p w14:paraId="1542DE5F">
            <w:pPr>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Precuneus</w:t>
            </w:r>
          </w:p>
          <w:p w14:paraId="4159A426">
            <w:pPr>
              <w:rPr>
                <w:color w:val="000000" w:themeColor="text1"/>
                <w:szCs w:val="24"/>
                <w14:textFill>
                  <w14:solidFill>
                    <w14:schemeClr w14:val="tx1"/>
                  </w14:solidFill>
                </w14:textFill>
              </w:rPr>
            </w:pPr>
            <w:r>
              <w:rPr>
                <w:color w:val="000000" w:themeColor="text1"/>
                <w:szCs w:val="24"/>
                <w14:textFill>
                  <w14:solidFill>
                    <w14:schemeClr w14:val="tx1"/>
                  </w14:solidFill>
                </w14:textFill>
              </w:rPr>
              <w:t>Superior Parietal Lobule</w:t>
            </w:r>
          </w:p>
        </w:tc>
        <w:tc>
          <w:tcPr>
            <w:tcW w:w="1614" w:type="dxa"/>
            <w:vAlign w:val="center"/>
          </w:tcPr>
          <w:p w14:paraId="003AA2B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p w14:paraId="5F8FD4C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p w14:paraId="56212030">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p w14:paraId="62E80ED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p w14:paraId="49E7018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tc>
        <w:tc>
          <w:tcPr>
            <w:tcW w:w="1842" w:type="dxa"/>
            <w:vAlign w:val="center"/>
          </w:tcPr>
          <w:p w14:paraId="0A9036F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p w14:paraId="3DC65FC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p w14:paraId="50A6063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p w14:paraId="62B78B5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p w14:paraId="0DE1ACC5">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r>
      <w:tr w14:paraId="57B7EF68">
        <w:trPr>
          <w:trHeight w:val="284" w:hRule="atLeast"/>
        </w:trPr>
        <w:tc>
          <w:tcPr>
            <w:tcW w:w="1985" w:type="dxa"/>
            <w:shd w:val="clear" w:color="auto" w:fill="CCCCCC" w:themeFill="text1" w:themeFillTint="33"/>
            <w:vAlign w:val="center"/>
          </w:tcPr>
          <w:p w14:paraId="15CD643D">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Temporal Lobe</w:t>
            </w:r>
          </w:p>
        </w:tc>
        <w:tc>
          <w:tcPr>
            <w:tcW w:w="3785" w:type="dxa"/>
            <w:shd w:val="clear" w:color="auto" w:fill="CCCCCC" w:themeFill="text1" w:themeFillTint="33"/>
            <w:vAlign w:val="center"/>
          </w:tcPr>
          <w:p w14:paraId="038B2C3D">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0D2CDCDB">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70</w:t>
            </w:r>
          </w:p>
        </w:tc>
        <w:tc>
          <w:tcPr>
            <w:tcW w:w="1842" w:type="dxa"/>
            <w:shd w:val="clear" w:color="auto" w:fill="CCCCCC" w:themeFill="text1" w:themeFillTint="33"/>
            <w:vAlign w:val="center"/>
          </w:tcPr>
          <w:p w14:paraId="0D2175FC">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36</w:t>
            </w:r>
          </w:p>
        </w:tc>
      </w:tr>
      <w:tr w14:paraId="69829676">
        <w:trPr>
          <w:trHeight w:val="284" w:hRule="atLeast"/>
        </w:trPr>
        <w:tc>
          <w:tcPr>
            <w:tcW w:w="1985" w:type="dxa"/>
            <w:vAlign w:val="center"/>
          </w:tcPr>
          <w:p w14:paraId="46683EB9">
            <w:pPr>
              <w:rPr>
                <w:b/>
                <w:bCs/>
                <w:color w:val="000000" w:themeColor="text1"/>
                <w:szCs w:val="24"/>
                <w14:textFill>
                  <w14:solidFill>
                    <w14:schemeClr w14:val="tx1"/>
                  </w14:solidFill>
                </w14:textFill>
              </w:rPr>
            </w:pPr>
          </w:p>
        </w:tc>
        <w:tc>
          <w:tcPr>
            <w:tcW w:w="3785" w:type="dxa"/>
            <w:vAlign w:val="center"/>
          </w:tcPr>
          <w:p w14:paraId="283B2629">
            <w:pPr>
              <w:rPr>
                <w:color w:val="000000" w:themeColor="text1"/>
                <w:szCs w:val="24"/>
                <w14:textFill>
                  <w14:solidFill>
                    <w14:schemeClr w14:val="tx1"/>
                  </w14:solidFill>
                </w14:textFill>
              </w:rPr>
            </w:pPr>
            <w:r>
              <w:rPr>
                <w:color w:val="000000" w:themeColor="text1"/>
                <w:szCs w:val="24"/>
                <w14:textFill>
                  <w14:solidFill>
                    <w14:schemeClr w14:val="tx1"/>
                  </w14:solidFill>
                </w14:textFill>
              </w:rPr>
              <w:t>Superior Temporal Gyrus</w:t>
            </w:r>
          </w:p>
          <w:p w14:paraId="0033BC67">
            <w:pPr>
              <w:rPr>
                <w:color w:val="000000" w:themeColor="text1"/>
                <w:szCs w:val="24"/>
                <w14:textFill>
                  <w14:solidFill>
                    <w14:schemeClr w14:val="tx1"/>
                  </w14:solidFill>
                </w14:textFill>
              </w:rPr>
            </w:pPr>
            <w:r>
              <w:rPr>
                <w:color w:val="000000" w:themeColor="text1"/>
                <w:szCs w:val="24"/>
                <w14:textFill>
                  <w14:solidFill>
                    <w14:schemeClr w14:val="tx1"/>
                  </w14:solidFill>
                </w14:textFill>
              </w:rPr>
              <w:t>Middle Temporal Gyrus</w:t>
            </w:r>
          </w:p>
          <w:p w14:paraId="5BCF7629">
            <w:pPr>
              <w:rPr>
                <w:color w:val="000000" w:themeColor="text1"/>
                <w:szCs w:val="24"/>
                <w14:textFill>
                  <w14:solidFill>
                    <w14:schemeClr w14:val="tx1"/>
                  </w14:solidFill>
                </w14:textFill>
              </w:rPr>
            </w:pPr>
            <w:r>
              <w:rPr>
                <w:color w:val="000000" w:themeColor="text1"/>
                <w:szCs w:val="24"/>
                <w14:textFill>
                  <w14:solidFill>
                    <w14:schemeClr w14:val="tx1"/>
                  </w14:solidFill>
                </w14:textFill>
              </w:rPr>
              <w:t>Inferior Temporal Gyrus</w:t>
            </w:r>
          </w:p>
          <w:p w14:paraId="40F4EC52">
            <w:pPr>
              <w:rPr>
                <w:color w:val="000000" w:themeColor="text1"/>
                <w:szCs w:val="24"/>
                <w14:textFill>
                  <w14:solidFill>
                    <w14:schemeClr w14:val="tx1"/>
                  </w14:solidFill>
                </w14:textFill>
              </w:rPr>
            </w:pPr>
            <w:r>
              <w:rPr>
                <w:color w:val="000000" w:themeColor="text1"/>
                <w:szCs w:val="24"/>
                <w14:textFill>
                  <w14:solidFill>
                    <w14:schemeClr w14:val="tx1"/>
                  </w14:solidFill>
                </w14:textFill>
              </w:rPr>
              <w:t>Parahippocampal Gyrus</w:t>
            </w:r>
          </w:p>
          <w:p w14:paraId="0F1ADD75">
            <w:pPr>
              <w:rPr>
                <w:color w:val="000000" w:themeColor="text1"/>
                <w:szCs w:val="24"/>
                <w14:textFill>
                  <w14:solidFill>
                    <w14:schemeClr w14:val="tx1"/>
                  </w14:solidFill>
                </w14:textFill>
              </w:rPr>
            </w:pPr>
            <w:r>
              <w:rPr>
                <w:color w:val="000000" w:themeColor="text1"/>
                <w:szCs w:val="24"/>
                <w14:textFill>
                  <w14:solidFill>
                    <w14:schemeClr w14:val="tx1"/>
                  </w14:solidFill>
                </w14:textFill>
              </w:rPr>
              <w:t>Posterior Superior Temporal Sulcus</w:t>
            </w:r>
          </w:p>
          <w:p w14:paraId="14AE98EA">
            <w:pPr>
              <w:rPr>
                <w:color w:val="000000" w:themeColor="text1"/>
                <w:szCs w:val="24"/>
                <w14:textFill>
                  <w14:solidFill>
                    <w14:schemeClr w14:val="tx1"/>
                  </w14:solidFill>
                </w14:textFill>
              </w:rPr>
            </w:pPr>
            <w:r>
              <w:rPr>
                <w:color w:val="000000" w:themeColor="text1"/>
                <w:szCs w:val="24"/>
                <w14:textFill>
                  <w14:solidFill>
                    <w14:schemeClr w14:val="tx1"/>
                  </w14:solidFill>
                </w14:textFill>
              </w:rPr>
              <w:t>Fusiform Gyrus</w:t>
            </w:r>
          </w:p>
        </w:tc>
        <w:tc>
          <w:tcPr>
            <w:tcW w:w="1614" w:type="dxa"/>
            <w:vAlign w:val="center"/>
          </w:tcPr>
          <w:p w14:paraId="22B0744D">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23</w:t>
            </w:r>
          </w:p>
          <w:p w14:paraId="1C489202">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28</w:t>
            </w:r>
          </w:p>
          <w:p w14:paraId="1783312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p w14:paraId="301205CA">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p w14:paraId="23CF534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p w14:paraId="7AE09DD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8</w:t>
            </w:r>
          </w:p>
        </w:tc>
        <w:tc>
          <w:tcPr>
            <w:tcW w:w="1842" w:type="dxa"/>
            <w:vAlign w:val="center"/>
          </w:tcPr>
          <w:p w14:paraId="346327AF">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p w14:paraId="2F898AF0">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23</w:t>
            </w:r>
          </w:p>
          <w:p w14:paraId="0BBB273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p w14:paraId="209D0D69">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p w14:paraId="72505A1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p w14:paraId="174C69C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r>
      <w:tr w14:paraId="7361E5BC">
        <w:trPr>
          <w:trHeight w:val="284" w:hRule="atLeast"/>
        </w:trPr>
        <w:tc>
          <w:tcPr>
            <w:tcW w:w="1985" w:type="dxa"/>
            <w:shd w:val="clear" w:color="auto" w:fill="CCCCCC" w:themeFill="text1" w:themeFillTint="33"/>
            <w:vAlign w:val="center"/>
          </w:tcPr>
          <w:p w14:paraId="51D31C49">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Insular lobe</w:t>
            </w:r>
          </w:p>
        </w:tc>
        <w:tc>
          <w:tcPr>
            <w:tcW w:w="3785" w:type="dxa"/>
            <w:shd w:val="clear" w:color="auto" w:fill="CCCCCC" w:themeFill="text1" w:themeFillTint="33"/>
            <w:vAlign w:val="center"/>
          </w:tcPr>
          <w:p w14:paraId="2AF0FA2E">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79BA927F">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23</w:t>
            </w:r>
          </w:p>
        </w:tc>
        <w:tc>
          <w:tcPr>
            <w:tcW w:w="1842" w:type="dxa"/>
            <w:shd w:val="clear" w:color="auto" w:fill="CCCCCC" w:themeFill="text1" w:themeFillTint="33"/>
            <w:vAlign w:val="center"/>
          </w:tcPr>
          <w:p w14:paraId="0592FF89">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15</w:t>
            </w:r>
          </w:p>
        </w:tc>
      </w:tr>
      <w:tr w14:paraId="6309B03B">
        <w:trPr>
          <w:trHeight w:val="306" w:hRule="atLeast"/>
        </w:trPr>
        <w:tc>
          <w:tcPr>
            <w:tcW w:w="1985" w:type="dxa"/>
            <w:vAlign w:val="center"/>
          </w:tcPr>
          <w:p w14:paraId="0DB75BA1">
            <w:pPr>
              <w:rPr>
                <w:b/>
                <w:bCs/>
                <w:color w:val="000000" w:themeColor="text1"/>
                <w:szCs w:val="24"/>
                <w14:textFill>
                  <w14:solidFill>
                    <w14:schemeClr w14:val="tx1"/>
                  </w14:solidFill>
                </w14:textFill>
              </w:rPr>
            </w:pPr>
          </w:p>
        </w:tc>
        <w:tc>
          <w:tcPr>
            <w:tcW w:w="3785" w:type="dxa"/>
            <w:vAlign w:val="center"/>
          </w:tcPr>
          <w:p w14:paraId="4E42EC8E">
            <w:pPr>
              <w:rPr>
                <w:color w:val="000000" w:themeColor="text1"/>
                <w:szCs w:val="24"/>
                <w14:textFill>
                  <w14:solidFill>
                    <w14:schemeClr w14:val="tx1"/>
                  </w14:solidFill>
                </w14:textFill>
              </w:rPr>
            </w:pPr>
            <w:r>
              <w:rPr>
                <w:color w:val="000000" w:themeColor="text1"/>
                <w:szCs w:val="24"/>
                <w14:textFill>
                  <w14:solidFill>
                    <w14:schemeClr w14:val="tx1"/>
                  </w14:solidFill>
                </w14:textFill>
              </w:rPr>
              <w:t>Posterior insula</w:t>
            </w:r>
          </w:p>
          <w:p w14:paraId="7879DED8">
            <w:pPr>
              <w:rPr>
                <w:color w:val="000000" w:themeColor="text1"/>
                <w:szCs w:val="24"/>
                <w14:textFill>
                  <w14:solidFill>
                    <w14:schemeClr w14:val="tx1"/>
                  </w14:solidFill>
                </w14:textFill>
              </w:rPr>
            </w:pPr>
            <w:r>
              <w:rPr>
                <w:color w:val="000000" w:themeColor="text1"/>
                <w:szCs w:val="24"/>
                <w14:textFill>
                  <w14:solidFill>
                    <w14:schemeClr w14:val="tx1"/>
                  </w14:solidFill>
                </w14:textFill>
              </w:rPr>
              <w:t>Anterior insula</w:t>
            </w:r>
          </w:p>
        </w:tc>
        <w:tc>
          <w:tcPr>
            <w:tcW w:w="1614" w:type="dxa"/>
            <w:vAlign w:val="center"/>
          </w:tcPr>
          <w:p w14:paraId="18467265">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9</w:t>
            </w:r>
          </w:p>
          <w:p w14:paraId="6A89BC7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14</w:t>
            </w:r>
          </w:p>
        </w:tc>
        <w:tc>
          <w:tcPr>
            <w:tcW w:w="1842" w:type="dxa"/>
            <w:vAlign w:val="center"/>
          </w:tcPr>
          <w:p w14:paraId="71D6D149">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p w14:paraId="0C423576">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10</w:t>
            </w:r>
          </w:p>
        </w:tc>
      </w:tr>
      <w:tr w14:paraId="23C1C162">
        <w:trPr>
          <w:trHeight w:val="284" w:hRule="atLeast"/>
        </w:trPr>
        <w:tc>
          <w:tcPr>
            <w:tcW w:w="1985" w:type="dxa"/>
            <w:shd w:val="clear" w:color="auto" w:fill="CCCCCC" w:themeFill="text1" w:themeFillTint="33"/>
            <w:vAlign w:val="center"/>
          </w:tcPr>
          <w:p w14:paraId="05BAA267">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Cingulate cortex</w:t>
            </w:r>
          </w:p>
        </w:tc>
        <w:tc>
          <w:tcPr>
            <w:tcW w:w="3785" w:type="dxa"/>
            <w:shd w:val="clear" w:color="auto" w:fill="CCCCCC" w:themeFill="text1" w:themeFillTint="33"/>
            <w:vAlign w:val="center"/>
          </w:tcPr>
          <w:p w14:paraId="63F4EA29">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45C80F32">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7</w:t>
            </w:r>
          </w:p>
        </w:tc>
        <w:tc>
          <w:tcPr>
            <w:tcW w:w="1842" w:type="dxa"/>
            <w:shd w:val="clear" w:color="auto" w:fill="CCCCCC" w:themeFill="text1" w:themeFillTint="33"/>
            <w:vAlign w:val="center"/>
          </w:tcPr>
          <w:p w14:paraId="26FBC503">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0</w:t>
            </w:r>
          </w:p>
        </w:tc>
      </w:tr>
      <w:tr w14:paraId="148117AC">
        <w:trPr>
          <w:trHeight w:val="284" w:hRule="atLeast"/>
        </w:trPr>
        <w:tc>
          <w:tcPr>
            <w:tcW w:w="1985" w:type="dxa"/>
            <w:vAlign w:val="center"/>
          </w:tcPr>
          <w:p w14:paraId="5B249668">
            <w:pPr>
              <w:rPr>
                <w:b/>
                <w:bCs/>
                <w:color w:val="000000" w:themeColor="text1"/>
                <w:szCs w:val="24"/>
                <w14:textFill>
                  <w14:solidFill>
                    <w14:schemeClr w14:val="tx1"/>
                  </w14:solidFill>
                </w14:textFill>
              </w:rPr>
            </w:pPr>
          </w:p>
        </w:tc>
        <w:tc>
          <w:tcPr>
            <w:tcW w:w="3785" w:type="dxa"/>
            <w:vAlign w:val="center"/>
          </w:tcPr>
          <w:p w14:paraId="7944B869">
            <w:pPr>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Cingulate Gyrus</w:t>
            </w:r>
          </w:p>
        </w:tc>
        <w:tc>
          <w:tcPr>
            <w:tcW w:w="1614" w:type="dxa"/>
            <w:vAlign w:val="center"/>
          </w:tcPr>
          <w:p w14:paraId="7B025818">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7</w:t>
            </w:r>
          </w:p>
        </w:tc>
        <w:tc>
          <w:tcPr>
            <w:tcW w:w="1842" w:type="dxa"/>
            <w:vAlign w:val="center"/>
          </w:tcPr>
          <w:p w14:paraId="23587B5B">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r>
      <w:tr w14:paraId="15A7F033">
        <w:trPr>
          <w:trHeight w:val="284" w:hRule="atLeast"/>
        </w:trPr>
        <w:tc>
          <w:tcPr>
            <w:tcW w:w="1985" w:type="dxa"/>
            <w:shd w:val="clear" w:color="auto" w:fill="CCCCCC" w:themeFill="text1" w:themeFillTint="33"/>
            <w:vAlign w:val="center"/>
          </w:tcPr>
          <w:p w14:paraId="3775CB25">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Occipital lobe</w:t>
            </w:r>
          </w:p>
        </w:tc>
        <w:tc>
          <w:tcPr>
            <w:tcW w:w="3785" w:type="dxa"/>
            <w:shd w:val="clear" w:color="auto" w:fill="CCCCCC" w:themeFill="text1" w:themeFillTint="33"/>
            <w:vAlign w:val="center"/>
          </w:tcPr>
          <w:p w14:paraId="3CFF23FB">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23143059">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8</w:t>
            </w:r>
          </w:p>
        </w:tc>
        <w:tc>
          <w:tcPr>
            <w:tcW w:w="1842" w:type="dxa"/>
            <w:shd w:val="clear" w:color="auto" w:fill="CCCCCC" w:themeFill="text1" w:themeFillTint="33"/>
            <w:vAlign w:val="center"/>
          </w:tcPr>
          <w:p w14:paraId="588F89D7">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5</w:t>
            </w:r>
          </w:p>
        </w:tc>
      </w:tr>
      <w:tr w14:paraId="38320666">
        <w:trPr>
          <w:trHeight w:val="306" w:hRule="atLeast"/>
        </w:trPr>
        <w:tc>
          <w:tcPr>
            <w:tcW w:w="1985" w:type="dxa"/>
            <w:vAlign w:val="center"/>
          </w:tcPr>
          <w:p w14:paraId="66B68800">
            <w:pPr>
              <w:rPr>
                <w:b/>
                <w:bCs/>
                <w:color w:val="000000" w:themeColor="text1"/>
                <w:szCs w:val="24"/>
                <w14:textFill>
                  <w14:solidFill>
                    <w14:schemeClr w14:val="tx1"/>
                  </w14:solidFill>
                </w14:textFill>
              </w:rPr>
            </w:pPr>
          </w:p>
        </w:tc>
        <w:tc>
          <w:tcPr>
            <w:tcW w:w="3785" w:type="dxa"/>
            <w:vAlign w:val="center"/>
          </w:tcPr>
          <w:p w14:paraId="038C600A">
            <w:pPr>
              <w:rPr>
                <w:color w:val="000000" w:themeColor="text1"/>
                <w:szCs w:val="24"/>
                <w14:textFill>
                  <w14:solidFill>
                    <w14:schemeClr w14:val="tx1"/>
                  </w14:solidFill>
                </w14:textFill>
              </w:rPr>
            </w:pPr>
            <w:r>
              <w:rPr>
                <w:color w:val="000000" w:themeColor="text1"/>
                <w:szCs w:val="24"/>
                <w14:textFill>
                  <w14:solidFill>
                    <w14:schemeClr w14:val="tx1"/>
                  </w14:solidFill>
                </w14:textFill>
              </w:rPr>
              <w:t>Occipital Gyrus</w:t>
            </w:r>
          </w:p>
          <w:p w14:paraId="3B4D12A9">
            <w:pPr>
              <w:rPr>
                <w:color w:val="000000" w:themeColor="text1"/>
                <w:szCs w:val="24"/>
                <w14:textFill>
                  <w14:solidFill>
                    <w14:schemeClr w14:val="tx1"/>
                  </w14:solidFill>
                </w14:textFill>
              </w:rPr>
            </w:pPr>
            <w:r>
              <w:rPr>
                <w:color w:val="000000" w:themeColor="text1"/>
                <w:szCs w:val="24"/>
                <w14:textFill>
                  <w14:solidFill>
                    <w14:schemeClr w14:val="tx1"/>
                  </w14:solidFill>
                </w14:textFill>
              </w:rPr>
              <w:t>Cuneus</w:t>
            </w:r>
          </w:p>
          <w:p w14:paraId="16D1AB9F">
            <w:pPr>
              <w:rPr>
                <w:color w:val="000000" w:themeColor="text1"/>
                <w:szCs w:val="24"/>
                <w14:textFill>
                  <w14:solidFill>
                    <w14:schemeClr w14:val="tx1"/>
                  </w14:solidFill>
                </w14:textFill>
              </w:rPr>
            </w:pPr>
            <w:r>
              <w:rPr>
                <w:color w:val="000000" w:themeColor="text1"/>
                <w:szCs w:val="24"/>
                <w14:textFill>
                  <w14:solidFill>
                    <w14:schemeClr w14:val="tx1"/>
                  </w14:solidFill>
                </w14:textFill>
              </w:rPr>
              <w:t>Superior Occipital Gyrus</w:t>
            </w:r>
          </w:p>
        </w:tc>
        <w:tc>
          <w:tcPr>
            <w:tcW w:w="1614" w:type="dxa"/>
            <w:vAlign w:val="center"/>
          </w:tcPr>
          <w:p w14:paraId="22C50721">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w:t>
            </w:r>
          </w:p>
          <w:p w14:paraId="0C8C83C4">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3</w:t>
            </w:r>
          </w:p>
          <w:p w14:paraId="76AC2057">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1842" w:type="dxa"/>
            <w:vAlign w:val="center"/>
          </w:tcPr>
          <w:p w14:paraId="0CAF43AE">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p w14:paraId="0FBC85B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p w14:paraId="47CA552A">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tc>
      </w:tr>
      <w:tr w14:paraId="2E036BAB">
        <w:trPr>
          <w:trHeight w:val="306" w:hRule="atLeast"/>
        </w:trPr>
        <w:tc>
          <w:tcPr>
            <w:tcW w:w="1985" w:type="dxa"/>
            <w:shd w:val="clear" w:color="auto" w:fill="CCCCCC" w:themeFill="text1" w:themeFillTint="33"/>
            <w:vAlign w:val="center"/>
          </w:tcPr>
          <w:p w14:paraId="722C3E3C">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Subcortex</w:t>
            </w:r>
          </w:p>
        </w:tc>
        <w:tc>
          <w:tcPr>
            <w:tcW w:w="3785" w:type="dxa"/>
            <w:shd w:val="clear" w:color="auto" w:fill="CCCCCC" w:themeFill="text1" w:themeFillTint="33"/>
            <w:vAlign w:val="center"/>
          </w:tcPr>
          <w:p w14:paraId="265C7311">
            <w:pPr>
              <w:rPr>
                <w:color w:val="000000" w:themeColor="text1"/>
                <w:szCs w:val="24"/>
                <w14:textFill>
                  <w14:solidFill>
                    <w14:schemeClr w14:val="tx1"/>
                  </w14:solidFill>
                </w14:textFill>
              </w:rPr>
            </w:pPr>
          </w:p>
        </w:tc>
        <w:tc>
          <w:tcPr>
            <w:tcW w:w="1614" w:type="dxa"/>
            <w:shd w:val="clear" w:color="auto" w:fill="CCCCCC" w:themeFill="text1" w:themeFillTint="33"/>
            <w:vAlign w:val="center"/>
          </w:tcPr>
          <w:p w14:paraId="43B722F9">
            <w:pPr>
              <w:jc w:val="center"/>
              <w:rPr>
                <w:b/>
                <w:bCs/>
                <w:color w:val="000000" w:themeColor="text1"/>
                <w:szCs w:val="24"/>
                <w:lang w:eastAsia="zh-CN"/>
                <w14:textFill>
                  <w14:solidFill>
                    <w14:schemeClr w14:val="tx1"/>
                  </w14:solidFill>
                </w14:textFill>
              </w:rPr>
            </w:pPr>
            <w:r>
              <w:rPr>
                <w:b/>
                <w:bCs/>
                <w:color w:val="000000" w:themeColor="text1"/>
                <w:szCs w:val="24"/>
                <w:lang w:eastAsia="zh-CN"/>
                <w14:textFill>
                  <w14:solidFill>
                    <w14:schemeClr w14:val="tx1"/>
                  </w14:solidFill>
                </w14:textFill>
              </w:rPr>
              <w:t>15</w:t>
            </w:r>
          </w:p>
        </w:tc>
        <w:tc>
          <w:tcPr>
            <w:tcW w:w="1842" w:type="dxa"/>
            <w:shd w:val="clear" w:color="auto" w:fill="CCCCCC" w:themeFill="text1" w:themeFillTint="33"/>
            <w:vAlign w:val="center"/>
          </w:tcPr>
          <w:p w14:paraId="63C59574">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w:t>
            </w:r>
          </w:p>
        </w:tc>
      </w:tr>
      <w:tr w14:paraId="13FEF6A8">
        <w:trPr>
          <w:trHeight w:val="306" w:hRule="atLeast"/>
        </w:trPr>
        <w:tc>
          <w:tcPr>
            <w:tcW w:w="1985" w:type="dxa"/>
            <w:vAlign w:val="center"/>
          </w:tcPr>
          <w:p w14:paraId="54464182">
            <w:pPr>
              <w:rPr>
                <w:b/>
                <w:bCs/>
                <w:color w:val="000000" w:themeColor="text1"/>
                <w:szCs w:val="24"/>
                <w14:textFill>
                  <w14:solidFill>
                    <w14:schemeClr w14:val="tx1"/>
                  </w14:solidFill>
                </w14:textFill>
              </w:rPr>
            </w:pPr>
          </w:p>
        </w:tc>
        <w:tc>
          <w:tcPr>
            <w:tcW w:w="3785" w:type="dxa"/>
            <w:vAlign w:val="center"/>
          </w:tcPr>
          <w:p w14:paraId="264BEF85">
            <w:pPr>
              <w:rPr>
                <w:color w:val="000000" w:themeColor="text1"/>
                <w:szCs w:val="24"/>
                <w14:textFill>
                  <w14:solidFill>
                    <w14:schemeClr w14:val="tx1"/>
                  </w14:solidFill>
                </w14:textFill>
              </w:rPr>
            </w:pPr>
            <w:r>
              <w:rPr>
                <w:color w:val="000000" w:themeColor="text1"/>
                <w:szCs w:val="24"/>
                <w14:textFill>
                  <w14:solidFill>
                    <w14:schemeClr w14:val="tx1"/>
                  </w14:solidFill>
                </w14:textFill>
              </w:rPr>
              <w:t>Amygdala</w:t>
            </w:r>
          </w:p>
          <w:p w14:paraId="4A308C3F">
            <w:pPr>
              <w:rPr>
                <w:color w:val="000000" w:themeColor="text1"/>
                <w:szCs w:val="24"/>
                <w14:textFill>
                  <w14:solidFill>
                    <w14:schemeClr w14:val="tx1"/>
                  </w14:solidFill>
                </w14:textFill>
              </w:rPr>
            </w:pPr>
            <w:r>
              <w:rPr>
                <w:color w:val="000000" w:themeColor="text1"/>
                <w:szCs w:val="24"/>
                <w:lang w:eastAsia="zh-CN"/>
                <w14:textFill>
                  <w14:solidFill>
                    <w14:schemeClr w14:val="tx1"/>
                  </w14:solidFill>
                </w14:textFill>
              </w:rPr>
              <w:t>Hippocampus</w:t>
            </w:r>
          </w:p>
        </w:tc>
        <w:tc>
          <w:tcPr>
            <w:tcW w:w="1614" w:type="dxa"/>
            <w:vAlign w:val="center"/>
          </w:tcPr>
          <w:p w14:paraId="440956C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w:t>
            </w:r>
          </w:p>
          <w:p w14:paraId="4AA6970A">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13</w:t>
            </w:r>
          </w:p>
        </w:tc>
        <w:tc>
          <w:tcPr>
            <w:tcW w:w="1842" w:type="dxa"/>
            <w:vAlign w:val="center"/>
          </w:tcPr>
          <w:p w14:paraId="27D85D33">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p w14:paraId="5268A7EC">
            <w:pPr>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1</w:t>
            </w:r>
          </w:p>
        </w:tc>
      </w:tr>
    </w:tbl>
    <w:p w14:paraId="25B97463">
      <w:pPr>
        <w:rPr>
          <w:rFonts w:eastAsia="HCFkxc-2019"/>
          <w:szCs w:val="24"/>
        </w:rPr>
      </w:pPr>
    </w:p>
    <w:sectPr>
      <w:pgSz w:w="12240" w:h="15840"/>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CFkxc-2019">
    <w:altName w:val="Yu Gothic UI"/>
    <w:panose1 w:val="020B0503020204020204"/>
    <w:charset w:val="80"/>
    <w:family w:val="swiss"/>
    <w:pitch w:val="default"/>
    <w:sig w:usb0="00000000" w:usb1="00000000"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914"/>
    <w:rsid w:val="000001BA"/>
    <w:rsid w:val="00000E5E"/>
    <w:rsid w:val="000034ED"/>
    <w:rsid w:val="0000429E"/>
    <w:rsid w:val="000073A1"/>
    <w:rsid w:val="00012E84"/>
    <w:rsid w:val="00013398"/>
    <w:rsid w:val="000148D6"/>
    <w:rsid w:val="00014C00"/>
    <w:rsid w:val="000152D4"/>
    <w:rsid w:val="0001569F"/>
    <w:rsid w:val="000162FD"/>
    <w:rsid w:val="00017B11"/>
    <w:rsid w:val="00021828"/>
    <w:rsid w:val="00022716"/>
    <w:rsid w:val="00022EFC"/>
    <w:rsid w:val="00023D72"/>
    <w:rsid w:val="00025A12"/>
    <w:rsid w:val="00026248"/>
    <w:rsid w:val="0002691A"/>
    <w:rsid w:val="0003067B"/>
    <w:rsid w:val="00033995"/>
    <w:rsid w:val="0003411C"/>
    <w:rsid w:val="00034535"/>
    <w:rsid w:val="00035A5A"/>
    <w:rsid w:val="00036AC9"/>
    <w:rsid w:val="00036FBC"/>
    <w:rsid w:val="0004293E"/>
    <w:rsid w:val="00044497"/>
    <w:rsid w:val="00046964"/>
    <w:rsid w:val="000475D9"/>
    <w:rsid w:val="00050F63"/>
    <w:rsid w:val="00052847"/>
    <w:rsid w:val="0005477E"/>
    <w:rsid w:val="0005600E"/>
    <w:rsid w:val="00057060"/>
    <w:rsid w:val="00057637"/>
    <w:rsid w:val="0006019F"/>
    <w:rsid w:val="0006028F"/>
    <w:rsid w:val="00060E94"/>
    <w:rsid w:val="00063A06"/>
    <w:rsid w:val="0006569D"/>
    <w:rsid w:val="00070A70"/>
    <w:rsid w:val="00072033"/>
    <w:rsid w:val="00077ED9"/>
    <w:rsid w:val="000800D1"/>
    <w:rsid w:val="000808A4"/>
    <w:rsid w:val="0008107E"/>
    <w:rsid w:val="000813C1"/>
    <w:rsid w:val="00083947"/>
    <w:rsid w:val="00087C6A"/>
    <w:rsid w:val="00090225"/>
    <w:rsid w:val="0009031A"/>
    <w:rsid w:val="000911BF"/>
    <w:rsid w:val="00091C60"/>
    <w:rsid w:val="000922A9"/>
    <w:rsid w:val="00094A34"/>
    <w:rsid w:val="00094C73"/>
    <w:rsid w:val="00094E97"/>
    <w:rsid w:val="00096A2D"/>
    <w:rsid w:val="00096CD4"/>
    <w:rsid w:val="000A002F"/>
    <w:rsid w:val="000A29A1"/>
    <w:rsid w:val="000A4081"/>
    <w:rsid w:val="000A4675"/>
    <w:rsid w:val="000A5497"/>
    <w:rsid w:val="000A63CF"/>
    <w:rsid w:val="000B0DD7"/>
    <w:rsid w:val="000B39B0"/>
    <w:rsid w:val="000B45EC"/>
    <w:rsid w:val="000B4881"/>
    <w:rsid w:val="000B4F2F"/>
    <w:rsid w:val="000B4F8A"/>
    <w:rsid w:val="000B58E7"/>
    <w:rsid w:val="000B5B78"/>
    <w:rsid w:val="000B71C2"/>
    <w:rsid w:val="000B7B12"/>
    <w:rsid w:val="000C1981"/>
    <w:rsid w:val="000C48D8"/>
    <w:rsid w:val="000C4D4A"/>
    <w:rsid w:val="000C78B5"/>
    <w:rsid w:val="000D2D37"/>
    <w:rsid w:val="000D6108"/>
    <w:rsid w:val="000D6725"/>
    <w:rsid w:val="000E0108"/>
    <w:rsid w:val="000E16B1"/>
    <w:rsid w:val="000E409B"/>
    <w:rsid w:val="000E5A98"/>
    <w:rsid w:val="000E669C"/>
    <w:rsid w:val="000E7311"/>
    <w:rsid w:val="000F1C27"/>
    <w:rsid w:val="000F2072"/>
    <w:rsid w:val="000F25FF"/>
    <w:rsid w:val="000F45B4"/>
    <w:rsid w:val="000F4BFC"/>
    <w:rsid w:val="000F5CC4"/>
    <w:rsid w:val="000F5E73"/>
    <w:rsid w:val="000F7919"/>
    <w:rsid w:val="001016AE"/>
    <w:rsid w:val="00104D7F"/>
    <w:rsid w:val="00105515"/>
    <w:rsid w:val="00105C3E"/>
    <w:rsid w:val="00107F29"/>
    <w:rsid w:val="00111C5B"/>
    <w:rsid w:val="0011284A"/>
    <w:rsid w:val="00114D68"/>
    <w:rsid w:val="00114EAE"/>
    <w:rsid w:val="0011676E"/>
    <w:rsid w:val="00116D5C"/>
    <w:rsid w:val="00117BE7"/>
    <w:rsid w:val="00121927"/>
    <w:rsid w:val="00121A96"/>
    <w:rsid w:val="00122A36"/>
    <w:rsid w:val="00123E55"/>
    <w:rsid w:val="00126073"/>
    <w:rsid w:val="00127AF9"/>
    <w:rsid w:val="0013030B"/>
    <w:rsid w:val="00130D49"/>
    <w:rsid w:val="001310B8"/>
    <w:rsid w:val="00131286"/>
    <w:rsid w:val="00131BB4"/>
    <w:rsid w:val="00131DF8"/>
    <w:rsid w:val="00132264"/>
    <w:rsid w:val="00132572"/>
    <w:rsid w:val="00133553"/>
    <w:rsid w:val="00135AFB"/>
    <w:rsid w:val="00137DE9"/>
    <w:rsid w:val="00140E20"/>
    <w:rsid w:val="00143113"/>
    <w:rsid w:val="00146908"/>
    <w:rsid w:val="00147B92"/>
    <w:rsid w:val="00147F57"/>
    <w:rsid w:val="001510C8"/>
    <w:rsid w:val="00151750"/>
    <w:rsid w:val="00151F1B"/>
    <w:rsid w:val="00152F03"/>
    <w:rsid w:val="00153279"/>
    <w:rsid w:val="001544BA"/>
    <w:rsid w:val="0015451E"/>
    <w:rsid w:val="00156E51"/>
    <w:rsid w:val="00161EAB"/>
    <w:rsid w:val="0016325F"/>
    <w:rsid w:val="001632AE"/>
    <w:rsid w:val="001643F2"/>
    <w:rsid w:val="00170017"/>
    <w:rsid w:val="00170E0F"/>
    <w:rsid w:val="001725FF"/>
    <w:rsid w:val="00173FCF"/>
    <w:rsid w:val="00174B77"/>
    <w:rsid w:val="00177B77"/>
    <w:rsid w:val="00180EEE"/>
    <w:rsid w:val="00191EC5"/>
    <w:rsid w:val="00191ED0"/>
    <w:rsid w:val="001929E0"/>
    <w:rsid w:val="001958F4"/>
    <w:rsid w:val="00196227"/>
    <w:rsid w:val="001966BC"/>
    <w:rsid w:val="00197193"/>
    <w:rsid w:val="00197C60"/>
    <w:rsid w:val="001A21B3"/>
    <w:rsid w:val="001A4C15"/>
    <w:rsid w:val="001A4CC8"/>
    <w:rsid w:val="001A6C7E"/>
    <w:rsid w:val="001B13BC"/>
    <w:rsid w:val="001B2899"/>
    <w:rsid w:val="001B3E2D"/>
    <w:rsid w:val="001B42FE"/>
    <w:rsid w:val="001B5194"/>
    <w:rsid w:val="001B64C4"/>
    <w:rsid w:val="001C3374"/>
    <w:rsid w:val="001C39EA"/>
    <w:rsid w:val="001C4F8C"/>
    <w:rsid w:val="001C5CF2"/>
    <w:rsid w:val="001C6973"/>
    <w:rsid w:val="001D6508"/>
    <w:rsid w:val="001E0BA0"/>
    <w:rsid w:val="001E2379"/>
    <w:rsid w:val="001E25A6"/>
    <w:rsid w:val="001E288C"/>
    <w:rsid w:val="001E315E"/>
    <w:rsid w:val="001E455D"/>
    <w:rsid w:val="001E5215"/>
    <w:rsid w:val="001E5F87"/>
    <w:rsid w:val="001E655A"/>
    <w:rsid w:val="001E6A15"/>
    <w:rsid w:val="001F092D"/>
    <w:rsid w:val="001F6022"/>
    <w:rsid w:val="001F7E77"/>
    <w:rsid w:val="00200066"/>
    <w:rsid w:val="00200185"/>
    <w:rsid w:val="0020050F"/>
    <w:rsid w:val="002020C3"/>
    <w:rsid w:val="002022F8"/>
    <w:rsid w:val="00203DF1"/>
    <w:rsid w:val="002119D1"/>
    <w:rsid w:val="00221DFA"/>
    <w:rsid w:val="00223856"/>
    <w:rsid w:val="00224071"/>
    <w:rsid w:val="00225765"/>
    <w:rsid w:val="00226F5A"/>
    <w:rsid w:val="00230A6B"/>
    <w:rsid w:val="002335B2"/>
    <w:rsid w:val="00233ECD"/>
    <w:rsid w:val="0023451A"/>
    <w:rsid w:val="00235EFD"/>
    <w:rsid w:val="00237647"/>
    <w:rsid w:val="0024320B"/>
    <w:rsid w:val="002447F5"/>
    <w:rsid w:val="00245B66"/>
    <w:rsid w:val="002465FD"/>
    <w:rsid w:val="0024769A"/>
    <w:rsid w:val="002508F3"/>
    <w:rsid w:val="00251797"/>
    <w:rsid w:val="002524D9"/>
    <w:rsid w:val="00253812"/>
    <w:rsid w:val="00253B5C"/>
    <w:rsid w:val="002554CB"/>
    <w:rsid w:val="00255E30"/>
    <w:rsid w:val="002605B4"/>
    <w:rsid w:val="002616D0"/>
    <w:rsid w:val="00261E2A"/>
    <w:rsid w:val="00262563"/>
    <w:rsid w:val="00266EB8"/>
    <w:rsid w:val="00267D6C"/>
    <w:rsid w:val="00270EB3"/>
    <w:rsid w:val="002734D8"/>
    <w:rsid w:val="00276EBA"/>
    <w:rsid w:val="00281925"/>
    <w:rsid w:val="00284051"/>
    <w:rsid w:val="002847DC"/>
    <w:rsid w:val="00290F59"/>
    <w:rsid w:val="00295550"/>
    <w:rsid w:val="00296F3E"/>
    <w:rsid w:val="002973C5"/>
    <w:rsid w:val="002A2311"/>
    <w:rsid w:val="002A263B"/>
    <w:rsid w:val="002A52DF"/>
    <w:rsid w:val="002B01DF"/>
    <w:rsid w:val="002B2B09"/>
    <w:rsid w:val="002B3C93"/>
    <w:rsid w:val="002B4A34"/>
    <w:rsid w:val="002C236F"/>
    <w:rsid w:val="002C4337"/>
    <w:rsid w:val="002C5603"/>
    <w:rsid w:val="002C77A7"/>
    <w:rsid w:val="002D1665"/>
    <w:rsid w:val="002D283B"/>
    <w:rsid w:val="002D46C9"/>
    <w:rsid w:val="002D6079"/>
    <w:rsid w:val="002D71AA"/>
    <w:rsid w:val="002E08B1"/>
    <w:rsid w:val="002E17A9"/>
    <w:rsid w:val="002E5BCA"/>
    <w:rsid w:val="002E61D2"/>
    <w:rsid w:val="002E7E3A"/>
    <w:rsid w:val="002E7E70"/>
    <w:rsid w:val="002F184A"/>
    <w:rsid w:val="002F2440"/>
    <w:rsid w:val="002F2ED0"/>
    <w:rsid w:val="002F3E1C"/>
    <w:rsid w:val="002F4C9C"/>
    <w:rsid w:val="002F4CDC"/>
    <w:rsid w:val="002F4D99"/>
    <w:rsid w:val="002F5F69"/>
    <w:rsid w:val="002F6E07"/>
    <w:rsid w:val="002F7AD2"/>
    <w:rsid w:val="002F7DC3"/>
    <w:rsid w:val="00301830"/>
    <w:rsid w:val="00310438"/>
    <w:rsid w:val="003125D4"/>
    <w:rsid w:val="0031288A"/>
    <w:rsid w:val="003128F2"/>
    <w:rsid w:val="003136D5"/>
    <w:rsid w:val="00313E3F"/>
    <w:rsid w:val="00315039"/>
    <w:rsid w:val="0031720C"/>
    <w:rsid w:val="0032404B"/>
    <w:rsid w:val="00326958"/>
    <w:rsid w:val="003306F3"/>
    <w:rsid w:val="00331049"/>
    <w:rsid w:val="003310D7"/>
    <w:rsid w:val="00332A7A"/>
    <w:rsid w:val="00334C31"/>
    <w:rsid w:val="00340E61"/>
    <w:rsid w:val="00342517"/>
    <w:rsid w:val="00342DEE"/>
    <w:rsid w:val="00350DA3"/>
    <w:rsid w:val="003522A4"/>
    <w:rsid w:val="00353B43"/>
    <w:rsid w:val="003570FF"/>
    <w:rsid w:val="00357CDF"/>
    <w:rsid w:val="003604E4"/>
    <w:rsid w:val="00361056"/>
    <w:rsid w:val="00364CDC"/>
    <w:rsid w:val="00366DE4"/>
    <w:rsid w:val="00371456"/>
    <w:rsid w:val="00373B6E"/>
    <w:rsid w:val="00373FB9"/>
    <w:rsid w:val="00374745"/>
    <w:rsid w:val="00376B99"/>
    <w:rsid w:val="00376F69"/>
    <w:rsid w:val="0038329A"/>
    <w:rsid w:val="00384A11"/>
    <w:rsid w:val="00392932"/>
    <w:rsid w:val="00393C12"/>
    <w:rsid w:val="00394B88"/>
    <w:rsid w:val="00395176"/>
    <w:rsid w:val="0039563C"/>
    <w:rsid w:val="003959E3"/>
    <w:rsid w:val="003A0771"/>
    <w:rsid w:val="003A0A53"/>
    <w:rsid w:val="003A2B00"/>
    <w:rsid w:val="003A2F8D"/>
    <w:rsid w:val="003A476E"/>
    <w:rsid w:val="003A52D2"/>
    <w:rsid w:val="003A5598"/>
    <w:rsid w:val="003A58D5"/>
    <w:rsid w:val="003B410E"/>
    <w:rsid w:val="003B5A89"/>
    <w:rsid w:val="003B66C9"/>
    <w:rsid w:val="003B7871"/>
    <w:rsid w:val="003B7B05"/>
    <w:rsid w:val="003C071A"/>
    <w:rsid w:val="003C138A"/>
    <w:rsid w:val="003C2674"/>
    <w:rsid w:val="003C300D"/>
    <w:rsid w:val="003C4713"/>
    <w:rsid w:val="003D13EE"/>
    <w:rsid w:val="003D4FB6"/>
    <w:rsid w:val="003D5102"/>
    <w:rsid w:val="003D6386"/>
    <w:rsid w:val="003D7007"/>
    <w:rsid w:val="003E09FC"/>
    <w:rsid w:val="003E30D4"/>
    <w:rsid w:val="003E43C1"/>
    <w:rsid w:val="003E6409"/>
    <w:rsid w:val="003F46C8"/>
    <w:rsid w:val="003F51CA"/>
    <w:rsid w:val="003F6030"/>
    <w:rsid w:val="003F75F7"/>
    <w:rsid w:val="003F783E"/>
    <w:rsid w:val="00400A6A"/>
    <w:rsid w:val="00400D75"/>
    <w:rsid w:val="00402D56"/>
    <w:rsid w:val="00404860"/>
    <w:rsid w:val="00407E37"/>
    <w:rsid w:val="00410F72"/>
    <w:rsid w:val="004121FE"/>
    <w:rsid w:val="0041277A"/>
    <w:rsid w:val="00412DE8"/>
    <w:rsid w:val="0041480E"/>
    <w:rsid w:val="00420801"/>
    <w:rsid w:val="00422EF3"/>
    <w:rsid w:val="0042459A"/>
    <w:rsid w:val="0042747B"/>
    <w:rsid w:val="00431627"/>
    <w:rsid w:val="00432276"/>
    <w:rsid w:val="00434133"/>
    <w:rsid w:val="004365AF"/>
    <w:rsid w:val="00440BE3"/>
    <w:rsid w:val="004410C8"/>
    <w:rsid w:val="004429D6"/>
    <w:rsid w:val="00444526"/>
    <w:rsid w:val="0044659A"/>
    <w:rsid w:val="004511DB"/>
    <w:rsid w:val="00452ADC"/>
    <w:rsid w:val="00460A3A"/>
    <w:rsid w:val="00463E2A"/>
    <w:rsid w:val="004653D5"/>
    <w:rsid w:val="00465D3E"/>
    <w:rsid w:val="004675B2"/>
    <w:rsid w:val="00467C7B"/>
    <w:rsid w:val="0047111B"/>
    <w:rsid w:val="004717CE"/>
    <w:rsid w:val="0047335D"/>
    <w:rsid w:val="00475E77"/>
    <w:rsid w:val="00480ECA"/>
    <w:rsid w:val="00487ADA"/>
    <w:rsid w:val="00490820"/>
    <w:rsid w:val="00491F47"/>
    <w:rsid w:val="0049381B"/>
    <w:rsid w:val="0049564B"/>
    <w:rsid w:val="00495925"/>
    <w:rsid w:val="004A0A4E"/>
    <w:rsid w:val="004A0F05"/>
    <w:rsid w:val="004A35D6"/>
    <w:rsid w:val="004A3D78"/>
    <w:rsid w:val="004A65E8"/>
    <w:rsid w:val="004A758C"/>
    <w:rsid w:val="004B1089"/>
    <w:rsid w:val="004B1F1A"/>
    <w:rsid w:val="004B3227"/>
    <w:rsid w:val="004B5CA4"/>
    <w:rsid w:val="004B6D5F"/>
    <w:rsid w:val="004C02DD"/>
    <w:rsid w:val="004C0A1A"/>
    <w:rsid w:val="004C3FD8"/>
    <w:rsid w:val="004C4300"/>
    <w:rsid w:val="004C5C2E"/>
    <w:rsid w:val="004C78A3"/>
    <w:rsid w:val="004C7A93"/>
    <w:rsid w:val="004C7CA2"/>
    <w:rsid w:val="004D67C1"/>
    <w:rsid w:val="004E2E9A"/>
    <w:rsid w:val="004E2F81"/>
    <w:rsid w:val="004E56F8"/>
    <w:rsid w:val="004E7585"/>
    <w:rsid w:val="004E7D69"/>
    <w:rsid w:val="004F13C6"/>
    <w:rsid w:val="004F22C4"/>
    <w:rsid w:val="004F3E66"/>
    <w:rsid w:val="004F5B46"/>
    <w:rsid w:val="004F64C1"/>
    <w:rsid w:val="005012C5"/>
    <w:rsid w:val="00502AD7"/>
    <w:rsid w:val="00505AC0"/>
    <w:rsid w:val="00506E70"/>
    <w:rsid w:val="005106D9"/>
    <w:rsid w:val="005112D6"/>
    <w:rsid w:val="00515525"/>
    <w:rsid w:val="005156B6"/>
    <w:rsid w:val="00516E49"/>
    <w:rsid w:val="00522221"/>
    <w:rsid w:val="005269EA"/>
    <w:rsid w:val="00527115"/>
    <w:rsid w:val="00527F65"/>
    <w:rsid w:val="00532474"/>
    <w:rsid w:val="00534A9D"/>
    <w:rsid w:val="00534DB7"/>
    <w:rsid w:val="00535EFC"/>
    <w:rsid w:val="005363C7"/>
    <w:rsid w:val="00541A4C"/>
    <w:rsid w:val="00542545"/>
    <w:rsid w:val="0054315B"/>
    <w:rsid w:val="005435FE"/>
    <w:rsid w:val="00545E3B"/>
    <w:rsid w:val="00550209"/>
    <w:rsid w:val="005502DA"/>
    <w:rsid w:val="005553B7"/>
    <w:rsid w:val="00555F85"/>
    <w:rsid w:val="00556B8C"/>
    <w:rsid w:val="00560414"/>
    <w:rsid w:val="005604FE"/>
    <w:rsid w:val="00566582"/>
    <w:rsid w:val="005709C3"/>
    <w:rsid w:val="00572780"/>
    <w:rsid w:val="0057381D"/>
    <w:rsid w:val="00574C9B"/>
    <w:rsid w:val="00574E29"/>
    <w:rsid w:val="00576440"/>
    <w:rsid w:val="00576D38"/>
    <w:rsid w:val="00576D78"/>
    <w:rsid w:val="00577DFE"/>
    <w:rsid w:val="00581B10"/>
    <w:rsid w:val="00584F29"/>
    <w:rsid w:val="00585260"/>
    <w:rsid w:val="00592C4A"/>
    <w:rsid w:val="0059311B"/>
    <w:rsid w:val="00593D99"/>
    <w:rsid w:val="0059453A"/>
    <w:rsid w:val="005946FC"/>
    <w:rsid w:val="00596160"/>
    <w:rsid w:val="0059712A"/>
    <w:rsid w:val="005979E6"/>
    <w:rsid w:val="00597F72"/>
    <w:rsid w:val="005A33D9"/>
    <w:rsid w:val="005A3603"/>
    <w:rsid w:val="005A4100"/>
    <w:rsid w:val="005A4710"/>
    <w:rsid w:val="005A7DE8"/>
    <w:rsid w:val="005A7EF5"/>
    <w:rsid w:val="005B1375"/>
    <w:rsid w:val="005C064B"/>
    <w:rsid w:val="005C12FC"/>
    <w:rsid w:val="005C25A0"/>
    <w:rsid w:val="005C2860"/>
    <w:rsid w:val="005C314C"/>
    <w:rsid w:val="005C3361"/>
    <w:rsid w:val="005C34CB"/>
    <w:rsid w:val="005C53EA"/>
    <w:rsid w:val="005C561D"/>
    <w:rsid w:val="005D0C1C"/>
    <w:rsid w:val="005D2E24"/>
    <w:rsid w:val="005D3159"/>
    <w:rsid w:val="005D378B"/>
    <w:rsid w:val="005D43AF"/>
    <w:rsid w:val="005D4B80"/>
    <w:rsid w:val="005D617B"/>
    <w:rsid w:val="005D634E"/>
    <w:rsid w:val="005D66EB"/>
    <w:rsid w:val="005D7FD2"/>
    <w:rsid w:val="005E1797"/>
    <w:rsid w:val="005E2CC8"/>
    <w:rsid w:val="005E3D72"/>
    <w:rsid w:val="005F11A7"/>
    <w:rsid w:val="005F13F4"/>
    <w:rsid w:val="005F2063"/>
    <w:rsid w:val="005F4353"/>
    <w:rsid w:val="005F4BF1"/>
    <w:rsid w:val="005F5346"/>
    <w:rsid w:val="005F6BF4"/>
    <w:rsid w:val="005F72A9"/>
    <w:rsid w:val="006021C7"/>
    <w:rsid w:val="006046B8"/>
    <w:rsid w:val="00605092"/>
    <w:rsid w:val="006051A9"/>
    <w:rsid w:val="00606BAF"/>
    <w:rsid w:val="00613A6E"/>
    <w:rsid w:val="00621FAB"/>
    <w:rsid w:val="0062265A"/>
    <w:rsid w:val="006246AE"/>
    <w:rsid w:val="006246AF"/>
    <w:rsid w:val="00636BC6"/>
    <w:rsid w:val="00636FE3"/>
    <w:rsid w:val="00637A13"/>
    <w:rsid w:val="0064300D"/>
    <w:rsid w:val="006467E2"/>
    <w:rsid w:val="00646CFD"/>
    <w:rsid w:val="00647793"/>
    <w:rsid w:val="00660C30"/>
    <w:rsid w:val="00661622"/>
    <w:rsid w:val="006619F6"/>
    <w:rsid w:val="00662091"/>
    <w:rsid w:val="006628F8"/>
    <w:rsid w:val="0066481F"/>
    <w:rsid w:val="006660AD"/>
    <w:rsid w:val="00666490"/>
    <w:rsid w:val="00671626"/>
    <w:rsid w:val="00671849"/>
    <w:rsid w:val="00673E3B"/>
    <w:rsid w:val="00674683"/>
    <w:rsid w:val="00676618"/>
    <w:rsid w:val="00676EEF"/>
    <w:rsid w:val="006778CD"/>
    <w:rsid w:val="00682002"/>
    <w:rsid w:val="00682576"/>
    <w:rsid w:val="00683670"/>
    <w:rsid w:val="006840B9"/>
    <w:rsid w:val="0068682E"/>
    <w:rsid w:val="00686AED"/>
    <w:rsid w:val="00686D01"/>
    <w:rsid w:val="00687843"/>
    <w:rsid w:val="00694AA6"/>
    <w:rsid w:val="00695A92"/>
    <w:rsid w:val="00697FBB"/>
    <w:rsid w:val="006A0AF8"/>
    <w:rsid w:val="006A1C66"/>
    <w:rsid w:val="006A1D72"/>
    <w:rsid w:val="006A24C2"/>
    <w:rsid w:val="006A4652"/>
    <w:rsid w:val="006A4815"/>
    <w:rsid w:val="006A54FA"/>
    <w:rsid w:val="006A654D"/>
    <w:rsid w:val="006A6AD1"/>
    <w:rsid w:val="006B0479"/>
    <w:rsid w:val="006B524F"/>
    <w:rsid w:val="006B7244"/>
    <w:rsid w:val="006C0854"/>
    <w:rsid w:val="006C4FA2"/>
    <w:rsid w:val="006C7069"/>
    <w:rsid w:val="006C71E4"/>
    <w:rsid w:val="006C7559"/>
    <w:rsid w:val="006C7A7C"/>
    <w:rsid w:val="006D044B"/>
    <w:rsid w:val="006D517F"/>
    <w:rsid w:val="006D6E57"/>
    <w:rsid w:val="006E00D9"/>
    <w:rsid w:val="006E2072"/>
    <w:rsid w:val="006E387E"/>
    <w:rsid w:val="006E3AFD"/>
    <w:rsid w:val="006E4ACE"/>
    <w:rsid w:val="006E64CA"/>
    <w:rsid w:val="006E6A89"/>
    <w:rsid w:val="006E79E2"/>
    <w:rsid w:val="006E7E6A"/>
    <w:rsid w:val="006F1ABB"/>
    <w:rsid w:val="006F27D2"/>
    <w:rsid w:val="006F2D1D"/>
    <w:rsid w:val="006F38B0"/>
    <w:rsid w:val="006F4C9C"/>
    <w:rsid w:val="006F5A71"/>
    <w:rsid w:val="006F637B"/>
    <w:rsid w:val="006F6499"/>
    <w:rsid w:val="00701618"/>
    <w:rsid w:val="0070256C"/>
    <w:rsid w:val="00702D2F"/>
    <w:rsid w:val="00704440"/>
    <w:rsid w:val="00705B13"/>
    <w:rsid w:val="00706DC6"/>
    <w:rsid w:val="00710430"/>
    <w:rsid w:val="007119E1"/>
    <w:rsid w:val="00712EB9"/>
    <w:rsid w:val="007130FE"/>
    <w:rsid w:val="00716425"/>
    <w:rsid w:val="00717708"/>
    <w:rsid w:val="007221E2"/>
    <w:rsid w:val="00723B0E"/>
    <w:rsid w:val="00724C1D"/>
    <w:rsid w:val="0073066E"/>
    <w:rsid w:val="0073111A"/>
    <w:rsid w:val="00731EAA"/>
    <w:rsid w:val="007332A9"/>
    <w:rsid w:val="00734742"/>
    <w:rsid w:val="007405A7"/>
    <w:rsid w:val="00740AD8"/>
    <w:rsid w:val="0074392A"/>
    <w:rsid w:val="00743E8F"/>
    <w:rsid w:val="00744011"/>
    <w:rsid w:val="007444EE"/>
    <w:rsid w:val="00750A91"/>
    <w:rsid w:val="00751284"/>
    <w:rsid w:val="0075198B"/>
    <w:rsid w:val="00752E3D"/>
    <w:rsid w:val="00754CE1"/>
    <w:rsid w:val="007572AD"/>
    <w:rsid w:val="007601E9"/>
    <w:rsid w:val="00765534"/>
    <w:rsid w:val="00765C7B"/>
    <w:rsid w:val="007706F6"/>
    <w:rsid w:val="00772771"/>
    <w:rsid w:val="007736B3"/>
    <w:rsid w:val="007747BC"/>
    <w:rsid w:val="00775048"/>
    <w:rsid w:val="00776152"/>
    <w:rsid w:val="007762E4"/>
    <w:rsid w:val="00777383"/>
    <w:rsid w:val="00783020"/>
    <w:rsid w:val="00783706"/>
    <w:rsid w:val="00790104"/>
    <w:rsid w:val="007906E5"/>
    <w:rsid w:val="007927F8"/>
    <w:rsid w:val="00792B94"/>
    <w:rsid w:val="007936D3"/>
    <w:rsid w:val="00794236"/>
    <w:rsid w:val="0079446B"/>
    <w:rsid w:val="00796414"/>
    <w:rsid w:val="007A104E"/>
    <w:rsid w:val="007A2C16"/>
    <w:rsid w:val="007A469F"/>
    <w:rsid w:val="007A5DC2"/>
    <w:rsid w:val="007A6FBE"/>
    <w:rsid w:val="007A7D6D"/>
    <w:rsid w:val="007B018F"/>
    <w:rsid w:val="007B08E8"/>
    <w:rsid w:val="007B210A"/>
    <w:rsid w:val="007B38F5"/>
    <w:rsid w:val="007B40DA"/>
    <w:rsid w:val="007B4736"/>
    <w:rsid w:val="007B4A4D"/>
    <w:rsid w:val="007B566C"/>
    <w:rsid w:val="007B7631"/>
    <w:rsid w:val="007C190D"/>
    <w:rsid w:val="007C1BEE"/>
    <w:rsid w:val="007C3E9A"/>
    <w:rsid w:val="007C5856"/>
    <w:rsid w:val="007C5E7D"/>
    <w:rsid w:val="007C6252"/>
    <w:rsid w:val="007C62AE"/>
    <w:rsid w:val="007C6B39"/>
    <w:rsid w:val="007D040A"/>
    <w:rsid w:val="007D052C"/>
    <w:rsid w:val="007D1240"/>
    <w:rsid w:val="007D156A"/>
    <w:rsid w:val="007D4CA1"/>
    <w:rsid w:val="007D5B57"/>
    <w:rsid w:val="007D6BAB"/>
    <w:rsid w:val="007E114B"/>
    <w:rsid w:val="007E32BA"/>
    <w:rsid w:val="007E3A58"/>
    <w:rsid w:val="007E554C"/>
    <w:rsid w:val="007E5A6A"/>
    <w:rsid w:val="007E6323"/>
    <w:rsid w:val="007E7D9C"/>
    <w:rsid w:val="007F254B"/>
    <w:rsid w:val="007F367D"/>
    <w:rsid w:val="007F38B6"/>
    <w:rsid w:val="007F5745"/>
    <w:rsid w:val="007F7D9E"/>
    <w:rsid w:val="00800E76"/>
    <w:rsid w:val="00801DB5"/>
    <w:rsid w:val="00803413"/>
    <w:rsid w:val="00803E22"/>
    <w:rsid w:val="0080683F"/>
    <w:rsid w:val="008102E0"/>
    <w:rsid w:val="008113B7"/>
    <w:rsid w:val="00812429"/>
    <w:rsid w:val="008146D2"/>
    <w:rsid w:val="00814FFB"/>
    <w:rsid w:val="00815197"/>
    <w:rsid w:val="00816547"/>
    <w:rsid w:val="0081665F"/>
    <w:rsid w:val="0081677B"/>
    <w:rsid w:val="008208BF"/>
    <w:rsid w:val="008210AE"/>
    <w:rsid w:val="00822E39"/>
    <w:rsid w:val="00824EC8"/>
    <w:rsid w:val="0082535B"/>
    <w:rsid w:val="00826055"/>
    <w:rsid w:val="00826A42"/>
    <w:rsid w:val="0083089F"/>
    <w:rsid w:val="00831718"/>
    <w:rsid w:val="00831A28"/>
    <w:rsid w:val="008321EE"/>
    <w:rsid w:val="00837A44"/>
    <w:rsid w:val="00840BCC"/>
    <w:rsid w:val="0084160F"/>
    <w:rsid w:val="00843987"/>
    <w:rsid w:val="00844BAF"/>
    <w:rsid w:val="00845E0B"/>
    <w:rsid w:val="00847E25"/>
    <w:rsid w:val="00851C1E"/>
    <w:rsid w:val="008528F1"/>
    <w:rsid w:val="00853D0F"/>
    <w:rsid w:val="00856561"/>
    <w:rsid w:val="008611A0"/>
    <w:rsid w:val="00862318"/>
    <w:rsid w:val="00862467"/>
    <w:rsid w:val="00865159"/>
    <w:rsid w:val="00866505"/>
    <w:rsid w:val="00873AC4"/>
    <w:rsid w:val="00875357"/>
    <w:rsid w:val="00880028"/>
    <w:rsid w:val="00880620"/>
    <w:rsid w:val="008810D4"/>
    <w:rsid w:val="00881429"/>
    <w:rsid w:val="00882CD3"/>
    <w:rsid w:val="00883A92"/>
    <w:rsid w:val="008848EC"/>
    <w:rsid w:val="00884B89"/>
    <w:rsid w:val="00886914"/>
    <w:rsid w:val="008909E3"/>
    <w:rsid w:val="00890CA1"/>
    <w:rsid w:val="008969B1"/>
    <w:rsid w:val="00897380"/>
    <w:rsid w:val="00897628"/>
    <w:rsid w:val="00897738"/>
    <w:rsid w:val="008A02E1"/>
    <w:rsid w:val="008A1F75"/>
    <w:rsid w:val="008A4B21"/>
    <w:rsid w:val="008A7229"/>
    <w:rsid w:val="008B18A2"/>
    <w:rsid w:val="008B5042"/>
    <w:rsid w:val="008B5B13"/>
    <w:rsid w:val="008B6A6E"/>
    <w:rsid w:val="008C0667"/>
    <w:rsid w:val="008C09B3"/>
    <w:rsid w:val="008C0B75"/>
    <w:rsid w:val="008C1A26"/>
    <w:rsid w:val="008C2128"/>
    <w:rsid w:val="008C2C73"/>
    <w:rsid w:val="008C37F1"/>
    <w:rsid w:val="008C3F8A"/>
    <w:rsid w:val="008C4160"/>
    <w:rsid w:val="008C4813"/>
    <w:rsid w:val="008C5984"/>
    <w:rsid w:val="008C67AB"/>
    <w:rsid w:val="008C69D8"/>
    <w:rsid w:val="008D075A"/>
    <w:rsid w:val="008D2F15"/>
    <w:rsid w:val="008D3274"/>
    <w:rsid w:val="008D5DE8"/>
    <w:rsid w:val="008D6108"/>
    <w:rsid w:val="008D7E94"/>
    <w:rsid w:val="008E5708"/>
    <w:rsid w:val="008E7145"/>
    <w:rsid w:val="008F05F7"/>
    <w:rsid w:val="008F1128"/>
    <w:rsid w:val="008F1E2F"/>
    <w:rsid w:val="008F375F"/>
    <w:rsid w:val="008F37FA"/>
    <w:rsid w:val="008F3AA5"/>
    <w:rsid w:val="008F454C"/>
    <w:rsid w:val="008F5B9D"/>
    <w:rsid w:val="00902296"/>
    <w:rsid w:val="0090484E"/>
    <w:rsid w:val="00904C58"/>
    <w:rsid w:val="0090526A"/>
    <w:rsid w:val="009079FC"/>
    <w:rsid w:val="00911402"/>
    <w:rsid w:val="00913440"/>
    <w:rsid w:val="00916CC3"/>
    <w:rsid w:val="0091791B"/>
    <w:rsid w:val="009270F4"/>
    <w:rsid w:val="009318C3"/>
    <w:rsid w:val="00933D91"/>
    <w:rsid w:val="0093441D"/>
    <w:rsid w:val="009361EE"/>
    <w:rsid w:val="0094089E"/>
    <w:rsid w:val="00940F2A"/>
    <w:rsid w:val="0094371B"/>
    <w:rsid w:val="0094410A"/>
    <w:rsid w:val="00944661"/>
    <w:rsid w:val="00947DDF"/>
    <w:rsid w:val="00950371"/>
    <w:rsid w:val="00950568"/>
    <w:rsid w:val="009505E4"/>
    <w:rsid w:val="00952667"/>
    <w:rsid w:val="009532DF"/>
    <w:rsid w:val="0095370D"/>
    <w:rsid w:val="0095407F"/>
    <w:rsid w:val="0095531D"/>
    <w:rsid w:val="00955AE1"/>
    <w:rsid w:val="009579A6"/>
    <w:rsid w:val="00960F44"/>
    <w:rsid w:val="00961A14"/>
    <w:rsid w:val="009625C1"/>
    <w:rsid w:val="00962A24"/>
    <w:rsid w:val="009655A2"/>
    <w:rsid w:val="00965B07"/>
    <w:rsid w:val="00967D3B"/>
    <w:rsid w:val="00970AD2"/>
    <w:rsid w:val="00971FEA"/>
    <w:rsid w:val="00972799"/>
    <w:rsid w:val="00975964"/>
    <w:rsid w:val="00975DD4"/>
    <w:rsid w:val="0097656B"/>
    <w:rsid w:val="00976ABC"/>
    <w:rsid w:val="0098734E"/>
    <w:rsid w:val="009948EC"/>
    <w:rsid w:val="00996AC9"/>
    <w:rsid w:val="00996BF5"/>
    <w:rsid w:val="00997EE0"/>
    <w:rsid w:val="009A011C"/>
    <w:rsid w:val="009A2C8A"/>
    <w:rsid w:val="009A4D4F"/>
    <w:rsid w:val="009A7C82"/>
    <w:rsid w:val="009B0C43"/>
    <w:rsid w:val="009B2136"/>
    <w:rsid w:val="009B4FF7"/>
    <w:rsid w:val="009B671F"/>
    <w:rsid w:val="009B7C5A"/>
    <w:rsid w:val="009C0219"/>
    <w:rsid w:val="009C4135"/>
    <w:rsid w:val="009C45FF"/>
    <w:rsid w:val="009C5627"/>
    <w:rsid w:val="009C5C46"/>
    <w:rsid w:val="009D11D8"/>
    <w:rsid w:val="009D17CC"/>
    <w:rsid w:val="009D2469"/>
    <w:rsid w:val="009D3AA0"/>
    <w:rsid w:val="009D47BE"/>
    <w:rsid w:val="009D59D1"/>
    <w:rsid w:val="009D7DC5"/>
    <w:rsid w:val="009E0922"/>
    <w:rsid w:val="009E0ADB"/>
    <w:rsid w:val="009E126A"/>
    <w:rsid w:val="009E150F"/>
    <w:rsid w:val="009E2421"/>
    <w:rsid w:val="009E29A3"/>
    <w:rsid w:val="009E3C73"/>
    <w:rsid w:val="009E3F03"/>
    <w:rsid w:val="009E64A6"/>
    <w:rsid w:val="009E6BA7"/>
    <w:rsid w:val="009E7531"/>
    <w:rsid w:val="009F041A"/>
    <w:rsid w:val="009F0B52"/>
    <w:rsid w:val="009F0CD8"/>
    <w:rsid w:val="009F0FCB"/>
    <w:rsid w:val="009F2345"/>
    <w:rsid w:val="009F2553"/>
    <w:rsid w:val="009F2FA8"/>
    <w:rsid w:val="009F3E05"/>
    <w:rsid w:val="009F3F9F"/>
    <w:rsid w:val="009F7753"/>
    <w:rsid w:val="009F7961"/>
    <w:rsid w:val="009F7DCD"/>
    <w:rsid w:val="009F7EB8"/>
    <w:rsid w:val="00A06D44"/>
    <w:rsid w:val="00A12792"/>
    <w:rsid w:val="00A12E30"/>
    <w:rsid w:val="00A2125D"/>
    <w:rsid w:val="00A2275B"/>
    <w:rsid w:val="00A228AA"/>
    <w:rsid w:val="00A2320A"/>
    <w:rsid w:val="00A23BCA"/>
    <w:rsid w:val="00A2522E"/>
    <w:rsid w:val="00A26488"/>
    <w:rsid w:val="00A316C5"/>
    <w:rsid w:val="00A31A62"/>
    <w:rsid w:val="00A31C70"/>
    <w:rsid w:val="00A31DDF"/>
    <w:rsid w:val="00A3430A"/>
    <w:rsid w:val="00A34368"/>
    <w:rsid w:val="00A3482E"/>
    <w:rsid w:val="00A34E2E"/>
    <w:rsid w:val="00A371BD"/>
    <w:rsid w:val="00A3752C"/>
    <w:rsid w:val="00A37BC9"/>
    <w:rsid w:val="00A400A8"/>
    <w:rsid w:val="00A41D6B"/>
    <w:rsid w:val="00A45DB8"/>
    <w:rsid w:val="00A51396"/>
    <w:rsid w:val="00A523FC"/>
    <w:rsid w:val="00A60987"/>
    <w:rsid w:val="00A62E9E"/>
    <w:rsid w:val="00A64C3E"/>
    <w:rsid w:val="00A65395"/>
    <w:rsid w:val="00A71A07"/>
    <w:rsid w:val="00A71AD7"/>
    <w:rsid w:val="00A73358"/>
    <w:rsid w:val="00A7434E"/>
    <w:rsid w:val="00A756E8"/>
    <w:rsid w:val="00A759F7"/>
    <w:rsid w:val="00A80015"/>
    <w:rsid w:val="00A80111"/>
    <w:rsid w:val="00A804DE"/>
    <w:rsid w:val="00A80732"/>
    <w:rsid w:val="00A81903"/>
    <w:rsid w:val="00A83C51"/>
    <w:rsid w:val="00A85595"/>
    <w:rsid w:val="00A861DA"/>
    <w:rsid w:val="00A86BD2"/>
    <w:rsid w:val="00A903EC"/>
    <w:rsid w:val="00A90A48"/>
    <w:rsid w:val="00A9155E"/>
    <w:rsid w:val="00A91A56"/>
    <w:rsid w:val="00A932F9"/>
    <w:rsid w:val="00A93901"/>
    <w:rsid w:val="00A947CC"/>
    <w:rsid w:val="00A9795B"/>
    <w:rsid w:val="00AA00E1"/>
    <w:rsid w:val="00AA08B8"/>
    <w:rsid w:val="00AA1E2E"/>
    <w:rsid w:val="00AA319F"/>
    <w:rsid w:val="00AB29D6"/>
    <w:rsid w:val="00AB661D"/>
    <w:rsid w:val="00AB6853"/>
    <w:rsid w:val="00AB6C29"/>
    <w:rsid w:val="00AB71D8"/>
    <w:rsid w:val="00AB7299"/>
    <w:rsid w:val="00AB743F"/>
    <w:rsid w:val="00AC16FB"/>
    <w:rsid w:val="00AC26EC"/>
    <w:rsid w:val="00AC3360"/>
    <w:rsid w:val="00AC3B77"/>
    <w:rsid w:val="00AC4113"/>
    <w:rsid w:val="00AC49A7"/>
    <w:rsid w:val="00AC6E38"/>
    <w:rsid w:val="00AD0427"/>
    <w:rsid w:val="00AD1ADB"/>
    <w:rsid w:val="00AD2C71"/>
    <w:rsid w:val="00AD3EB7"/>
    <w:rsid w:val="00AD4398"/>
    <w:rsid w:val="00AD5365"/>
    <w:rsid w:val="00AD5756"/>
    <w:rsid w:val="00AE0542"/>
    <w:rsid w:val="00AE22F8"/>
    <w:rsid w:val="00AE636D"/>
    <w:rsid w:val="00AE7FDB"/>
    <w:rsid w:val="00AF5F37"/>
    <w:rsid w:val="00AF6E2F"/>
    <w:rsid w:val="00B02506"/>
    <w:rsid w:val="00B02B21"/>
    <w:rsid w:val="00B0644A"/>
    <w:rsid w:val="00B116DF"/>
    <w:rsid w:val="00B141F4"/>
    <w:rsid w:val="00B178C1"/>
    <w:rsid w:val="00B20DAB"/>
    <w:rsid w:val="00B233C8"/>
    <w:rsid w:val="00B25CE8"/>
    <w:rsid w:val="00B27D90"/>
    <w:rsid w:val="00B27E16"/>
    <w:rsid w:val="00B27EF9"/>
    <w:rsid w:val="00B322B1"/>
    <w:rsid w:val="00B329D3"/>
    <w:rsid w:val="00B32B19"/>
    <w:rsid w:val="00B3327C"/>
    <w:rsid w:val="00B3417C"/>
    <w:rsid w:val="00B3701C"/>
    <w:rsid w:val="00B373A6"/>
    <w:rsid w:val="00B405FA"/>
    <w:rsid w:val="00B41AE0"/>
    <w:rsid w:val="00B42F67"/>
    <w:rsid w:val="00B458E6"/>
    <w:rsid w:val="00B47A96"/>
    <w:rsid w:val="00B50B2A"/>
    <w:rsid w:val="00B5717F"/>
    <w:rsid w:val="00B57EEF"/>
    <w:rsid w:val="00B60357"/>
    <w:rsid w:val="00B61C58"/>
    <w:rsid w:val="00B62DBF"/>
    <w:rsid w:val="00B632F3"/>
    <w:rsid w:val="00B64564"/>
    <w:rsid w:val="00B6687F"/>
    <w:rsid w:val="00B71940"/>
    <w:rsid w:val="00B719F4"/>
    <w:rsid w:val="00B72841"/>
    <w:rsid w:val="00B7454E"/>
    <w:rsid w:val="00B75BA5"/>
    <w:rsid w:val="00B80963"/>
    <w:rsid w:val="00B838FE"/>
    <w:rsid w:val="00B8738E"/>
    <w:rsid w:val="00B91BF5"/>
    <w:rsid w:val="00B93233"/>
    <w:rsid w:val="00B96ECE"/>
    <w:rsid w:val="00BA32AF"/>
    <w:rsid w:val="00BA330A"/>
    <w:rsid w:val="00BA37D6"/>
    <w:rsid w:val="00BA427F"/>
    <w:rsid w:val="00BA4BC7"/>
    <w:rsid w:val="00BA527C"/>
    <w:rsid w:val="00BA6928"/>
    <w:rsid w:val="00BA72CE"/>
    <w:rsid w:val="00BB01BA"/>
    <w:rsid w:val="00BB2B46"/>
    <w:rsid w:val="00BB70E1"/>
    <w:rsid w:val="00BC0B5A"/>
    <w:rsid w:val="00BC122C"/>
    <w:rsid w:val="00BC1ED4"/>
    <w:rsid w:val="00BC24CE"/>
    <w:rsid w:val="00BC293B"/>
    <w:rsid w:val="00BC4462"/>
    <w:rsid w:val="00BC689C"/>
    <w:rsid w:val="00BD09BB"/>
    <w:rsid w:val="00BD2E08"/>
    <w:rsid w:val="00BD570E"/>
    <w:rsid w:val="00BD5EDE"/>
    <w:rsid w:val="00BE103F"/>
    <w:rsid w:val="00BE5228"/>
    <w:rsid w:val="00BE71B6"/>
    <w:rsid w:val="00BE7AC0"/>
    <w:rsid w:val="00BE7E8A"/>
    <w:rsid w:val="00BF0166"/>
    <w:rsid w:val="00BF097E"/>
    <w:rsid w:val="00BF15A6"/>
    <w:rsid w:val="00BF3F13"/>
    <w:rsid w:val="00BF4237"/>
    <w:rsid w:val="00C001D4"/>
    <w:rsid w:val="00C00FFC"/>
    <w:rsid w:val="00C016FA"/>
    <w:rsid w:val="00C0380D"/>
    <w:rsid w:val="00C03B9C"/>
    <w:rsid w:val="00C05DF3"/>
    <w:rsid w:val="00C06B38"/>
    <w:rsid w:val="00C07542"/>
    <w:rsid w:val="00C10414"/>
    <w:rsid w:val="00C13862"/>
    <w:rsid w:val="00C157DE"/>
    <w:rsid w:val="00C17A20"/>
    <w:rsid w:val="00C20E4D"/>
    <w:rsid w:val="00C22EAB"/>
    <w:rsid w:val="00C2532F"/>
    <w:rsid w:val="00C25825"/>
    <w:rsid w:val="00C25E56"/>
    <w:rsid w:val="00C261E3"/>
    <w:rsid w:val="00C27094"/>
    <w:rsid w:val="00C27BBD"/>
    <w:rsid w:val="00C30973"/>
    <w:rsid w:val="00C36599"/>
    <w:rsid w:val="00C37B56"/>
    <w:rsid w:val="00C41002"/>
    <w:rsid w:val="00C41A2B"/>
    <w:rsid w:val="00C41DB7"/>
    <w:rsid w:val="00C460C1"/>
    <w:rsid w:val="00C502E8"/>
    <w:rsid w:val="00C50A5D"/>
    <w:rsid w:val="00C512EA"/>
    <w:rsid w:val="00C524E9"/>
    <w:rsid w:val="00C54A96"/>
    <w:rsid w:val="00C5743D"/>
    <w:rsid w:val="00C61F27"/>
    <w:rsid w:val="00C63C46"/>
    <w:rsid w:val="00C65E69"/>
    <w:rsid w:val="00C66DE7"/>
    <w:rsid w:val="00C66F87"/>
    <w:rsid w:val="00C70E74"/>
    <w:rsid w:val="00C72BEA"/>
    <w:rsid w:val="00C72E17"/>
    <w:rsid w:val="00C732CB"/>
    <w:rsid w:val="00C744F4"/>
    <w:rsid w:val="00C74604"/>
    <w:rsid w:val="00C746DD"/>
    <w:rsid w:val="00C7483E"/>
    <w:rsid w:val="00C752A8"/>
    <w:rsid w:val="00C7740E"/>
    <w:rsid w:val="00C8056F"/>
    <w:rsid w:val="00C81A8F"/>
    <w:rsid w:val="00C8243B"/>
    <w:rsid w:val="00C82889"/>
    <w:rsid w:val="00C8646D"/>
    <w:rsid w:val="00C874B0"/>
    <w:rsid w:val="00C90374"/>
    <w:rsid w:val="00C93118"/>
    <w:rsid w:val="00C9493F"/>
    <w:rsid w:val="00C94BE4"/>
    <w:rsid w:val="00C94C95"/>
    <w:rsid w:val="00C94E10"/>
    <w:rsid w:val="00C958BD"/>
    <w:rsid w:val="00CA0E29"/>
    <w:rsid w:val="00CA0F6C"/>
    <w:rsid w:val="00CA4316"/>
    <w:rsid w:val="00CB154F"/>
    <w:rsid w:val="00CB20E7"/>
    <w:rsid w:val="00CB38C1"/>
    <w:rsid w:val="00CB4488"/>
    <w:rsid w:val="00CB4CE5"/>
    <w:rsid w:val="00CC0C5B"/>
    <w:rsid w:val="00CC0C76"/>
    <w:rsid w:val="00CC1104"/>
    <w:rsid w:val="00CD022C"/>
    <w:rsid w:val="00CD0A52"/>
    <w:rsid w:val="00CD0A87"/>
    <w:rsid w:val="00CD306A"/>
    <w:rsid w:val="00CD5673"/>
    <w:rsid w:val="00CD67E7"/>
    <w:rsid w:val="00CD69CB"/>
    <w:rsid w:val="00CE0B02"/>
    <w:rsid w:val="00CE0DD3"/>
    <w:rsid w:val="00CE0F10"/>
    <w:rsid w:val="00CE1A28"/>
    <w:rsid w:val="00CE2565"/>
    <w:rsid w:val="00CE3E06"/>
    <w:rsid w:val="00CE3E4F"/>
    <w:rsid w:val="00CE74ED"/>
    <w:rsid w:val="00CF0351"/>
    <w:rsid w:val="00CF23CD"/>
    <w:rsid w:val="00CF3CB3"/>
    <w:rsid w:val="00CF3F30"/>
    <w:rsid w:val="00CF3F97"/>
    <w:rsid w:val="00CF44BF"/>
    <w:rsid w:val="00CF68A3"/>
    <w:rsid w:val="00CF7D54"/>
    <w:rsid w:val="00D005B5"/>
    <w:rsid w:val="00D04E78"/>
    <w:rsid w:val="00D05E20"/>
    <w:rsid w:val="00D0662D"/>
    <w:rsid w:val="00D10C71"/>
    <w:rsid w:val="00D16058"/>
    <w:rsid w:val="00D16631"/>
    <w:rsid w:val="00D179E5"/>
    <w:rsid w:val="00D17C9F"/>
    <w:rsid w:val="00D20560"/>
    <w:rsid w:val="00D2210A"/>
    <w:rsid w:val="00D22322"/>
    <w:rsid w:val="00D2627A"/>
    <w:rsid w:val="00D268AE"/>
    <w:rsid w:val="00D26B0A"/>
    <w:rsid w:val="00D278A7"/>
    <w:rsid w:val="00D27C94"/>
    <w:rsid w:val="00D30D8D"/>
    <w:rsid w:val="00D339F1"/>
    <w:rsid w:val="00D377C9"/>
    <w:rsid w:val="00D37B97"/>
    <w:rsid w:val="00D40387"/>
    <w:rsid w:val="00D42069"/>
    <w:rsid w:val="00D43308"/>
    <w:rsid w:val="00D4513B"/>
    <w:rsid w:val="00D45EE1"/>
    <w:rsid w:val="00D47D83"/>
    <w:rsid w:val="00D50D91"/>
    <w:rsid w:val="00D5179E"/>
    <w:rsid w:val="00D52CCC"/>
    <w:rsid w:val="00D53754"/>
    <w:rsid w:val="00D53F79"/>
    <w:rsid w:val="00D54C64"/>
    <w:rsid w:val="00D557A8"/>
    <w:rsid w:val="00D55E05"/>
    <w:rsid w:val="00D56EBB"/>
    <w:rsid w:val="00D57E2A"/>
    <w:rsid w:val="00D57E74"/>
    <w:rsid w:val="00D62254"/>
    <w:rsid w:val="00D62705"/>
    <w:rsid w:val="00D72386"/>
    <w:rsid w:val="00D72A4C"/>
    <w:rsid w:val="00D75051"/>
    <w:rsid w:val="00D76385"/>
    <w:rsid w:val="00D766A9"/>
    <w:rsid w:val="00D76A2D"/>
    <w:rsid w:val="00D77BB7"/>
    <w:rsid w:val="00D80E1A"/>
    <w:rsid w:val="00D81207"/>
    <w:rsid w:val="00D82253"/>
    <w:rsid w:val="00D8337A"/>
    <w:rsid w:val="00D845AE"/>
    <w:rsid w:val="00D9081B"/>
    <w:rsid w:val="00D948D6"/>
    <w:rsid w:val="00D956F8"/>
    <w:rsid w:val="00D95973"/>
    <w:rsid w:val="00D97410"/>
    <w:rsid w:val="00DA2789"/>
    <w:rsid w:val="00DA49F3"/>
    <w:rsid w:val="00DA52E5"/>
    <w:rsid w:val="00DA5F7E"/>
    <w:rsid w:val="00DB01D1"/>
    <w:rsid w:val="00DB0D46"/>
    <w:rsid w:val="00DB2CB5"/>
    <w:rsid w:val="00DB318C"/>
    <w:rsid w:val="00DB63C5"/>
    <w:rsid w:val="00DC05D7"/>
    <w:rsid w:val="00DC4591"/>
    <w:rsid w:val="00DC4E08"/>
    <w:rsid w:val="00DC5F2F"/>
    <w:rsid w:val="00DC78BD"/>
    <w:rsid w:val="00DC7C01"/>
    <w:rsid w:val="00DD1E8A"/>
    <w:rsid w:val="00DD338C"/>
    <w:rsid w:val="00DD6862"/>
    <w:rsid w:val="00DE0928"/>
    <w:rsid w:val="00DE147A"/>
    <w:rsid w:val="00DE2B01"/>
    <w:rsid w:val="00DE2FC7"/>
    <w:rsid w:val="00DE358A"/>
    <w:rsid w:val="00DE415F"/>
    <w:rsid w:val="00DE7540"/>
    <w:rsid w:val="00DF0969"/>
    <w:rsid w:val="00DF13FC"/>
    <w:rsid w:val="00DF3ACF"/>
    <w:rsid w:val="00DF4246"/>
    <w:rsid w:val="00DF4F4D"/>
    <w:rsid w:val="00DF57D9"/>
    <w:rsid w:val="00E011B2"/>
    <w:rsid w:val="00E025AF"/>
    <w:rsid w:val="00E02B53"/>
    <w:rsid w:val="00E03D5C"/>
    <w:rsid w:val="00E04697"/>
    <w:rsid w:val="00E069E2"/>
    <w:rsid w:val="00E1301D"/>
    <w:rsid w:val="00E13D37"/>
    <w:rsid w:val="00E1632E"/>
    <w:rsid w:val="00E173C0"/>
    <w:rsid w:val="00E204F7"/>
    <w:rsid w:val="00E21575"/>
    <w:rsid w:val="00E24E2D"/>
    <w:rsid w:val="00E24E4F"/>
    <w:rsid w:val="00E315EC"/>
    <w:rsid w:val="00E31F1D"/>
    <w:rsid w:val="00E32F20"/>
    <w:rsid w:val="00E350AD"/>
    <w:rsid w:val="00E35C4A"/>
    <w:rsid w:val="00E3631F"/>
    <w:rsid w:val="00E37330"/>
    <w:rsid w:val="00E37E3C"/>
    <w:rsid w:val="00E41871"/>
    <w:rsid w:val="00E42136"/>
    <w:rsid w:val="00E43AD2"/>
    <w:rsid w:val="00E443B2"/>
    <w:rsid w:val="00E44DD8"/>
    <w:rsid w:val="00E46E61"/>
    <w:rsid w:val="00E51917"/>
    <w:rsid w:val="00E52101"/>
    <w:rsid w:val="00E5418C"/>
    <w:rsid w:val="00E55300"/>
    <w:rsid w:val="00E5552C"/>
    <w:rsid w:val="00E61C5C"/>
    <w:rsid w:val="00E62576"/>
    <w:rsid w:val="00E65363"/>
    <w:rsid w:val="00E66ECA"/>
    <w:rsid w:val="00E67A61"/>
    <w:rsid w:val="00E67ED6"/>
    <w:rsid w:val="00E71413"/>
    <w:rsid w:val="00E71988"/>
    <w:rsid w:val="00E72387"/>
    <w:rsid w:val="00E734DC"/>
    <w:rsid w:val="00E74C55"/>
    <w:rsid w:val="00E769DB"/>
    <w:rsid w:val="00E772B8"/>
    <w:rsid w:val="00E77573"/>
    <w:rsid w:val="00E7783E"/>
    <w:rsid w:val="00E84D69"/>
    <w:rsid w:val="00E85267"/>
    <w:rsid w:val="00E85537"/>
    <w:rsid w:val="00E864A2"/>
    <w:rsid w:val="00E87824"/>
    <w:rsid w:val="00E90BCF"/>
    <w:rsid w:val="00E91E25"/>
    <w:rsid w:val="00E93468"/>
    <w:rsid w:val="00E95039"/>
    <w:rsid w:val="00E9775E"/>
    <w:rsid w:val="00EA3959"/>
    <w:rsid w:val="00EA3A9A"/>
    <w:rsid w:val="00EA5454"/>
    <w:rsid w:val="00EA5AA7"/>
    <w:rsid w:val="00EB030E"/>
    <w:rsid w:val="00EB0AC9"/>
    <w:rsid w:val="00EB2056"/>
    <w:rsid w:val="00EB46D2"/>
    <w:rsid w:val="00EB59D8"/>
    <w:rsid w:val="00EB5D84"/>
    <w:rsid w:val="00EB690D"/>
    <w:rsid w:val="00EB7DCB"/>
    <w:rsid w:val="00EC0095"/>
    <w:rsid w:val="00EC164C"/>
    <w:rsid w:val="00ED1643"/>
    <w:rsid w:val="00ED6AEE"/>
    <w:rsid w:val="00EE0401"/>
    <w:rsid w:val="00EE15E3"/>
    <w:rsid w:val="00EE2654"/>
    <w:rsid w:val="00EE375A"/>
    <w:rsid w:val="00EE3B6E"/>
    <w:rsid w:val="00EE519A"/>
    <w:rsid w:val="00EF1159"/>
    <w:rsid w:val="00EF12ED"/>
    <w:rsid w:val="00EF2445"/>
    <w:rsid w:val="00EF298C"/>
    <w:rsid w:val="00EF31A3"/>
    <w:rsid w:val="00EF44BC"/>
    <w:rsid w:val="00EF483E"/>
    <w:rsid w:val="00EF69E2"/>
    <w:rsid w:val="00EF6B7D"/>
    <w:rsid w:val="00EF7BC0"/>
    <w:rsid w:val="00EF7D46"/>
    <w:rsid w:val="00F0203C"/>
    <w:rsid w:val="00F02610"/>
    <w:rsid w:val="00F02EDB"/>
    <w:rsid w:val="00F03EBD"/>
    <w:rsid w:val="00F04056"/>
    <w:rsid w:val="00F0601F"/>
    <w:rsid w:val="00F079B0"/>
    <w:rsid w:val="00F10B46"/>
    <w:rsid w:val="00F116B1"/>
    <w:rsid w:val="00F12CA1"/>
    <w:rsid w:val="00F13165"/>
    <w:rsid w:val="00F20D3C"/>
    <w:rsid w:val="00F21CCA"/>
    <w:rsid w:val="00F21F53"/>
    <w:rsid w:val="00F22161"/>
    <w:rsid w:val="00F27446"/>
    <w:rsid w:val="00F27587"/>
    <w:rsid w:val="00F27621"/>
    <w:rsid w:val="00F27685"/>
    <w:rsid w:val="00F313FA"/>
    <w:rsid w:val="00F34D01"/>
    <w:rsid w:val="00F34D56"/>
    <w:rsid w:val="00F40A9F"/>
    <w:rsid w:val="00F41023"/>
    <w:rsid w:val="00F426B1"/>
    <w:rsid w:val="00F42CAB"/>
    <w:rsid w:val="00F44E5F"/>
    <w:rsid w:val="00F45539"/>
    <w:rsid w:val="00F45565"/>
    <w:rsid w:val="00F47280"/>
    <w:rsid w:val="00F50061"/>
    <w:rsid w:val="00F503D5"/>
    <w:rsid w:val="00F5062D"/>
    <w:rsid w:val="00F51A8F"/>
    <w:rsid w:val="00F51B57"/>
    <w:rsid w:val="00F51FEE"/>
    <w:rsid w:val="00F52A93"/>
    <w:rsid w:val="00F553D1"/>
    <w:rsid w:val="00F55786"/>
    <w:rsid w:val="00F56B8A"/>
    <w:rsid w:val="00F634FA"/>
    <w:rsid w:val="00F63551"/>
    <w:rsid w:val="00F65580"/>
    <w:rsid w:val="00F65A97"/>
    <w:rsid w:val="00F661CF"/>
    <w:rsid w:val="00F67DF5"/>
    <w:rsid w:val="00F67E8D"/>
    <w:rsid w:val="00F71127"/>
    <w:rsid w:val="00F72FCF"/>
    <w:rsid w:val="00F737AD"/>
    <w:rsid w:val="00F74619"/>
    <w:rsid w:val="00F75986"/>
    <w:rsid w:val="00F760E0"/>
    <w:rsid w:val="00F830E8"/>
    <w:rsid w:val="00F85116"/>
    <w:rsid w:val="00F853F8"/>
    <w:rsid w:val="00F85D8E"/>
    <w:rsid w:val="00F8629A"/>
    <w:rsid w:val="00F86F26"/>
    <w:rsid w:val="00F91F17"/>
    <w:rsid w:val="00F948FE"/>
    <w:rsid w:val="00F9667C"/>
    <w:rsid w:val="00FA17FB"/>
    <w:rsid w:val="00FA3E55"/>
    <w:rsid w:val="00FB0AB3"/>
    <w:rsid w:val="00FB17C9"/>
    <w:rsid w:val="00FB3427"/>
    <w:rsid w:val="00FB4C0C"/>
    <w:rsid w:val="00FB5A4D"/>
    <w:rsid w:val="00FB5C69"/>
    <w:rsid w:val="00FB5E5D"/>
    <w:rsid w:val="00FB6D47"/>
    <w:rsid w:val="00FB71E7"/>
    <w:rsid w:val="00FB72E0"/>
    <w:rsid w:val="00FB7D37"/>
    <w:rsid w:val="00FC0024"/>
    <w:rsid w:val="00FC2304"/>
    <w:rsid w:val="00FC78FD"/>
    <w:rsid w:val="00FD0836"/>
    <w:rsid w:val="00FD17BA"/>
    <w:rsid w:val="00FD257C"/>
    <w:rsid w:val="00FD4072"/>
    <w:rsid w:val="00FD4532"/>
    <w:rsid w:val="00FD4589"/>
    <w:rsid w:val="00FD4D11"/>
    <w:rsid w:val="00FD6529"/>
    <w:rsid w:val="00FD7E05"/>
    <w:rsid w:val="00FE0641"/>
    <w:rsid w:val="00FE1F79"/>
    <w:rsid w:val="00FE4D8D"/>
    <w:rsid w:val="00FF2FE8"/>
    <w:rsid w:val="00FF3C06"/>
    <w:rsid w:val="00FF5D59"/>
    <w:rsid w:val="00FF6508"/>
    <w:rsid w:val="00FF69B5"/>
    <w:rsid w:val="00FF7507"/>
    <w:rsid w:val="0810327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0"/>
      <w:lang w:val="en-US" w:eastAsia="en-US" w:bidi="ar-SA"/>
    </w:rPr>
  </w:style>
  <w:style w:type="paragraph" w:styleId="2">
    <w:name w:val="heading 1"/>
    <w:basedOn w:val="1"/>
    <w:next w:val="1"/>
    <w:link w:val="8"/>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9"/>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lang w:val="zh-CN" w:eastAsia="zh-CN"/>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customStyle="1" w:styleId="6">
    <w:name w:val="SM Heading"/>
    <w:basedOn w:val="2"/>
    <w:qFormat/>
    <w:uiPriority w:val="0"/>
    <w:pPr>
      <w:keepLines w:val="0"/>
      <w:spacing w:after="60"/>
    </w:pPr>
    <w:rPr>
      <w:rFonts w:ascii="Times New Roman" w:hAnsi="Times New Roman" w:eastAsia="宋体" w:cs="Times New Roman"/>
      <w:b/>
      <w:bCs/>
      <w:color w:val="auto"/>
      <w:kern w:val="32"/>
      <w:sz w:val="24"/>
      <w:szCs w:val="24"/>
    </w:rPr>
  </w:style>
  <w:style w:type="table" w:customStyle="1" w:styleId="7">
    <w:name w:val="List Table 6 Colorful"/>
    <w:basedOn w:val="4"/>
    <w:uiPriority w:val="51"/>
    <w:rPr>
      <w:color w:val="000000" w:themeColor="text1"/>
      <w:lang w:val="en-US"/>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8">
    <w:name w:val="Heading 1 Char"/>
    <w:basedOn w:val="5"/>
    <w:link w:val="2"/>
    <w:uiPriority w:val="9"/>
    <w:rPr>
      <w:rFonts w:asciiTheme="majorHAnsi" w:hAnsiTheme="majorHAnsi" w:eastAsiaTheme="majorEastAsia" w:cstheme="majorBidi"/>
      <w:color w:val="2F5597" w:themeColor="accent1" w:themeShade="BF"/>
      <w:sz w:val="32"/>
      <w:szCs w:val="32"/>
      <w:lang w:val="en-US" w:eastAsia="en-US"/>
    </w:rPr>
  </w:style>
  <w:style w:type="character" w:customStyle="1" w:styleId="9">
    <w:name w:val="Heading 2 Char"/>
    <w:basedOn w:val="5"/>
    <w:link w:val="3"/>
    <w:uiPriority w:val="9"/>
    <w:rPr>
      <w:rFonts w:asciiTheme="majorHAnsi" w:hAnsiTheme="majorHAnsi" w:eastAsiaTheme="majorEastAsia" w:cstheme="majorBidi"/>
      <w:color w:val="2F5597" w:themeColor="accent1" w:themeShade="BF"/>
      <w:sz w:val="26"/>
      <w:szCs w:val="2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558</Words>
  <Characters>2917</Characters>
  <Lines>29</Lines>
  <Paragraphs>8</Paragraphs>
  <TotalTime>101</TotalTime>
  <ScaleCrop>false</ScaleCrop>
  <LinksUpToDate>false</LinksUpToDate>
  <CharactersWithSpaces>3380</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2025-05-09T02:42:00Z</dcterms:created>
  <dc:creator>Na Pan</dc:creator>
  <cp:lastModifiedBy>゛微笑麦乐</cp:lastModifiedBy>
  <cp:lastPrinted>2025-05-09T05:44:00Z</cp:lastPrinted>
  <dcterms:modified xsi:type="dcterms:W3CDTF">2025-07-28T14:06:10Z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C2DC730037AB46D3997150F6AFA9C354_13</vt:lpwstr>
  </property>
</Properties>
</file>