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191A2">
      <w:pPr>
        <w:keepNext w:val="0"/>
        <w:keepLines w:val="0"/>
        <w:widowControl w:val="0"/>
        <w:suppressLineNumbers w:val="0"/>
        <w:spacing w:before="0" w:beforeAutospacing="0" w:after="0" w:afterAutospacing="0" w:line="400" w:lineRule="exact"/>
        <w:ind w:left="0" w:right="0"/>
        <w:jc w:val="center"/>
        <w:rPr>
          <w:rFonts w:hint="default"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2"/>
          <w:szCs w:val="22"/>
          <w:lang w:val="en-US" w:eastAsia="zh-CN" w:bidi="ar"/>
        </w:rPr>
        <w:t>Table S1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 xml:space="preserve"> Physiological and biochemical identification form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none" w:color="auto" w:sz="4" w:space="0"/>
          <w:bottom w:val="single" w:color="auto" w:sz="12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9FC08A4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26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top"/>
          </w:tcPr>
          <w:p w14:paraId="72B276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Items</w:t>
            </w:r>
          </w:p>
        </w:tc>
        <w:tc>
          <w:tcPr>
            <w:tcW w:w="4261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shd w:val="clear" w:color="auto" w:fill="auto"/>
            <w:vAlign w:val="top"/>
          </w:tcPr>
          <w:p w14:paraId="483A64F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2"/>
                <w:szCs w:val="22"/>
                <w:lang w:val="en-US" w:eastAsia="zh-CN" w:bidi="ar"/>
              </w:rPr>
              <w:t>Result</w:t>
            </w:r>
          </w:p>
        </w:tc>
      </w:tr>
      <w:tr w14:paraId="44BFE803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  <w:jc w:val="center"/>
        </w:trPr>
        <w:tc>
          <w:tcPr>
            <w:tcW w:w="426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82CD4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Aesculin</w:t>
            </w:r>
          </w:p>
        </w:tc>
        <w:tc>
          <w:tcPr>
            <w:tcW w:w="4261" w:type="dxa"/>
            <w:tcBorders>
              <w:top w:val="single" w:color="auto" w:sz="6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B19803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+</w:t>
            </w:r>
          </w:p>
        </w:tc>
      </w:tr>
      <w:tr w14:paraId="43B8E60B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590063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Cellobiose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22F7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+</w:t>
            </w:r>
          </w:p>
        </w:tc>
      </w:tr>
      <w:tr w14:paraId="27D69C74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6123E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Maltose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8769C81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+</w:t>
            </w:r>
          </w:p>
        </w:tc>
      </w:tr>
      <w:tr w14:paraId="4D584652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5504AF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Mannitol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A056A5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+</w:t>
            </w:r>
          </w:p>
        </w:tc>
      </w:tr>
      <w:tr w14:paraId="57D10741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6F8B2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Salicin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21F073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+</w:t>
            </w:r>
          </w:p>
        </w:tc>
      </w:tr>
      <w:tr w14:paraId="6E3460C7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B94518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Sorbitol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A01737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+</w:t>
            </w:r>
          </w:p>
        </w:tc>
      </w:tr>
      <w:tr w14:paraId="6B3FD8DB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CE642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Sucrose</w:t>
            </w:r>
          </w:p>
        </w:tc>
        <w:tc>
          <w:tcPr>
            <w:tcW w:w="4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3B9100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+</w:t>
            </w:r>
          </w:p>
        </w:tc>
      </w:tr>
      <w:tr w14:paraId="10E2996A">
        <w:tblPrEx>
          <w:tblBorders>
            <w:top w:val="single" w:color="auto" w:sz="12" w:space="0"/>
            <w:left w:val="none" w:color="auto" w:sz="4" w:space="0"/>
            <w:bottom w:val="single" w:color="auto" w:sz="12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6799A5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2"/>
                <w:szCs w:val="22"/>
                <w:lang w:val="en-US" w:eastAsia="zh-CN" w:bidi="ar"/>
              </w:rPr>
              <w:t>Raffinose</w:t>
            </w:r>
          </w:p>
        </w:tc>
        <w:tc>
          <w:tcPr>
            <w:tcW w:w="426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3A4BBCC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-</w:t>
            </w:r>
          </w:p>
        </w:tc>
      </w:tr>
    </w:tbl>
    <w:p w14:paraId="07B5FA0F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2" w:firstLineChars="200"/>
        <w:jc w:val="both"/>
        <w:rPr>
          <w:rFonts w:hint="default" w:ascii="Times New Roman" w:hAnsi="Times New Roman" w:eastAsia="宋体" w:cs="Times New Roman"/>
          <w:b/>
          <w:bCs/>
          <w:kern w:val="2"/>
          <w:sz w:val="22"/>
          <w:szCs w:val="22"/>
          <w:lang w:val="en-US" w:eastAsia="zh-CN" w:bidi="ar"/>
        </w:rPr>
      </w:pPr>
    </w:p>
    <w:p w14:paraId="49FAD90D">
      <w:pPr>
        <w:spacing w:after="0" w:line="400" w:lineRule="exact"/>
        <w:jc w:val="center"/>
        <w:rPr>
          <w:rFonts w:hint="default" w:ascii="Times New Roman" w:hAnsi="Times New Roman" w:eastAsia="黑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</w:p>
    <w:p w14:paraId="31672245">
      <w:pPr>
        <w:spacing w:after="0" w:line="400" w:lineRule="exact"/>
        <w:jc w:val="center"/>
        <w:rPr>
          <w:rFonts w:hint="default" w:ascii="Times New Roman" w:hAnsi="Times New Roman" w:eastAsia="黑体" w:cs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Table</w:t>
      </w:r>
      <w:r>
        <w:rPr>
          <w:rFonts w:hint="default" w:ascii="Times New Roman" w:hAnsi="Times New Roman" w:eastAsia="黑体" w:cs="Times New Roman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 xml:space="preserve"> S2</w:t>
      </w:r>
      <w:r>
        <w:rPr>
          <w:rFonts w:hint="default" w:ascii="Times New Roman" w:hAnsi="Times New Roman" w:eastAsia="黑体" w:cs="Times New Roman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 xml:space="preserve"> Statistical chart of antibiotic sensitivity test results</w:t>
      </w:r>
      <w:r>
        <w:rPr>
          <w:rFonts w:hint="default" w:ascii="Times New Roman" w:hAnsi="Times New Roman" w:eastAsia="黑体" w:cs="Times New Roman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.</w:t>
      </w:r>
    </w:p>
    <w:tbl>
      <w:tblPr>
        <w:tblStyle w:val="3"/>
        <w:tblW w:w="825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8"/>
        <w:gridCol w:w="1100"/>
        <w:gridCol w:w="1100"/>
        <w:gridCol w:w="1838"/>
        <w:gridCol w:w="1100"/>
        <w:gridCol w:w="791"/>
        <w:gridCol w:w="9"/>
        <w:gridCol w:w="669"/>
      </w:tblGrid>
      <w:tr w14:paraId="0539663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1BE868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Items</w:t>
            </w:r>
          </w:p>
        </w:tc>
        <w:tc>
          <w:tcPr>
            <w:tcW w:w="1100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4FE6D5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Content</w:t>
            </w:r>
          </w:p>
          <w:p w14:paraId="0CACEB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(µg/disk)</w:t>
            </w:r>
          </w:p>
        </w:tc>
        <w:tc>
          <w:tcPr>
            <w:tcW w:w="1100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526A2F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textAlignment w:val="center"/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Resistant</w:t>
            </w:r>
          </w:p>
          <w:p w14:paraId="29D875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(R)</w:t>
            </w:r>
          </w:p>
        </w:tc>
        <w:tc>
          <w:tcPr>
            <w:tcW w:w="1838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20F7D3D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textAlignment w:val="center"/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Intermediate</w:t>
            </w:r>
          </w:p>
          <w:p w14:paraId="4D8B09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(I)</w:t>
            </w:r>
          </w:p>
        </w:tc>
        <w:tc>
          <w:tcPr>
            <w:tcW w:w="1100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 w14:paraId="7A553C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textAlignment w:val="center"/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Sensitive</w:t>
            </w:r>
          </w:p>
          <w:p w14:paraId="08933F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20" w:firstLineChars="10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(S)</w:t>
            </w:r>
          </w:p>
        </w:tc>
        <w:tc>
          <w:tcPr>
            <w:tcW w:w="791" w:type="dxa"/>
            <w:tcBorders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237746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SSF 2</w:t>
            </w:r>
          </w:p>
        </w:tc>
        <w:tc>
          <w:tcPr>
            <w:tcW w:w="678" w:type="dxa"/>
            <w:gridSpan w:val="2"/>
            <w:tcBorders>
              <w:left w:val="nil"/>
              <w:bottom w:val="single" w:color="auto" w:sz="4" w:space="0"/>
            </w:tcBorders>
            <w:shd w:val="clear" w:color="auto" w:fill="auto"/>
            <w:vAlign w:val="center"/>
          </w:tcPr>
          <w:p w14:paraId="2DD090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Result</w:t>
            </w:r>
          </w:p>
        </w:tc>
      </w:tr>
      <w:tr w14:paraId="2224E7C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657A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Clindamycin (Clindamycin Hydrochloride)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BB91E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3BB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F705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15-20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8556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≥21</w:t>
            </w:r>
          </w:p>
        </w:tc>
        <w:tc>
          <w:tcPr>
            <w:tcW w:w="800" w:type="dxa"/>
            <w:gridSpan w:val="2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0FC61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34.54</w:t>
            </w:r>
          </w:p>
        </w:tc>
        <w:tc>
          <w:tcPr>
            <w:tcW w:w="66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3ABC3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349014C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5479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Chloramphenicol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A4DE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A3834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≤12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CF7A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13-17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D36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≥18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B59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29.68</w:t>
            </w:r>
          </w:p>
        </w:tc>
        <w:tc>
          <w:tcPr>
            <w:tcW w:w="6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7DF7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0F9C9DB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682C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Furazolidone (Furaltadone)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AAB4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B61A8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4BFB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15-16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573146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≥17</w:t>
            </w:r>
          </w:p>
        </w:tc>
        <w:tc>
          <w:tcPr>
            <w:tcW w:w="80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45B097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21.35</w:t>
            </w:r>
          </w:p>
        </w:tc>
        <w:tc>
          <w:tcPr>
            <w:tcW w:w="6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9FC2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1EFAF54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5ADE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Polymyxin B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9174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8630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≤8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9CEF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8--11</w:t>
            </w:r>
          </w:p>
        </w:tc>
        <w:tc>
          <w:tcPr>
            <w:tcW w:w="1100" w:type="dxa"/>
            <w:tcBorders>
              <w:right w:val="nil"/>
            </w:tcBorders>
            <w:shd w:val="clear" w:color="auto" w:fill="auto"/>
            <w:vAlign w:val="center"/>
          </w:tcPr>
          <w:p w14:paraId="1A1761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≥12</w:t>
            </w:r>
          </w:p>
          <w:p w14:paraId="39C978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00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0DD334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8.14</w:t>
            </w:r>
          </w:p>
        </w:tc>
        <w:tc>
          <w:tcPr>
            <w:tcW w:w="6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FEB9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</w:tr>
      <w:tr w14:paraId="639A5AB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63EC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Vancomycin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FA97C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26BF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≤9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BDC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10-11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B8EF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≥12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3D2F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32DDF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</w:tr>
      <w:tr w14:paraId="1E89A9A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CAF2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Ciprofloxacin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C709B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1743D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≤15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9B6B4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16-20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0BC7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≥21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D0475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6.05</w:t>
            </w:r>
          </w:p>
        </w:tc>
        <w:tc>
          <w:tcPr>
            <w:tcW w:w="6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EC17B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</w:tr>
      <w:tr w14:paraId="6F88A45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FD965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Ofloxacin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A3BCCC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00BB9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≤12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24EB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13-15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DEBA6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≥16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22C47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12.88</w:t>
            </w:r>
          </w:p>
        </w:tc>
        <w:tc>
          <w:tcPr>
            <w:tcW w:w="6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F05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</w:tr>
      <w:tr w14:paraId="686D85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B637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Norfloxacin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F5E9D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03ABC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≤12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93BB9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13-16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722A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≥17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777C9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6.91</w:t>
            </w:r>
          </w:p>
        </w:tc>
        <w:tc>
          <w:tcPr>
            <w:tcW w:w="66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89D722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R</w:t>
            </w:r>
          </w:p>
        </w:tc>
      </w:tr>
      <w:tr w14:paraId="455B74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9125A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Midecamycin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4055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0621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≤13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3002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14-17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8052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≥18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AD8EB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787EC8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5B33AF8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3CD6D6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Erythromycin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4EF4A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C249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≤13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61BC77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14-22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7FF54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≥23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1D4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24.6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76E6EA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750AEFE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E8ED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Doxycycline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596E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E837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≤12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071C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13-15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DE6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≥16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ECBB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21.86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0018B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1DE916F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8FA6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Tetracycline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AB7FD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54A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DA4A3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15-18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F2AD3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≥19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A2F6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18.37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60DA7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</w:tr>
      <w:tr w14:paraId="789CB45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091E0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Neomycin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895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65EF0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≤12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4C8A2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13-16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B63A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≥17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666122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19.14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77B731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160B36E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10419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Kanamycin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5B7DB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40DB2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≤13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CEA4F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14-17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863E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≥18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BCCB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17.14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4B02B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</w:tr>
      <w:tr w14:paraId="5BEE15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8845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Gentamicin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C5806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3CA81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≤12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7D5FF8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13-14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C3E02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≥15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3FB0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19.48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60DB2C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12DE082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11913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Amikacin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2C8B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C8F36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DFAE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15-16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2F4AD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≥17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23C38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16.93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4BD9E1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I</w:t>
            </w:r>
          </w:p>
        </w:tc>
      </w:tr>
      <w:tr w14:paraId="3E582B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86ED8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Cefoperazone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82056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2CC731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≤15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581A2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16-20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FE14E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≥21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31BF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32.67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1BDA98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6822FCE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659895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Ceftazidime (Fortum)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9782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7803C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5D66F4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6EBFC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≥18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71513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27.64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758396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7BE430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909C9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Cefradine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2827EB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36567D2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F65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E89AFB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≥18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33F2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31.47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5EE6EF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56E31B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08864DA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Cefazolin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0C931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F8212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17DB1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776C5A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≥18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59CA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34.58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0AD9F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  <w:tr w14:paraId="3A0D47A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4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6686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Segoe UI" w:cs="Times New Roman"/>
                <w:b w:val="0"/>
                <w:bCs w:val="0"/>
                <w:i w:val="0"/>
                <w:iCs w:val="0"/>
                <w:caps w:val="0"/>
                <w:color w:val="auto"/>
                <w:spacing w:val="0"/>
                <w:sz w:val="22"/>
                <w:szCs w:val="22"/>
                <w:shd w:val="clear" w:fill="FFFFFF"/>
              </w:rPr>
              <w:t>Cefalexin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933A7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C7EA2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≤14</w:t>
            </w:r>
          </w:p>
        </w:tc>
        <w:tc>
          <w:tcPr>
            <w:tcW w:w="183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4CF2A5C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15-17</w:t>
            </w:r>
          </w:p>
        </w:tc>
        <w:tc>
          <w:tcPr>
            <w:tcW w:w="1100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168F69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≥18</w:t>
            </w:r>
          </w:p>
        </w:tc>
        <w:tc>
          <w:tcPr>
            <w:tcW w:w="80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 w14:paraId="5E07C1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28.74</w:t>
            </w:r>
          </w:p>
        </w:tc>
        <w:tc>
          <w:tcPr>
            <w:tcW w:w="669" w:type="dxa"/>
            <w:tcBorders>
              <w:right w:val="nil"/>
            </w:tcBorders>
            <w:shd w:val="clear" w:color="auto" w:fill="auto"/>
            <w:vAlign w:val="center"/>
          </w:tcPr>
          <w:p w14:paraId="6882F7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S</w:t>
            </w:r>
          </w:p>
        </w:tc>
      </w:tr>
    </w:tbl>
    <w:p w14:paraId="684C9DC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160" w:afterAutospacing="0"/>
        <w:ind w:left="0" w:firstLine="0"/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default" w:ascii="Times New Roman" w:hAnsi="Times New Roman" w:eastAsia="Segoe UI" w:cs="Times New Roman"/>
          <w:i w:val="0"/>
          <w:iCs w:val="0"/>
          <w:caps w:val="0"/>
          <w:spacing w:val="0"/>
          <w:sz w:val="22"/>
          <w:szCs w:val="22"/>
          <w:shd w:val="clear" w:fill="FFFFFF"/>
        </w:rPr>
        <w:t>Note: Inhibition zone diameter (mm)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2"/>
          <w:szCs w:val="22"/>
          <w:shd w:val="clear" w:fill="FFFFFF"/>
          <w:lang w:val="en-US" w:eastAsia="zh-CN"/>
        </w:rPr>
        <w:t xml:space="preserve">;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spacing w:val="0"/>
          <w:sz w:val="22"/>
          <w:szCs w:val="22"/>
          <w:shd w:val="clear" w:fill="FFFFFF"/>
        </w:rPr>
        <w:t>+++: 20–30 mm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2"/>
          <w:szCs w:val="22"/>
          <w:shd w:val="clear" w:fill="FFFFFF"/>
          <w:lang w:val="en-US" w:eastAsia="zh-CN"/>
        </w:rPr>
        <w:t xml:space="preserve">;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spacing w:val="0"/>
          <w:sz w:val="22"/>
          <w:szCs w:val="22"/>
          <w:shd w:val="clear" w:fill="FFFFFF"/>
        </w:rPr>
        <w:t>++ : 10–19 mm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2"/>
          <w:szCs w:val="22"/>
          <w:shd w:val="clear" w:fill="FFFFFF"/>
          <w:lang w:val="en-US" w:eastAsia="zh-CN"/>
        </w:rPr>
        <w:t xml:space="preserve">;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spacing w:val="0"/>
          <w:sz w:val="22"/>
          <w:szCs w:val="22"/>
          <w:shd w:val="clear" w:fill="FFFFFF"/>
        </w:rPr>
        <w:t>+: 1–9 mm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2"/>
          <w:szCs w:val="22"/>
          <w:shd w:val="clear" w:fill="FFFFFF"/>
          <w:lang w:val="en-US" w:eastAsia="zh-CN"/>
        </w:rPr>
        <w:t xml:space="preserve">; </w:t>
      </w:r>
      <w:r>
        <w:rPr>
          <w:rFonts w:hint="default" w:ascii="Times New Roman" w:hAnsi="Times New Roman" w:cs="Times New Roman"/>
          <w:b/>
          <w:color w:val="000000" w:themeColor="text1"/>
          <w:kern w:val="0"/>
          <w:sz w:val="22"/>
          <w:szCs w:val="22"/>
          <w14:textFill>
            <w14:solidFill>
              <w14:schemeClr w14:val="tx1"/>
            </w14:solidFill>
          </w14:textFill>
        </w:rPr>
        <w:t>-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spacing w:val="0"/>
          <w:sz w:val="22"/>
          <w:szCs w:val="22"/>
          <w:shd w:val="clear" w:fill="FFFFFF"/>
        </w:rPr>
        <w:t>: No inhibition zone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spacing w:val="0"/>
          <w:sz w:val="22"/>
          <w:szCs w:val="22"/>
          <w:shd w:val="clear" w:fill="FFFFFF"/>
          <w:lang w:val="en-US" w:eastAsia="zh-CN"/>
        </w:rPr>
        <w:t>.</w:t>
      </w:r>
    </w:p>
    <w:p w14:paraId="7D1FEDB6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2"/>
          <w:szCs w:val="22"/>
          <w:lang w:val="en-US" w:eastAsia="zh-CN" w:bidi="ar"/>
        </w:rPr>
        <w:t>Table S3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 xml:space="preserve"> Statistics of non-coding RNA prediction results</w:t>
      </w:r>
    </w:p>
    <w:tbl>
      <w:tblPr>
        <w:tblStyle w:val="4"/>
        <w:tblW w:w="0" w:type="auto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50"/>
        <w:gridCol w:w="4150"/>
      </w:tblGrid>
      <w:tr w14:paraId="63AFB4F5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415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27A6C0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Type</w:t>
            </w:r>
          </w:p>
        </w:tc>
        <w:tc>
          <w:tcPr>
            <w:tcW w:w="415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28D4F17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Number of Genes</w:t>
            </w:r>
          </w:p>
        </w:tc>
      </w:tr>
      <w:tr w14:paraId="409C5011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41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BECEB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tRNA</w:t>
            </w:r>
          </w:p>
        </w:tc>
        <w:tc>
          <w:tcPr>
            <w:tcW w:w="415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1A2BF5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55</w:t>
            </w:r>
          </w:p>
        </w:tc>
      </w:tr>
      <w:tr w14:paraId="3C580EAD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150" w:type="dxa"/>
            <w:shd w:val="clear" w:color="auto" w:fill="auto"/>
            <w:vAlign w:val="top"/>
          </w:tcPr>
          <w:p w14:paraId="0243C0A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rRNA</w:t>
            </w:r>
          </w:p>
        </w:tc>
        <w:tc>
          <w:tcPr>
            <w:tcW w:w="4150" w:type="dxa"/>
            <w:shd w:val="clear" w:color="auto" w:fill="auto"/>
            <w:vAlign w:val="top"/>
          </w:tcPr>
          <w:p w14:paraId="7A9069F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60855BFC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150" w:type="dxa"/>
            <w:shd w:val="clear" w:color="auto" w:fill="auto"/>
            <w:vAlign w:val="top"/>
          </w:tcPr>
          <w:p w14:paraId="1B6178E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16S rRNA</w:t>
            </w:r>
          </w:p>
        </w:tc>
        <w:tc>
          <w:tcPr>
            <w:tcW w:w="4150" w:type="dxa"/>
            <w:shd w:val="clear" w:color="auto" w:fill="auto"/>
            <w:vAlign w:val="top"/>
          </w:tcPr>
          <w:p w14:paraId="43C470B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293F51FF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jc w:val="center"/>
        </w:trPr>
        <w:tc>
          <w:tcPr>
            <w:tcW w:w="4150" w:type="dxa"/>
            <w:shd w:val="clear" w:color="auto" w:fill="auto"/>
            <w:vAlign w:val="top"/>
          </w:tcPr>
          <w:p w14:paraId="0C576D9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5S rRNA</w:t>
            </w:r>
          </w:p>
        </w:tc>
        <w:tc>
          <w:tcPr>
            <w:tcW w:w="4150" w:type="dxa"/>
            <w:shd w:val="clear" w:color="auto" w:fill="auto"/>
            <w:vAlign w:val="top"/>
          </w:tcPr>
          <w:p w14:paraId="4D5C0A9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0</w:t>
            </w:r>
          </w:p>
        </w:tc>
      </w:tr>
      <w:tr w14:paraId="106A5401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41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331A0D6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23S rRNA</w:t>
            </w:r>
          </w:p>
        </w:tc>
        <w:tc>
          <w:tcPr>
            <w:tcW w:w="4150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362D346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0</w:t>
            </w:r>
          </w:p>
        </w:tc>
      </w:tr>
    </w:tbl>
    <w:p w14:paraId="6542B7D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0" w:firstLineChars="200"/>
        <w:jc w:val="both"/>
        <w:rPr>
          <w:rFonts w:hint="default" w:ascii="Times New Roman" w:hAnsi="Times New Roman" w:cs="Times New Roman"/>
          <w:sz w:val="22"/>
          <w:szCs w:val="22"/>
          <w:lang w:val="en-US"/>
        </w:rPr>
      </w:pPr>
    </w:p>
    <w:p w14:paraId="08E445D3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default" w:ascii="Times New Roman" w:hAnsi="Times New Roman" w:cs="Times New Roman"/>
          <w:color w:val="000000"/>
          <w:sz w:val="22"/>
          <w:szCs w:val="22"/>
          <w:lang w:val="en-US"/>
        </w:rPr>
      </w:pPr>
      <w:r>
        <w:rPr>
          <w:rFonts w:hint="default" w:ascii="Times New Roman" w:hAnsi="Times New Roman" w:eastAsia="宋体" w:cs="Times New Roman"/>
          <w:b/>
          <w:bCs/>
          <w:color w:val="000000"/>
          <w:kern w:val="2"/>
          <w:sz w:val="22"/>
          <w:szCs w:val="22"/>
          <w:lang w:val="en-US" w:eastAsia="zh-CN" w:bidi="ar"/>
        </w:rPr>
        <w:t>TableS4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 xml:space="preserve"> Gene </w:t>
      </w:r>
      <w:r>
        <w:rPr>
          <w:rFonts w:hint="eastAsia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I</w:t>
      </w:r>
      <w:r>
        <w:rPr>
          <w:rFonts w:hint="default" w:ascii="Times New Roman" w:hAnsi="Times New Roman" w:eastAsia="宋体" w:cs="Times New Roman"/>
          <w:color w:val="000000"/>
          <w:kern w:val="2"/>
          <w:sz w:val="22"/>
          <w:szCs w:val="22"/>
          <w:lang w:val="en-US" w:eastAsia="zh-CN" w:bidi="ar"/>
        </w:rPr>
        <w:t>sland and prophage prediction results</w:t>
      </w:r>
    </w:p>
    <w:tbl>
      <w:tblPr>
        <w:tblStyle w:val="4"/>
        <w:tblW w:w="0" w:type="auto"/>
        <w:jc w:val="center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2"/>
        <w:gridCol w:w="1831"/>
        <w:gridCol w:w="2362"/>
        <w:gridCol w:w="2141"/>
      </w:tblGrid>
      <w:tr w14:paraId="69763A45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0DFF101F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Type</w:t>
            </w:r>
          </w:p>
        </w:tc>
        <w:tc>
          <w:tcPr>
            <w:tcW w:w="183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58473EDD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Number</w:t>
            </w:r>
          </w:p>
        </w:tc>
        <w:tc>
          <w:tcPr>
            <w:tcW w:w="2362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6F3A53CB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Total Length</w:t>
            </w:r>
          </w:p>
        </w:tc>
        <w:tc>
          <w:tcPr>
            <w:tcW w:w="214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top"/>
          </w:tcPr>
          <w:p w14:paraId="667D77E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Average Length</w:t>
            </w:r>
          </w:p>
        </w:tc>
      </w:tr>
      <w:tr w14:paraId="10726232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A06DF3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Genomic Island</w:t>
            </w:r>
          </w:p>
        </w:tc>
        <w:tc>
          <w:tcPr>
            <w:tcW w:w="18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332B1A2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5</w:t>
            </w:r>
          </w:p>
        </w:tc>
        <w:tc>
          <w:tcPr>
            <w:tcW w:w="236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7C01CB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62,938 bp</w:t>
            </w:r>
          </w:p>
        </w:tc>
        <w:tc>
          <w:tcPr>
            <w:tcW w:w="214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BA1D6D7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12,588 bp</w:t>
            </w:r>
          </w:p>
        </w:tc>
      </w:tr>
      <w:tr w14:paraId="19887625"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6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3774580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Prophage</w:t>
            </w:r>
          </w:p>
        </w:tc>
        <w:tc>
          <w:tcPr>
            <w:tcW w:w="183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7B24CE8E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6</w:t>
            </w:r>
          </w:p>
        </w:tc>
        <w:tc>
          <w:tcPr>
            <w:tcW w:w="236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35DAA2B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328,305 bp</w:t>
            </w:r>
          </w:p>
        </w:tc>
        <w:tc>
          <w:tcPr>
            <w:tcW w:w="2141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vAlign w:val="top"/>
          </w:tcPr>
          <w:p w14:paraId="7FB06CC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00000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2"/>
                <w:szCs w:val="22"/>
                <w:lang w:val="en-US" w:eastAsia="zh-CN" w:bidi="ar"/>
              </w:rPr>
              <w:t>54,717.5 bp</w:t>
            </w:r>
          </w:p>
        </w:tc>
      </w:tr>
    </w:tbl>
    <w:p w14:paraId="078D314C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40" w:firstLineChars="200"/>
        <w:jc w:val="left"/>
        <w:outlineLvl w:val="0"/>
        <w:rPr>
          <w:rFonts w:hint="default" w:ascii="Times New Roman" w:hAnsi="Times New Roman" w:cs="Times New Roman"/>
          <w:color w:val="000000"/>
          <w:kern w:val="0"/>
          <w:sz w:val="22"/>
          <w:szCs w:val="22"/>
          <w:lang w:val="en-US"/>
        </w:rPr>
      </w:pPr>
    </w:p>
    <w:p w14:paraId="0098CFC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E06E6"/>
    <w:rsid w:val="33BE0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2025-11-24T10:32:00Z</dcterms:created>
  <dc:creator>对方正在输入...</dc:creator>
  <cp:lastModifiedBy>对方正在输入...</cp:lastModifiedBy>
  <dcterms:modified xsi:type="dcterms:W3CDTF">2025-11-24T10:33:09Z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705A369142B7497ABC21EC16B9DE3B10_11</vt:lpwstr>
  </property>
  <property fmtid="{D5CDD505-2E9C-101B-9397-08002B2CF9AE}" pid="4" name="KSOTemplateDocerSaveRecord">
    <vt:lpwstr>eyJoZGlkIjoiM2EwYWQxMzYyYTY3MDllZTljMzU3NzZiNjU5NjJjOTEiLCJ1c2VySWQiOiIyNTg1NzE5ODMifQ==</vt:lpwstr>
  </property>
</Properties>
</file>