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94BDD9" w14:textId="6C57DCD0" w:rsidR="00A13CF8" w:rsidRDefault="00A13CF8" w:rsidP="00A13CF8">
      <w:pPr>
        <w:pStyle w:val="NormalWeb"/>
        <w:spacing w:line="360" w:lineRule="auto"/>
        <w:rPr>
          <w:rStyle w:val="Heading2Char"/>
        </w:rPr>
      </w:pPr>
      <w:r>
        <w:rPr>
          <w:rStyle w:val="Heading2Char"/>
        </w:rPr>
        <w:t>Supplementary File</w:t>
      </w:r>
    </w:p>
    <w:p w14:paraId="50642949" w14:textId="03E2B645" w:rsidR="0098160E" w:rsidRPr="0098160E" w:rsidRDefault="00AC0BB5" w:rsidP="00AC0BB5">
      <w:pPr>
        <w:pStyle w:val="NormalWeb"/>
        <w:spacing w:line="360" w:lineRule="auto"/>
      </w:pPr>
      <w:r w:rsidRPr="00AC0BB5">
        <w:rPr>
          <w:rFonts w:asciiTheme="majorHAnsi" w:hAnsiTheme="majorHAnsi" w:cstheme="majorHAnsi"/>
          <w:b/>
          <w:bCs/>
        </w:rPr>
        <w:t xml:space="preserve">Figure S1: </w:t>
      </w:r>
      <w:r w:rsidR="00DF3A87" w:rsidRPr="00DF3A87">
        <w:rPr>
          <w:rFonts w:asciiTheme="majorHAnsi" w:hAnsiTheme="majorHAnsi" w:cstheme="majorHAnsi"/>
          <w:b/>
          <w:bCs/>
        </w:rPr>
        <w:t xml:space="preserve">Figure S1. Hierarchical visualization of the 60 </w:t>
      </w:r>
      <w:proofErr w:type="spellStart"/>
      <w:r w:rsidR="00DF3A87" w:rsidRPr="00DF3A87">
        <w:rPr>
          <w:rFonts w:asciiTheme="majorHAnsi" w:hAnsiTheme="majorHAnsi" w:cstheme="majorHAnsi"/>
          <w:b/>
          <w:bCs/>
        </w:rPr>
        <w:t>InflAIM</w:t>
      </w:r>
      <w:proofErr w:type="spellEnd"/>
      <w:r w:rsidR="00DF3A87" w:rsidRPr="00DF3A87">
        <w:rPr>
          <w:rFonts w:asciiTheme="majorHAnsi" w:hAnsiTheme="majorHAnsi" w:cstheme="majorHAnsi"/>
          <w:b/>
          <w:bCs/>
        </w:rPr>
        <w:t xml:space="preserve"> MLTC conditions. A fully interactive version is available at </w:t>
      </w:r>
      <w:hyperlink r:id="rId4" w:tgtFrame="_new" w:history="1">
        <w:r w:rsidR="00DF3A87" w:rsidRPr="00DF3A87">
          <w:rPr>
            <w:rStyle w:val="Hyperlink"/>
            <w:rFonts w:asciiTheme="majorHAnsi" w:hAnsiTheme="majorHAnsi" w:cstheme="majorHAnsi"/>
            <w:b/>
            <w:bCs/>
          </w:rPr>
          <w:t>https://inflaim-study.github.io/Inflaim_MLTC_paper/Supplementary%20figures/Fig_S1/</w:t>
        </w:r>
      </w:hyperlink>
      <w:r w:rsidR="00DF3A87" w:rsidRPr="00DF3A87">
        <w:rPr>
          <w:rFonts w:asciiTheme="majorHAnsi" w:hAnsiTheme="majorHAnsi" w:cstheme="majorHAnsi"/>
          <w:b/>
          <w:bCs/>
        </w:rPr>
        <w:t xml:space="preserve"> (archived at Zenodo, DOI: 10.5281/zenodo.17153086).</w:t>
      </w:r>
    </w:p>
    <w:p w14:paraId="55FD1164" w14:textId="4AB037C3" w:rsidR="00A13CF8" w:rsidRDefault="00A13CF8">
      <w:r w:rsidRPr="00D92415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581C5D" wp14:editId="33C05922">
                <wp:simplePos x="0" y="0"/>
                <wp:positionH relativeFrom="margin">
                  <wp:posOffset>3810</wp:posOffset>
                </wp:positionH>
                <wp:positionV relativeFrom="paragraph">
                  <wp:posOffset>6070600</wp:posOffset>
                </wp:positionV>
                <wp:extent cx="6078855" cy="810260"/>
                <wp:effectExtent l="0" t="0" r="0" b="8890"/>
                <wp:wrapTopAndBottom/>
                <wp:docPr id="4918374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8855" cy="810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8670F1" w14:textId="4F5E9121" w:rsidR="00A13CF8" w:rsidRPr="00613284" w:rsidRDefault="00A13CF8" w:rsidP="00A13CF8">
                            <w:pPr>
                              <w:pStyle w:val="Caption"/>
                              <w:rPr>
                                <w:noProof/>
                                <w:color w:val="auto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auto"/>
                              </w:rPr>
                              <w:t>*</w:t>
                            </w:r>
                            <w:r w:rsidRPr="00D21232">
                              <w:rPr>
                                <w:b w:val="0"/>
                                <w:bCs w:val="0"/>
                                <w:color w:val="auto"/>
                              </w:rPr>
                              <w:t>The hierarchy is delineated from high-level International Classification of Diseases (ICD-10) chapters (blue nodes) down to the 6</w:t>
                            </w:r>
                            <w:r w:rsidR="00C84D8D">
                              <w:rPr>
                                <w:b w:val="0"/>
                                <w:bCs w:val="0"/>
                                <w:color w:val="auto"/>
                              </w:rPr>
                              <w:t>0</w:t>
                            </w:r>
                            <w:r w:rsidRPr="00D21232">
                              <w:rPr>
                                <w:b w:val="0"/>
                                <w:bCs w:val="0"/>
                                <w:color w:val="auto"/>
                              </w:rPr>
                              <w:t xml:space="preserve"> specific LTCs (purple nodes). Each condition terminates in its constituent SNOMED CT codes, a 10% representative sample of which is displayed to demonstrate the distribution of code</w:t>
                            </w:r>
                            <w:r w:rsidR="00B471B4">
                              <w:rPr>
                                <w:b w:val="0"/>
                                <w:bCs w:val="0"/>
                                <w:color w:val="auto"/>
                              </w:rPr>
                              <w:t xml:space="preserve"> </w:t>
                            </w:r>
                            <w:r w:rsidRPr="00D21232">
                              <w:rPr>
                                <w:b w:val="0"/>
                                <w:bCs w:val="0"/>
                                <w:color w:val="auto"/>
                              </w:rPr>
                              <w:t>lists across all the conditions while maintaining visual clarity.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81C5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.3pt;margin-top:478pt;width:478.65pt;height:63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" stroked="f">
                <v:textbox inset="0,0,0,0">
                  <w:txbxContent>
                    <w:p w14:paraId="658670F1" w14:textId="4F5E9121" w:rsidR="00A13CF8" w:rsidRPr="00613284" w:rsidRDefault="00A13CF8" w:rsidP="00A13CF8">
                      <w:pPr>
                        <w:pStyle w:val="Caption"/>
                        <w:rPr>
                          <w:noProof/>
                          <w:color w:val="auto"/>
                          <w:szCs w:val="22"/>
                        </w:rPr>
                      </w:pPr>
                      <w:r>
                        <w:rPr>
                          <w:b w:val="0"/>
                          <w:bCs w:val="0"/>
                          <w:color w:val="auto"/>
                        </w:rPr>
                        <w:t>*</w:t>
                      </w:r>
                      <w:r w:rsidRPr="00D21232">
                        <w:rPr>
                          <w:b w:val="0"/>
                          <w:bCs w:val="0"/>
                          <w:color w:val="auto"/>
                        </w:rPr>
                        <w:t>The hierarchy is delineated from high-level International Classification of Diseases (ICD-10) chapters (blue nodes) down to the 6</w:t>
                      </w:r>
                      <w:r w:rsidR="00C84D8D">
                        <w:rPr>
                          <w:b w:val="0"/>
                          <w:bCs w:val="0"/>
                          <w:color w:val="auto"/>
                        </w:rPr>
                        <w:t>0</w:t>
                      </w:r>
                      <w:r w:rsidRPr="00D21232">
                        <w:rPr>
                          <w:b w:val="0"/>
                          <w:bCs w:val="0"/>
                          <w:color w:val="auto"/>
                        </w:rPr>
                        <w:t xml:space="preserve"> specific LTCs (purple nodes). Each condition terminates in its constituent SNOMED CT codes, a 10% representative sample of which is displayed to demonstrate the distribution of code</w:t>
                      </w:r>
                      <w:r w:rsidR="00B471B4">
                        <w:rPr>
                          <w:b w:val="0"/>
                          <w:bCs w:val="0"/>
                          <w:color w:val="auto"/>
                        </w:rPr>
                        <w:t xml:space="preserve"> </w:t>
                      </w:r>
                      <w:r w:rsidRPr="00D21232">
                        <w:rPr>
                          <w:b w:val="0"/>
                          <w:bCs w:val="0"/>
                          <w:color w:val="auto"/>
                        </w:rPr>
                        <w:t>lists across all the conditions while maintaining visual clarity.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D92415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9264" behindDoc="0" locked="0" layoutInCell="1" allowOverlap="1" wp14:anchorId="1032E0E0" wp14:editId="0AE9A4DB">
            <wp:simplePos x="0" y="0"/>
            <wp:positionH relativeFrom="margin">
              <wp:posOffset>0</wp:posOffset>
            </wp:positionH>
            <wp:positionV relativeFrom="paragraph">
              <wp:posOffset>317500</wp:posOffset>
            </wp:positionV>
            <wp:extent cx="5156200" cy="5323205"/>
            <wp:effectExtent l="0" t="0" r="6350" b="0"/>
            <wp:wrapTopAndBottom/>
            <wp:docPr id="557632459" name="Picture 4" descr="A circular pattern with a flow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632459" name="Picture 4" descr="A circular pattern with a flower&#10;&#10;AI-generated content may be incorrect."/>
                    <pic:cNvPicPr/>
                  </pic:nvPicPr>
                  <pic:blipFill rotWithShape="1">
                    <a:blip r:embed="rId5"/>
                    <a:srcRect l="5631" t="5513" r="7106" b="4390"/>
                    <a:stretch/>
                  </pic:blipFill>
                  <pic:spPr bwMode="auto">
                    <a:xfrm>
                      <a:off x="0" y="0"/>
                      <a:ext cx="5156200" cy="532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13C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CF8"/>
    <w:rsid w:val="001758DA"/>
    <w:rsid w:val="00216652"/>
    <w:rsid w:val="0034638F"/>
    <w:rsid w:val="004654F2"/>
    <w:rsid w:val="00540D1F"/>
    <w:rsid w:val="00784085"/>
    <w:rsid w:val="0098160E"/>
    <w:rsid w:val="00A13CF8"/>
    <w:rsid w:val="00A67223"/>
    <w:rsid w:val="00AC0BB5"/>
    <w:rsid w:val="00AD1769"/>
    <w:rsid w:val="00B471B4"/>
    <w:rsid w:val="00B801BF"/>
    <w:rsid w:val="00C84D8D"/>
    <w:rsid w:val="00DF3A87"/>
    <w:rsid w:val="00E471E5"/>
    <w:rsid w:val="00E60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4DB35"/>
  <w15:chartTrackingRefBased/>
  <w15:docId w15:val="{AD7B662A-FCD0-4520-B1C6-18E7CA94F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3C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3C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3C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3C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3C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3C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3C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3C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3C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3C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13C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3C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3C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3C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3C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3C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3C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3C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3C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3C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3C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3C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3C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3C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3C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3C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3C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3C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3CF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A13CF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kern w:val="0"/>
      <w:lang w:eastAsia="en-GB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A13CF8"/>
    <w:pPr>
      <w:spacing w:after="200" w:line="240" w:lineRule="auto"/>
    </w:pPr>
    <w:rPr>
      <w:rFonts w:ascii="Calibri" w:eastAsiaTheme="minorEastAsia" w:hAnsi="Calibri"/>
      <w:b/>
      <w:bCs/>
      <w:color w:val="156082" w:themeColor="accent1"/>
      <w:kern w:val="0"/>
      <w:sz w:val="18"/>
      <w:szCs w:val="18"/>
      <w:lang w:val="en-US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A13C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3C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CF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3C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3CF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C0BB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0BB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758D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28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inflaim-study.github.io/Inflaim_MLTC_paper/Supplementary%20figures/Fig_S1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Davies (MED - Staff)</dc:creator>
  <cp:keywords/>
  <dc:description/>
  <cp:lastModifiedBy>Charlotte Davies (MED - Staff)</cp:lastModifiedBy>
  <cp:revision>3</cp:revision>
  <dcterms:created xsi:type="dcterms:W3CDTF">2025-10-02T11:02:00Z</dcterms:created>
  <dcterms:modified xsi:type="dcterms:W3CDTF">2025-10-02T12:30:00Z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1221794592</vt:i4>
  </property>
  <property fmtid="{D5CDD505-2E9C-101B-9397-08002B2CF9AE}" pid="3" name="_NewReviewCycle">
    <vt:lpwstr/>
  </property>
  <property fmtid="{D5CDD505-2E9C-101B-9397-08002B2CF9AE}" pid="4" name="_EmailSubject">
    <vt:lpwstr>final final draft! MLTC paper</vt:lpwstr>
  </property>
  <property fmtid="{D5CDD505-2E9C-101B-9397-08002B2CF9AE}" pid="5" name="_AuthorEmail">
    <vt:lpwstr>Charlotte.Davies@uea.ac.uk</vt:lpwstr>
  </property>
  <property fmtid="{D5CDD505-2E9C-101B-9397-08002B2CF9AE}" pid="6" name="_AuthorEmailDisplayName">
    <vt:lpwstr>Charlotte Davies (MED - Staff)</vt:lpwstr>
  </property>
  <property fmtid="{D5CDD505-2E9C-101B-9397-08002B2CF9AE}" pid="7" name="_ReviewingToolsShownOnce">
    <vt:lpwstr/>
  </property>
</Properties>
</file>