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3634D" w14:textId="77777777" w:rsidR="00402DE9" w:rsidRPr="00F9306C" w:rsidRDefault="008D2104" w:rsidP="00583C7B">
      <w:pPr>
        <w:spacing w:after="0" w:line="180" w:lineRule="exact"/>
        <w:rPr>
          <w:rFonts w:cstheme="minorHAnsi"/>
          <w:b/>
          <w:lang w:val="en-GB"/>
        </w:rPr>
      </w:pPr>
      <w:proofErr w:type="spellStart"/>
      <w:r w:rsidRPr="00F9306C">
        <w:rPr>
          <w:rFonts w:cstheme="minorHAnsi"/>
          <w:b/>
          <w:lang w:val="en-GB"/>
        </w:rPr>
        <w:t>e</w:t>
      </w:r>
      <w:r w:rsidR="00402DE9" w:rsidRPr="00F9306C">
        <w:rPr>
          <w:rFonts w:cstheme="minorHAnsi"/>
          <w:b/>
          <w:lang w:val="en-GB"/>
        </w:rPr>
        <w:t>Table</w:t>
      </w:r>
      <w:proofErr w:type="spellEnd"/>
      <w:r w:rsidR="00402DE9" w:rsidRPr="00F9306C">
        <w:rPr>
          <w:rFonts w:cstheme="minorHAnsi"/>
          <w:b/>
          <w:lang w:val="en-GB"/>
        </w:rPr>
        <w:t xml:space="preserve"> 1. Definitions and data sources for </w:t>
      </w:r>
      <w:r w:rsidR="005028A0" w:rsidRPr="00F9306C">
        <w:rPr>
          <w:rFonts w:cstheme="minorHAnsi"/>
          <w:b/>
          <w:lang w:val="en-GB"/>
        </w:rPr>
        <w:t>mortality and economic</w:t>
      </w:r>
      <w:r w:rsidR="00402DE9" w:rsidRPr="00F9306C">
        <w:rPr>
          <w:rFonts w:cstheme="minorHAnsi"/>
          <w:b/>
          <w:lang w:val="en-GB"/>
        </w:rPr>
        <w:t xml:space="preserve"> variables. </w:t>
      </w:r>
    </w:p>
    <w:p w14:paraId="208574AA" w14:textId="77777777" w:rsidR="00583C7B" w:rsidRPr="00F9306C" w:rsidRDefault="00583C7B" w:rsidP="00583C7B">
      <w:pPr>
        <w:spacing w:after="0" w:line="180" w:lineRule="exact"/>
        <w:rPr>
          <w:rFonts w:ascii="Times New Roman" w:hAnsi="Times New Roman" w:cs="Times New Roman"/>
          <w:b/>
          <w:sz w:val="20"/>
          <w:szCs w:val="20"/>
          <w:lang w:val="en-GB"/>
        </w:rPr>
      </w:pPr>
    </w:p>
    <w:p w14:paraId="3AD9629E" w14:textId="77777777" w:rsidR="00402DE9" w:rsidRPr="00F9306C" w:rsidRDefault="00402DE9" w:rsidP="007178EF">
      <w:pPr>
        <w:spacing w:after="0" w:line="180" w:lineRule="exact"/>
        <w:rPr>
          <w:rFonts w:ascii="Times New Roman" w:hAnsi="Times New Roman" w:cs="Times New Roman"/>
          <w:b/>
          <w:sz w:val="24"/>
          <w:szCs w:val="24"/>
          <w:lang w:val="en-GB"/>
        </w:rPr>
      </w:pPr>
    </w:p>
    <w:tbl>
      <w:tblPr>
        <w:tblStyle w:val="Tablaconcuadrcula1"/>
        <w:tblW w:w="9639" w:type="dxa"/>
        <w:tblInd w:w="-5" w:type="dxa"/>
        <w:tblLayout w:type="fixed"/>
        <w:tblCellMar>
          <w:top w:w="28" w:type="dxa"/>
          <w:left w:w="28" w:type="dxa"/>
          <w:bottom w:w="28" w:type="dxa"/>
          <w:right w:w="28" w:type="dxa"/>
        </w:tblCellMar>
        <w:tblLook w:val="04A0" w:firstRow="1" w:lastRow="0" w:firstColumn="1" w:lastColumn="0" w:noHBand="0" w:noVBand="1"/>
      </w:tblPr>
      <w:tblGrid>
        <w:gridCol w:w="9639"/>
      </w:tblGrid>
      <w:tr w:rsidR="00402DE9" w:rsidRPr="002D1F09" w14:paraId="5C7441A6" w14:textId="77777777" w:rsidTr="00C2438A">
        <w:trPr>
          <w:trHeight w:val="955"/>
        </w:trPr>
        <w:tc>
          <w:tcPr>
            <w:tcW w:w="9639" w:type="dxa"/>
            <w:tcMar>
              <w:top w:w="28" w:type="dxa"/>
              <w:left w:w="28" w:type="dxa"/>
              <w:bottom w:w="28" w:type="dxa"/>
              <w:right w:w="28" w:type="dxa"/>
            </w:tcMar>
          </w:tcPr>
          <w:p w14:paraId="40A91E77" w14:textId="77777777" w:rsidR="00836610" w:rsidRPr="005C632B" w:rsidRDefault="00836610" w:rsidP="007178EF">
            <w:pPr>
              <w:spacing w:line="180" w:lineRule="exact"/>
              <w:ind w:left="176"/>
              <w:rPr>
                <w:rFonts w:cstheme="minorHAnsi"/>
                <w:sz w:val="18"/>
                <w:szCs w:val="18"/>
              </w:rPr>
            </w:pPr>
            <w:r w:rsidRPr="005C632B">
              <w:rPr>
                <w:rFonts w:cstheme="minorHAnsi"/>
                <w:b/>
                <w:sz w:val="18"/>
                <w:szCs w:val="18"/>
              </w:rPr>
              <w:t>All-cause mortality</w:t>
            </w:r>
            <w:r w:rsidR="00B41A73" w:rsidRPr="005C632B">
              <w:rPr>
                <w:rFonts w:cstheme="minorHAnsi"/>
                <w:b/>
                <w:sz w:val="18"/>
                <w:szCs w:val="18"/>
              </w:rPr>
              <w:t xml:space="preserve"> and population</w:t>
            </w:r>
            <w:r w:rsidRPr="005C632B">
              <w:rPr>
                <w:rFonts w:cstheme="minorHAnsi"/>
                <w:b/>
                <w:sz w:val="18"/>
                <w:szCs w:val="18"/>
              </w:rPr>
              <w:t xml:space="preserve">: </w:t>
            </w:r>
            <w:r w:rsidRPr="005C632B">
              <w:rPr>
                <w:rFonts w:cstheme="minorHAnsi"/>
                <w:sz w:val="18"/>
                <w:szCs w:val="18"/>
              </w:rPr>
              <w:t>The number of deaths from all causes by age group, month of the year and calendar-year, and populations by age group at the beginning and mid-year were obtained from the National Statistical Offices of each country.</w:t>
            </w:r>
          </w:p>
          <w:p w14:paraId="3302979E" w14:textId="77777777" w:rsidR="00836610" w:rsidRPr="005C632B" w:rsidRDefault="00B41A73" w:rsidP="007178EF">
            <w:pPr>
              <w:spacing w:line="180" w:lineRule="exact"/>
              <w:ind w:left="176"/>
              <w:rPr>
                <w:rFonts w:cstheme="minorHAnsi"/>
                <w:sz w:val="18"/>
                <w:szCs w:val="18"/>
                <w:u w:val="single"/>
              </w:rPr>
            </w:pPr>
            <w:r w:rsidRPr="005C632B">
              <w:rPr>
                <w:rFonts w:cstheme="minorHAnsi"/>
                <w:sz w:val="18"/>
                <w:szCs w:val="18"/>
                <w:u w:val="single"/>
              </w:rPr>
              <w:t>England/Wales</w:t>
            </w:r>
            <w:r w:rsidR="00836610" w:rsidRPr="005C632B">
              <w:rPr>
                <w:rFonts w:cstheme="minorHAnsi"/>
                <w:sz w:val="18"/>
                <w:szCs w:val="18"/>
                <w:u w:val="single"/>
              </w:rPr>
              <w:t xml:space="preserve">: </w:t>
            </w:r>
          </w:p>
          <w:p w14:paraId="057F60D1" w14:textId="77777777" w:rsidR="00836610" w:rsidRPr="00F9306C" w:rsidRDefault="00836610" w:rsidP="007178EF">
            <w:pPr>
              <w:numPr>
                <w:ilvl w:val="0"/>
                <w:numId w:val="2"/>
              </w:numPr>
              <w:spacing w:line="180" w:lineRule="exact"/>
              <w:ind w:left="459" w:hanging="175"/>
              <w:contextualSpacing/>
              <w:rPr>
                <w:rFonts w:cstheme="minorHAnsi"/>
                <w:sz w:val="16"/>
                <w:szCs w:val="16"/>
              </w:rPr>
            </w:pPr>
            <w:r w:rsidRPr="005C632B">
              <w:rPr>
                <w:rFonts w:cstheme="minorHAnsi"/>
                <w:sz w:val="18"/>
                <w:szCs w:val="18"/>
              </w:rPr>
              <w:t>Deaths from 200</w:t>
            </w:r>
            <w:r w:rsidR="00B41A73" w:rsidRPr="005C632B">
              <w:rPr>
                <w:rFonts w:cstheme="minorHAnsi"/>
                <w:sz w:val="18"/>
                <w:szCs w:val="18"/>
              </w:rPr>
              <w:t>1</w:t>
            </w:r>
            <w:r w:rsidRPr="005C632B">
              <w:rPr>
                <w:rFonts w:cstheme="minorHAnsi"/>
                <w:sz w:val="18"/>
                <w:szCs w:val="18"/>
              </w:rPr>
              <w:t xml:space="preserve"> to 201</w:t>
            </w:r>
            <w:r w:rsidR="00845525" w:rsidRPr="005C632B">
              <w:rPr>
                <w:rFonts w:cstheme="minorHAnsi"/>
                <w:sz w:val="18"/>
                <w:szCs w:val="18"/>
              </w:rPr>
              <w:t>4</w:t>
            </w:r>
            <w:r w:rsidRPr="005C632B">
              <w:rPr>
                <w:rFonts w:cstheme="minorHAnsi"/>
                <w:sz w:val="18"/>
                <w:szCs w:val="18"/>
              </w:rPr>
              <w:t xml:space="preserve"> were obtained from the website of the Office for National Statistics.</w:t>
            </w:r>
            <w:r w:rsidRPr="00F9306C">
              <w:rPr>
                <w:rFonts w:cstheme="minorHAnsi"/>
                <w:sz w:val="16"/>
                <w:szCs w:val="16"/>
              </w:rPr>
              <w:t xml:space="preserve">   </w:t>
            </w:r>
            <w:hyperlink r:id="rId7" w:tgtFrame="_blank" w:history="1">
              <w:r w:rsidRPr="00F9306C">
                <w:rPr>
                  <w:rFonts w:cstheme="minorHAnsi"/>
                  <w:color w:val="3366FF"/>
                  <w:sz w:val="16"/>
                  <w:szCs w:val="16"/>
                  <w:u w:val="single"/>
                  <w:bdr w:val="none" w:sz="0" w:space="0" w:color="auto" w:frame="1"/>
                  <w:shd w:val="clear" w:color="auto" w:fill="FFFFFF"/>
                </w:rPr>
                <w:t>https://www.ons.gov.uk/peoplepopulationandcommunity/birthsdeathsandmarriages/deaths/adhocs/006478deathsoccurringbysingleyearofagebysexyearandmonthofdeathforusualresidentsofenglandandwales1993to2014</w:t>
              </w:r>
            </w:hyperlink>
            <w:r w:rsidRPr="00F9306C">
              <w:rPr>
                <w:rFonts w:cstheme="minorHAnsi"/>
                <w:color w:val="3366FF"/>
                <w:sz w:val="16"/>
                <w:szCs w:val="16"/>
                <w:u w:val="single"/>
                <w:bdr w:val="none" w:sz="0" w:space="0" w:color="auto" w:frame="1"/>
                <w:shd w:val="clear" w:color="auto" w:fill="FFFFFF"/>
              </w:rPr>
              <w:t>.</w:t>
            </w:r>
          </w:p>
          <w:p w14:paraId="02B1F24B" w14:textId="77777777" w:rsidR="00836610" w:rsidRPr="005C632B" w:rsidRDefault="00836610" w:rsidP="007178EF">
            <w:pPr>
              <w:numPr>
                <w:ilvl w:val="0"/>
                <w:numId w:val="2"/>
              </w:numPr>
              <w:spacing w:line="180" w:lineRule="exact"/>
              <w:ind w:left="459" w:hanging="175"/>
              <w:contextualSpacing/>
              <w:rPr>
                <w:rFonts w:cstheme="minorHAnsi"/>
                <w:sz w:val="18"/>
                <w:szCs w:val="18"/>
              </w:rPr>
            </w:pPr>
            <w:r w:rsidRPr="005C632B">
              <w:rPr>
                <w:rFonts w:cstheme="minorHAnsi"/>
                <w:sz w:val="18"/>
                <w:szCs w:val="18"/>
              </w:rPr>
              <w:t>Deaths from 201</w:t>
            </w:r>
            <w:r w:rsidR="00845525" w:rsidRPr="005C632B">
              <w:rPr>
                <w:rFonts w:cstheme="minorHAnsi"/>
                <w:sz w:val="18"/>
                <w:szCs w:val="18"/>
              </w:rPr>
              <w:t>5</w:t>
            </w:r>
            <w:r w:rsidRPr="005C632B">
              <w:rPr>
                <w:rFonts w:cstheme="minorHAnsi"/>
                <w:sz w:val="18"/>
                <w:szCs w:val="18"/>
              </w:rPr>
              <w:t xml:space="preserve"> to 201</w:t>
            </w:r>
            <w:r w:rsidR="00845525" w:rsidRPr="005C632B">
              <w:rPr>
                <w:rFonts w:cstheme="minorHAnsi"/>
                <w:sz w:val="18"/>
                <w:szCs w:val="18"/>
              </w:rPr>
              <w:t>9</w:t>
            </w:r>
            <w:r w:rsidRPr="005C632B">
              <w:rPr>
                <w:rFonts w:cstheme="minorHAnsi"/>
                <w:sz w:val="18"/>
                <w:szCs w:val="18"/>
              </w:rPr>
              <w:t xml:space="preserve"> were provided directly by the Office for National Statistics.</w:t>
            </w:r>
          </w:p>
          <w:p w14:paraId="7FA8DBD8" w14:textId="77777777" w:rsidR="00B41A73" w:rsidRPr="00F9306C" w:rsidRDefault="00B41A73" w:rsidP="00B41A73">
            <w:pPr>
              <w:numPr>
                <w:ilvl w:val="0"/>
                <w:numId w:val="2"/>
              </w:numPr>
              <w:spacing w:line="180" w:lineRule="exact"/>
              <w:ind w:left="459" w:hanging="175"/>
              <w:contextualSpacing/>
              <w:rPr>
                <w:rFonts w:cstheme="minorHAnsi"/>
                <w:sz w:val="16"/>
                <w:szCs w:val="16"/>
              </w:rPr>
            </w:pPr>
            <w:r w:rsidRPr="005C632B">
              <w:rPr>
                <w:rFonts w:cstheme="minorHAnsi"/>
                <w:sz w:val="18"/>
                <w:szCs w:val="18"/>
              </w:rPr>
              <w:t>Population w</w:t>
            </w:r>
            <w:r w:rsidR="000216FC" w:rsidRPr="005C632B">
              <w:rPr>
                <w:rFonts w:cstheme="minorHAnsi"/>
                <w:sz w:val="18"/>
                <w:szCs w:val="18"/>
              </w:rPr>
              <w:t>as</w:t>
            </w:r>
            <w:r w:rsidRPr="005C632B">
              <w:rPr>
                <w:rFonts w:cstheme="minorHAnsi"/>
                <w:sz w:val="18"/>
                <w:szCs w:val="18"/>
              </w:rPr>
              <w:t xml:space="preserve"> obtained from the website of the Office for National Statistics.</w:t>
            </w:r>
            <w:r w:rsidRPr="00F9306C">
              <w:rPr>
                <w:rFonts w:cstheme="minorHAnsi"/>
                <w:sz w:val="16"/>
                <w:szCs w:val="16"/>
              </w:rPr>
              <w:t xml:space="preserve"> </w:t>
            </w:r>
            <w:hyperlink r:id="rId8" w:history="1">
              <w:r w:rsidRPr="00F9306C">
                <w:rPr>
                  <w:rFonts w:cstheme="minorHAnsi"/>
                  <w:color w:val="3366FF"/>
                  <w:sz w:val="16"/>
                  <w:szCs w:val="16"/>
                  <w:u w:val="single"/>
                </w:rPr>
                <w:t>https://www.ons.gov.uk/peoplepopulationandcommunity/populationandmigration/populationestimates/datasets/populationestimatesforukenglandandwalesscotlandandnorthernireland</w:t>
              </w:r>
            </w:hyperlink>
            <w:r w:rsidRPr="00F9306C">
              <w:rPr>
                <w:rFonts w:cstheme="minorHAnsi"/>
                <w:color w:val="3366FF"/>
                <w:sz w:val="16"/>
                <w:szCs w:val="16"/>
                <w:u w:val="single"/>
              </w:rPr>
              <w:t>.</w:t>
            </w:r>
          </w:p>
          <w:p w14:paraId="0C06DAF2" w14:textId="77777777" w:rsidR="00B41A73" w:rsidRPr="005C632B" w:rsidRDefault="00B41A73" w:rsidP="00B41A73">
            <w:pPr>
              <w:spacing w:line="180" w:lineRule="exact"/>
              <w:ind w:left="113"/>
              <w:contextualSpacing/>
              <w:rPr>
                <w:rFonts w:cstheme="minorHAnsi"/>
                <w:sz w:val="18"/>
                <w:szCs w:val="18"/>
                <w:u w:val="single"/>
              </w:rPr>
            </w:pPr>
            <w:r w:rsidRPr="005C632B">
              <w:rPr>
                <w:rFonts w:cstheme="minorHAnsi"/>
                <w:sz w:val="18"/>
                <w:szCs w:val="18"/>
                <w:u w:val="single"/>
              </w:rPr>
              <w:t>Scotland:</w:t>
            </w:r>
          </w:p>
          <w:p w14:paraId="7E0A287D" w14:textId="77777777" w:rsidR="00B41A73" w:rsidRPr="00F9306C" w:rsidRDefault="00B41A73" w:rsidP="006020D0">
            <w:pPr>
              <w:numPr>
                <w:ilvl w:val="0"/>
                <w:numId w:val="2"/>
              </w:numPr>
              <w:spacing w:line="180" w:lineRule="exact"/>
              <w:ind w:left="397" w:hanging="142"/>
              <w:contextualSpacing/>
              <w:rPr>
                <w:rFonts w:cstheme="minorHAnsi"/>
                <w:sz w:val="16"/>
                <w:szCs w:val="16"/>
              </w:rPr>
            </w:pPr>
            <w:r w:rsidRPr="005C632B">
              <w:rPr>
                <w:rFonts w:cstheme="minorHAnsi"/>
                <w:sz w:val="18"/>
                <w:szCs w:val="18"/>
              </w:rPr>
              <w:t>Deaths from 2005-2019 were obtained from the website of the National Records of Scotland/</w:t>
            </w:r>
            <w:proofErr w:type="spellStart"/>
            <w:r w:rsidRPr="005C632B">
              <w:rPr>
                <w:rFonts w:cstheme="minorHAnsi"/>
                <w:sz w:val="18"/>
                <w:szCs w:val="18"/>
              </w:rPr>
              <w:t>ScotlandsPeople</w:t>
            </w:r>
            <w:proofErr w:type="spellEnd"/>
            <w:r w:rsidRPr="005C632B">
              <w:rPr>
                <w:rFonts w:cstheme="minorHAnsi"/>
                <w:sz w:val="18"/>
                <w:szCs w:val="18"/>
              </w:rPr>
              <w:t>.</w:t>
            </w:r>
            <w:r w:rsidR="00597DD4" w:rsidRPr="005C632B">
              <w:rPr>
                <w:rFonts w:cstheme="minorHAnsi"/>
                <w:sz w:val="18"/>
                <w:szCs w:val="18"/>
              </w:rPr>
              <w:t xml:space="preserve"> </w:t>
            </w:r>
            <w:hyperlink r:id="rId9" w:history="1">
              <w:r w:rsidR="006020D0" w:rsidRPr="00F9306C">
                <w:rPr>
                  <w:rStyle w:val="Hipervnculo"/>
                  <w:rFonts w:cstheme="minorHAnsi"/>
                  <w:sz w:val="16"/>
                  <w:szCs w:val="16"/>
                </w:rPr>
                <w:t>https://www.nrscotland.gov.uk/statistics-and-data/statistics/statistics-by-theme/vital-events</w:t>
              </w:r>
            </w:hyperlink>
            <w:r w:rsidR="006020D0" w:rsidRPr="00F9306C">
              <w:rPr>
                <w:rFonts w:cstheme="minorHAnsi"/>
                <w:sz w:val="16"/>
                <w:szCs w:val="16"/>
              </w:rPr>
              <w:t>.</w:t>
            </w:r>
          </w:p>
          <w:p w14:paraId="66C0348D" w14:textId="77777777" w:rsidR="000216FC" w:rsidRPr="005C632B" w:rsidRDefault="00B41A73" w:rsidP="000216FC">
            <w:pPr>
              <w:numPr>
                <w:ilvl w:val="0"/>
                <w:numId w:val="2"/>
              </w:numPr>
              <w:spacing w:line="180" w:lineRule="exact"/>
              <w:ind w:left="397" w:hanging="142"/>
              <w:contextualSpacing/>
              <w:rPr>
                <w:rFonts w:cstheme="minorHAnsi"/>
                <w:sz w:val="18"/>
                <w:szCs w:val="18"/>
              </w:rPr>
            </w:pPr>
            <w:r w:rsidRPr="005C632B">
              <w:rPr>
                <w:rFonts w:cstheme="minorHAnsi"/>
                <w:sz w:val="18"/>
                <w:szCs w:val="18"/>
              </w:rPr>
              <w:t xml:space="preserve">Deaths from 2001 to </w:t>
            </w:r>
            <w:r w:rsidR="000216FC" w:rsidRPr="005C632B">
              <w:rPr>
                <w:rFonts w:cstheme="minorHAnsi"/>
                <w:sz w:val="18"/>
                <w:szCs w:val="18"/>
              </w:rPr>
              <w:t>20</w:t>
            </w:r>
            <w:r w:rsidRPr="005C632B">
              <w:rPr>
                <w:rFonts w:cstheme="minorHAnsi"/>
                <w:sz w:val="18"/>
                <w:szCs w:val="18"/>
              </w:rPr>
              <w:t>04 were provided directly by the National Records of Scotland/</w:t>
            </w:r>
            <w:proofErr w:type="spellStart"/>
            <w:r w:rsidRPr="005C632B">
              <w:rPr>
                <w:rFonts w:cstheme="minorHAnsi"/>
                <w:sz w:val="18"/>
                <w:szCs w:val="18"/>
              </w:rPr>
              <w:t>ScotlandsPeople</w:t>
            </w:r>
            <w:proofErr w:type="spellEnd"/>
            <w:r w:rsidRPr="005C632B">
              <w:rPr>
                <w:rFonts w:cstheme="minorHAnsi"/>
                <w:sz w:val="18"/>
                <w:szCs w:val="18"/>
              </w:rPr>
              <w:t>.</w:t>
            </w:r>
          </w:p>
          <w:p w14:paraId="76ACE9D9" w14:textId="77777777" w:rsidR="000216FC" w:rsidRPr="00F9306C" w:rsidRDefault="000216FC" w:rsidP="006020D0">
            <w:pPr>
              <w:numPr>
                <w:ilvl w:val="0"/>
                <w:numId w:val="2"/>
              </w:numPr>
              <w:spacing w:line="180" w:lineRule="exact"/>
              <w:ind w:left="397" w:hanging="142"/>
              <w:contextualSpacing/>
              <w:rPr>
                <w:rFonts w:cstheme="minorHAnsi"/>
                <w:sz w:val="16"/>
                <w:szCs w:val="16"/>
              </w:rPr>
            </w:pPr>
            <w:r w:rsidRPr="005C632B">
              <w:rPr>
                <w:rFonts w:cstheme="minorHAnsi"/>
                <w:sz w:val="18"/>
                <w:szCs w:val="18"/>
              </w:rPr>
              <w:t>Populatio</w:t>
            </w:r>
            <w:r w:rsidR="00597DD4" w:rsidRPr="005C632B">
              <w:rPr>
                <w:rFonts w:cstheme="minorHAnsi"/>
                <w:sz w:val="18"/>
                <w:szCs w:val="18"/>
              </w:rPr>
              <w:t>n</w:t>
            </w:r>
            <w:r w:rsidRPr="005C632B">
              <w:rPr>
                <w:rFonts w:cstheme="minorHAnsi"/>
                <w:sz w:val="18"/>
                <w:szCs w:val="18"/>
              </w:rPr>
              <w:t xml:space="preserve"> was obtained from the website of the National Records of Scotland/</w:t>
            </w:r>
            <w:proofErr w:type="spellStart"/>
            <w:r w:rsidRPr="005C632B">
              <w:rPr>
                <w:rFonts w:cstheme="minorHAnsi"/>
                <w:sz w:val="18"/>
                <w:szCs w:val="18"/>
              </w:rPr>
              <w:t>ScotlandsPeople</w:t>
            </w:r>
            <w:proofErr w:type="spellEnd"/>
            <w:r w:rsidRPr="00F9306C">
              <w:rPr>
                <w:rFonts w:cstheme="minorHAnsi"/>
                <w:sz w:val="16"/>
                <w:szCs w:val="16"/>
              </w:rPr>
              <w:t>.</w:t>
            </w:r>
            <w:r w:rsidR="006020D0" w:rsidRPr="00F9306C">
              <w:t xml:space="preserve"> </w:t>
            </w:r>
            <w:hyperlink r:id="rId10" w:history="1">
              <w:r w:rsidR="006020D0" w:rsidRPr="00F9306C">
                <w:rPr>
                  <w:rStyle w:val="Hipervnculo"/>
                  <w:rFonts w:cstheme="minorHAnsi"/>
                  <w:sz w:val="16"/>
                  <w:szCs w:val="16"/>
                </w:rPr>
                <w:t>https://www.nrscotland.gov.uk/statistics-and-data/statistics/statistics-by-theme/vital-events</w:t>
              </w:r>
            </w:hyperlink>
            <w:r w:rsidR="006020D0" w:rsidRPr="00F9306C">
              <w:rPr>
                <w:rFonts w:cstheme="minorHAnsi"/>
                <w:sz w:val="16"/>
                <w:szCs w:val="16"/>
              </w:rPr>
              <w:t>.</w:t>
            </w:r>
          </w:p>
          <w:p w14:paraId="629427DC" w14:textId="77777777" w:rsidR="0079778D" w:rsidRPr="005C632B" w:rsidRDefault="00845525" w:rsidP="00B41A73">
            <w:pPr>
              <w:spacing w:line="180" w:lineRule="exact"/>
              <w:ind w:left="113"/>
              <w:contextualSpacing/>
              <w:rPr>
                <w:rFonts w:cstheme="minorHAnsi"/>
                <w:sz w:val="18"/>
                <w:szCs w:val="18"/>
              </w:rPr>
            </w:pPr>
            <w:r w:rsidRPr="005C632B">
              <w:rPr>
                <w:rFonts w:cstheme="minorHAnsi"/>
                <w:sz w:val="18"/>
                <w:szCs w:val="18"/>
                <w:u w:val="single"/>
              </w:rPr>
              <w:t>Italy</w:t>
            </w:r>
            <w:r w:rsidRPr="005C632B">
              <w:rPr>
                <w:rFonts w:cstheme="minorHAnsi"/>
                <w:sz w:val="18"/>
                <w:szCs w:val="18"/>
              </w:rPr>
              <w:t>:</w:t>
            </w:r>
            <w:r w:rsidR="0079778D" w:rsidRPr="005C632B">
              <w:rPr>
                <w:rFonts w:cstheme="minorHAnsi"/>
                <w:sz w:val="18"/>
                <w:szCs w:val="18"/>
              </w:rPr>
              <w:t xml:space="preserve"> </w:t>
            </w:r>
          </w:p>
          <w:p w14:paraId="68CA10D7" w14:textId="77777777" w:rsidR="006050D5" w:rsidRPr="005C632B" w:rsidRDefault="0079778D" w:rsidP="007178EF">
            <w:pPr>
              <w:pStyle w:val="Prrafodelista"/>
              <w:numPr>
                <w:ilvl w:val="0"/>
                <w:numId w:val="5"/>
              </w:numPr>
              <w:spacing w:line="180" w:lineRule="exact"/>
              <w:ind w:left="397" w:hanging="142"/>
              <w:rPr>
                <w:rFonts w:cstheme="minorHAnsi"/>
                <w:sz w:val="18"/>
                <w:szCs w:val="18"/>
              </w:rPr>
            </w:pPr>
            <w:r w:rsidRPr="005C632B">
              <w:rPr>
                <w:rFonts w:cstheme="minorHAnsi"/>
                <w:sz w:val="18"/>
                <w:szCs w:val="18"/>
              </w:rPr>
              <w:t>Deaths from 2003 to 2019 were obtained from the website of</w:t>
            </w:r>
            <w:r w:rsidR="006050D5" w:rsidRPr="005C632B">
              <w:rPr>
                <w:sz w:val="18"/>
                <w:szCs w:val="18"/>
              </w:rPr>
              <w:t xml:space="preserve"> </w:t>
            </w:r>
            <w:proofErr w:type="spellStart"/>
            <w:r w:rsidR="006050D5" w:rsidRPr="005C632B">
              <w:rPr>
                <w:rFonts w:cstheme="minorHAnsi"/>
                <w:sz w:val="18"/>
                <w:szCs w:val="18"/>
              </w:rPr>
              <w:t>Istituto</w:t>
            </w:r>
            <w:proofErr w:type="spellEnd"/>
            <w:r w:rsidR="006050D5" w:rsidRPr="005C632B">
              <w:rPr>
                <w:rFonts w:cstheme="minorHAnsi"/>
                <w:sz w:val="18"/>
                <w:szCs w:val="18"/>
              </w:rPr>
              <w:t xml:space="preserve"> Nazionale di </w:t>
            </w:r>
            <w:proofErr w:type="spellStart"/>
            <w:r w:rsidR="006050D5" w:rsidRPr="005C632B">
              <w:rPr>
                <w:rFonts w:cstheme="minorHAnsi"/>
                <w:sz w:val="18"/>
                <w:szCs w:val="18"/>
              </w:rPr>
              <w:t>Statistica</w:t>
            </w:r>
            <w:proofErr w:type="spellEnd"/>
            <w:r w:rsidR="006050D5" w:rsidRPr="005C632B">
              <w:rPr>
                <w:rFonts w:cstheme="minorHAnsi"/>
                <w:sz w:val="18"/>
                <w:szCs w:val="18"/>
              </w:rPr>
              <w:t xml:space="preserve"> (</w:t>
            </w:r>
            <w:r w:rsidRPr="005C632B">
              <w:rPr>
                <w:rFonts w:cstheme="minorHAnsi"/>
                <w:sz w:val="18"/>
                <w:szCs w:val="18"/>
              </w:rPr>
              <w:t>ISTAT</w:t>
            </w:r>
            <w:r w:rsidR="006050D5" w:rsidRPr="005C632B">
              <w:rPr>
                <w:rFonts w:cstheme="minorHAnsi"/>
                <w:sz w:val="18"/>
                <w:szCs w:val="18"/>
              </w:rPr>
              <w:t xml:space="preserve">). ISTAT. Mortality by place of registration: education level, marital status and month of death. Available in: </w:t>
            </w:r>
            <w:hyperlink r:id="rId11" w:history="1">
              <w:r w:rsidR="006050D5" w:rsidRPr="005C632B">
                <w:rPr>
                  <w:rStyle w:val="Hipervnculo"/>
                  <w:rFonts w:cstheme="minorHAnsi"/>
                  <w:sz w:val="16"/>
                  <w:szCs w:val="16"/>
                </w:rPr>
                <w:t>http://dati.istat.it/Index.aspx?QueryId=26434&amp;lang=en</w:t>
              </w:r>
            </w:hyperlink>
            <w:r w:rsidR="006050D5" w:rsidRPr="005C632B">
              <w:rPr>
                <w:rFonts w:cstheme="minorHAnsi"/>
                <w:sz w:val="18"/>
                <w:szCs w:val="18"/>
              </w:rPr>
              <w:t xml:space="preserve"> (Accessed 25 April 2024).</w:t>
            </w:r>
          </w:p>
          <w:p w14:paraId="2AF4F3DB" w14:textId="77777777" w:rsidR="000216FC" w:rsidRPr="005C632B" w:rsidRDefault="0079778D" w:rsidP="000216FC">
            <w:pPr>
              <w:pStyle w:val="Prrafodelista"/>
              <w:numPr>
                <w:ilvl w:val="0"/>
                <w:numId w:val="5"/>
              </w:numPr>
              <w:spacing w:line="180" w:lineRule="exact"/>
              <w:ind w:left="397" w:hanging="142"/>
              <w:rPr>
                <w:rFonts w:cstheme="minorHAnsi"/>
                <w:sz w:val="18"/>
                <w:szCs w:val="18"/>
              </w:rPr>
            </w:pPr>
            <w:r w:rsidRPr="005C632B">
              <w:rPr>
                <w:rFonts w:cstheme="minorHAnsi"/>
                <w:sz w:val="18"/>
                <w:szCs w:val="18"/>
              </w:rPr>
              <w:t>Deaths from 2001 and 2002 were</w:t>
            </w:r>
            <w:r w:rsidR="00DC0514" w:rsidRPr="005C632B">
              <w:rPr>
                <w:rFonts w:cstheme="minorHAnsi"/>
                <w:sz w:val="18"/>
                <w:szCs w:val="18"/>
              </w:rPr>
              <w:t xml:space="preserve"> provided directly to researchers by the ISTAT.</w:t>
            </w:r>
          </w:p>
          <w:p w14:paraId="123BD3AE" w14:textId="77777777" w:rsidR="000216FC" w:rsidRPr="005C632B" w:rsidRDefault="000216FC" w:rsidP="000216FC">
            <w:pPr>
              <w:pStyle w:val="Prrafodelista"/>
              <w:numPr>
                <w:ilvl w:val="0"/>
                <w:numId w:val="5"/>
              </w:numPr>
              <w:spacing w:line="180" w:lineRule="exact"/>
              <w:ind w:left="397" w:hanging="142"/>
              <w:rPr>
                <w:rFonts w:cstheme="minorHAnsi"/>
                <w:sz w:val="18"/>
                <w:szCs w:val="18"/>
              </w:rPr>
            </w:pPr>
            <w:r w:rsidRPr="005C632B">
              <w:rPr>
                <w:rFonts w:cstheme="minorHAnsi"/>
                <w:sz w:val="18"/>
                <w:szCs w:val="18"/>
              </w:rPr>
              <w:t xml:space="preserve">Population was obtained from the website of </w:t>
            </w:r>
            <w:proofErr w:type="spellStart"/>
            <w:r w:rsidRPr="005C632B">
              <w:rPr>
                <w:rFonts w:cstheme="minorHAnsi"/>
                <w:sz w:val="18"/>
                <w:szCs w:val="18"/>
              </w:rPr>
              <w:t>Istituto</w:t>
            </w:r>
            <w:proofErr w:type="spellEnd"/>
            <w:r w:rsidRPr="005C632B">
              <w:rPr>
                <w:rFonts w:cstheme="minorHAnsi"/>
                <w:sz w:val="18"/>
                <w:szCs w:val="18"/>
              </w:rPr>
              <w:t xml:space="preserve"> Nazionale di </w:t>
            </w:r>
            <w:proofErr w:type="spellStart"/>
            <w:r w:rsidRPr="005C632B">
              <w:rPr>
                <w:rFonts w:cstheme="minorHAnsi"/>
                <w:sz w:val="18"/>
                <w:szCs w:val="18"/>
              </w:rPr>
              <w:t>Statistica</w:t>
            </w:r>
            <w:proofErr w:type="spellEnd"/>
            <w:r w:rsidRPr="005C632B">
              <w:rPr>
                <w:rFonts w:cstheme="minorHAnsi"/>
                <w:sz w:val="18"/>
                <w:szCs w:val="18"/>
              </w:rPr>
              <w:t xml:space="preserve"> (ISTAT).</w:t>
            </w:r>
            <w:r w:rsidR="00CB2743" w:rsidRPr="005C632B">
              <w:rPr>
                <w:rFonts w:cstheme="minorHAnsi"/>
                <w:sz w:val="18"/>
                <w:szCs w:val="18"/>
              </w:rPr>
              <w:t xml:space="preserve"> </w:t>
            </w:r>
          </w:p>
          <w:p w14:paraId="1C3479C1" w14:textId="77777777" w:rsidR="00836610" w:rsidRPr="005C632B" w:rsidRDefault="00836610" w:rsidP="007178EF">
            <w:pPr>
              <w:spacing w:line="180" w:lineRule="exact"/>
              <w:ind w:left="318" w:hanging="175"/>
              <w:jc w:val="both"/>
              <w:rPr>
                <w:rFonts w:cstheme="minorHAnsi"/>
                <w:sz w:val="18"/>
                <w:szCs w:val="18"/>
                <w:u w:val="single"/>
              </w:rPr>
            </w:pPr>
            <w:r w:rsidRPr="005C632B">
              <w:rPr>
                <w:rFonts w:cstheme="minorHAnsi"/>
                <w:sz w:val="18"/>
                <w:szCs w:val="18"/>
                <w:u w:val="single"/>
              </w:rPr>
              <w:t xml:space="preserve">Spain: </w:t>
            </w:r>
          </w:p>
          <w:p w14:paraId="242F95CA" w14:textId="77777777" w:rsidR="00836610" w:rsidRPr="005C632B" w:rsidRDefault="00836610" w:rsidP="007178EF">
            <w:pPr>
              <w:spacing w:line="180" w:lineRule="exact"/>
              <w:ind w:left="318" w:hanging="175"/>
              <w:jc w:val="both"/>
              <w:rPr>
                <w:rFonts w:cstheme="minorHAnsi"/>
                <w:sz w:val="18"/>
                <w:szCs w:val="18"/>
              </w:rPr>
            </w:pPr>
            <w:r w:rsidRPr="005C632B">
              <w:rPr>
                <w:rFonts w:cstheme="minorHAnsi"/>
                <w:sz w:val="18"/>
                <w:szCs w:val="18"/>
              </w:rPr>
              <w:t>Both deaths and mid-year populations were obtained from the website of the Spanish Statistical Office (INE).</w:t>
            </w:r>
          </w:p>
          <w:p w14:paraId="50923475" w14:textId="77777777" w:rsidR="006412D2" w:rsidRPr="00F9306C" w:rsidRDefault="00836610" w:rsidP="005C632B">
            <w:pPr>
              <w:numPr>
                <w:ilvl w:val="0"/>
                <w:numId w:val="3"/>
              </w:numPr>
              <w:spacing w:line="180" w:lineRule="exact"/>
              <w:ind w:left="459" w:hanging="175"/>
              <w:contextualSpacing/>
              <w:rPr>
                <w:rFonts w:cstheme="minorHAnsi"/>
                <w:color w:val="3366FF"/>
                <w:sz w:val="16"/>
                <w:szCs w:val="16"/>
                <w:u w:val="single"/>
                <w:lang w:val="en-GB"/>
              </w:rPr>
            </w:pPr>
            <w:r w:rsidRPr="005C632B">
              <w:rPr>
                <w:rFonts w:cstheme="minorHAnsi"/>
                <w:sz w:val="18"/>
                <w:szCs w:val="18"/>
              </w:rPr>
              <w:t>Deaths.</w:t>
            </w:r>
            <w:r w:rsidRPr="00F9306C">
              <w:rPr>
                <w:rFonts w:cstheme="minorHAnsi"/>
                <w:sz w:val="16"/>
                <w:szCs w:val="16"/>
              </w:rPr>
              <w:t xml:space="preserve"> </w:t>
            </w:r>
            <w:hyperlink r:id="rId12" w:history="1">
              <w:r w:rsidRPr="00F9306C">
                <w:rPr>
                  <w:rFonts w:cstheme="minorHAnsi"/>
                  <w:color w:val="3366FF"/>
                  <w:sz w:val="16"/>
                  <w:szCs w:val="16"/>
                  <w:u w:val="single"/>
                  <w:lang w:val="en-GB"/>
                </w:rPr>
                <w:t>https://www.ine.es/dyngs/INEbase/en/operacion.htm?c=Estadistica_C&amp;cid=1254736177008&amp;menu=resultados&amp;idp=1254735573002</w:t>
              </w:r>
            </w:hyperlink>
            <w:r w:rsidRPr="00F9306C">
              <w:rPr>
                <w:rFonts w:cstheme="minorHAnsi"/>
                <w:color w:val="3366FF"/>
                <w:sz w:val="16"/>
                <w:szCs w:val="16"/>
                <w:u w:val="single"/>
                <w:lang w:val="en-GB"/>
              </w:rPr>
              <w:t>.</w:t>
            </w:r>
          </w:p>
          <w:p w14:paraId="13F350B0" w14:textId="77777777" w:rsidR="00836610" w:rsidRPr="005C632B" w:rsidRDefault="00836610" w:rsidP="005C632B">
            <w:pPr>
              <w:numPr>
                <w:ilvl w:val="0"/>
                <w:numId w:val="3"/>
              </w:numPr>
              <w:spacing w:line="180" w:lineRule="exact"/>
              <w:ind w:left="459" w:hanging="175"/>
              <w:contextualSpacing/>
              <w:rPr>
                <w:rFonts w:cstheme="minorHAnsi"/>
                <w:color w:val="3366FF"/>
                <w:sz w:val="18"/>
                <w:szCs w:val="18"/>
                <w:u w:val="single"/>
                <w:lang w:val="en-GB"/>
              </w:rPr>
            </w:pPr>
            <w:r w:rsidRPr="005C632B">
              <w:rPr>
                <w:rFonts w:cstheme="minorHAnsi"/>
                <w:sz w:val="18"/>
                <w:szCs w:val="18"/>
              </w:rPr>
              <w:t>Population</w:t>
            </w:r>
            <w:r w:rsidR="006412D2" w:rsidRPr="005C632B">
              <w:rPr>
                <w:rFonts w:cstheme="minorHAnsi"/>
                <w:sz w:val="18"/>
                <w:szCs w:val="18"/>
              </w:rPr>
              <w:t xml:space="preserve"> was obtained from the website of INE. </w:t>
            </w:r>
            <w:hyperlink r:id="rId13" w:history="1">
              <w:r w:rsidRPr="005C632B">
                <w:rPr>
                  <w:rFonts w:cstheme="minorHAnsi"/>
                  <w:color w:val="3366FF"/>
                  <w:sz w:val="18"/>
                  <w:szCs w:val="18"/>
                  <w:u w:val="single"/>
                </w:rPr>
                <w:t>https://www.ine.es/dynt3/inebase/es/index.htm?padre=1894&amp;capsel=1895</w:t>
              </w:r>
            </w:hyperlink>
            <w:r w:rsidRPr="005C632B">
              <w:rPr>
                <w:rFonts w:cstheme="minorHAnsi"/>
                <w:color w:val="3366FF"/>
                <w:sz w:val="18"/>
                <w:szCs w:val="18"/>
                <w:u w:val="single"/>
              </w:rPr>
              <w:t>.</w:t>
            </w:r>
          </w:p>
          <w:p w14:paraId="786B1DCA" w14:textId="77777777" w:rsidR="00836610" w:rsidRPr="005C632B" w:rsidRDefault="00836610" w:rsidP="007178EF">
            <w:pPr>
              <w:spacing w:line="180" w:lineRule="exact"/>
              <w:ind w:left="318" w:hanging="142"/>
              <w:jc w:val="both"/>
              <w:rPr>
                <w:rFonts w:cstheme="minorHAnsi"/>
                <w:sz w:val="18"/>
                <w:szCs w:val="18"/>
                <w:u w:val="single"/>
              </w:rPr>
            </w:pPr>
            <w:r w:rsidRPr="005C632B">
              <w:rPr>
                <w:rFonts w:cstheme="minorHAnsi"/>
                <w:sz w:val="18"/>
                <w:szCs w:val="18"/>
                <w:u w:val="single"/>
              </w:rPr>
              <w:t xml:space="preserve">Greece: </w:t>
            </w:r>
          </w:p>
          <w:p w14:paraId="4062D4E1" w14:textId="77777777" w:rsidR="00836610" w:rsidRPr="005C632B" w:rsidRDefault="00836610" w:rsidP="007178EF">
            <w:pPr>
              <w:numPr>
                <w:ilvl w:val="0"/>
                <w:numId w:val="4"/>
              </w:numPr>
              <w:spacing w:line="180" w:lineRule="exact"/>
              <w:ind w:left="459" w:hanging="141"/>
              <w:contextualSpacing/>
              <w:jc w:val="both"/>
              <w:rPr>
                <w:rFonts w:cstheme="minorHAnsi"/>
                <w:b/>
                <w:sz w:val="18"/>
                <w:szCs w:val="18"/>
              </w:rPr>
            </w:pPr>
            <w:r w:rsidRPr="005C632B">
              <w:rPr>
                <w:rFonts w:cstheme="minorHAnsi"/>
                <w:sz w:val="18"/>
                <w:szCs w:val="18"/>
              </w:rPr>
              <w:t xml:space="preserve">Deaths were provided directly to the researchers by the Hellenic Statistical Authority (ELSTAT) </w:t>
            </w:r>
          </w:p>
          <w:p w14:paraId="2A8D9761" w14:textId="77777777" w:rsidR="00836610" w:rsidRPr="00F9306C" w:rsidRDefault="00836610" w:rsidP="007178EF">
            <w:pPr>
              <w:numPr>
                <w:ilvl w:val="0"/>
                <w:numId w:val="4"/>
              </w:numPr>
              <w:spacing w:line="180" w:lineRule="exact"/>
              <w:ind w:left="459" w:hanging="141"/>
              <w:contextualSpacing/>
              <w:jc w:val="both"/>
              <w:rPr>
                <w:rFonts w:cstheme="minorHAnsi"/>
                <w:b/>
                <w:sz w:val="16"/>
                <w:szCs w:val="16"/>
              </w:rPr>
            </w:pPr>
            <w:r w:rsidRPr="005C632B">
              <w:rPr>
                <w:rFonts w:cstheme="minorHAnsi"/>
                <w:sz w:val="18"/>
                <w:szCs w:val="18"/>
              </w:rPr>
              <w:t>Population w</w:t>
            </w:r>
            <w:r w:rsidR="006412D2" w:rsidRPr="005C632B">
              <w:rPr>
                <w:rFonts w:cstheme="minorHAnsi"/>
                <w:sz w:val="18"/>
                <w:szCs w:val="18"/>
              </w:rPr>
              <w:t>as</w:t>
            </w:r>
            <w:r w:rsidRPr="005C632B">
              <w:rPr>
                <w:rFonts w:cstheme="minorHAnsi"/>
                <w:sz w:val="18"/>
                <w:szCs w:val="18"/>
              </w:rPr>
              <w:t xml:space="preserve"> obtained from the website of ELSTAT.</w:t>
            </w:r>
            <w:r w:rsidRPr="00F9306C">
              <w:rPr>
                <w:rFonts w:cstheme="minorHAnsi"/>
                <w:sz w:val="16"/>
                <w:szCs w:val="16"/>
              </w:rPr>
              <w:t xml:space="preserve"> </w:t>
            </w:r>
            <w:hyperlink r:id="rId14" w:history="1">
              <w:r w:rsidRPr="00F9306C">
                <w:rPr>
                  <w:rFonts w:cstheme="minorHAnsi"/>
                  <w:color w:val="3366FF"/>
                  <w:sz w:val="16"/>
                  <w:szCs w:val="16"/>
                  <w:u w:val="single"/>
                </w:rPr>
                <w:t>http://www.statistics.gr/statistics/-/publication/SPO18/2014</w:t>
              </w:r>
            </w:hyperlink>
            <w:r w:rsidRPr="00F9306C">
              <w:rPr>
                <w:rFonts w:cstheme="minorHAnsi"/>
                <w:color w:val="3366FF"/>
                <w:sz w:val="16"/>
                <w:szCs w:val="16"/>
                <w:u w:val="single"/>
              </w:rPr>
              <w:t>.</w:t>
            </w:r>
            <w:r w:rsidRPr="00F9306C">
              <w:rPr>
                <w:rFonts w:cstheme="minorHAnsi"/>
                <w:b/>
                <w:color w:val="3366FF"/>
                <w:sz w:val="16"/>
                <w:szCs w:val="16"/>
              </w:rPr>
              <w:t xml:space="preserve"> </w:t>
            </w:r>
          </w:p>
          <w:p w14:paraId="14F51D56" w14:textId="77777777" w:rsidR="002F7E9B" w:rsidRPr="005C632B" w:rsidRDefault="00FF342A" w:rsidP="003C632C">
            <w:pPr>
              <w:spacing w:line="180" w:lineRule="exact"/>
              <w:ind w:left="114" w:right="114"/>
              <w:jc w:val="both"/>
              <w:rPr>
                <w:rFonts w:cstheme="minorHAnsi"/>
                <w:sz w:val="18"/>
                <w:szCs w:val="18"/>
              </w:rPr>
            </w:pPr>
            <w:r w:rsidRPr="005C632B">
              <w:rPr>
                <w:rFonts w:cstheme="minorHAnsi"/>
                <w:b/>
                <w:sz w:val="18"/>
                <w:szCs w:val="18"/>
                <w:lang w:val="en"/>
              </w:rPr>
              <w:t>Government h</w:t>
            </w:r>
            <w:r w:rsidR="00402DE9" w:rsidRPr="005C632B">
              <w:rPr>
                <w:rFonts w:cstheme="minorHAnsi"/>
                <w:b/>
                <w:sz w:val="18"/>
                <w:szCs w:val="18"/>
                <w:lang w:val="en"/>
              </w:rPr>
              <w:t>ealth expenditure:</w:t>
            </w:r>
            <w:r w:rsidR="00EF131E" w:rsidRPr="005C632B">
              <w:rPr>
                <w:rFonts w:cstheme="minorHAnsi"/>
                <w:sz w:val="18"/>
                <w:szCs w:val="18"/>
              </w:rPr>
              <w:t xml:space="preserve">  </w:t>
            </w:r>
            <w:r w:rsidR="0079340E" w:rsidRPr="005C632B">
              <w:rPr>
                <w:rFonts w:cstheme="minorHAnsi"/>
                <w:sz w:val="18"/>
                <w:szCs w:val="18"/>
              </w:rPr>
              <w:t xml:space="preserve">It refers to the final consumption of health care goods and services including personal health care (curative care, rehabilitative care, long-term care, inpatient medical care, ambulatory or out-patient medical care, ancillary services and medical or pharmaceutical products, appliances and equipment) and collective services (prevention and public health services as well as health administration). </w:t>
            </w:r>
            <w:r w:rsidRPr="005C632B">
              <w:rPr>
                <w:rFonts w:cstheme="minorHAnsi"/>
                <w:sz w:val="18"/>
                <w:szCs w:val="18"/>
              </w:rPr>
              <w:t xml:space="preserve">It includes </w:t>
            </w:r>
            <w:r w:rsidR="0079340E" w:rsidRPr="005C632B">
              <w:rPr>
                <w:rFonts w:cstheme="minorHAnsi"/>
                <w:sz w:val="18"/>
                <w:szCs w:val="18"/>
              </w:rPr>
              <w:t xml:space="preserve">only </w:t>
            </w:r>
            <w:r w:rsidRPr="005C632B">
              <w:rPr>
                <w:rFonts w:cstheme="minorHAnsi"/>
                <w:sz w:val="18"/>
                <w:szCs w:val="18"/>
              </w:rPr>
              <w:t xml:space="preserve">provision of health care by government </w:t>
            </w:r>
            <w:r w:rsidR="0079340E" w:rsidRPr="005C632B">
              <w:rPr>
                <w:rFonts w:cstheme="minorHAnsi"/>
                <w:sz w:val="18"/>
                <w:szCs w:val="18"/>
              </w:rPr>
              <w:t>or</w:t>
            </w:r>
            <w:r w:rsidRPr="005C632B">
              <w:rPr>
                <w:rFonts w:cstheme="minorHAnsi"/>
                <w:sz w:val="18"/>
                <w:szCs w:val="18"/>
              </w:rPr>
              <w:t xml:space="preserve"> social health insurance schemes (public health expenditure) and compulsory private health insurance </w:t>
            </w:r>
            <w:proofErr w:type="spellStart"/>
            <w:r w:rsidRPr="005C632B">
              <w:rPr>
                <w:rFonts w:cstheme="minorHAnsi"/>
                <w:sz w:val="18"/>
                <w:szCs w:val="18"/>
              </w:rPr>
              <w:t>programmes</w:t>
            </w:r>
            <w:proofErr w:type="spellEnd"/>
            <w:r w:rsidRPr="005C632B">
              <w:rPr>
                <w:rFonts w:cstheme="minorHAnsi"/>
                <w:sz w:val="18"/>
                <w:szCs w:val="18"/>
              </w:rPr>
              <w:t xml:space="preserve"> (mandatory private health expenditure). </w:t>
            </w:r>
            <w:r w:rsidR="0079340E" w:rsidRPr="005C632B">
              <w:rPr>
                <w:rFonts w:cstheme="minorHAnsi"/>
                <w:sz w:val="18"/>
                <w:szCs w:val="18"/>
              </w:rPr>
              <w:t xml:space="preserve">Household out-of-pocket spending (including co-payments) is not included in the government health expenditure </w:t>
            </w:r>
            <w:r w:rsidR="004A6541" w:rsidRPr="005C632B">
              <w:rPr>
                <w:rFonts w:cstheme="minorHAnsi"/>
                <w:sz w:val="18"/>
                <w:szCs w:val="18"/>
              </w:rPr>
              <w:t xml:space="preserve">Sickness cash benefits related to loss of earnings because of the temporary inability to work due to illness are not included in health expenditure </w:t>
            </w:r>
            <w:proofErr w:type="spellStart"/>
            <w:r w:rsidRPr="005C632B">
              <w:rPr>
                <w:rFonts w:cstheme="minorHAnsi"/>
                <w:sz w:val="18"/>
                <w:szCs w:val="18"/>
              </w:rPr>
              <w:t>sino</w:t>
            </w:r>
            <w:proofErr w:type="spellEnd"/>
            <w:r w:rsidR="004A6541" w:rsidRPr="005C632B">
              <w:rPr>
                <w:rFonts w:cstheme="minorHAnsi"/>
                <w:sz w:val="18"/>
                <w:szCs w:val="18"/>
              </w:rPr>
              <w:t xml:space="preserve"> in other social expenditures</w:t>
            </w:r>
            <w:r w:rsidR="002F7E9B" w:rsidRPr="005C632B">
              <w:rPr>
                <w:rFonts w:cstheme="minorHAnsi"/>
                <w:sz w:val="18"/>
                <w:szCs w:val="18"/>
              </w:rPr>
              <w:t>. All health expenditure recorded under public</w:t>
            </w:r>
            <w:r w:rsidRPr="005C632B">
              <w:rPr>
                <w:rFonts w:cstheme="minorHAnsi"/>
                <w:sz w:val="18"/>
                <w:szCs w:val="18"/>
              </w:rPr>
              <w:t xml:space="preserve"> or</w:t>
            </w:r>
            <w:r w:rsidR="002F7E9B" w:rsidRPr="005C632B">
              <w:rPr>
                <w:rFonts w:cstheme="minorHAnsi"/>
                <w:sz w:val="18"/>
                <w:szCs w:val="18"/>
              </w:rPr>
              <w:t xml:space="preserve"> mandatory private health expenditure concerns current expenditure on health (CHE) which covers both individual and collective services. Therefore, current expenditure on health does not include capital transfers such as investment grants from governments to hospitals</w:t>
            </w:r>
            <w:r w:rsidR="0079340E" w:rsidRPr="005C632B">
              <w:rPr>
                <w:rFonts w:cstheme="minorHAnsi"/>
                <w:sz w:val="18"/>
                <w:szCs w:val="18"/>
              </w:rPr>
              <w:t>. For some countries, there is an issue with items recorded as spending on services for elderly and/or persons with disabilities provided by institutions other than hospitals also being included under public expenditure on health.</w:t>
            </w:r>
            <w:r w:rsidR="003C632C" w:rsidRPr="005C632B">
              <w:rPr>
                <w:sz w:val="18"/>
                <w:szCs w:val="18"/>
              </w:rPr>
              <w:t xml:space="preserve"> UK data in 2019</w:t>
            </w:r>
            <w:r w:rsidR="003C632C" w:rsidRPr="005C632B">
              <w:rPr>
                <w:rFonts w:cstheme="minorHAnsi"/>
                <w:sz w:val="18"/>
                <w:szCs w:val="18"/>
              </w:rPr>
              <w:t xml:space="preserve"> may be underestimated partly due to underreporting of local government spending.</w:t>
            </w:r>
          </w:p>
          <w:p w14:paraId="1A732F75" w14:textId="77777777" w:rsidR="00814545" w:rsidRPr="005C632B" w:rsidRDefault="00814545" w:rsidP="00814545">
            <w:pPr>
              <w:spacing w:line="180" w:lineRule="exact"/>
              <w:ind w:left="114" w:right="114"/>
              <w:rPr>
                <w:rFonts w:cstheme="minorHAnsi"/>
                <w:sz w:val="18"/>
                <w:szCs w:val="18"/>
              </w:rPr>
            </w:pPr>
            <w:r w:rsidRPr="005C632B">
              <w:rPr>
                <w:rFonts w:cstheme="minorHAnsi"/>
                <w:sz w:val="18"/>
                <w:szCs w:val="18"/>
              </w:rPr>
              <w:t>Source of data: OECD Social Expenditure Database (SOCX). Organization for Economic Cooperation and Development (OECD).</w:t>
            </w:r>
            <w:r w:rsidRPr="00F9306C">
              <w:rPr>
                <w:rFonts w:cstheme="minorHAnsi"/>
                <w:sz w:val="16"/>
                <w:szCs w:val="16"/>
              </w:rPr>
              <w:t xml:space="preserve"> </w:t>
            </w:r>
            <w:hyperlink r:id="rId15" w:history="1">
              <w:r w:rsidRPr="00F9306C">
                <w:rPr>
                  <w:rStyle w:val="Hipervnculo"/>
                  <w:rFonts w:cstheme="minorHAnsi"/>
                  <w:sz w:val="16"/>
                  <w:szCs w:val="16"/>
                </w:rPr>
                <w:t>https://stats.oecd.org/Index.aspx?datasetcode=SOCX_AGG</w:t>
              </w:r>
            </w:hyperlink>
            <w:r w:rsidRPr="00F9306C">
              <w:rPr>
                <w:rFonts w:cstheme="minorHAnsi"/>
                <w:sz w:val="16"/>
                <w:szCs w:val="16"/>
              </w:rPr>
              <w:t xml:space="preserve">. </w:t>
            </w:r>
            <w:r w:rsidRPr="005C632B">
              <w:rPr>
                <w:rFonts w:cstheme="minorHAnsi"/>
                <w:sz w:val="18"/>
                <w:szCs w:val="18"/>
              </w:rPr>
              <w:t>SOCX aggregated data as well as sources and methodology are described in The OECD SOCX Manual 2019 Edition. A guide to the OECD Social Expenditure.</w:t>
            </w:r>
            <w:r w:rsidRPr="00F9306C">
              <w:rPr>
                <w:rFonts w:cstheme="minorHAnsi"/>
                <w:sz w:val="16"/>
                <w:szCs w:val="16"/>
              </w:rPr>
              <w:t xml:space="preserve"> </w:t>
            </w:r>
            <w:hyperlink r:id="rId16" w:history="1">
              <w:r w:rsidRPr="00F9306C">
                <w:rPr>
                  <w:rStyle w:val="Hipervnculo"/>
                  <w:rFonts w:cstheme="minorHAnsi"/>
                  <w:sz w:val="16"/>
                  <w:szCs w:val="16"/>
                </w:rPr>
                <w:t>http://www.oecd.org/social/soc/SOCX_Manuel_2019.pdf</w:t>
              </w:r>
            </w:hyperlink>
            <w:r w:rsidRPr="00F9306C">
              <w:rPr>
                <w:rFonts w:cstheme="minorHAnsi"/>
                <w:sz w:val="16"/>
                <w:szCs w:val="16"/>
              </w:rPr>
              <w:t xml:space="preserve"> </w:t>
            </w:r>
            <w:r w:rsidRPr="005C632B">
              <w:rPr>
                <w:rFonts w:cstheme="minorHAnsi"/>
                <w:sz w:val="18"/>
                <w:szCs w:val="18"/>
              </w:rPr>
              <w:t>(Accessed on 25 April 2024).</w:t>
            </w:r>
          </w:p>
          <w:p w14:paraId="4FF04C5B" w14:textId="77777777" w:rsidR="006C7EF6" w:rsidRPr="005C632B" w:rsidRDefault="0092664B" w:rsidP="007178EF">
            <w:pPr>
              <w:spacing w:line="180" w:lineRule="exact"/>
              <w:ind w:left="114" w:right="114"/>
              <w:jc w:val="both"/>
              <w:rPr>
                <w:rFonts w:cstheme="minorHAnsi"/>
                <w:sz w:val="18"/>
                <w:szCs w:val="18"/>
              </w:rPr>
            </w:pPr>
            <w:r w:rsidRPr="005C632B">
              <w:rPr>
                <w:rFonts w:cstheme="minorHAnsi"/>
                <w:b/>
                <w:sz w:val="18"/>
                <w:szCs w:val="18"/>
                <w:lang w:val="en"/>
              </w:rPr>
              <w:t xml:space="preserve">Non-health </w:t>
            </w:r>
            <w:r w:rsidR="006050D5" w:rsidRPr="005C632B">
              <w:rPr>
                <w:rFonts w:cstheme="minorHAnsi"/>
                <w:b/>
                <w:sz w:val="18"/>
                <w:szCs w:val="18"/>
                <w:lang w:val="en"/>
              </w:rPr>
              <w:t>government social expenditure</w:t>
            </w:r>
            <w:r w:rsidR="006C7EF6" w:rsidRPr="005C632B">
              <w:rPr>
                <w:rFonts w:cstheme="minorHAnsi"/>
                <w:b/>
                <w:sz w:val="18"/>
                <w:szCs w:val="18"/>
              </w:rPr>
              <w:t xml:space="preserve">: </w:t>
            </w:r>
            <w:r w:rsidR="006050D5" w:rsidRPr="005C632B">
              <w:rPr>
                <w:rFonts w:cstheme="minorHAnsi"/>
                <w:sz w:val="18"/>
                <w:szCs w:val="18"/>
              </w:rPr>
              <w:t xml:space="preserve">It </w:t>
            </w:r>
            <w:r w:rsidR="007178EF" w:rsidRPr="005C632B">
              <w:rPr>
                <w:rFonts w:cstheme="minorHAnsi"/>
                <w:sz w:val="18"/>
                <w:szCs w:val="18"/>
              </w:rPr>
              <w:t>refers to</w:t>
            </w:r>
            <w:r w:rsidR="006050D5" w:rsidRPr="005C632B">
              <w:rPr>
                <w:rFonts w:cstheme="minorHAnsi"/>
                <w:sz w:val="18"/>
                <w:szCs w:val="18"/>
              </w:rPr>
              <w:t xml:space="preserve"> all </w:t>
            </w:r>
            <w:r w:rsidR="006C7EF6" w:rsidRPr="005C632B">
              <w:rPr>
                <w:rFonts w:cstheme="minorHAnsi"/>
                <w:sz w:val="18"/>
                <w:szCs w:val="18"/>
              </w:rPr>
              <w:t>public and mandatory private social expenditure, except health</w:t>
            </w:r>
            <w:r w:rsidR="006050D5" w:rsidRPr="005C632B">
              <w:rPr>
                <w:rFonts w:cstheme="minorHAnsi"/>
                <w:sz w:val="18"/>
                <w:szCs w:val="18"/>
              </w:rPr>
              <w:t xml:space="preserve"> expenditures</w:t>
            </w:r>
            <w:r w:rsidR="006C7EF6" w:rsidRPr="005C632B">
              <w:rPr>
                <w:rFonts w:cstheme="minorHAnsi"/>
                <w:sz w:val="18"/>
                <w:szCs w:val="18"/>
              </w:rPr>
              <w:t xml:space="preserve">. </w:t>
            </w:r>
            <w:r w:rsidR="007178EF" w:rsidRPr="005C632B">
              <w:rPr>
                <w:rFonts w:cstheme="minorHAnsi"/>
                <w:sz w:val="18"/>
                <w:szCs w:val="18"/>
              </w:rPr>
              <w:t xml:space="preserve">It comprises cash benefits, direct in-kind provision of goods and services, and tax breaks with social purposes. Social benefits are classified as public when general government (that is central, state, and local governments, including social security funds) controls the relevant financial flows. Mandatory private social expenditure refers to social support stipulated by legislation but operated through the private sector, e.g., direct sickness payments by employers to their absent employees as legislated by public authorities, or benefits accruing from mandatory contributions to private insurance funds. </w:t>
            </w:r>
            <w:r w:rsidR="006C7EF6" w:rsidRPr="005C632B">
              <w:rPr>
                <w:rFonts w:cstheme="minorHAnsi"/>
                <w:sz w:val="18"/>
                <w:szCs w:val="18"/>
              </w:rPr>
              <w:t>The main social policy areas included are as follows: old age</w:t>
            </w:r>
            <w:r w:rsidR="007178EF" w:rsidRPr="005C632B">
              <w:rPr>
                <w:rFonts w:cstheme="minorHAnsi"/>
                <w:sz w:val="18"/>
                <w:szCs w:val="18"/>
              </w:rPr>
              <w:t xml:space="preserve"> (elderly)</w:t>
            </w:r>
            <w:r w:rsidR="006C7EF6" w:rsidRPr="005C632B">
              <w:rPr>
                <w:rFonts w:cstheme="minorHAnsi"/>
                <w:sz w:val="18"/>
                <w:szCs w:val="18"/>
              </w:rPr>
              <w:t xml:space="preserve">, survivors, incapacity-related benefits, family, active labor market </w:t>
            </w:r>
            <w:proofErr w:type="spellStart"/>
            <w:r w:rsidR="006C7EF6" w:rsidRPr="005C632B">
              <w:rPr>
                <w:rFonts w:cstheme="minorHAnsi"/>
                <w:sz w:val="18"/>
                <w:szCs w:val="18"/>
              </w:rPr>
              <w:t>programmes</w:t>
            </w:r>
            <w:proofErr w:type="spellEnd"/>
            <w:r w:rsidR="006C7EF6" w:rsidRPr="005C632B">
              <w:rPr>
                <w:rFonts w:cstheme="minorHAnsi"/>
                <w:sz w:val="18"/>
                <w:szCs w:val="18"/>
              </w:rPr>
              <w:t>, unemployment, housing, and other social policy areas.</w:t>
            </w:r>
            <w:r w:rsidR="00EF131E" w:rsidRPr="005C632B">
              <w:rPr>
                <w:sz w:val="18"/>
                <w:szCs w:val="18"/>
              </w:rPr>
              <w:t xml:space="preserve"> </w:t>
            </w:r>
            <w:r w:rsidR="003C632C" w:rsidRPr="005C632B">
              <w:rPr>
                <w:sz w:val="18"/>
                <w:szCs w:val="18"/>
              </w:rPr>
              <w:t>UK data in 2019 may be underestimated partly due to underreporting of local government spending</w:t>
            </w:r>
          </w:p>
          <w:p w14:paraId="50AE2962" w14:textId="77777777" w:rsidR="007836D0" w:rsidRPr="005C632B" w:rsidRDefault="007836D0" w:rsidP="007178EF">
            <w:pPr>
              <w:spacing w:line="180" w:lineRule="exact"/>
              <w:ind w:left="114" w:right="114"/>
              <w:rPr>
                <w:rFonts w:cstheme="minorHAnsi"/>
                <w:sz w:val="18"/>
                <w:szCs w:val="18"/>
              </w:rPr>
            </w:pPr>
            <w:r w:rsidRPr="005C632B">
              <w:rPr>
                <w:rFonts w:cstheme="minorHAnsi"/>
                <w:sz w:val="18"/>
                <w:szCs w:val="18"/>
              </w:rPr>
              <w:t>Source of data: OECD Social Expenditure Database (SOCX)</w:t>
            </w:r>
            <w:r w:rsidR="00814545" w:rsidRPr="005C632B">
              <w:rPr>
                <w:rFonts w:cstheme="minorHAnsi"/>
                <w:sz w:val="18"/>
                <w:szCs w:val="18"/>
              </w:rPr>
              <w:t xml:space="preserve">. Organization for Economic Cooperation and Development (OECD). </w:t>
            </w:r>
            <w:hyperlink r:id="rId17" w:history="1">
              <w:r w:rsidR="007178EF" w:rsidRPr="00F9306C">
                <w:rPr>
                  <w:rStyle w:val="Hipervnculo"/>
                  <w:rFonts w:cstheme="minorHAnsi"/>
                  <w:sz w:val="16"/>
                  <w:szCs w:val="16"/>
                </w:rPr>
                <w:t>https://stats.oecd.org/Index.aspx?datasetcode=SOCX_AGG</w:t>
              </w:r>
            </w:hyperlink>
            <w:r w:rsidRPr="00F9306C">
              <w:rPr>
                <w:rFonts w:cstheme="minorHAnsi"/>
                <w:sz w:val="16"/>
                <w:szCs w:val="16"/>
              </w:rPr>
              <w:t xml:space="preserve">. </w:t>
            </w:r>
            <w:r w:rsidRPr="005C632B">
              <w:rPr>
                <w:rFonts w:cstheme="minorHAnsi"/>
                <w:sz w:val="18"/>
                <w:szCs w:val="18"/>
              </w:rPr>
              <w:t>SOCX aggregated data as well as sources and methodology are described in The OECD SOCX Manual 2019 Edition</w:t>
            </w:r>
            <w:r w:rsidR="00814545" w:rsidRPr="005C632B">
              <w:rPr>
                <w:rFonts w:cstheme="minorHAnsi"/>
                <w:sz w:val="18"/>
                <w:szCs w:val="18"/>
              </w:rPr>
              <w:t>.</w:t>
            </w:r>
            <w:r w:rsidRPr="005C632B">
              <w:rPr>
                <w:rFonts w:cstheme="minorHAnsi"/>
                <w:sz w:val="18"/>
                <w:szCs w:val="18"/>
              </w:rPr>
              <w:t xml:space="preserve"> A guide to the OECD Social Expenditure</w:t>
            </w:r>
            <w:r w:rsidR="00814545" w:rsidRPr="00F9306C">
              <w:rPr>
                <w:rFonts w:cstheme="minorHAnsi"/>
                <w:sz w:val="16"/>
                <w:szCs w:val="16"/>
              </w:rPr>
              <w:t xml:space="preserve">. </w:t>
            </w:r>
            <w:hyperlink r:id="rId18" w:history="1">
              <w:r w:rsidR="007178EF" w:rsidRPr="00F9306C">
                <w:rPr>
                  <w:rStyle w:val="Hipervnculo"/>
                  <w:rFonts w:cstheme="minorHAnsi"/>
                  <w:sz w:val="16"/>
                  <w:szCs w:val="16"/>
                </w:rPr>
                <w:t>http://www.oecd.org/social/soc/SOCX_Manuel_2019.pdf</w:t>
              </w:r>
            </w:hyperlink>
            <w:r w:rsidRPr="00F9306C">
              <w:rPr>
                <w:rFonts w:cstheme="minorHAnsi"/>
                <w:sz w:val="16"/>
                <w:szCs w:val="16"/>
              </w:rPr>
              <w:t xml:space="preserve"> </w:t>
            </w:r>
            <w:r w:rsidRPr="005C632B">
              <w:rPr>
                <w:rFonts w:cstheme="minorHAnsi"/>
                <w:sz w:val="18"/>
                <w:szCs w:val="18"/>
              </w:rPr>
              <w:t>(Accessed on 25 April 2024)</w:t>
            </w:r>
            <w:r w:rsidR="00814545" w:rsidRPr="005C632B">
              <w:rPr>
                <w:rFonts w:cstheme="minorHAnsi"/>
                <w:sz w:val="18"/>
                <w:szCs w:val="18"/>
              </w:rPr>
              <w:t>.</w:t>
            </w:r>
          </w:p>
          <w:p w14:paraId="447664C6" w14:textId="77777777" w:rsidR="007178EF" w:rsidRPr="005C632B" w:rsidRDefault="007178EF" w:rsidP="007178EF">
            <w:pPr>
              <w:spacing w:line="180" w:lineRule="exact"/>
              <w:ind w:left="113"/>
              <w:jc w:val="both"/>
              <w:rPr>
                <w:rFonts w:cstheme="minorHAnsi"/>
                <w:sz w:val="18"/>
                <w:szCs w:val="18"/>
              </w:rPr>
            </w:pPr>
            <w:r w:rsidRPr="005C632B">
              <w:rPr>
                <w:rFonts w:eastAsia="Times New Roman" w:cstheme="minorHAnsi"/>
                <w:b/>
                <w:bCs/>
                <w:color w:val="000000"/>
                <w:sz w:val="18"/>
                <w:szCs w:val="18"/>
              </w:rPr>
              <w:t>Real GDP per capita</w:t>
            </w:r>
            <w:r w:rsidRPr="005C632B">
              <w:rPr>
                <w:rFonts w:cstheme="minorHAnsi"/>
                <w:b/>
                <w:sz w:val="18"/>
                <w:szCs w:val="18"/>
              </w:rPr>
              <w:t>:</w:t>
            </w:r>
            <w:r w:rsidRPr="005C632B">
              <w:rPr>
                <w:rFonts w:cstheme="minorHAnsi"/>
                <w:sz w:val="18"/>
                <w:szCs w:val="18"/>
              </w:rPr>
              <w:t xml:space="preserve"> This is calculated as the ratio of real gross domestic product (GDP) in 2015 US dollars ($)</w:t>
            </w:r>
            <w:r w:rsidR="00625766" w:rsidRPr="005C632B">
              <w:rPr>
                <w:rFonts w:cstheme="minorHAnsi"/>
                <w:sz w:val="18"/>
                <w:szCs w:val="18"/>
              </w:rPr>
              <w:t xml:space="preserve"> </w:t>
            </w:r>
            <w:r w:rsidRPr="005C632B">
              <w:rPr>
                <w:rFonts w:cstheme="minorHAnsi"/>
                <w:sz w:val="18"/>
                <w:szCs w:val="18"/>
              </w:rPr>
              <w:t>at constant prices and constant purchasing power parities (PPPs) to the average population for a specific year. Real GDP is an inflation-adjusted measure that reflects the value of all goods and services produced by an economy in a given year minus the value of any goods or services used in their creation, expressed in base-year prices. This metric eliminates the differences in price levels between countries. GDP is calculated using the expenditure approach. The ratio or the difference in its value in the current year with respect to the previous year is an indicator of the country's economic growth.</w:t>
            </w:r>
          </w:p>
          <w:p w14:paraId="0D04E769" w14:textId="77777777" w:rsidR="007178EF" w:rsidRPr="00F9306C" w:rsidRDefault="007178EF" w:rsidP="007178EF">
            <w:pPr>
              <w:spacing w:line="180" w:lineRule="exact"/>
              <w:ind w:left="113" w:right="114"/>
              <w:rPr>
                <w:rFonts w:cstheme="minorHAnsi"/>
                <w:sz w:val="16"/>
                <w:szCs w:val="16"/>
              </w:rPr>
            </w:pPr>
            <w:r w:rsidRPr="005C632B">
              <w:rPr>
                <w:rFonts w:cstheme="minorHAnsi"/>
                <w:sz w:val="18"/>
                <w:szCs w:val="18"/>
              </w:rPr>
              <w:t>Source of data: OECD. National Accounts. Main Aggregate. Gross Domestic Product (GDP): GDP per head, US$, constant prices, constant PPPs, reference year 2015 (Accessed on 25 April 2024).</w:t>
            </w:r>
            <w:r w:rsidRPr="00F9306C">
              <w:rPr>
                <w:rFonts w:cstheme="minorHAnsi"/>
                <w:sz w:val="16"/>
                <w:szCs w:val="16"/>
              </w:rPr>
              <w:t xml:space="preserve"> </w:t>
            </w:r>
            <w:r w:rsidRPr="00F9306C">
              <w:rPr>
                <w:rFonts w:cstheme="minorHAnsi"/>
                <w:color w:val="3366FF"/>
                <w:sz w:val="16"/>
                <w:szCs w:val="16"/>
                <w:u w:val="single"/>
              </w:rPr>
              <w:t>https://stats.oecd.org/index.aspx?queryid=60702</w:t>
            </w:r>
          </w:p>
          <w:p w14:paraId="102E54B4" w14:textId="77777777" w:rsidR="007178EF" w:rsidRPr="00F9306C" w:rsidRDefault="003847B3" w:rsidP="007108D1">
            <w:pPr>
              <w:spacing w:line="180" w:lineRule="exact"/>
              <w:ind w:left="114" w:right="114"/>
              <w:jc w:val="both"/>
              <w:rPr>
                <w:rFonts w:cstheme="minorHAnsi"/>
                <w:sz w:val="16"/>
                <w:szCs w:val="16"/>
                <w:lang w:val="en-GB"/>
              </w:rPr>
            </w:pPr>
            <w:r w:rsidRPr="00F9306C">
              <w:rPr>
                <w:rFonts w:cstheme="minorHAnsi"/>
                <w:sz w:val="16"/>
                <w:szCs w:val="16"/>
                <w:lang w:val="en-GB"/>
              </w:rPr>
              <w:tab/>
            </w:r>
            <w:r w:rsidRPr="00F9306C">
              <w:rPr>
                <w:rFonts w:cstheme="minorHAnsi"/>
                <w:sz w:val="16"/>
                <w:szCs w:val="16"/>
                <w:lang w:val="en-GB"/>
              </w:rPr>
              <w:tab/>
            </w:r>
            <w:r w:rsidRPr="00F9306C">
              <w:rPr>
                <w:rFonts w:cstheme="minorHAnsi"/>
                <w:sz w:val="16"/>
                <w:szCs w:val="16"/>
                <w:lang w:val="en-GB"/>
              </w:rPr>
              <w:tab/>
            </w:r>
          </w:p>
        </w:tc>
      </w:tr>
    </w:tbl>
    <w:p w14:paraId="73076959" w14:textId="77777777" w:rsidR="00700248" w:rsidRPr="00F9306C" w:rsidRDefault="00402DE9" w:rsidP="00700248">
      <w:pPr>
        <w:spacing w:after="0" w:line="180" w:lineRule="exact"/>
        <w:rPr>
          <w:rFonts w:cstheme="minorHAnsi"/>
          <w:b/>
          <w:lang w:val="en-GB"/>
        </w:rPr>
      </w:pPr>
      <w:r w:rsidRPr="00F9306C">
        <w:rPr>
          <w:rFonts w:ascii="Times New Roman" w:hAnsi="Times New Roman" w:cs="Times New Roman"/>
          <w:b/>
          <w:sz w:val="20"/>
          <w:szCs w:val="20"/>
          <w:lang w:val="en-GB"/>
        </w:rPr>
        <w:br w:type="page"/>
      </w:r>
      <w:r w:rsidR="00700248" w:rsidRPr="00F9306C">
        <w:rPr>
          <w:rFonts w:cstheme="minorHAnsi"/>
          <w:b/>
          <w:lang w:val="en-GB"/>
        </w:rPr>
        <w:lastRenderedPageBreak/>
        <w:t xml:space="preserve"> </w:t>
      </w:r>
      <w:proofErr w:type="spellStart"/>
      <w:r w:rsidR="008D2104" w:rsidRPr="00F9306C">
        <w:rPr>
          <w:rFonts w:cstheme="minorHAnsi"/>
          <w:b/>
          <w:lang w:val="en-GB"/>
        </w:rPr>
        <w:t>e</w:t>
      </w:r>
      <w:r w:rsidR="00700248" w:rsidRPr="00F9306C">
        <w:rPr>
          <w:rFonts w:cstheme="minorHAnsi"/>
          <w:b/>
          <w:lang w:val="en-GB"/>
        </w:rPr>
        <w:t>Table</w:t>
      </w:r>
      <w:proofErr w:type="spellEnd"/>
      <w:r w:rsidR="00700248" w:rsidRPr="00F9306C">
        <w:rPr>
          <w:rFonts w:cstheme="minorHAnsi"/>
          <w:b/>
          <w:lang w:val="en-GB"/>
        </w:rPr>
        <w:t xml:space="preserve"> </w:t>
      </w:r>
      <w:r w:rsidR="005028A0" w:rsidRPr="00F9306C">
        <w:rPr>
          <w:rFonts w:cstheme="minorHAnsi"/>
          <w:b/>
          <w:lang w:val="en-GB"/>
        </w:rPr>
        <w:t>2</w:t>
      </w:r>
      <w:r w:rsidR="00700248" w:rsidRPr="00F9306C">
        <w:rPr>
          <w:rFonts w:cstheme="minorHAnsi"/>
          <w:b/>
          <w:lang w:val="en-GB"/>
        </w:rPr>
        <w:t xml:space="preserve">. Definitions and data sources for </w:t>
      </w:r>
      <w:r w:rsidR="005028A0" w:rsidRPr="00F9306C">
        <w:rPr>
          <w:rFonts w:cstheme="minorHAnsi"/>
          <w:b/>
          <w:lang w:val="en-GB"/>
        </w:rPr>
        <w:t xml:space="preserve">variables on influenza activity, heatwaves and </w:t>
      </w:r>
      <w:proofErr w:type="spellStart"/>
      <w:r w:rsidR="005028A0" w:rsidRPr="00F9306C">
        <w:rPr>
          <w:rFonts w:cstheme="minorHAnsi"/>
          <w:b/>
          <w:lang w:val="en-GB"/>
        </w:rPr>
        <w:t>coldwaves</w:t>
      </w:r>
      <w:proofErr w:type="spellEnd"/>
      <w:r w:rsidR="005028A0" w:rsidRPr="00F9306C">
        <w:rPr>
          <w:rFonts w:cstheme="minorHAnsi"/>
          <w:b/>
          <w:lang w:val="en-GB"/>
        </w:rPr>
        <w:t>.</w:t>
      </w:r>
      <w:r w:rsidR="00700248" w:rsidRPr="00F9306C">
        <w:rPr>
          <w:rFonts w:cstheme="minorHAnsi"/>
          <w:b/>
          <w:lang w:val="en-GB"/>
        </w:rPr>
        <w:t xml:space="preserve"> </w:t>
      </w:r>
    </w:p>
    <w:p w14:paraId="7E6178AF" w14:textId="77777777" w:rsidR="00402DE9" w:rsidRPr="00F9306C" w:rsidRDefault="00402DE9" w:rsidP="00402DE9">
      <w:pPr>
        <w:spacing w:after="0" w:line="200" w:lineRule="exact"/>
        <w:ind w:left="-142"/>
        <w:rPr>
          <w:rFonts w:ascii="Times New Roman" w:hAnsi="Times New Roman" w:cs="Times New Roman"/>
          <w:b/>
          <w:sz w:val="20"/>
          <w:szCs w:val="20"/>
          <w:lang w:val="en-GB"/>
        </w:rPr>
      </w:pPr>
    </w:p>
    <w:p w14:paraId="7C5FCD6D" w14:textId="77777777" w:rsidR="00402DE9" w:rsidRPr="00F9306C" w:rsidRDefault="00402DE9" w:rsidP="00402DE9">
      <w:pPr>
        <w:spacing w:after="0" w:line="200" w:lineRule="exact"/>
        <w:ind w:left="-142"/>
        <w:rPr>
          <w:rFonts w:ascii="Times New Roman" w:hAnsi="Times New Roman" w:cs="Times New Roman"/>
          <w:b/>
          <w:sz w:val="24"/>
          <w:szCs w:val="24"/>
          <w:lang w:val="en-GB"/>
        </w:rPr>
      </w:pPr>
    </w:p>
    <w:tbl>
      <w:tblPr>
        <w:tblStyle w:val="Tablaconcuadrcula2"/>
        <w:tblW w:w="9781" w:type="dxa"/>
        <w:tblInd w:w="-147" w:type="dxa"/>
        <w:tblBorders>
          <w:insideH w:val="none" w:sz="0" w:space="0" w:color="auto"/>
          <w:insideV w:val="none" w:sz="0" w:space="0" w:color="auto"/>
        </w:tblBorders>
        <w:tblLayout w:type="fixed"/>
        <w:tblLook w:val="04A0" w:firstRow="1" w:lastRow="0" w:firstColumn="1" w:lastColumn="0" w:noHBand="0" w:noVBand="1"/>
      </w:tblPr>
      <w:tblGrid>
        <w:gridCol w:w="9781"/>
      </w:tblGrid>
      <w:tr w:rsidR="00402DE9" w:rsidRPr="00F9306C" w14:paraId="0E04BA8C" w14:textId="77777777" w:rsidTr="00EF6605">
        <w:tc>
          <w:tcPr>
            <w:tcW w:w="9781" w:type="dxa"/>
            <w:tcMar>
              <w:top w:w="28" w:type="dxa"/>
              <w:left w:w="57" w:type="dxa"/>
              <w:bottom w:w="28" w:type="dxa"/>
              <w:right w:w="57" w:type="dxa"/>
            </w:tcMar>
          </w:tcPr>
          <w:p w14:paraId="0258D88B" w14:textId="77777777" w:rsidR="007F3ECB" w:rsidRPr="00C2438A" w:rsidRDefault="007F3ECB" w:rsidP="00C2438A">
            <w:pPr>
              <w:spacing w:line="180" w:lineRule="exact"/>
              <w:ind w:right="114"/>
              <w:jc w:val="both"/>
              <w:rPr>
                <w:rFonts w:cstheme="minorHAnsi"/>
                <w:sz w:val="18"/>
                <w:szCs w:val="18"/>
              </w:rPr>
            </w:pPr>
            <w:r w:rsidRPr="00C2438A">
              <w:rPr>
                <w:rFonts w:cstheme="minorHAnsi"/>
                <w:b/>
                <w:sz w:val="18"/>
                <w:szCs w:val="18"/>
              </w:rPr>
              <w:t>Influenza activity</w:t>
            </w:r>
            <w:r w:rsidRPr="00C2438A">
              <w:rPr>
                <w:rFonts w:cstheme="minorHAnsi"/>
                <w:sz w:val="18"/>
                <w:szCs w:val="18"/>
              </w:rPr>
              <w:t>: The intensity of influenza activity is based on the overall level of clinical influenza activity in the country, measured as influenza-like illness (ILI)/acute respiratory infection (ARI) consultation rate. Each country assesses the intensity of clinical activity by comparing current ILI/ARI rates with country-specific baseline rates outside of the influenza season and with historical values at its disposal. During 2001-2009 the published data of influenza activity referred to each epidemiological influenza season, this is generally between week 40-41 of one year and weeks 16-20 of the following year. For the purposes of this study the data for a given epidemiological season were assigned to the year in which it ended. During 2010-2019 influenza activity refers to the entire year because the influenza activity is monitored throughout the year in Europe, although more intensely from early October (week 40) of the previous year to the end of May (week 20) of the current year. Influenza activity is classi</w:t>
            </w:r>
            <w:r w:rsidR="00FB110F" w:rsidRPr="00C2438A">
              <w:rPr>
                <w:rFonts w:cstheme="minorHAnsi"/>
                <w:sz w:val="18"/>
                <w:szCs w:val="18"/>
              </w:rPr>
              <w:t>f</w:t>
            </w:r>
            <w:r w:rsidRPr="00C2438A">
              <w:rPr>
                <w:rFonts w:cstheme="minorHAnsi"/>
                <w:sz w:val="18"/>
                <w:szCs w:val="18"/>
              </w:rPr>
              <w:t>ied into four categories: 1. Low: no activity or activity at baseline level. Baseline level is calculated nationally and it is the level at which clinical influenza activity remains throughout non-epidemic periods (the summer and most of the winter) based on historical data (5-10 influenza seasons), 2. Medium: usual levels of activity; the activity is above baseline threshold level in the country but still within the range previously seen. 3. High: The influenza activity is higher than previously seen (high or very high between 1-4 weeks in the year for 2010-2019), 4. Very high: The influenza activity is much higher than observed during previous years (high or very high for more than 5 weeks in the year for 2010-2019). Data for Greece during 2001-2005 were imputed from data for Italy.</w:t>
            </w:r>
          </w:p>
          <w:p w14:paraId="25780F69" w14:textId="77777777" w:rsidR="007F3ECB" w:rsidRPr="00C2438A" w:rsidRDefault="007F3ECB" w:rsidP="00C2438A">
            <w:pPr>
              <w:spacing w:line="180" w:lineRule="exact"/>
              <w:ind w:right="114"/>
              <w:jc w:val="both"/>
              <w:rPr>
                <w:rFonts w:cstheme="minorHAnsi"/>
                <w:sz w:val="18"/>
                <w:szCs w:val="18"/>
                <w:lang w:val="en-GB"/>
              </w:rPr>
            </w:pPr>
            <w:r w:rsidRPr="00C2438A">
              <w:rPr>
                <w:rFonts w:cstheme="minorHAnsi"/>
                <w:sz w:val="18"/>
                <w:szCs w:val="18"/>
                <w:lang w:val="en-GB"/>
              </w:rPr>
              <w:t xml:space="preserve">Source of data: </w:t>
            </w:r>
          </w:p>
          <w:p w14:paraId="09F3EA7E" w14:textId="77777777" w:rsidR="007F3ECB" w:rsidRPr="00C2438A" w:rsidRDefault="007F3ECB" w:rsidP="00C2438A">
            <w:pPr>
              <w:spacing w:line="180" w:lineRule="exact"/>
              <w:ind w:right="114"/>
              <w:jc w:val="both"/>
              <w:rPr>
                <w:sz w:val="18"/>
                <w:szCs w:val="18"/>
                <w:lang w:val="en-GB"/>
              </w:rPr>
            </w:pPr>
            <w:r w:rsidRPr="00C2438A">
              <w:rPr>
                <w:rFonts w:cstheme="minorHAnsi"/>
                <w:sz w:val="18"/>
                <w:szCs w:val="18"/>
                <w:lang w:val="en-GB"/>
              </w:rPr>
              <w:t xml:space="preserve">-2001-2007: data come European Influenza Surveillance Scheme (EISS) coordinated by NIVEL, </w:t>
            </w:r>
            <w:proofErr w:type="spellStart"/>
            <w:r w:rsidRPr="00C2438A">
              <w:rPr>
                <w:rFonts w:cstheme="minorHAnsi"/>
                <w:sz w:val="18"/>
                <w:szCs w:val="18"/>
                <w:lang w:val="en-GB"/>
              </w:rPr>
              <w:t>Utrech</w:t>
            </w:r>
            <w:proofErr w:type="spellEnd"/>
            <w:r w:rsidRPr="00C2438A">
              <w:rPr>
                <w:rFonts w:cstheme="minorHAnsi"/>
                <w:sz w:val="18"/>
                <w:szCs w:val="18"/>
                <w:lang w:val="en-GB"/>
              </w:rPr>
              <w:t>, Netherlands. Their seasonal or annual reports on influenza activity can be consulted on their web page</w:t>
            </w:r>
            <w:r w:rsidRPr="00C2438A">
              <w:rPr>
                <w:sz w:val="18"/>
                <w:szCs w:val="18"/>
                <w:lang w:val="en-GB"/>
              </w:rPr>
              <w:t>:</w:t>
            </w:r>
            <w:r w:rsidRPr="00F9306C">
              <w:rPr>
                <w:sz w:val="16"/>
                <w:szCs w:val="16"/>
                <w:lang w:val="en-GB"/>
              </w:rPr>
              <w:t xml:space="preserve"> </w:t>
            </w:r>
            <w:hyperlink r:id="rId19" w:history="1">
              <w:r w:rsidRPr="00F9306C">
                <w:rPr>
                  <w:rStyle w:val="Hipervnculo"/>
                  <w:sz w:val="16"/>
                  <w:szCs w:val="16"/>
                  <w:lang w:val="en-GB"/>
                </w:rPr>
                <w:t>https://www.nivel.nl/en/dossiers-clustered-information/dossier-epidemiology-respiratory-viruses</w:t>
              </w:r>
            </w:hyperlink>
            <w:r w:rsidRPr="00F9306C">
              <w:rPr>
                <w:sz w:val="16"/>
                <w:szCs w:val="16"/>
                <w:lang w:val="en-GB"/>
              </w:rPr>
              <w:t xml:space="preserve">. </w:t>
            </w:r>
          </w:p>
          <w:p w14:paraId="6D77A8DB" w14:textId="77777777" w:rsidR="007F3ECB" w:rsidRPr="00F9306C" w:rsidRDefault="007F3ECB" w:rsidP="00C2438A">
            <w:pPr>
              <w:spacing w:line="180" w:lineRule="exact"/>
              <w:ind w:right="114"/>
              <w:jc w:val="both"/>
              <w:rPr>
                <w:rFonts w:cstheme="minorHAnsi"/>
                <w:sz w:val="16"/>
                <w:szCs w:val="16"/>
                <w:lang w:val="en-GB"/>
              </w:rPr>
            </w:pPr>
            <w:r w:rsidRPr="00C2438A">
              <w:rPr>
                <w:rFonts w:cstheme="minorHAnsi"/>
                <w:sz w:val="18"/>
                <w:szCs w:val="18"/>
                <w:lang w:val="en-GB"/>
              </w:rPr>
              <w:t>-2008-2019: data come from European Centre for Disease Prevention and Control (ECDC), either from its Annual Epidemiological Reports on Communicable Diseases in Europe or in its specific reports on seasonal influenza. Both types of reports can be consulted at:</w:t>
            </w:r>
            <w:r w:rsidRPr="00F9306C">
              <w:rPr>
                <w:rFonts w:cstheme="minorHAnsi"/>
                <w:sz w:val="16"/>
                <w:szCs w:val="16"/>
                <w:lang w:val="en-GB"/>
              </w:rPr>
              <w:t xml:space="preserve"> </w:t>
            </w:r>
            <w:hyperlink r:id="rId20" w:history="1">
              <w:r w:rsidRPr="00F9306C">
                <w:rPr>
                  <w:rStyle w:val="Hipervnculo"/>
                  <w:rFonts w:cstheme="minorHAnsi"/>
                  <w:sz w:val="16"/>
                  <w:szCs w:val="16"/>
                  <w:lang w:val="en-GB"/>
                </w:rPr>
                <w:t>https://www.ecdc.europa.eu/en/publications-data/monitoring/all-annual-epidemiological-reports</w:t>
              </w:r>
            </w:hyperlink>
            <w:r w:rsidRPr="00F9306C">
              <w:rPr>
                <w:rFonts w:cstheme="minorHAnsi"/>
                <w:sz w:val="16"/>
                <w:szCs w:val="16"/>
                <w:lang w:val="en-GB"/>
              </w:rPr>
              <w:t>.</w:t>
            </w:r>
            <w:r w:rsidRPr="00F9306C">
              <w:rPr>
                <w:sz w:val="16"/>
                <w:szCs w:val="16"/>
              </w:rPr>
              <w:t xml:space="preserve"> </w:t>
            </w:r>
            <w:r w:rsidR="00C2438A" w:rsidRPr="00C2438A">
              <w:rPr>
                <w:sz w:val="18"/>
                <w:szCs w:val="18"/>
                <w:lang w:val="en-GB"/>
              </w:rPr>
              <w:t>The data can also be consulted at:</w:t>
            </w:r>
            <w:r w:rsidRPr="00C2438A">
              <w:rPr>
                <w:sz w:val="18"/>
                <w:szCs w:val="18"/>
                <w:lang w:val="en-GB"/>
              </w:rPr>
              <w:t xml:space="preserve"> European Centre for Disease Prevention and Control</w:t>
            </w:r>
            <w:r w:rsidRPr="00C2438A">
              <w:rPr>
                <w:rFonts w:cstheme="minorHAnsi"/>
                <w:sz w:val="18"/>
                <w:szCs w:val="18"/>
                <w:lang w:val="en-GB"/>
              </w:rPr>
              <w:t xml:space="preserve">. Surveillance atlas of infectious diseases. Stockholm: ECDC; 2017 [cited September 2022]. Available from: </w:t>
            </w:r>
            <w:r w:rsidRPr="00F9306C">
              <w:rPr>
                <w:rFonts w:cstheme="minorHAnsi"/>
                <w:sz w:val="16"/>
                <w:szCs w:val="16"/>
                <w:lang w:val="en-GB"/>
              </w:rPr>
              <w:t xml:space="preserve"> </w:t>
            </w:r>
            <w:hyperlink r:id="rId21" w:history="1">
              <w:r w:rsidRPr="00F9306C">
                <w:rPr>
                  <w:rStyle w:val="Hipervnculo"/>
                  <w:rFonts w:cstheme="minorHAnsi"/>
                  <w:sz w:val="16"/>
                  <w:szCs w:val="16"/>
                  <w:lang w:val="en-GB"/>
                </w:rPr>
                <w:t>http://atlas.ecdc.europa.eu/public/index.aspx</w:t>
              </w:r>
            </w:hyperlink>
            <w:r w:rsidRPr="00F9306C">
              <w:rPr>
                <w:rFonts w:cstheme="minorHAnsi"/>
                <w:sz w:val="16"/>
                <w:szCs w:val="16"/>
                <w:lang w:val="en-GB"/>
              </w:rPr>
              <w:t>.</w:t>
            </w:r>
          </w:p>
          <w:p w14:paraId="2295C588" w14:textId="77777777" w:rsidR="00402DE9" w:rsidRPr="00C2438A" w:rsidRDefault="00402DE9" w:rsidP="00C2438A">
            <w:pPr>
              <w:spacing w:line="200" w:lineRule="exact"/>
              <w:jc w:val="both"/>
              <w:rPr>
                <w:rFonts w:cstheme="minorHAnsi"/>
                <w:color w:val="131413"/>
                <w:sz w:val="18"/>
                <w:szCs w:val="18"/>
              </w:rPr>
            </w:pPr>
            <w:r w:rsidRPr="00C2438A">
              <w:rPr>
                <w:rFonts w:cstheme="minorHAnsi"/>
                <w:b/>
                <w:sz w:val="18"/>
                <w:szCs w:val="18"/>
              </w:rPr>
              <w:t xml:space="preserve">Heatwave and </w:t>
            </w:r>
            <w:proofErr w:type="spellStart"/>
            <w:r w:rsidRPr="00C2438A">
              <w:rPr>
                <w:rFonts w:cstheme="minorHAnsi"/>
                <w:b/>
                <w:sz w:val="18"/>
                <w:szCs w:val="18"/>
              </w:rPr>
              <w:t>coldwave</w:t>
            </w:r>
            <w:proofErr w:type="spellEnd"/>
            <w:r w:rsidRPr="00C2438A">
              <w:rPr>
                <w:rFonts w:cstheme="minorHAnsi"/>
                <w:b/>
                <w:sz w:val="18"/>
                <w:szCs w:val="18"/>
              </w:rPr>
              <w:t xml:space="preserve">: </w:t>
            </w:r>
            <w:r w:rsidRPr="00C2438A">
              <w:rPr>
                <w:rFonts w:cstheme="minorHAnsi"/>
                <w:color w:val="131413"/>
                <w:sz w:val="18"/>
                <w:szCs w:val="18"/>
              </w:rPr>
              <w:t>There is no international consensus around the definition of these variables. In general, it is considered that there is a heatwave when daily temperatures over several consecutive days exceed an extreme temperature percentile or threshold (</w:t>
            </w:r>
            <w:proofErr w:type="spellStart"/>
            <w:r w:rsidRPr="00C2438A">
              <w:rPr>
                <w:rFonts w:cstheme="minorHAnsi"/>
                <w:color w:val="131413"/>
                <w:sz w:val="18"/>
                <w:szCs w:val="18"/>
              </w:rPr>
              <w:t>i.e</w:t>
            </w:r>
            <w:proofErr w:type="spellEnd"/>
            <w:r w:rsidRPr="00C2438A">
              <w:rPr>
                <w:rFonts w:cstheme="minorHAnsi"/>
                <w:color w:val="131413"/>
                <w:sz w:val="18"/>
                <w:szCs w:val="18"/>
              </w:rPr>
              <w:t xml:space="preserve"> 95</w:t>
            </w:r>
            <w:r w:rsidRPr="00C2438A">
              <w:rPr>
                <w:rFonts w:cstheme="minorHAnsi"/>
                <w:color w:val="131413"/>
                <w:sz w:val="18"/>
                <w:szCs w:val="18"/>
                <w:vertAlign w:val="superscript"/>
              </w:rPr>
              <w:t>th</w:t>
            </w:r>
            <w:r w:rsidRPr="00C2438A">
              <w:rPr>
                <w:rFonts w:cstheme="minorHAnsi"/>
                <w:color w:val="131413"/>
                <w:sz w:val="18"/>
                <w:szCs w:val="18"/>
              </w:rPr>
              <w:t xml:space="preserve">) and that there is a </w:t>
            </w:r>
            <w:proofErr w:type="spellStart"/>
            <w:r w:rsidRPr="00C2438A">
              <w:rPr>
                <w:rFonts w:cstheme="minorHAnsi"/>
                <w:color w:val="131413"/>
                <w:sz w:val="18"/>
                <w:szCs w:val="18"/>
              </w:rPr>
              <w:t>coldwave</w:t>
            </w:r>
            <w:proofErr w:type="spellEnd"/>
            <w:r w:rsidRPr="00C2438A">
              <w:rPr>
                <w:rFonts w:cstheme="minorHAnsi"/>
                <w:color w:val="131413"/>
                <w:sz w:val="18"/>
                <w:szCs w:val="18"/>
              </w:rPr>
              <w:t xml:space="preserve"> when daily temperatures over several consecutive days stays below a certain percentile (i.e.5</w:t>
            </w:r>
            <w:r w:rsidRPr="00C2438A">
              <w:rPr>
                <w:rFonts w:cstheme="minorHAnsi"/>
                <w:color w:val="131413"/>
                <w:sz w:val="18"/>
                <w:szCs w:val="18"/>
                <w:vertAlign w:val="superscript"/>
              </w:rPr>
              <w:t>th</w:t>
            </w:r>
            <w:r w:rsidRPr="00C2438A">
              <w:rPr>
                <w:rFonts w:cstheme="minorHAnsi"/>
                <w:color w:val="131413"/>
                <w:sz w:val="18"/>
                <w:szCs w:val="18"/>
              </w:rPr>
              <w:t xml:space="preserve">). However, thresholds may vary for each country and region. </w:t>
            </w:r>
            <w:r w:rsidRPr="00C2438A">
              <w:rPr>
                <w:rStyle w:val="tlid-translation"/>
                <w:rFonts w:cstheme="minorHAnsi"/>
                <w:sz w:val="18"/>
                <w:szCs w:val="18"/>
                <w:lang w:val="en"/>
              </w:rPr>
              <w:t xml:space="preserve">For these reasons, in this work each of these two variables was introduced as </w:t>
            </w:r>
            <w:r w:rsidR="00700248" w:rsidRPr="00C2438A">
              <w:rPr>
                <w:rStyle w:val="tlid-translation"/>
                <w:rFonts w:cstheme="minorHAnsi"/>
                <w:sz w:val="18"/>
                <w:szCs w:val="18"/>
                <w:lang w:val="en"/>
              </w:rPr>
              <w:t xml:space="preserve">variables with three categories of intensity for heatwave and two for </w:t>
            </w:r>
            <w:proofErr w:type="spellStart"/>
            <w:r w:rsidR="00700248" w:rsidRPr="00C2438A">
              <w:rPr>
                <w:rStyle w:val="tlid-translation"/>
                <w:rFonts w:cstheme="minorHAnsi"/>
                <w:sz w:val="18"/>
                <w:szCs w:val="18"/>
                <w:lang w:val="en"/>
              </w:rPr>
              <w:t>coldwave</w:t>
            </w:r>
            <w:proofErr w:type="spellEnd"/>
            <w:r w:rsidRPr="00C2438A">
              <w:rPr>
                <w:rStyle w:val="tlid-translation"/>
                <w:rFonts w:cstheme="minorHAnsi"/>
                <w:sz w:val="18"/>
                <w:szCs w:val="18"/>
                <w:lang w:val="en"/>
              </w:rPr>
              <w:t xml:space="preserve">, whose value for calendar-year and country was decided based on data from the main meteorological agencies or in scientific articles. The main documents used to make the decision are included below. </w:t>
            </w:r>
            <w:r w:rsidRPr="00C2438A">
              <w:rPr>
                <w:rFonts w:cstheme="minorHAnsi"/>
                <w:color w:val="131413"/>
                <w:sz w:val="18"/>
                <w:szCs w:val="18"/>
              </w:rPr>
              <w:t xml:space="preserve">Spring-summer heatwaves occurred in 2003 and 2015 in all three countries, as well as in 2006 and 2013 in </w:t>
            </w:r>
            <w:r w:rsidR="00CE41FF" w:rsidRPr="00C2438A">
              <w:rPr>
                <w:rFonts w:cstheme="minorHAnsi"/>
                <w:color w:val="131413"/>
                <w:sz w:val="18"/>
                <w:szCs w:val="18"/>
              </w:rPr>
              <w:t>United Kingdom</w:t>
            </w:r>
            <w:r w:rsidRPr="00C2438A">
              <w:rPr>
                <w:rFonts w:cstheme="minorHAnsi"/>
                <w:color w:val="131413"/>
                <w:sz w:val="18"/>
                <w:szCs w:val="18"/>
              </w:rPr>
              <w:t>,</w:t>
            </w:r>
            <w:r w:rsidR="00CE41FF" w:rsidRPr="00C2438A">
              <w:rPr>
                <w:rFonts w:cstheme="minorHAnsi"/>
                <w:color w:val="131413"/>
                <w:sz w:val="18"/>
                <w:szCs w:val="18"/>
              </w:rPr>
              <w:t xml:space="preserve"> in </w:t>
            </w:r>
            <w:r w:rsidRPr="00C2438A">
              <w:rPr>
                <w:rFonts w:cstheme="minorHAnsi"/>
                <w:color w:val="131413"/>
                <w:sz w:val="18"/>
                <w:szCs w:val="18"/>
              </w:rPr>
              <w:t xml:space="preserve">2012 in Spain, and </w:t>
            </w:r>
            <w:r w:rsidR="00CE41FF" w:rsidRPr="00C2438A">
              <w:rPr>
                <w:rFonts w:cstheme="minorHAnsi"/>
                <w:color w:val="131413"/>
                <w:sz w:val="18"/>
                <w:szCs w:val="18"/>
              </w:rPr>
              <w:t xml:space="preserve">in </w:t>
            </w:r>
            <w:r w:rsidRPr="00C2438A">
              <w:rPr>
                <w:rFonts w:cstheme="minorHAnsi"/>
                <w:color w:val="131413"/>
                <w:sz w:val="18"/>
                <w:szCs w:val="18"/>
              </w:rPr>
              <w:t>2007, 2010 and 2012 in Greece.</w:t>
            </w:r>
            <w:r w:rsidRPr="00C2438A">
              <w:rPr>
                <w:rFonts w:cstheme="minorHAnsi"/>
                <w:sz w:val="18"/>
                <w:szCs w:val="18"/>
              </w:rPr>
              <w:t xml:space="preserve"> </w:t>
            </w:r>
            <w:proofErr w:type="spellStart"/>
            <w:r w:rsidRPr="00C2438A">
              <w:rPr>
                <w:rFonts w:cstheme="minorHAnsi"/>
                <w:sz w:val="18"/>
                <w:szCs w:val="18"/>
              </w:rPr>
              <w:t>C</w:t>
            </w:r>
            <w:r w:rsidRPr="00C2438A">
              <w:rPr>
                <w:rFonts w:cstheme="minorHAnsi"/>
                <w:color w:val="131413"/>
                <w:sz w:val="18"/>
                <w:szCs w:val="18"/>
              </w:rPr>
              <w:t>oldwaves</w:t>
            </w:r>
            <w:proofErr w:type="spellEnd"/>
            <w:r w:rsidRPr="00C2438A">
              <w:rPr>
                <w:rFonts w:cstheme="minorHAnsi"/>
                <w:color w:val="131413"/>
                <w:sz w:val="18"/>
                <w:szCs w:val="18"/>
              </w:rPr>
              <w:t xml:space="preserve"> activity occurred in 2012 and 2015 in all three countries, as well as in 2002 in Spain and Greece and 2005 in Spain.</w:t>
            </w:r>
          </w:p>
          <w:p w14:paraId="66C7C281" w14:textId="77777777" w:rsidR="00402DE9" w:rsidRPr="00C2438A" w:rsidRDefault="00402DE9" w:rsidP="00C2438A">
            <w:pPr>
              <w:spacing w:line="200" w:lineRule="exact"/>
              <w:rPr>
                <w:rFonts w:cstheme="minorHAnsi"/>
                <w:sz w:val="18"/>
                <w:szCs w:val="18"/>
              </w:rPr>
            </w:pPr>
            <w:r w:rsidRPr="00C2438A">
              <w:rPr>
                <w:rFonts w:eastAsia="Times New Roman" w:cstheme="minorHAnsi"/>
                <w:bCs/>
                <w:i/>
                <w:color w:val="000000" w:themeColor="text1"/>
                <w:sz w:val="18"/>
                <w:szCs w:val="18"/>
                <w:lang w:eastAsia="es-ES"/>
              </w:rPr>
              <w:t>Source of data:</w:t>
            </w:r>
          </w:p>
          <w:p w14:paraId="187DAF60" w14:textId="77777777" w:rsidR="00402DE9" w:rsidRPr="00C2438A" w:rsidRDefault="00CE41FF" w:rsidP="00C2438A">
            <w:pPr>
              <w:spacing w:line="200" w:lineRule="exact"/>
              <w:rPr>
                <w:rFonts w:cstheme="minorHAnsi"/>
                <w:sz w:val="18"/>
                <w:szCs w:val="18"/>
                <w:u w:val="single"/>
              </w:rPr>
            </w:pPr>
            <w:r w:rsidRPr="00C2438A">
              <w:rPr>
                <w:rFonts w:cstheme="minorHAnsi"/>
                <w:sz w:val="18"/>
                <w:szCs w:val="18"/>
                <w:u w:val="single"/>
              </w:rPr>
              <w:t>United Kingdom</w:t>
            </w:r>
            <w:r w:rsidR="00402DE9" w:rsidRPr="00C2438A">
              <w:rPr>
                <w:rFonts w:cstheme="minorHAnsi"/>
                <w:sz w:val="18"/>
                <w:szCs w:val="18"/>
                <w:u w:val="single"/>
              </w:rPr>
              <w:t xml:space="preserve">: </w:t>
            </w:r>
          </w:p>
          <w:p w14:paraId="28BDA78E" w14:textId="77777777" w:rsidR="00402DE9" w:rsidRPr="00C2438A" w:rsidRDefault="00402DE9" w:rsidP="00C2438A">
            <w:pPr>
              <w:numPr>
                <w:ilvl w:val="0"/>
                <w:numId w:val="1"/>
              </w:numPr>
              <w:spacing w:line="160" w:lineRule="exact"/>
              <w:ind w:left="0" w:hanging="142"/>
              <w:contextualSpacing/>
              <w:rPr>
                <w:rFonts w:cstheme="minorHAnsi"/>
                <w:sz w:val="18"/>
                <w:szCs w:val="18"/>
              </w:rPr>
            </w:pPr>
            <w:proofErr w:type="spellStart"/>
            <w:r w:rsidRPr="00C2438A">
              <w:rPr>
                <w:rFonts w:cstheme="minorHAnsi"/>
                <w:sz w:val="18"/>
                <w:szCs w:val="18"/>
              </w:rPr>
              <w:t>Kendon</w:t>
            </w:r>
            <w:proofErr w:type="spellEnd"/>
            <w:r w:rsidRPr="00C2438A">
              <w:rPr>
                <w:rFonts w:cstheme="minorHAnsi"/>
                <w:sz w:val="18"/>
                <w:szCs w:val="18"/>
              </w:rPr>
              <w:t xml:space="preserve"> M, McCarthy M, </w:t>
            </w:r>
            <w:proofErr w:type="spellStart"/>
            <w:r w:rsidRPr="00C2438A">
              <w:rPr>
                <w:rFonts w:cstheme="minorHAnsi"/>
                <w:sz w:val="18"/>
                <w:szCs w:val="18"/>
              </w:rPr>
              <w:t>Jevrejeva</w:t>
            </w:r>
            <w:proofErr w:type="spellEnd"/>
            <w:r w:rsidRPr="00C2438A">
              <w:rPr>
                <w:rFonts w:cstheme="minorHAnsi"/>
                <w:sz w:val="18"/>
                <w:szCs w:val="18"/>
              </w:rPr>
              <w:t xml:space="preserve"> S, Legg T. State of de UK climate 2016. </w:t>
            </w:r>
            <w:proofErr w:type="spellStart"/>
            <w:r w:rsidRPr="00C2438A">
              <w:rPr>
                <w:rFonts w:cstheme="minorHAnsi"/>
                <w:sz w:val="18"/>
                <w:szCs w:val="18"/>
              </w:rPr>
              <w:t>MetOffice</w:t>
            </w:r>
            <w:proofErr w:type="spellEnd"/>
            <w:r w:rsidRPr="00C2438A">
              <w:rPr>
                <w:rFonts w:cstheme="minorHAnsi"/>
                <w:sz w:val="18"/>
                <w:szCs w:val="18"/>
              </w:rPr>
              <w:t xml:space="preserve"> Hadley Centre: UK, Exeter, 2017. </w:t>
            </w:r>
            <w:hyperlink r:id="rId22" w:history="1">
              <w:r w:rsidRPr="00C2438A">
                <w:rPr>
                  <w:rFonts w:cstheme="minorHAnsi"/>
                  <w:color w:val="3366FF"/>
                  <w:sz w:val="16"/>
                  <w:szCs w:val="16"/>
                  <w:u w:val="single"/>
                </w:rPr>
                <w:t>https://www.metoffice.gov.uk/climate/uk/about/state-of-climate</w:t>
              </w:r>
            </w:hyperlink>
            <w:r w:rsidRPr="00C2438A">
              <w:rPr>
                <w:rFonts w:cstheme="minorHAnsi"/>
                <w:sz w:val="16"/>
                <w:szCs w:val="16"/>
              </w:rPr>
              <w:t>.</w:t>
            </w:r>
            <w:r w:rsidRPr="00C2438A">
              <w:rPr>
                <w:rFonts w:cstheme="minorHAnsi"/>
                <w:sz w:val="18"/>
                <w:szCs w:val="18"/>
              </w:rPr>
              <w:t xml:space="preserve"> (Accessed 12th May 2019).</w:t>
            </w:r>
          </w:p>
          <w:p w14:paraId="0ED1B679" w14:textId="77777777" w:rsidR="00402DE9" w:rsidRPr="00C2438A" w:rsidRDefault="00402DE9" w:rsidP="00C2438A">
            <w:pPr>
              <w:numPr>
                <w:ilvl w:val="0"/>
                <w:numId w:val="1"/>
              </w:numPr>
              <w:spacing w:line="160" w:lineRule="exact"/>
              <w:ind w:left="0" w:hanging="142"/>
              <w:contextualSpacing/>
              <w:rPr>
                <w:rFonts w:cstheme="minorHAnsi"/>
                <w:sz w:val="18"/>
                <w:szCs w:val="18"/>
              </w:rPr>
            </w:pPr>
            <w:proofErr w:type="spellStart"/>
            <w:r w:rsidRPr="00C2438A">
              <w:rPr>
                <w:rFonts w:cstheme="minorHAnsi"/>
                <w:sz w:val="18"/>
                <w:szCs w:val="18"/>
              </w:rPr>
              <w:t>Kendon</w:t>
            </w:r>
            <w:proofErr w:type="spellEnd"/>
            <w:r w:rsidRPr="00C2438A">
              <w:rPr>
                <w:rFonts w:cstheme="minorHAnsi"/>
                <w:sz w:val="18"/>
                <w:szCs w:val="18"/>
              </w:rPr>
              <w:t xml:space="preserve"> M, McCarthy M, </w:t>
            </w:r>
            <w:proofErr w:type="spellStart"/>
            <w:r w:rsidRPr="00C2438A">
              <w:rPr>
                <w:rFonts w:cstheme="minorHAnsi"/>
                <w:sz w:val="18"/>
                <w:szCs w:val="18"/>
              </w:rPr>
              <w:t>Jevrejeva</w:t>
            </w:r>
            <w:proofErr w:type="spellEnd"/>
            <w:r w:rsidRPr="00C2438A">
              <w:rPr>
                <w:rFonts w:cstheme="minorHAnsi"/>
                <w:sz w:val="18"/>
                <w:szCs w:val="18"/>
              </w:rPr>
              <w:t xml:space="preserve"> S, Matthews A, Legg T. State of the UK climate 2017. Int J </w:t>
            </w:r>
            <w:proofErr w:type="spellStart"/>
            <w:r w:rsidRPr="00C2438A">
              <w:rPr>
                <w:rFonts w:cstheme="minorHAnsi"/>
                <w:sz w:val="18"/>
                <w:szCs w:val="18"/>
              </w:rPr>
              <w:t>Climatol</w:t>
            </w:r>
            <w:proofErr w:type="spellEnd"/>
            <w:r w:rsidRPr="00C2438A">
              <w:rPr>
                <w:rFonts w:cstheme="minorHAnsi"/>
                <w:sz w:val="18"/>
                <w:szCs w:val="18"/>
              </w:rPr>
              <w:t xml:space="preserve">. 2018;38 (Suppl. 2):1–35. </w:t>
            </w:r>
            <w:hyperlink r:id="rId23" w:history="1">
              <w:r w:rsidRPr="00C2438A">
                <w:rPr>
                  <w:rFonts w:cstheme="minorHAnsi"/>
                  <w:color w:val="3366FF"/>
                  <w:sz w:val="16"/>
                  <w:szCs w:val="16"/>
                  <w:u w:val="single"/>
                </w:rPr>
                <w:t>https://doi.org/10.1002/joc.5798</w:t>
              </w:r>
            </w:hyperlink>
            <w:r w:rsidRPr="00C2438A">
              <w:rPr>
                <w:rFonts w:cstheme="minorHAnsi"/>
                <w:sz w:val="18"/>
                <w:szCs w:val="18"/>
              </w:rPr>
              <w:t xml:space="preserve">. </w:t>
            </w:r>
            <w:proofErr w:type="spellStart"/>
            <w:r w:rsidRPr="00C2438A">
              <w:rPr>
                <w:rFonts w:cstheme="minorHAnsi"/>
                <w:sz w:val="18"/>
                <w:szCs w:val="18"/>
              </w:rPr>
              <w:t>Kendon</w:t>
            </w:r>
            <w:proofErr w:type="spellEnd"/>
            <w:r w:rsidRPr="00C2438A">
              <w:rPr>
                <w:rFonts w:cstheme="minorHAnsi"/>
                <w:sz w:val="18"/>
                <w:szCs w:val="18"/>
              </w:rPr>
              <w:t xml:space="preserve"> M, McCarthy M, </w:t>
            </w:r>
            <w:proofErr w:type="spellStart"/>
            <w:r w:rsidRPr="00C2438A">
              <w:rPr>
                <w:rFonts w:cstheme="minorHAnsi"/>
                <w:sz w:val="18"/>
                <w:szCs w:val="18"/>
              </w:rPr>
              <w:t>Jevrejeva</w:t>
            </w:r>
            <w:proofErr w:type="spellEnd"/>
            <w:r w:rsidRPr="00C2438A">
              <w:rPr>
                <w:rFonts w:cstheme="minorHAnsi"/>
                <w:sz w:val="18"/>
                <w:szCs w:val="18"/>
              </w:rPr>
              <w:t xml:space="preserve"> S, Matthews A, Legg T. State of the UK Climate 2017: Supplementary report on climate extremes. </w:t>
            </w:r>
            <w:proofErr w:type="spellStart"/>
            <w:r w:rsidRPr="00C2438A">
              <w:rPr>
                <w:rFonts w:cstheme="minorHAnsi"/>
                <w:sz w:val="18"/>
                <w:szCs w:val="18"/>
              </w:rPr>
              <w:t>MetOffice</w:t>
            </w:r>
            <w:proofErr w:type="spellEnd"/>
            <w:r w:rsidRPr="00C2438A">
              <w:rPr>
                <w:rFonts w:cstheme="minorHAnsi"/>
                <w:sz w:val="18"/>
                <w:szCs w:val="18"/>
              </w:rPr>
              <w:t xml:space="preserve"> Hadley Centre: UK, Exeter, 2018. </w:t>
            </w:r>
            <w:hyperlink r:id="rId24" w:history="1">
              <w:r w:rsidRPr="00C2438A">
                <w:rPr>
                  <w:rFonts w:cstheme="minorHAnsi"/>
                  <w:color w:val="3366FF"/>
                  <w:sz w:val="16"/>
                  <w:szCs w:val="16"/>
                  <w:u w:val="single"/>
                </w:rPr>
                <w:t>https://www.metoffice.gov.uk/climate/uk/about/state-of-climate</w:t>
              </w:r>
            </w:hyperlink>
            <w:r w:rsidRPr="00C2438A">
              <w:rPr>
                <w:rFonts w:cstheme="minorHAnsi"/>
                <w:color w:val="3366FF"/>
                <w:sz w:val="16"/>
                <w:szCs w:val="16"/>
              </w:rPr>
              <w:t>.</w:t>
            </w:r>
            <w:r w:rsidRPr="00C2438A">
              <w:rPr>
                <w:rFonts w:cstheme="minorHAnsi"/>
                <w:color w:val="3366FF"/>
                <w:sz w:val="18"/>
                <w:szCs w:val="18"/>
              </w:rPr>
              <w:t xml:space="preserve"> (</w:t>
            </w:r>
            <w:r w:rsidRPr="00C2438A">
              <w:rPr>
                <w:rFonts w:cstheme="minorHAnsi"/>
                <w:sz w:val="18"/>
                <w:szCs w:val="18"/>
              </w:rPr>
              <w:t>Accessed 12th May 2019).</w:t>
            </w:r>
          </w:p>
          <w:p w14:paraId="1E52092A" w14:textId="77777777" w:rsidR="00402DE9" w:rsidRPr="00C2438A" w:rsidRDefault="00402DE9" w:rsidP="00C2438A">
            <w:pPr>
              <w:numPr>
                <w:ilvl w:val="0"/>
                <w:numId w:val="1"/>
              </w:numPr>
              <w:spacing w:line="160" w:lineRule="exact"/>
              <w:ind w:left="0" w:hanging="142"/>
              <w:contextualSpacing/>
              <w:rPr>
                <w:rFonts w:cstheme="minorHAnsi"/>
                <w:sz w:val="18"/>
                <w:szCs w:val="18"/>
              </w:rPr>
            </w:pPr>
            <w:r w:rsidRPr="00C2438A">
              <w:rPr>
                <w:rFonts w:cstheme="minorHAnsi"/>
                <w:sz w:val="18"/>
                <w:szCs w:val="18"/>
              </w:rPr>
              <w:t xml:space="preserve">Green HK, Andrews N, Armstrong B, </w:t>
            </w:r>
            <w:proofErr w:type="spellStart"/>
            <w:r w:rsidRPr="00C2438A">
              <w:rPr>
                <w:rFonts w:cstheme="minorHAnsi"/>
                <w:sz w:val="18"/>
                <w:szCs w:val="18"/>
              </w:rPr>
              <w:t>Bickler</w:t>
            </w:r>
            <w:proofErr w:type="spellEnd"/>
            <w:r w:rsidRPr="00C2438A">
              <w:rPr>
                <w:rFonts w:cstheme="minorHAnsi"/>
                <w:sz w:val="18"/>
                <w:szCs w:val="18"/>
              </w:rPr>
              <w:t xml:space="preserve"> G, </w:t>
            </w:r>
            <w:proofErr w:type="spellStart"/>
            <w:r w:rsidRPr="00C2438A">
              <w:rPr>
                <w:rFonts w:cstheme="minorHAnsi"/>
                <w:sz w:val="18"/>
                <w:szCs w:val="18"/>
              </w:rPr>
              <w:t>Pebody</w:t>
            </w:r>
            <w:proofErr w:type="spellEnd"/>
            <w:r w:rsidRPr="00C2438A">
              <w:rPr>
                <w:rFonts w:cstheme="minorHAnsi"/>
                <w:sz w:val="18"/>
                <w:szCs w:val="18"/>
              </w:rPr>
              <w:t xml:space="preserve"> R. Mortality during the 2013 heatwave in England–how did it compare to previous heatwaves? A retrospective observational study. Environ Res. </w:t>
            </w:r>
            <w:proofErr w:type="gramStart"/>
            <w:r w:rsidRPr="00C2438A">
              <w:rPr>
                <w:rFonts w:cstheme="minorHAnsi"/>
                <w:sz w:val="18"/>
                <w:szCs w:val="18"/>
              </w:rPr>
              <w:t>2016;147:343</w:t>
            </w:r>
            <w:proofErr w:type="gramEnd"/>
            <w:r w:rsidRPr="00C2438A">
              <w:rPr>
                <w:rFonts w:cstheme="minorHAnsi"/>
                <w:sz w:val="18"/>
                <w:szCs w:val="18"/>
              </w:rPr>
              <w:t xml:space="preserve">–9. </w:t>
            </w:r>
            <w:proofErr w:type="spellStart"/>
            <w:r w:rsidRPr="00C2438A">
              <w:rPr>
                <w:rFonts w:cstheme="minorHAnsi"/>
                <w:sz w:val="18"/>
                <w:szCs w:val="18"/>
              </w:rPr>
              <w:t>doi</w:t>
            </w:r>
            <w:proofErr w:type="spellEnd"/>
            <w:r w:rsidRPr="00C2438A">
              <w:rPr>
                <w:rFonts w:cstheme="minorHAnsi"/>
                <w:sz w:val="18"/>
                <w:szCs w:val="18"/>
              </w:rPr>
              <w:t>: 10.1016/j.envres.2016.02.028.</w:t>
            </w:r>
          </w:p>
          <w:p w14:paraId="4C36557E" w14:textId="77777777" w:rsidR="006D3970" w:rsidRPr="00C2438A" w:rsidRDefault="00402DE9" w:rsidP="00C2438A">
            <w:pPr>
              <w:numPr>
                <w:ilvl w:val="0"/>
                <w:numId w:val="1"/>
              </w:numPr>
              <w:autoSpaceDE w:val="0"/>
              <w:autoSpaceDN w:val="0"/>
              <w:adjustRightInd w:val="0"/>
              <w:spacing w:line="160" w:lineRule="exact"/>
              <w:ind w:left="0" w:hanging="142"/>
              <w:contextualSpacing/>
              <w:rPr>
                <w:rFonts w:cstheme="minorHAnsi"/>
                <w:color w:val="131413"/>
                <w:sz w:val="18"/>
                <w:szCs w:val="18"/>
              </w:rPr>
            </w:pPr>
            <w:proofErr w:type="spellStart"/>
            <w:r w:rsidRPr="00C2438A">
              <w:rPr>
                <w:rFonts w:cstheme="minorHAnsi"/>
                <w:color w:val="131413"/>
                <w:sz w:val="18"/>
                <w:szCs w:val="18"/>
              </w:rPr>
              <w:t>Arbuthnott</w:t>
            </w:r>
            <w:proofErr w:type="spellEnd"/>
            <w:r w:rsidRPr="00C2438A">
              <w:rPr>
                <w:rFonts w:cstheme="minorHAnsi"/>
                <w:color w:val="131413"/>
                <w:sz w:val="18"/>
                <w:szCs w:val="18"/>
              </w:rPr>
              <w:t xml:space="preserve"> KG, </w:t>
            </w:r>
            <w:proofErr w:type="spellStart"/>
            <w:r w:rsidRPr="00C2438A">
              <w:rPr>
                <w:rFonts w:cstheme="minorHAnsi"/>
                <w:color w:val="131413"/>
                <w:sz w:val="18"/>
                <w:szCs w:val="18"/>
              </w:rPr>
              <w:t>Hajat</w:t>
            </w:r>
            <w:proofErr w:type="spellEnd"/>
            <w:r w:rsidRPr="00C2438A">
              <w:rPr>
                <w:rFonts w:cstheme="minorHAnsi"/>
                <w:color w:val="131413"/>
                <w:sz w:val="18"/>
                <w:szCs w:val="18"/>
              </w:rPr>
              <w:t xml:space="preserve"> </w:t>
            </w:r>
            <w:proofErr w:type="spellStart"/>
            <w:proofErr w:type="gramStart"/>
            <w:r w:rsidRPr="00C2438A">
              <w:rPr>
                <w:rFonts w:cstheme="minorHAnsi"/>
                <w:color w:val="131413"/>
                <w:sz w:val="18"/>
                <w:szCs w:val="18"/>
              </w:rPr>
              <w:t>S.The</w:t>
            </w:r>
            <w:proofErr w:type="spellEnd"/>
            <w:proofErr w:type="gramEnd"/>
            <w:r w:rsidRPr="00C2438A">
              <w:rPr>
                <w:rFonts w:cstheme="minorHAnsi"/>
                <w:color w:val="131413"/>
                <w:sz w:val="18"/>
                <w:szCs w:val="18"/>
              </w:rPr>
              <w:t xml:space="preserve"> health effects of hotter summers and heat waves in the population of the United Kingdom: a review of the evidence. Environmental Health 2017, 16(Suppl 1):119. DOI 10.1186/s12940-017-0322-5.</w:t>
            </w:r>
          </w:p>
          <w:p w14:paraId="5B7A9651" w14:textId="77777777" w:rsidR="006D3970" w:rsidRPr="00C2438A" w:rsidRDefault="004862FC" w:rsidP="00C2438A">
            <w:pPr>
              <w:numPr>
                <w:ilvl w:val="0"/>
                <w:numId w:val="1"/>
              </w:numPr>
              <w:autoSpaceDE w:val="0"/>
              <w:autoSpaceDN w:val="0"/>
              <w:adjustRightInd w:val="0"/>
              <w:spacing w:line="160" w:lineRule="exact"/>
              <w:ind w:left="0" w:hanging="142"/>
              <w:contextualSpacing/>
              <w:rPr>
                <w:rFonts w:cstheme="minorHAnsi"/>
                <w:color w:val="131413"/>
                <w:sz w:val="18"/>
                <w:szCs w:val="18"/>
              </w:rPr>
            </w:pPr>
            <w:r w:rsidRPr="00C2438A">
              <w:rPr>
                <w:rFonts w:cstheme="minorHAnsi"/>
                <w:color w:val="131413"/>
                <w:sz w:val="18"/>
                <w:szCs w:val="18"/>
              </w:rPr>
              <w:t>Met Office. Annual reports on State of the UK Climate.</w:t>
            </w:r>
            <w:r w:rsidR="006D3970" w:rsidRPr="00C2438A">
              <w:rPr>
                <w:rFonts w:cstheme="minorHAnsi"/>
                <w:sz w:val="18"/>
                <w:szCs w:val="18"/>
              </w:rPr>
              <w:t xml:space="preserve"> </w:t>
            </w:r>
            <w:hyperlink r:id="rId25" w:history="1">
              <w:r w:rsidR="006D3970" w:rsidRPr="00C2438A">
                <w:rPr>
                  <w:rStyle w:val="Hipervnculo"/>
                  <w:rFonts w:cstheme="minorHAnsi"/>
                  <w:sz w:val="16"/>
                  <w:szCs w:val="16"/>
                </w:rPr>
                <w:t>https://www.metoffice.gov.uk/research/climate/maps-and-data/about/state-of-climate</w:t>
              </w:r>
            </w:hyperlink>
            <w:r w:rsidR="006D3970" w:rsidRPr="00C2438A">
              <w:rPr>
                <w:rFonts w:cstheme="minorHAnsi"/>
                <w:color w:val="131413"/>
                <w:sz w:val="18"/>
                <w:szCs w:val="18"/>
              </w:rPr>
              <w:t xml:space="preserve"> (Accessed 23 April 2024). For example: State of the UK Climate 2017: Supplementary report on Climate Extremes.</w:t>
            </w:r>
          </w:p>
          <w:p w14:paraId="08E58F93" w14:textId="77777777" w:rsidR="00657DD4" w:rsidRPr="00C2438A" w:rsidRDefault="00402DE9" w:rsidP="00C2438A">
            <w:pPr>
              <w:numPr>
                <w:ilvl w:val="0"/>
                <w:numId w:val="1"/>
              </w:numPr>
              <w:autoSpaceDE w:val="0"/>
              <w:autoSpaceDN w:val="0"/>
              <w:adjustRightInd w:val="0"/>
              <w:spacing w:line="160" w:lineRule="exact"/>
              <w:ind w:left="0" w:hanging="142"/>
              <w:contextualSpacing/>
              <w:rPr>
                <w:rFonts w:cstheme="minorHAnsi"/>
                <w:color w:val="131413"/>
                <w:sz w:val="18"/>
                <w:szCs w:val="18"/>
              </w:rPr>
            </w:pPr>
            <w:r w:rsidRPr="00C2438A">
              <w:rPr>
                <w:rFonts w:cstheme="minorHAnsi"/>
                <w:color w:val="131413"/>
                <w:sz w:val="18"/>
                <w:szCs w:val="18"/>
              </w:rPr>
              <w:t>Met Office. Heatwave 1 July 2015-Met Office (2015)</w:t>
            </w:r>
            <w:r w:rsidRPr="00C2438A">
              <w:rPr>
                <w:rFonts w:cstheme="minorHAnsi"/>
                <w:sz w:val="18"/>
                <w:szCs w:val="18"/>
              </w:rPr>
              <w:t xml:space="preserve"> </w:t>
            </w:r>
            <w:hyperlink r:id="rId26" w:history="1">
              <w:r w:rsidRPr="00C2438A">
                <w:rPr>
                  <w:rFonts w:cstheme="minorHAnsi"/>
                  <w:color w:val="3366FF"/>
                  <w:sz w:val="16"/>
                  <w:szCs w:val="16"/>
                  <w:u w:val="single"/>
                </w:rPr>
                <w:t>https://www.metoffice.gov.uk/climate/uk/interesting/july201</w:t>
              </w:r>
              <w:r w:rsidRPr="00C2438A">
                <w:rPr>
                  <w:rFonts w:cstheme="minorHAnsi"/>
                  <w:color w:val="0000FF"/>
                  <w:sz w:val="16"/>
                  <w:szCs w:val="16"/>
                  <w:u w:val="single"/>
                </w:rPr>
                <w:t>5</w:t>
              </w:r>
            </w:hyperlink>
            <w:r w:rsidRPr="00C2438A">
              <w:rPr>
                <w:rFonts w:cstheme="minorHAnsi"/>
                <w:color w:val="131413"/>
                <w:sz w:val="16"/>
                <w:szCs w:val="16"/>
              </w:rPr>
              <w:t xml:space="preserve"> </w:t>
            </w:r>
            <w:r w:rsidRPr="00C2438A">
              <w:rPr>
                <w:rFonts w:cstheme="minorHAnsi"/>
                <w:color w:val="131413"/>
                <w:sz w:val="18"/>
                <w:szCs w:val="18"/>
              </w:rPr>
              <w:t>(Accessed 12th May 2019)</w:t>
            </w:r>
            <w:r w:rsidR="00657DD4" w:rsidRPr="00C2438A">
              <w:rPr>
                <w:rFonts w:cstheme="minorHAnsi"/>
                <w:sz w:val="18"/>
                <w:szCs w:val="18"/>
                <w:lang w:val="en-GB"/>
              </w:rPr>
              <w:t>.</w:t>
            </w:r>
          </w:p>
          <w:p w14:paraId="69C1AE53" w14:textId="77777777" w:rsidR="00657DD4" w:rsidRPr="00C2438A" w:rsidRDefault="00657DD4" w:rsidP="00C2438A">
            <w:pPr>
              <w:autoSpaceDE w:val="0"/>
              <w:autoSpaceDN w:val="0"/>
              <w:adjustRightInd w:val="0"/>
              <w:spacing w:line="160" w:lineRule="exact"/>
              <w:contextualSpacing/>
              <w:rPr>
                <w:rFonts w:cstheme="minorHAnsi"/>
                <w:color w:val="131413"/>
                <w:sz w:val="18"/>
                <w:szCs w:val="18"/>
                <w:u w:val="single"/>
              </w:rPr>
            </w:pPr>
            <w:r w:rsidRPr="00C2438A">
              <w:rPr>
                <w:rFonts w:cstheme="minorHAnsi"/>
                <w:color w:val="131413"/>
                <w:sz w:val="18"/>
                <w:szCs w:val="18"/>
                <w:u w:val="single"/>
              </w:rPr>
              <w:t>Spain</w:t>
            </w:r>
          </w:p>
          <w:p w14:paraId="4649A1A2" w14:textId="77777777" w:rsidR="00657DD4" w:rsidRPr="00C2438A" w:rsidRDefault="00657DD4" w:rsidP="00C2438A">
            <w:pPr>
              <w:numPr>
                <w:ilvl w:val="0"/>
                <w:numId w:val="1"/>
              </w:numPr>
              <w:autoSpaceDE w:val="0"/>
              <w:autoSpaceDN w:val="0"/>
              <w:adjustRightInd w:val="0"/>
              <w:spacing w:line="160" w:lineRule="exact"/>
              <w:ind w:left="0" w:hanging="142"/>
              <w:contextualSpacing/>
              <w:rPr>
                <w:rFonts w:cstheme="minorHAnsi"/>
                <w:color w:val="131413"/>
                <w:sz w:val="18"/>
                <w:szCs w:val="18"/>
              </w:rPr>
            </w:pPr>
            <w:r w:rsidRPr="00C2438A">
              <w:rPr>
                <w:rFonts w:cstheme="minorHAnsi"/>
                <w:sz w:val="18"/>
                <w:szCs w:val="18"/>
                <w:lang w:val="es-ES"/>
              </w:rPr>
              <w:t>A</w:t>
            </w:r>
            <w:r w:rsidR="00402DE9" w:rsidRPr="00C2438A">
              <w:rPr>
                <w:rFonts w:cstheme="minorHAnsi"/>
                <w:sz w:val="18"/>
                <w:szCs w:val="18"/>
                <w:lang w:val="es-ES"/>
              </w:rPr>
              <w:t>gencia Estatal de Meteorología (AEMET). Olas de calor en España desde 1975 (A</w:t>
            </w:r>
            <w:r w:rsidR="00402DE9" w:rsidRPr="00C2438A">
              <w:rPr>
                <w:rFonts w:cstheme="minorHAnsi"/>
                <w:sz w:val="18"/>
                <w:szCs w:val="18"/>
                <w:shd w:val="clear" w:color="auto" w:fill="FFFFFF"/>
                <w:lang w:val="es-ES"/>
              </w:rPr>
              <w:t>ctualizado en octubre de 20</w:t>
            </w:r>
            <w:r w:rsidRPr="00C2438A">
              <w:rPr>
                <w:rFonts w:cstheme="minorHAnsi"/>
                <w:sz w:val="18"/>
                <w:szCs w:val="18"/>
                <w:shd w:val="clear" w:color="auto" w:fill="FFFFFF"/>
                <w:lang w:val="es-ES"/>
              </w:rPr>
              <w:t>23</w:t>
            </w:r>
            <w:r w:rsidR="00402DE9" w:rsidRPr="00C2438A">
              <w:rPr>
                <w:rFonts w:cstheme="minorHAnsi"/>
                <w:sz w:val="18"/>
                <w:szCs w:val="18"/>
                <w:shd w:val="clear" w:color="auto" w:fill="FFFFFF"/>
                <w:lang w:val="es-ES"/>
              </w:rPr>
              <w:t xml:space="preserve">). </w:t>
            </w:r>
            <w:r w:rsidR="001B34A4">
              <w:fldChar w:fldCharType="begin"/>
            </w:r>
            <w:r w:rsidR="001B34A4" w:rsidRPr="002D1F09">
              <w:rPr>
                <w:lang w:val="es-ES"/>
              </w:rPr>
              <w:instrText xml:space="preserve"> HYPERLINK "https://www.aemet.es/es/conocermas/recursos_en_linea/publicaciones_y_estudios/estudios/detalles/olascalor" </w:instrText>
            </w:r>
            <w:r w:rsidR="001B34A4">
              <w:fldChar w:fldCharType="separate"/>
            </w:r>
            <w:r w:rsidRPr="00C2438A">
              <w:rPr>
                <w:rStyle w:val="Hipervnculo"/>
                <w:rFonts w:cstheme="minorHAnsi"/>
                <w:sz w:val="16"/>
                <w:szCs w:val="16"/>
              </w:rPr>
              <w:t>https://www.aemet.es/es/conocermas/recursos_en_linea/publicaciones_y_estudios/estudios/detalles/olascalor</w:t>
            </w:r>
            <w:r w:rsidR="001B34A4">
              <w:rPr>
                <w:rStyle w:val="Hipervnculo"/>
                <w:rFonts w:cstheme="minorHAnsi"/>
                <w:sz w:val="16"/>
                <w:szCs w:val="16"/>
              </w:rPr>
              <w:fldChar w:fldCharType="end"/>
            </w:r>
            <w:r w:rsidRPr="00C2438A">
              <w:rPr>
                <w:rFonts w:cstheme="minorHAnsi"/>
                <w:sz w:val="18"/>
                <w:szCs w:val="18"/>
              </w:rPr>
              <w:t xml:space="preserve"> </w:t>
            </w:r>
            <w:r w:rsidRPr="00C2438A">
              <w:rPr>
                <w:rFonts w:cstheme="minorHAnsi"/>
                <w:sz w:val="18"/>
                <w:szCs w:val="18"/>
                <w:lang w:val="en-GB"/>
              </w:rPr>
              <w:t>(Accessed on 2</w:t>
            </w:r>
            <w:r w:rsidR="006D3970" w:rsidRPr="00C2438A">
              <w:rPr>
                <w:rFonts w:cstheme="minorHAnsi"/>
                <w:sz w:val="18"/>
                <w:szCs w:val="18"/>
                <w:lang w:val="en-GB"/>
              </w:rPr>
              <w:t>4</w:t>
            </w:r>
            <w:r w:rsidRPr="00C2438A">
              <w:rPr>
                <w:rFonts w:cstheme="minorHAnsi"/>
                <w:sz w:val="18"/>
                <w:szCs w:val="18"/>
                <w:lang w:val="en-GB"/>
              </w:rPr>
              <w:t xml:space="preserve"> April 2024</w:t>
            </w:r>
            <w:r w:rsidR="00402DE9" w:rsidRPr="00C2438A">
              <w:rPr>
                <w:rFonts w:cstheme="minorHAnsi"/>
                <w:sz w:val="18"/>
                <w:szCs w:val="18"/>
                <w:lang w:val="en-GB"/>
              </w:rPr>
              <w:t>).</w:t>
            </w:r>
          </w:p>
          <w:p w14:paraId="11CAAAE2" w14:textId="77777777" w:rsidR="00402DE9" w:rsidRPr="00C2438A" w:rsidRDefault="00402DE9" w:rsidP="00C2438A">
            <w:pPr>
              <w:numPr>
                <w:ilvl w:val="0"/>
                <w:numId w:val="1"/>
              </w:numPr>
              <w:autoSpaceDE w:val="0"/>
              <w:autoSpaceDN w:val="0"/>
              <w:adjustRightInd w:val="0"/>
              <w:spacing w:line="160" w:lineRule="exact"/>
              <w:ind w:left="0" w:hanging="142"/>
              <w:contextualSpacing/>
              <w:rPr>
                <w:rFonts w:cstheme="minorHAnsi"/>
                <w:color w:val="131413"/>
                <w:sz w:val="18"/>
                <w:szCs w:val="18"/>
              </w:rPr>
            </w:pPr>
            <w:r w:rsidRPr="00C2438A">
              <w:rPr>
                <w:rFonts w:cstheme="minorHAnsi"/>
                <w:sz w:val="18"/>
                <w:szCs w:val="18"/>
                <w:lang w:val="es-ES"/>
              </w:rPr>
              <w:t>Agencia Estatal de Meteorología (AEMET). Olas de frío en España desde 1975 (A</w:t>
            </w:r>
            <w:r w:rsidRPr="00C2438A">
              <w:rPr>
                <w:rFonts w:cstheme="minorHAnsi"/>
                <w:sz w:val="18"/>
                <w:szCs w:val="18"/>
                <w:shd w:val="clear" w:color="auto" w:fill="FFFFFF"/>
                <w:lang w:val="es-ES"/>
              </w:rPr>
              <w:t>ctualizado en octubre de 20</w:t>
            </w:r>
            <w:r w:rsidR="00657DD4" w:rsidRPr="00C2438A">
              <w:rPr>
                <w:rFonts w:cstheme="minorHAnsi"/>
                <w:sz w:val="18"/>
                <w:szCs w:val="18"/>
                <w:shd w:val="clear" w:color="auto" w:fill="FFFFFF"/>
                <w:lang w:val="es-ES"/>
              </w:rPr>
              <w:t>23</w:t>
            </w:r>
            <w:r w:rsidRPr="00C2438A">
              <w:rPr>
                <w:rFonts w:cstheme="minorHAnsi"/>
                <w:sz w:val="18"/>
                <w:szCs w:val="18"/>
                <w:shd w:val="clear" w:color="auto" w:fill="FFFFFF"/>
                <w:lang w:val="es-ES"/>
              </w:rPr>
              <w:t xml:space="preserve">). </w:t>
            </w:r>
            <w:r w:rsidR="001B34A4">
              <w:fldChar w:fldCharType="begin"/>
            </w:r>
            <w:r w:rsidR="001B34A4" w:rsidRPr="002D1F09">
              <w:rPr>
                <w:lang w:val="es-ES"/>
              </w:rPr>
              <w:instrText xml:space="preserve"> HYPERLINK "https://www.aemet.es/es/conocermas/recursos_en_linea/publicaciones_y_estudios/estudios/detalles/olas_frio" </w:instrText>
            </w:r>
            <w:r w:rsidR="001B34A4">
              <w:fldChar w:fldCharType="separate"/>
            </w:r>
            <w:r w:rsidR="00657DD4" w:rsidRPr="00C2438A">
              <w:rPr>
                <w:rStyle w:val="Hipervnculo"/>
                <w:rFonts w:cstheme="minorHAnsi"/>
                <w:sz w:val="16"/>
                <w:szCs w:val="16"/>
              </w:rPr>
              <w:t>https://www.aemet.es/es/conocermas/recursos_en_linea/publicaciones_y_estudios/estudios/detalles/olas_frio</w:t>
            </w:r>
            <w:r w:rsidR="001B34A4">
              <w:rPr>
                <w:rStyle w:val="Hipervnculo"/>
                <w:rFonts w:cstheme="minorHAnsi"/>
                <w:sz w:val="16"/>
                <w:szCs w:val="16"/>
              </w:rPr>
              <w:fldChar w:fldCharType="end"/>
            </w:r>
            <w:r w:rsidRPr="00C2438A">
              <w:rPr>
                <w:rFonts w:cstheme="minorHAnsi"/>
                <w:color w:val="3366FF"/>
                <w:sz w:val="18"/>
                <w:szCs w:val="18"/>
                <w:shd w:val="clear" w:color="auto" w:fill="FFFFFF"/>
              </w:rPr>
              <w:t xml:space="preserve"> </w:t>
            </w:r>
            <w:r w:rsidRPr="00C2438A">
              <w:rPr>
                <w:rFonts w:cstheme="minorHAnsi"/>
                <w:sz w:val="18"/>
                <w:szCs w:val="18"/>
                <w:shd w:val="clear" w:color="auto" w:fill="FFFFFF"/>
                <w:lang w:val="en-GB"/>
              </w:rPr>
              <w:t xml:space="preserve">(Accessed on </w:t>
            </w:r>
            <w:r w:rsidR="00657DD4" w:rsidRPr="00C2438A">
              <w:rPr>
                <w:rFonts w:cstheme="minorHAnsi"/>
                <w:sz w:val="18"/>
                <w:szCs w:val="18"/>
                <w:shd w:val="clear" w:color="auto" w:fill="FFFFFF"/>
                <w:lang w:val="en-GB"/>
              </w:rPr>
              <w:t>25</w:t>
            </w:r>
            <w:r w:rsidRPr="00C2438A">
              <w:rPr>
                <w:rFonts w:cstheme="minorHAnsi"/>
                <w:sz w:val="18"/>
                <w:szCs w:val="18"/>
                <w:shd w:val="clear" w:color="auto" w:fill="FFFFFF"/>
                <w:lang w:val="en-GB"/>
              </w:rPr>
              <w:t xml:space="preserve"> </w:t>
            </w:r>
            <w:r w:rsidR="00657DD4" w:rsidRPr="00C2438A">
              <w:rPr>
                <w:rFonts w:cstheme="minorHAnsi"/>
                <w:sz w:val="18"/>
                <w:szCs w:val="18"/>
                <w:shd w:val="clear" w:color="auto" w:fill="FFFFFF"/>
                <w:lang w:val="en-GB"/>
              </w:rPr>
              <w:t>April</w:t>
            </w:r>
            <w:r w:rsidRPr="00C2438A">
              <w:rPr>
                <w:rFonts w:cstheme="minorHAnsi"/>
                <w:sz w:val="18"/>
                <w:szCs w:val="18"/>
                <w:shd w:val="clear" w:color="auto" w:fill="FFFFFF"/>
                <w:lang w:val="en-GB"/>
              </w:rPr>
              <w:t xml:space="preserve"> 202</w:t>
            </w:r>
            <w:r w:rsidR="00657DD4" w:rsidRPr="00C2438A">
              <w:rPr>
                <w:rFonts w:cstheme="minorHAnsi"/>
                <w:sz w:val="18"/>
                <w:szCs w:val="18"/>
                <w:shd w:val="clear" w:color="auto" w:fill="FFFFFF"/>
                <w:lang w:val="en-GB"/>
              </w:rPr>
              <w:t>4</w:t>
            </w:r>
            <w:r w:rsidRPr="00C2438A">
              <w:rPr>
                <w:rFonts w:cstheme="minorHAnsi"/>
                <w:sz w:val="18"/>
                <w:szCs w:val="18"/>
                <w:shd w:val="clear" w:color="auto" w:fill="FFFFFF"/>
                <w:lang w:val="en-GB"/>
              </w:rPr>
              <w:t>).</w:t>
            </w:r>
          </w:p>
          <w:p w14:paraId="270A4A37" w14:textId="77777777" w:rsidR="00402DE9" w:rsidRPr="00C2438A" w:rsidRDefault="00402DE9" w:rsidP="00C2438A">
            <w:pPr>
              <w:spacing w:line="200" w:lineRule="exact"/>
              <w:contextualSpacing/>
              <w:rPr>
                <w:rFonts w:cstheme="minorHAnsi"/>
                <w:sz w:val="18"/>
                <w:szCs w:val="18"/>
                <w:u w:val="single"/>
              </w:rPr>
            </w:pPr>
            <w:r w:rsidRPr="00C2438A">
              <w:rPr>
                <w:rFonts w:cstheme="minorHAnsi"/>
                <w:sz w:val="18"/>
                <w:szCs w:val="18"/>
                <w:u w:val="single"/>
              </w:rPr>
              <w:t>Greece:</w:t>
            </w:r>
          </w:p>
          <w:p w14:paraId="50CDD69A" w14:textId="77777777" w:rsidR="00402DE9" w:rsidRPr="00C2438A" w:rsidRDefault="00402DE9" w:rsidP="00C2438A">
            <w:pPr>
              <w:numPr>
                <w:ilvl w:val="0"/>
                <w:numId w:val="1"/>
              </w:numPr>
              <w:spacing w:line="160" w:lineRule="exact"/>
              <w:ind w:left="0" w:hanging="142"/>
              <w:contextualSpacing/>
              <w:rPr>
                <w:rFonts w:cstheme="minorHAnsi"/>
                <w:sz w:val="18"/>
                <w:szCs w:val="18"/>
              </w:rPr>
            </w:pPr>
            <w:proofErr w:type="spellStart"/>
            <w:r w:rsidRPr="00C2438A">
              <w:rPr>
                <w:rFonts w:cstheme="minorHAnsi"/>
                <w:sz w:val="18"/>
                <w:szCs w:val="18"/>
              </w:rPr>
              <w:t>Tolika</w:t>
            </w:r>
            <w:proofErr w:type="spellEnd"/>
            <w:r w:rsidRPr="00C2438A">
              <w:rPr>
                <w:rFonts w:cstheme="minorHAnsi"/>
                <w:sz w:val="18"/>
                <w:szCs w:val="18"/>
              </w:rPr>
              <w:t xml:space="preserve"> K, Panagiotis M, </w:t>
            </w:r>
            <w:proofErr w:type="spellStart"/>
            <w:r w:rsidRPr="00C2438A">
              <w:rPr>
                <w:rFonts w:cstheme="minorHAnsi"/>
                <w:sz w:val="18"/>
                <w:szCs w:val="18"/>
              </w:rPr>
              <w:t>Tegoulias</w:t>
            </w:r>
            <w:proofErr w:type="spellEnd"/>
            <w:r w:rsidRPr="00C2438A">
              <w:rPr>
                <w:rFonts w:cstheme="minorHAnsi"/>
                <w:sz w:val="18"/>
                <w:szCs w:val="18"/>
              </w:rPr>
              <w:t xml:space="preserve"> I. Extreme temperatures in Greece during 2007: Could this be a ‘‘return to the future’’? Geophysical Research Letters 2009; 36, L10813, doi:10.1029/2009GL038538.</w:t>
            </w:r>
          </w:p>
          <w:p w14:paraId="03AEBBC0" w14:textId="77777777" w:rsidR="00402DE9" w:rsidRPr="00C2438A" w:rsidRDefault="00402DE9" w:rsidP="00C2438A">
            <w:pPr>
              <w:numPr>
                <w:ilvl w:val="0"/>
                <w:numId w:val="1"/>
              </w:numPr>
              <w:spacing w:line="160" w:lineRule="exact"/>
              <w:ind w:left="0" w:hanging="142"/>
              <w:contextualSpacing/>
              <w:rPr>
                <w:rFonts w:cstheme="minorHAnsi"/>
                <w:sz w:val="18"/>
                <w:szCs w:val="18"/>
              </w:rPr>
            </w:pPr>
            <w:proofErr w:type="spellStart"/>
            <w:r w:rsidRPr="00C2438A">
              <w:rPr>
                <w:rFonts w:cstheme="minorHAnsi"/>
                <w:sz w:val="18"/>
                <w:szCs w:val="18"/>
              </w:rPr>
              <w:t>Founda</w:t>
            </w:r>
            <w:proofErr w:type="spellEnd"/>
            <w:r w:rsidRPr="00C2438A">
              <w:rPr>
                <w:rFonts w:cstheme="minorHAnsi"/>
                <w:sz w:val="18"/>
                <w:szCs w:val="18"/>
              </w:rPr>
              <w:t>, D. &amp; Giannakopoulos, C. The exceptionally hot summer of 2007 in Athens, Greece – A typical summer in the future</w:t>
            </w:r>
          </w:p>
          <w:p w14:paraId="61655425" w14:textId="77777777" w:rsidR="00402DE9" w:rsidRPr="00C2438A" w:rsidRDefault="00402DE9" w:rsidP="00C2438A">
            <w:pPr>
              <w:numPr>
                <w:ilvl w:val="0"/>
                <w:numId w:val="1"/>
              </w:numPr>
              <w:spacing w:line="160" w:lineRule="exact"/>
              <w:ind w:left="0" w:hanging="142"/>
              <w:contextualSpacing/>
              <w:rPr>
                <w:rFonts w:cstheme="minorHAnsi"/>
                <w:sz w:val="18"/>
                <w:szCs w:val="18"/>
              </w:rPr>
            </w:pPr>
            <w:r w:rsidRPr="00C2438A">
              <w:rPr>
                <w:rFonts w:cstheme="minorHAnsi"/>
                <w:sz w:val="18"/>
                <w:szCs w:val="18"/>
              </w:rPr>
              <w:t>climate? Global and Planetary Change 67, 227–236 (2009).</w:t>
            </w:r>
          </w:p>
          <w:p w14:paraId="0759ED68" w14:textId="77777777" w:rsidR="00402DE9" w:rsidRPr="00C2438A" w:rsidRDefault="00402DE9" w:rsidP="00C2438A">
            <w:pPr>
              <w:numPr>
                <w:ilvl w:val="0"/>
                <w:numId w:val="1"/>
              </w:numPr>
              <w:spacing w:line="160" w:lineRule="exact"/>
              <w:ind w:left="0" w:hanging="142"/>
              <w:contextualSpacing/>
              <w:rPr>
                <w:rFonts w:cstheme="minorHAnsi"/>
                <w:sz w:val="18"/>
                <w:szCs w:val="18"/>
              </w:rPr>
            </w:pPr>
            <w:proofErr w:type="spellStart"/>
            <w:r w:rsidRPr="00C2438A">
              <w:rPr>
                <w:rFonts w:cstheme="minorHAnsi"/>
                <w:sz w:val="18"/>
                <w:szCs w:val="18"/>
              </w:rPr>
              <w:t>Papagiannaki</w:t>
            </w:r>
            <w:proofErr w:type="spellEnd"/>
            <w:r w:rsidRPr="00C2438A">
              <w:rPr>
                <w:rFonts w:cstheme="minorHAnsi"/>
                <w:sz w:val="18"/>
                <w:szCs w:val="18"/>
              </w:rPr>
              <w:t xml:space="preserve"> K, </w:t>
            </w:r>
            <w:proofErr w:type="spellStart"/>
            <w:r w:rsidRPr="00C2438A">
              <w:rPr>
                <w:rFonts w:cstheme="minorHAnsi"/>
                <w:sz w:val="18"/>
                <w:szCs w:val="18"/>
              </w:rPr>
              <w:t>Lagouvardos</w:t>
            </w:r>
            <w:proofErr w:type="spellEnd"/>
            <w:r w:rsidRPr="00C2438A">
              <w:rPr>
                <w:rFonts w:cstheme="minorHAnsi"/>
                <w:sz w:val="18"/>
                <w:szCs w:val="18"/>
              </w:rPr>
              <w:t xml:space="preserve"> K, </w:t>
            </w:r>
            <w:proofErr w:type="spellStart"/>
            <w:r w:rsidRPr="00C2438A">
              <w:rPr>
                <w:rFonts w:cstheme="minorHAnsi"/>
                <w:sz w:val="18"/>
                <w:szCs w:val="18"/>
              </w:rPr>
              <w:t>Kotroni</w:t>
            </w:r>
            <w:proofErr w:type="spellEnd"/>
            <w:r w:rsidRPr="00C2438A">
              <w:rPr>
                <w:rFonts w:cstheme="minorHAnsi"/>
                <w:sz w:val="18"/>
                <w:szCs w:val="18"/>
              </w:rPr>
              <w:t xml:space="preserve"> V. A database of high-impact weather events in Greece: a descriptive impact analysis for the period 2001–2011. Nat. Hazards Earth Syst. Sci., 13, 727–736, 2013. doi:10.5194/nhess-13-727-2013.</w:t>
            </w:r>
          </w:p>
          <w:p w14:paraId="1FF559B8" w14:textId="77777777" w:rsidR="00402DE9" w:rsidRPr="00C2438A" w:rsidRDefault="00402DE9" w:rsidP="00C2438A">
            <w:pPr>
              <w:numPr>
                <w:ilvl w:val="0"/>
                <w:numId w:val="1"/>
              </w:numPr>
              <w:spacing w:line="160" w:lineRule="exact"/>
              <w:ind w:left="0" w:hanging="142"/>
              <w:contextualSpacing/>
              <w:rPr>
                <w:rFonts w:cstheme="minorHAnsi"/>
                <w:b/>
                <w:sz w:val="18"/>
                <w:szCs w:val="18"/>
              </w:rPr>
            </w:pPr>
            <w:proofErr w:type="spellStart"/>
            <w:r w:rsidRPr="00C2438A">
              <w:rPr>
                <w:rFonts w:cstheme="minorHAnsi"/>
                <w:sz w:val="18"/>
                <w:szCs w:val="18"/>
              </w:rPr>
              <w:t>Paravantis</w:t>
            </w:r>
            <w:proofErr w:type="spellEnd"/>
            <w:r w:rsidRPr="00C2438A">
              <w:rPr>
                <w:rFonts w:cstheme="minorHAnsi"/>
                <w:sz w:val="18"/>
                <w:szCs w:val="18"/>
              </w:rPr>
              <w:t xml:space="preserve"> J, </w:t>
            </w:r>
            <w:proofErr w:type="spellStart"/>
            <w:r w:rsidRPr="00C2438A">
              <w:rPr>
                <w:rFonts w:cstheme="minorHAnsi"/>
                <w:sz w:val="18"/>
                <w:szCs w:val="18"/>
              </w:rPr>
              <w:t>Santamouris</w:t>
            </w:r>
            <w:proofErr w:type="spellEnd"/>
            <w:r w:rsidRPr="00C2438A">
              <w:rPr>
                <w:rFonts w:cstheme="minorHAnsi"/>
                <w:sz w:val="18"/>
                <w:szCs w:val="18"/>
              </w:rPr>
              <w:t xml:space="preserve"> M, </w:t>
            </w:r>
            <w:proofErr w:type="spellStart"/>
            <w:r w:rsidRPr="00C2438A">
              <w:rPr>
                <w:rFonts w:cstheme="minorHAnsi"/>
                <w:sz w:val="18"/>
                <w:szCs w:val="18"/>
              </w:rPr>
              <w:t>Cartalis</w:t>
            </w:r>
            <w:proofErr w:type="spellEnd"/>
            <w:r w:rsidRPr="00C2438A">
              <w:rPr>
                <w:rFonts w:cstheme="minorHAnsi"/>
                <w:sz w:val="18"/>
                <w:szCs w:val="18"/>
              </w:rPr>
              <w:t xml:space="preserve"> C.*, </w:t>
            </w:r>
            <w:proofErr w:type="spellStart"/>
            <w:r w:rsidRPr="00C2438A">
              <w:rPr>
                <w:rFonts w:cstheme="minorHAnsi"/>
                <w:sz w:val="18"/>
                <w:szCs w:val="18"/>
              </w:rPr>
              <w:t>Efthymiou</w:t>
            </w:r>
            <w:proofErr w:type="spellEnd"/>
            <w:r w:rsidRPr="00C2438A">
              <w:rPr>
                <w:rFonts w:cstheme="minorHAnsi"/>
                <w:sz w:val="18"/>
                <w:szCs w:val="18"/>
              </w:rPr>
              <w:t xml:space="preserve"> C, </w:t>
            </w:r>
            <w:proofErr w:type="spellStart"/>
            <w:r w:rsidRPr="00C2438A">
              <w:rPr>
                <w:rFonts w:cstheme="minorHAnsi"/>
                <w:sz w:val="18"/>
                <w:szCs w:val="18"/>
              </w:rPr>
              <w:t>Kontoulis</w:t>
            </w:r>
            <w:proofErr w:type="spellEnd"/>
            <w:r w:rsidRPr="00C2438A">
              <w:rPr>
                <w:rFonts w:cstheme="minorHAnsi"/>
                <w:sz w:val="18"/>
                <w:szCs w:val="18"/>
              </w:rPr>
              <w:t xml:space="preserve"> N. Mortality associated with high ambient temperatures, heatwaves, and the urban heat island in Athens, Greece. Sustainability 2017, 9, 606; doi:10.3390/su9040606.</w:t>
            </w:r>
          </w:p>
          <w:p w14:paraId="227F9E65" w14:textId="77777777" w:rsidR="00402DE9" w:rsidRPr="00C2438A" w:rsidRDefault="00402DE9" w:rsidP="00C2438A">
            <w:pPr>
              <w:numPr>
                <w:ilvl w:val="0"/>
                <w:numId w:val="1"/>
              </w:numPr>
              <w:spacing w:line="160" w:lineRule="exact"/>
              <w:ind w:left="0" w:hanging="142"/>
              <w:contextualSpacing/>
              <w:rPr>
                <w:rFonts w:cstheme="minorHAnsi"/>
                <w:b/>
                <w:sz w:val="18"/>
                <w:szCs w:val="18"/>
              </w:rPr>
            </w:pPr>
            <w:proofErr w:type="spellStart"/>
            <w:r w:rsidRPr="00C2438A">
              <w:rPr>
                <w:rFonts w:cstheme="minorHAnsi"/>
                <w:bCs/>
                <w:sz w:val="18"/>
                <w:szCs w:val="18"/>
              </w:rPr>
              <w:t>Tolika</w:t>
            </w:r>
            <w:proofErr w:type="spellEnd"/>
            <w:r w:rsidRPr="00C2438A">
              <w:rPr>
                <w:rFonts w:cstheme="minorHAnsi"/>
                <w:bCs/>
                <w:sz w:val="18"/>
                <w:szCs w:val="18"/>
              </w:rPr>
              <w:t xml:space="preserve"> K. Assessing heat waves over Greece using the Excess Heat Factor (EHF).</w:t>
            </w:r>
            <w:r w:rsidRPr="00C2438A">
              <w:rPr>
                <w:rFonts w:cstheme="minorHAnsi"/>
                <w:sz w:val="18"/>
                <w:szCs w:val="18"/>
              </w:rPr>
              <w:t xml:space="preserve"> Climate 2019, 7(1), 9; </w:t>
            </w:r>
            <w:hyperlink r:id="rId27" w:history="1">
              <w:r w:rsidRPr="00C2438A">
                <w:rPr>
                  <w:rStyle w:val="Hipervnculo"/>
                  <w:rFonts w:cstheme="minorHAnsi"/>
                  <w:color w:val="3366FF"/>
                  <w:sz w:val="16"/>
                  <w:szCs w:val="16"/>
                </w:rPr>
                <w:t>https://doi.org/10.3390/cli7010009</w:t>
              </w:r>
            </w:hyperlink>
            <w:r w:rsidRPr="00C2438A">
              <w:rPr>
                <w:rFonts w:cstheme="minorHAnsi"/>
                <w:sz w:val="16"/>
                <w:szCs w:val="16"/>
              </w:rPr>
              <w:t>.</w:t>
            </w:r>
            <w:r w:rsidRPr="00C2438A">
              <w:rPr>
                <w:rFonts w:cstheme="minorHAnsi"/>
                <w:sz w:val="18"/>
                <w:szCs w:val="18"/>
              </w:rPr>
              <w:t xml:space="preserve"> </w:t>
            </w:r>
          </w:p>
          <w:p w14:paraId="14EC4529" w14:textId="77777777" w:rsidR="00402DE9" w:rsidRPr="00C2438A" w:rsidRDefault="00402DE9" w:rsidP="00C2438A">
            <w:pPr>
              <w:numPr>
                <w:ilvl w:val="0"/>
                <w:numId w:val="1"/>
              </w:numPr>
              <w:spacing w:line="160" w:lineRule="exact"/>
              <w:ind w:left="0" w:hanging="142"/>
              <w:contextualSpacing/>
              <w:rPr>
                <w:rFonts w:cstheme="minorHAnsi"/>
                <w:b/>
                <w:sz w:val="18"/>
                <w:szCs w:val="18"/>
              </w:rPr>
            </w:pPr>
            <w:r w:rsidRPr="00C2438A">
              <w:rPr>
                <w:rFonts w:cstheme="minorHAnsi"/>
                <w:sz w:val="18"/>
                <w:szCs w:val="18"/>
              </w:rPr>
              <w:t xml:space="preserve">Paget WJ, </w:t>
            </w:r>
            <w:proofErr w:type="spellStart"/>
            <w:r w:rsidRPr="00C2438A">
              <w:rPr>
                <w:rFonts w:cstheme="minorHAnsi"/>
                <w:sz w:val="18"/>
                <w:szCs w:val="18"/>
              </w:rPr>
              <w:t>Meerhoff</w:t>
            </w:r>
            <w:proofErr w:type="spellEnd"/>
            <w:r w:rsidRPr="00C2438A">
              <w:rPr>
                <w:rFonts w:cstheme="minorHAnsi"/>
                <w:sz w:val="18"/>
                <w:szCs w:val="18"/>
              </w:rPr>
              <w:t xml:space="preserve"> TJ, Goddard NL: Mild to moderate influenza activity in Europe and the detection of novel A(H1N2) and B viruses during the winter of 2001-02. Euro </w:t>
            </w:r>
            <w:proofErr w:type="spellStart"/>
            <w:r w:rsidRPr="00C2438A">
              <w:rPr>
                <w:rFonts w:cstheme="minorHAnsi"/>
                <w:sz w:val="18"/>
                <w:szCs w:val="18"/>
              </w:rPr>
              <w:t>Surveill</w:t>
            </w:r>
            <w:proofErr w:type="spellEnd"/>
            <w:r w:rsidRPr="00C2438A">
              <w:rPr>
                <w:rFonts w:cstheme="minorHAnsi"/>
                <w:sz w:val="18"/>
                <w:szCs w:val="18"/>
              </w:rPr>
              <w:t>. 2002, 7: 147-157</w:t>
            </w:r>
          </w:p>
          <w:p w14:paraId="4725FFC6" w14:textId="77777777" w:rsidR="00402DE9" w:rsidRPr="00C2438A" w:rsidRDefault="00402DE9" w:rsidP="00C2438A">
            <w:pPr>
              <w:numPr>
                <w:ilvl w:val="0"/>
                <w:numId w:val="1"/>
              </w:numPr>
              <w:spacing w:line="160" w:lineRule="exact"/>
              <w:ind w:left="0" w:hanging="142"/>
              <w:contextualSpacing/>
              <w:rPr>
                <w:rFonts w:cstheme="minorHAnsi"/>
                <w:b/>
                <w:sz w:val="18"/>
                <w:szCs w:val="18"/>
              </w:rPr>
            </w:pPr>
            <w:r w:rsidRPr="00C2438A">
              <w:rPr>
                <w:rFonts w:cstheme="minorHAnsi"/>
                <w:sz w:val="18"/>
                <w:szCs w:val="18"/>
              </w:rPr>
              <w:t xml:space="preserve">Arkema JMS, Meijer A, </w:t>
            </w:r>
            <w:proofErr w:type="spellStart"/>
            <w:r w:rsidRPr="00C2438A">
              <w:rPr>
                <w:rFonts w:cstheme="minorHAnsi"/>
                <w:sz w:val="18"/>
                <w:szCs w:val="18"/>
              </w:rPr>
              <w:t>Meerhoffd</w:t>
            </w:r>
            <w:proofErr w:type="spellEnd"/>
            <w:r w:rsidRPr="00C2438A">
              <w:rPr>
                <w:rFonts w:cstheme="minorHAnsi"/>
                <w:sz w:val="18"/>
                <w:szCs w:val="18"/>
              </w:rPr>
              <w:t xml:space="preserve"> TJ, Van Der Velden J, Paget WJ, European Influenza Surveillance Schema (EISS). Epidemiological and </w:t>
            </w:r>
            <w:proofErr w:type="spellStart"/>
            <w:r w:rsidRPr="00C2438A">
              <w:rPr>
                <w:rFonts w:cstheme="minorHAnsi"/>
                <w:sz w:val="18"/>
                <w:szCs w:val="18"/>
              </w:rPr>
              <w:t>virological</w:t>
            </w:r>
            <w:proofErr w:type="spellEnd"/>
            <w:r w:rsidRPr="00C2438A">
              <w:rPr>
                <w:rFonts w:cstheme="minorHAnsi"/>
                <w:sz w:val="18"/>
                <w:szCs w:val="18"/>
              </w:rPr>
              <w:t xml:space="preserve"> assessment of influenza activity in Europe, during the 2006-2007 winter. Euro </w:t>
            </w:r>
            <w:proofErr w:type="spellStart"/>
            <w:r w:rsidRPr="00C2438A">
              <w:rPr>
                <w:rFonts w:cstheme="minorHAnsi"/>
                <w:sz w:val="18"/>
                <w:szCs w:val="18"/>
              </w:rPr>
              <w:t>Surveill</w:t>
            </w:r>
            <w:proofErr w:type="spellEnd"/>
            <w:r w:rsidRPr="00C2438A">
              <w:rPr>
                <w:rFonts w:cstheme="minorHAnsi"/>
                <w:sz w:val="18"/>
                <w:szCs w:val="18"/>
              </w:rPr>
              <w:t xml:space="preserve"> 2008; 13: 18958.</w:t>
            </w:r>
          </w:p>
          <w:p w14:paraId="17D22C85" w14:textId="77777777" w:rsidR="00402DE9" w:rsidRPr="00C2438A" w:rsidRDefault="00402DE9" w:rsidP="00C2438A">
            <w:pPr>
              <w:numPr>
                <w:ilvl w:val="0"/>
                <w:numId w:val="1"/>
              </w:numPr>
              <w:spacing w:line="160" w:lineRule="exact"/>
              <w:ind w:left="0" w:hanging="142"/>
              <w:contextualSpacing/>
              <w:rPr>
                <w:rFonts w:cstheme="minorHAnsi"/>
                <w:b/>
                <w:sz w:val="18"/>
                <w:szCs w:val="18"/>
              </w:rPr>
            </w:pPr>
            <w:proofErr w:type="spellStart"/>
            <w:r w:rsidRPr="00C2438A">
              <w:rPr>
                <w:rFonts w:cstheme="minorHAnsi"/>
                <w:sz w:val="18"/>
                <w:szCs w:val="18"/>
              </w:rPr>
              <w:t>Mazick</w:t>
            </w:r>
            <w:proofErr w:type="spellEnd"/>
            <w:r w:rsidRPr="00C2438A">
              <w:rPr>
                <w:rFonts w:cstheme="minorHAnsi"/>
                <w:sz w:val="18"/>
                <w:szCs w:val="18"/>
              </w:rPr>
              <w:t xml:space="preserve"> A, </w:t>
            </w:r>
            <w:proofErr w:type="spellStart"/>
            <w:r w:rsidRPr="00C2438A">
              <w:rPr>
                <w:rFonts w:cstheme="minorHAnsi"/>
                <w:sz w:val="18"/>
                <w:szCs w:val="18"/>
              </w:rPr>
              <w:t>Gergonne</w:t>
            </w:r>
            <w:proofErr w:type="spellEnd"/>
            <w:r w:rsidRPr="00C2438A">
              <w:rPr>
                <w:rFonts w:cstheme="minorHAnsi"/>
                <w:sz w:val="18"/>
                <w:szCs w:val="18"/>
              </w:rPr>
              <w:t xml:space="preserve"> B, Nielsen J, </w:t>
            </w:r>
            <w:proofErr w:type="spellStart"/>
            <w:r w:rsidRPr="00C2438A">
              <w:rPr>
                <w:rFonts w:cstheme="minorHAnsi"/>
                <w:sz w:val="18"/>
                <w:szCs w:val="18"/>
              </w:rPr>
              <w:t>Wuilaume</w:t>
            </w:r>
            <w:proofErr w:type="spellEnd"/>
            <w:r w:rsidRPr="00C2438A">
              <w:rPr>
                <w:rFonts w:cstheme="minorHAnsi"/>
                <w:sz w:val="18"/>
                <w:szCs w:val="18"/>
              </w:rPr>
              <w:t xml:space="preserve"> F, </w:t>
            </w:r>
            <w:proofErr w:type="spellStart"/>
            <w:r w:rsidRPr="00C2438A">
              <w:rPr>
                <w:rFonts w:cstheme="minorHAnsi"/>
                <w:sz w:val="18"/>
                <w:szCs w:val="18"/>
              </w:rPr>
              <w:t>Viirtanen</w:t>
            </w:r>
            <w:proofErr w:type="spellEnd"/>
            <w:r w:rsidRPr="00C2438A">
              <w:rPr>
                <w:rFonts w:cstheme="minorHAnsi"/>
                <w:sz w:val="18"/>
                <w:szCs w:val="18"/>
              </w:rPr>
              <w:t xml:space="preserve"> MJ </w:t>
            </w:r>
            <w:proofErr w:type="spellStart"/>
            <w:r w:rsidRPr="00C2438A">
              <w:rPr>
                <w:rFonts w:cstheme="minorHAnsi"/>
                <w:sz w:val="18"/>
                <w:szCs w:val="18"/>
              </w:rPr>
              <w:t>Fouillet</w:t>
            </w:r>
            <w:proofErr w:type="spellEnd"/>
            <w:r w:rsidRPr="00C2438A">
              <w:rPr>
                <w:rFonts w:cstheme="minorHAnsi"/>
                <w:sz w:val="18"/>
                <w:szCs w:val="18"/>
              </w:rPr>
              <w:t xml:space="preserve"> A et al. Excess mortality among the elderly in 12 European countries, February and March 2012. Euro </w:t>
            </w:r>
            <w:proofErr w:type="spellStart"/>
            <w:r w:rsidRPr="00C2438A">
              <w:rPr>
                <w:rFonts w:cstheme="minorHAnsi"/>
                <w:sz w:val="18"/>
                <w:szCs w:val="18"/>
              </w:rPr>
              <w:t>Surveill</w:t>
            </w:r>
            <w:proofErr w:type="spellEnd"/>
            <w:r w:rsidRPr="00C2438A">
              <w:rPr>
                <w:rFonts w:cstheme="minorHAnsi"/>
                <w:sz w:val="18"/>
                <w:szCs w:val="18"/>
              </w:rPr>
              <w:t xml:space="preserve"> 2012;17: 20138.</w:t>
            </w:r>
          </w:p>
          <w:p w14:paraId="750298C5" w14:textId="77777777" w:rsidR="00432B17" w:rsidRPr="00C2438A" w:rsidRDefault="00402DE9" w:rsidP="00C2438A">
            <w:pPr>
              <w:numPr>
                <w:ilvl w:val="0"/>
                <w:numId w:val="1"/>
              </w:numPr>
              <w:spacing w:line="160" w:lineRule="exact"/>
              <w:ind w:left="0" w:hanging="142"/>
              <w:contextualSpacing/>
              <w:rPr>
                <w:rFonts w:cstheme="minorHAnsi"/>
                <w:b/>
                <w:sz w:val="18"/>
                <w:szCs w:val="18"/>
              </w:rPr>
            </w:pPr>
            <w:proofErr w:type="spellStart"/>
            <w:r w:rsidRPr="00C2438A">
              <w:rPr>
                <w:rFonts w:cstheme="minorHAnsi"/>
                <w:sz w:val="18"/>
                <w:szCs w:val="18"/>
              </w:rPr>
              <w:t>Mølbak</w:t>
            </w:r>
            <w:proofErr w:type="spellEnd"/>
            <w:r w:rsidRPr="00C2438A">
              <w:rPr>
                <w:rFonts w:cstheme="minorHAnsi"/>
                <w:sz w:val="18"/>
                <w:szCs w:val="18"/>
              </w:rPr>
              <w:t xml:space="preserve"> K, </w:t>
            </w:r>
            <w:proofErr w:type="spellStart"/>
            <w:r w:rsidRPr="00C2438A">
              <w:rPr>
                <w:rFonts w:cstheme="minorHAnsi"/>
                <w:sz w:val="18"/>
                <w:szCs w:val="18"/>
              </w:rPr>
              <w:t>Espenhain</w:t>
            </w:r>
            <w:proofErr w:type="spellEnd"/>
            <w:r w:rsidRPr="00C2438A">
              <w:rPr>
                <w:rFonts w:cstheme="minorHAnsi"/>
                <w:sz w:val="18"/>
                <w:szCs w:val="18"/>
              </w:rPr>
              <w:t xml:space="preserve"> L, Nielsen J, </w:t>
            </w:r>
            <w:proofErr w:type="spellStart"/>
            <w:r w:rsidRPr="00C2438A">
              <w:rPr>
                <w:rFonts w:cstheme="minorHAnsi"/>
                <w:sz w:val="18"/>
                <w:szCs w:val="18"/>
              </w:rPr>
              <w:t>Tersago</w:t>
            </w:r>
            <w:proofErr w:type="spellEnd"/>
            <w:r w:rsidRPr="00C2438A">
              <w:rPr>
                <w:rFonts w:cstheme="minorHAnsi"/>
                <w:sz w:val="18"/>
                <w:szCs w:val="18"/>
              </w:rPr>
              <w:t xml:space="preserve"> K, </w:t>
            </w:r>
            <w:proofErr w:type="spellStart"/>
            <w:r w:rsidRPr="00C2438A">
              <w:rPr>
                <w:rFonts w:cstheme="minorHAnsi"/>
                <w:sz w:val="18"/>
                <w:szCs w:val="18"/>
              </w:rPr>
              <w:t>Bossuyt</w:t>
            </w:r>
            <w:proofErr w:type="spellEnd"/>
            <w:r w:rsidRPr="00C2438A">
              <w:rPr>
                <w:rFonts w:cstheme="minorHAnsi"/>
                <w:sz w:val="18"/>
                <w:szCs w:val="18"/>
              </w:rPr>
              <w:t xml:space="preserve"> N, </w:t>
            </w:r>
            <w:proofErr w:type="spellStart"/>
            <w:r w:rsidRPr="00C2438A">
              <w:rPr>
                <w:rFonts w:cstheme="minorHAnsi"/>
                <w:sz w:val="18"/>
                <w:szCs w:val="18"/>
              </w:rPr>
              <w:t>Denissov</w:t>
            </w:r>
            <w:proofErr w:type="spellEnd"/>
            <w:r w:rsidRPr="00C2438A">
              <w:rPr>
                <w:rFonts w:cstheme="minorHAnsi"/>
                <w:sz w:val="18"/>
                <w:szCs w:val="18"/>
              </w:rPr>
              <w:t xml:space="preserve"> G, et al. Excess mortality among the elderly in European countries, December 2014 to February 2015. Euro </w:t>
            </w:r>
            <w:proofErr w:type="spellStart"/>
            <w:r w:rsidRPr="00C2438A">
              <w:rPr>
                <w:rFonts w:cstheme="minorHAnsi"/>
                <w:sz w:val="18"/>
                <w:szCs w:val="18"/>
              </w:rPr>
              <w:t>Surveill</w:t>
            </w:r>
            <w:proofErr w:type="spellEnd"/>
            <w:r w:rsidRPr="00C2438A">
              <w:rPr>
                <w:rFonts w:cstheme="minorHAnsi"/>
                <w:sz w:val="18"/>
                <w:szCs w:val="18"/>
              </w:rPr>
              <w:t xml:space="preserve"> </w:t>
            </w:r>
            <w:proofErr w:type="gramStart"/>
            <w:r w:rsidRPr="00C2438A">
              <w:rPr>
                <w:rFonts w:cstheme="minorHAnsi"/>
                <w:sz w:val="18"/>
                <w:szCs w:val="18"/>
              </w:rPr>
              <w:t>2015;20:4</w:t>
            </w:r>
            <w:proofErr w:type="gramEnd"/>
            <w:r w:rsidRPr="00C2438A">
              <w:rPr>
                <w:rFonts w:cstheme="minorHAnsi"/>
                <w:sz w:val="18"/>
                <w:szCs w:val="18"/>
              </w:rPr>
              <w:t>.</w:t>
            </w:r>
            <w:r w:rsidRPr="00C2438A">
              <w:rPr>
                <w:rFonts w:cstheme="minorHAnsi"/>
                <w:b/>
                <w:sz w:val="18"/>
                <w:szCs w:val="18"/>
              </w:rPr>
              <w:t xml:space="preserve"> </w:t>
            </w:r>
          </w:p>
          <w:p w14:paraId="7FABAF14" w14:textId="77777777" w:rsidR="00432B17" w:rsidRPr="00C2438A" w:rsidRDefault="00432B17" w:rsidP="00C2438A">
            <w:pPr>
              <w:spacing w:line="160" w:lineRule="exact"/>
              <w:contextualSpacing/>
              <w:rPr>
                <w:rFonts w:cstheme="minorHAnsi"/>
                <w:sz w:val="18"/>
                <w:szCs w:val="18"/>
                <w:u w:val="single"/>
              </w:rPr>
            </w:pPr>
            <w:r w:rsidRPr="00C2438A">
              <w:rPr>
                <w:rFonts w:cstheme="minorHAnsi"/>
                <w:sz w:val="18"/>
                <w:szCs w:val="18"/>
                <w:u w:val="single"/>
              </w:rPr>
              <w:t>Italia</w:t>
            </w:r>
          </w:p>
          <w:p w14:paraId="786899A8" w14:textId="77777777" w:rsidR="00432B17" w:rsidRPr="00C2438A" w:rsidRDefault="00432B17" w:rsidP="00C2438A">
            <w:pPr>
              <w:numPr>
                <w:ilvl w:val="0"/>
                <w:numId w:val="1"/>
              </w:numPr>
              <w:spacing w:line="160" w:lineRule="exact"/>
              <w:ind w:left="0" w:hanging="142"/>
              <w:contextualSpacing/>
              <w:rPr>
                <w:rFonts w:cstheme="minorHAnsi"/>
                <w:b/>
                <w:sz w:val="16"/>
                <w:szCs w:val="16"/>
              </w:rPr>
            </w:pPr>
            <w:proofErr w:type="spellStart"/>
            <w:r w:rsidRPr="00C2438A">
              <w:rPr>
                <w:rFonts w:cstheme="minorHAnsi"/>
                <w:sz w:val="18"/>
                <w:szCs w:val="18"/>
                <w:lang w:val="es-ES"/>
              </w:rPr>
              <w:t>Betti</w:t>
            </w:r>
            <w:proofErr w:type="spellEnd"/>
            <w:r w:rsidRPr="00C2438A">
              <w:rPr>
                <w:rFonts w:cstheme="minorHAnsi"/>
                <w:sz w:val="18"/>
                <w:szCs w:val="18"/>
                <w:lang w:val="es-ES"/>
              </w:rPr>
              <w:t xml:space="preserve"> G. </w:t>
            </w:r>
            <w:proofErr w:type="spellStart"/>
            <w:r w:rsidRPr="00C2438A">
              <w:rPr>
                <w:rFonts w:cstheme="minorHAnsi"/>
                <w:sz w:val="18"/>
                <w:szCs w:val="18"/>
                <w:lang w:val="es-ES"/>
              </w:rPr>
              <w:t>Il</w:t>
            </w:r>
            <w:proofErr w:type="spellEnd"/>
            <w:r w:rsidRPr="00C2438A">
              <w:rPr>
                <w:rFonts w:cstheme="minorHAnsi"/>
                <w:sz w:val="18"/>
                <w:szCs w:val="18"/>
                <w:lang w:val="es-ES"/>
              </w:rPr>
              <w:t xml:space="preserve"> </w:t>
            </w:r>
            <w:proofErr w:type="spellStart"/>
            <w:r w:rsidRPr="00C2438A">
              <w:rPr>
                <w:rFonts w:cstheme="minorHAnsi"/>
                <w:sz w:val="18"/>
                <w:szCs w:val="18"/>
                <w:lang w:val="es-ES"/>
              </w:rPr>
              <w:t>calore</w:t>
            </w:r>
            <w:proofErr w:type="spellEnd"/>
            <w:r w:rsidRPr="00C2438A">
              <w:rPr>
                <w:rFonts w:cstheme="minorHAnsi"/>
                <w:sz w:val="18"/>
                <w:szCs w:val="18"/>
                <w:lang w:val="es-ES"/>
              </w:rPr>
              <w:t xml:space="preserve"> afoso in Italia nel periodo 1979-2016. </w:t>
            </w:r>
            <w:proofErr w:type="spellStart"/>
            <w:r w:rsidRPr="00C2438A">
              <w:rPr>
                <w:rFonts w:cstheme="minorHAnsi"/>
                <w:sz w:val="18"/>
                <w:szCs w:val="18"/>
                <w:lang w:val="es-ES"/>
              </w:rPr>
              <w:t>Tesi</w:t>
            </w:r>
            <w:proofErr w:type="spellEnd"/>
            <w:r w:rsidRPr="00C2438A">
              <w:rPr>
                <w:rFonts w:cstheme="minorHAnsi"/>
                <w:sz w:val="18"/>
                <w:szCs w:val="18"/>
                <w:lang w:val="es-ES"/>
              </w:rPr>
              <w:t xml:space="preserve"> di laurea </w:t>
            </w:r>
            <w:proofErr w:type="spellStart"/>
            <w:r w:rsidRPr="00C2438A">
              <w:rPr>
                <w:rFonts w:cstheme="minorHAnsi"/>
                <w:sz w:val="18"/>
                <w:szCs w:val="18"/>
                <w:lang w:val="es-ES"/>
              </w:rPr>
              <w:t>magistrale</w:t>
            </w:r>
            <w:proofErr w:type="spellEnd"/>
            <w:r w:rsidRPr="00C2438A">
              <w:rPr>
                <w:rFonts w:cstheme="minorHAnsi"/>
                <w:sz w:val="18"/>
                <w:szCs w:val="18"/>
                <w:lang w:val="es-ES"/>
              </w:rPr>
              <w:t xml:space="preserve">. </w:t>
            </w:r>
            <w:proofErr w:type="spellStart"/>
            <w:r w:rsidRPr="00C2438A">
              <w:rPr>
                <w:rFonts w:cstheme="minorHAnsi"/>
                <w:sz w:val="18"/>
                <w:szCs w:val="18"/>
                <w:lang w:val="es-ES"/>
              </w:rPr>
              <w:t>Universitá</w:t>
            </w:r>
            <w:proofErr w:type="spellEnd"/>
            <w:r w:rsidRPr="00C2438A">
              <w:rPr>
                <w:rFonts w:cstheme="minorHAnsi"/>
                <w:sz w:val="18"/>
                <w:szCs w:val="18"/>
                <w:lang w:val="es-ES"/>
              </w:rPr>
              <w:t xml:space="preserve"> di Pisa. </w:t>
            </w:r>
            <w:r w:rsidR="001B34A4">
              <w:fldChar w:fldCharType="begin"/>
            </w:r>
            <w:r w:rsidR="001B34A4" w:rsidRPr="002D1F09">
              <w:rPr>
                <w:lang w:val="es-ES"/>
              </w:rPr>
              <w:instrText xml:space="preserve"> HYPERLINK "https://etd.adm.unipi.it/t/etd-01182017-221136/" </w:instrText>
            </w:r>
            <w:r w:rsidR="001B34A4">
              <w:fldChar w:fldCharType="separate"/>
            </w:r>
            <w:r w:rsidRPr="00C2438A">
              <w:rPr>
                <w:rStyle w:val="Hipervnculo"/>
                <w:rFonts w:cstheme="minorHAnsi"/>
                <w:sz w:val="16"/>
                <w:szCs w:val="16"/>
                <w:lang w:val="es-ES"/>
              </w:rPr>
              <w:t>https://etd.adm.unipi.it/t/etd-01182017-221136/</w:t>
            </w:r>
            <w:r w:rsidR="001B34A4">
              <w:rPr>
                <w:rStyle w:val="Hipervnculo"/>
                <w:rFonts w:cstheme="minorHAnsi"/>
                <w:sz w:val="16"/>
                <w:szCs w:val="16"/>
              </w:rPr>
              <w:fldChar w:fldCharType="end"/>
            </w:r>
          </w:p>
          <w:p w14:paraId="5FDBCAEC" w14:textId="77777777" w:rsidR="00BA0C82" w:rsidRPr="00C2438A" w:rsidRDefault="00B07E68" w:rsidP="00C2438A">
            <w:pPr>
              <w:numPr>
                <w:ilvl w:val="0"/>
                <w:numId w:val="1"/>
              </w:numPr>
              <w:spacing w:line="160" w:lineRule="exact"/>
              <w:ind w:left="0" w:hanging="142"/>
              <w:contextualSpacing/>
              <w:rPr>
                <w:rFonts w:cstheme="minorHAnsi"/>
                <w:sz w:val="16"/>
                <w:szCs w:val="16"/>
                <w:lang w:val="es-ES"/>
              </w:rPr>
            </w:pPr>
            <w:proofErr w:type="spellStart"/>
            <w:r w:rsidRPr="00C2438A">
              <w:rPr>
                <w:rFonts w:cstheme="minorHAnsi"/>
                <w:sz w:val="18"/>
                <w:szCs w:val="18"/>
                <w:lang w:val="es-ES"/>
              </w:rPr>
              <w:t>Istituto</w:t>
            </w:r>
            <w:proofErr w:type="spellEnd"/>
            <w:r w:rsidRPr="00C2438A">
              <w:rPr>
                <w:rFonts w:cstheme="minorHAnsi"/>
                <w:sz w:val="18"/>
                <w:szCs w:val="18"/>
                <w:lang w:val="es-ES"/>
              </w:rPr>
              <w:t xml:space="preserve"> </w:t>
            </w:r>
            <w:proofErr w:type="spellStart"/>
            <w:r w:rsidRPr="00C2438A">
              <w:rPr>
                <w:rFonts w:cstheme="minorHAnsi"/>
                <w:sz w:val="18"/>
                <w:szCs w:val="18"/>
                <w:lang w:val="es-ES"/>
              </w:rPr>
              <w:t>Superiori</w:t>
            </w:r>
            <w:proofErr w:type="spellEnd"/>
            <w:r w:rsidRPr="00C2438A">
              <w:rPr>
                <w:rFonts w:cstheme="minorHAnsi"/>
                <w:sz w:val="18"/>
                <w:szCs w:val="18"/>
                <w:lang w:val="es-ES"/>
              </w:rPr>
              <w:t xml:space="preserve"> per la </w:t>
            </w:r>
            <w:proofErr w:type="spellStart"/>
            <w:r w:rsidRPr="00C2438A">
              <w:rPr>
                <w:rFonts w:cstheme="minorHAnsi"/>
                <w:sz w:val="18"/>
                <w:szCs w:val="18"/>
                <w:lang w:val="es-ES"/>
              </w:rPr>
              <w:t>Protezione</w:t>
            </w:r>
            <w:proofErr w:type="spellEnd"/>
            <w:r w:rsidRPr="00C2438A">
              <w:rPr>
                <w:rFonts w:cstheme="minorHAnsi"/>
                <w:sz w:val="18"/>
                <w:szCs w:val="18"/>
                <w:lang w:val="es-ES"/>
              </w:rPr>
              <w:t xml:space="preserve"> e la </w:t>
            </w:r>
            <w:proofErr w:type="spellStart"/>
            <w:r w:rsidRPr="00C2438A">
              <w:rPr>
                <w:rFonts w:cstheme="minorHAnsi"/>
                <w:sz w:val="18"/>
                <w:szCs w:val="18"/>
                <w:lang w:val="es-ES"/>
              </w:rPr>
              <w:t>Ricerca</w:t>
            </w:r>
            <w:proofErr w:type="spellEnd"/>
            <w:r w:rsidRPr="00C2438A">
              <w:rPr>
                <w:rFonts w:cstheme="minorHAnsi"/>
                <w:sz w:val="18"/>
                <w:szCs w:val="18"/>
                <w:lang w:val="es-ES"/>
              </w:rPr>
              <w:t xml:space="preserve"> </w:t>
            </w:r>
            <w:proofErr w:type="spellStart"/>
            <w:r w:rsidRPr="00C2438A">
              <w:rPr>
                <w:rFonts w:cstheme="minorHAnsi"/>
                <w:sz w:val="18"/>
                <w:szCs w:val="18"/>
                <w:lang w:val="es-ES"/>
              </w:rPr>
              <w:t>Ambientae</w:t>
            </w:r>
            <w:proofErr w:type="spellEnd"/>
            <w:r w:rsidRPr="00C2438A">
              <w:rPr>
                <w:rFonts w:cstheme="minorHAnsi"/>
                <w:sz w:val="18"/>
                <w:szCs w:val="18"/>
                <w:lang w:val="es-ES"/>
              </w:rPr>
              <w:t xml:space="preserve"> (ISPRA)</w:t>
            </w:r>
            <w:r w:rsidR="00D82165" w:rsidRPr="00C2438A">
              <w:rPr>
                <w:rFonts w:cstheme="minorHAnsi"/>
                <w:sz w:val="18"/>
                <w:szCs w:val="18"/>
                <w:lang w:val="es-ES"/>
              </w:rPr>
              <w:t xml:space="preserve">. </w:t>
            </w:r>
            <w:proofErr w:type="spellStart"/>
            <w:r w:rsidR="006F4015" w:rsidRPr="00C2438A">
              <w:rPr>
                <w:rFonts w:cstheme="minorHAnsi"/>
                <w:sz w:val="18"/>
                <w:szCs w:val="18"/>
                <w:lang w:val="es-ES"/>
              </w:rPr>
              <w:t>Stato</w:t>
            </w:r>
            <w:proofErr w:type="spellEnd"/>
            <w:r w:rsidR="006F4015" w:rsidRPr="00C2438A">
              <w:rPr>
                <w:rFonts w:cstheme="minorHAnsi"/>
                <w:sz w:val="18"/>
                <w:szCs w:val="18"/>
                <w:lang w:val="es-ES"/>
              </w:rPr>
              <w:t xml:space="preserve"> </w:t>
            </w:r>
            <w:proofErr w:type="spellStart"/>
            <w:r w:rsidR="006F4015" w:rsidRPr="00C2438A">
              <w:rPr>
                <w:rFonts w:cstheme="minorHAnsi"/>
                <w:sz w:val="18"/>
                <w:szCs w:val="18"/>
                <w:lang w:val="es-ES"/>
              </w:rPr>
              <w:t>d’ell</w:t>
            </w:r>
            <w:proofErr w:type="spellEnd"/>
            <w:r w:rsidR="006F4015" w:rsidRPr="00C2438A">
              <w:rPr>
                <w:rFonts w:cstheme="minorHAnsi"/>
                <w:sz w:val="18"/>
                <w:szCs w:val="18"/>
                <w:lang w:val="es-ES"/>
              </w:rPr>
              <w:t xml:space="preserve"> ambiente. </w:t>
            </w:r>
            <w:proofErr w:type="spellStart"/>
            <w:r w:rsidR="00D82165" w:rsidRPr="00C2438A">
              <w:rPr>
                <w:rFonts w:cstheme="minorHAnsi"/>
                <w:sz w:val="18"/>
                <w:szCs w:val="18"/>
                <w:lang w:val="es-ES"/>
              </w:rPr>
              <w:t>Gli</w:t>
            </w:r>
            <w:proofErr w:type="spellEnd"/>
            <w:r w:rsidR="00D82165" w:rsidRPr="00C2438A">
              <w:rPr>
                <w:rFonts w:cstheme="minorHAnsi"/>
                <w:sz w:val="18"/>
                <w:szCs w:val="18"/>
                <w:lang w:val="es-ES"/>
              </w:rPr>
              <w:t xml:space="preserve"> </w:t>
            </w:r>
            <w:proofErr w:type="spellStart"/>
            <w:r w:rsidR="00D82165" w:rsidRPr="00C2438A">
              <w:rPr>
                <w:rFonts w:cstheme="minorHAnsi"/>
                <w:sz w:val="18"/>
                <w:szCs w:val="18"/>
                <w:lang w:val="es-ES"/>
              </w:rPr>
              <w:t>indicatori</w:t>
            </w:r>
            <w:proofErr w:type="spellEnd"/>
            <w:r w:rsidR="00D82165" w:rsidRPr="00C2438A">
              <w:rPr>
                <w:rFonts w:cstheme="minorHAnsi"/>
                <w:sz w:val="18"/>
                <w:szCs w:val="18"/>
                <w:lang w:val="es-ES"/>
              </w:rPr>
              <w:t xml:space="preserve"> del clima in Italia. </w:t>
            </w:r>
            <w:proofErr w:type="spellStart"/>
            <w:r w:rsidR="00D82165" w:rsidRPr="00C2438A">
              <w:rPr>
                <w:rFonts w:cstheme="minorHAnsi"/>
                <w:sz w:val="18"/>
                <w:szCs w:val="18"/>
                <w:lang w:val="es-ES"/>
              </w:rPr>
              <w:t>Rapport</w:t>
            </w:r>
            <w:r w:rsidR="00384D7F" w:rsidRPr="00C2438A">
              <w:rPr>
                <w:rFonts w:cstheme="minorHAnsi"/>
                <w:sz w:val="18"/>
                <w:szCs w:val="18"/>
                <w:lang w:val="es-ES"/>
              </w:rPr>
              <w:t>i</w:t>
            </w:r>
            <w:proofErr w:type="spellEnd"/>
            <w:r w:rsidR="00D82165" w:rsidRPr="00C2438A">
              <w:rPr>
                <w:rFonts w:cstheme="minorHAnsi"/>
                <w:sz w:val="18"/>
                <w:szCs w:val="18"/>
                <w:lang w:val="es-ES"/>
              </w:rPr>
              <w:t xml:space="preserve"> </w:t>
            </w:r>
            <w:proofErr w:type="spellStart"/>
            <w:r w:rsidR="00D82165" w:rsidRPr="00C2438A">
              <w:rPr>
                <w:rFonts w:cstheme="minorHAnsi"/>
                <w:sz w:val="18"/>
                <w:szCs w:val="18"/>
                <w:lang w:val="es-ES"/>
              </w:rPr>
              <w:t>annual</w:t>
            </w:r>
            <w:r w:rsidR="00384D7F" w:rsidRPr="00C2438A">
              <w:rPr>
                <w:rFonts w:cstheme="minorHAnsi"/>
                <w:sz w:val="18"/>
                <w:szCs w:val="18"/>
                <w:lang w:val="es-ES"/>
              </w:rPr>
              <w:t>i</w:t>
            </w:r>
            <w:proofErr w:type="spellEnd"/>
            <w:r w:rsidR="00384D7F" w:rsidRPr="00C2438A">
              <w:rPr>
                <w:rFonts w:cstheme="minorHAnsi"/>
                <w:sz w:val="18"/>
                <w:szCs w:val="18"/>
                <w:lang w:val="es-ES"/>
              </w:rPr>
              <w:t xml:space="preserve"> 2006-2019</w:t>
            </w:r>
            <w:r w:rsidR="00D82165" w:rsidRPr="00C2438A">
              <w:rPr>
                <w:rFonts w:cstheme="minorHAnsi"/>
                <w:sz w:val="18"/>
                <w:szCs w:val="18"/>
                <w:lang w:val="es-ES"/>
              </w:rPr>
              <w:t>.</w:t>
            </w:r>
            <w:r w:rsidR="006F4015" w:rsidRPr="00C2438A">
              <w:rPr>
                <w:rFonts w:cstheme="minorHAnsi"/>
                <w:sz w:val="18"/>
                <w:szCs w:val="18"/>
                <w:lang w:val="es-ES"/>
              </w:rPr>
              <w:t xml:space="preserve"> </w:t>
            </w:r>
            <w:r w:rsidR="001B34A4">
              <w:fldChar w:fldCharType="begin"/>
            </w:r>
            <w:r w:rsidR="001B34A4" w:rsidRPr="002D1F09">
              <w:rPr>
                <w:lang w:val="es-ES"/>
              </w:rPr>
              <w:instrText xml:space="preserve"> HYPERLINK "https://www.isprambiente.gov.it/it/pubblicazioni/stato-dellambiente" </w:instrText>
            </w:r>
            <w:r w:rsidR="001B34A4">
              <w:fldChar w:fldCharType="separate"/>
            </w:r>
            <w:r w:rsidR="00BA0C82" w:rsidRPr="00C2438A">
              <w:rPr>
                <w:rStyle w:val="Hipervnculo"/>
                <w:rFonts w:cstheme="minorHAnsi"/>
                <w:sz w:val="16"/>
                <w:szCs w:val="16"/>
                <w:lang w:val="es-ES"/>
              </w:rPr>
              <w:t>https://www.isprambiente.gov.it/it/pubblicazioni/stato-dellambiente</w:t>
            </w:r>
            <w:r w:rsidR="001B34A4">
              <w:rPr>
                <w:rStyle w:val="Hipervnculo"/>
                <w:rFonts w:cstheme="minorHAnsi"/>
                <w:sz w:val="16"/>
                <w:szCs w:val="16"/>
              </w:rPr>
              <w:fldChar w:fldCharType="end"/>
            </w:r>
            <w:r w:rsidR="00BA0C82" w:rsidRPr="00C2438A">
              <w:rPr>
                <w:rFonts w:cstheme="minorHAnsi"/>
                <w:sz w:val="16"/>
                <w:szCs w:val="16"/>
                <w:lang w:val="es-ES"/>
              </w:rPr>
              <w:t>.</w:t>
            </w:r>
          </w:p>
        </w:tc>
      </w:tr>
    </w:tbl>
    <w:p w14:paraId="6675352B" w14:textId="77777777" w:rsidR="00402DE9" w:rsidRPr="00F9306C" w:rsidRDefault="00402DE9" w:rsidP="00C2438A">
      <w:pPr>
        <w:rPr>
          <w:sz w:val="16"/>
          <w:szCs w:val="16"/>
        </w:rPr>
      </w:pPr>
    </w:p>
    <w:p w14:paraId="3985A82F" w14:textId="77777777" w:rsidR="00163752" w:rsidRPr="002D1F09" w:rsidRDefault="00163752" w:rsidP="00C2438A">
      <w:pPr>
        <w:pStyle w:val="Textocomentario"/>
        <w:spacing w:after="0" w:line="340" w:lineRule="exact"/>
        <w:jc w:val="both"/>
        <w:rPr>
          <w:rFonts w:cstheme="minorHAnsi"/>
          <w:b/>
          <w:sz w:val="22"/>
          <w:szCs w:val="22"/>
          <w:lang w:val="en-GB"/>
        </w:rPr>
      </w:pPr>
      <w:bookmarkStart w:id="0" w:name="_GoBack"/>
      <w:proofErr w:type="spellStart"/>
      <w:r w:rsidRPr="002D1F09">
        <w:rPr>
          <w:rFonts w:cstheme="minorHAnsi"/>
          <w:b/>
          <w:sz w:val="22"/>
          <w:szCs w:val="22"/>
        </w:rPr>
        <w:lastRenderedPageBreak/>
        <w:t>eTable</w:t>
      </w:r>
      <w:proofErr w:type="spellEnd"/>
      <w:r w:rsidRPr="002D1F09">
        <w:rPr>
          <w:rFonts w:cstheme="minorHAnsi"/>
          <w:b/>
          <w:sz w:val="22"/>
          <w:szCs w:val="22"/>
        </w:rPr>
        <w:t xml:space="preserve"> 3.</w:t>
      </w:r>
      <w:r w:rsidR="00AB6766" w:rsidRPr="002D1F09">
        <w:rPr>
          <w:rFonts w:cstheme="minorHAnsi"/>
          <w:b/>
          <w:sz w:val="22"/>
          <w:szCs w:val="22"/>
        </w:rPr>
        <w:t xml:space="preserve"> Additional methodological details on calculation of age-standardized mortality rates and </w:t>
      </w:r>
      <w:r w:rsidR="00AB6766" w:rsidRPr="002D1F09">
        <w:rPr>
          <w:rFonts w:cstheme="minorHAnsi"/>
          <w:b/>
          <w:sz w:val="22"/>
          <w:szCs w:val="22"/>
          <w:lang w:val="en-GB"/>
        </w:rPr>
        <w:t>specification of generalized linear regression models.</w:t>
      </w:r>
    </w:p>
    <w:p w14:paraId="5791ECB0" w14:textId="77777777" w:rsidR="0083316D" w:rsidRPr="002D1F09" w:rsidRDefault="0083316D" w:rsidP="00C2438A">
      <w:pPr>
        <w:pStyle w:val="Textocomentario"/>
        <w:spacing w:after="0" w:line="340" w:lineRule="exact"/>
        <w:jc w:val="both"/>
        <w:rPr>
          <w:rFonts w:cstheme="minorHAnsi"/>
          <w:b/>
          <w:sz w:val="22"/>
          <w:szCs w:val="22"/>
        </w:rPr>
      </w:pPr>
    </w:p>
    <w:tbl>
      <w:tblPr>
        <w:tblStyle w:val="Tablaconcuadrcula"/>
        <w:tblW w:w="5154" w:type="pct"/>
        <w:tblLook w:val="04A0" w:firstRow="1" w:lastRow="0" w:firstColumn="1" w:lastColumn="0" w:noHBand="0" w:noVBand="1"/>
      </w:tblPr>
      <w:tblGrid>
        <w:gridCol w:w="9634"/>
      </w:tblGrid>
      <w:tr w:rsidR="002D1F09" w:rsidRPr="002D1F09" w14:paraId="5D1314ED" w14:textId="77777777" w:rsidTr="00304C84">
        <w:tc>
          <w:tcPr>
            <w:tcW w:w="9634" w:type="dxa"/>
            <w:tcBorders>
              <w:bottom w:val="nil"/>
            </w:tcBorders>
            <w:tcMar>
              <w:top w:w="57" w:type="dxa"/>
              <w:left w:w="57" w:type="dxa"/>
              <w:bottom w:w="57" w:type="dxa"/>
              <w:right w:w="57" w:type="dxa"/>
            </w:tcMar>
          </w:tcPr>
          <w:p w14:paraId="1431FF12" w14:textId="77777777" w:rsidR="0007289F" w:rsidRPr="002D1F09" w:rsidRDefault="0007289F" w:rsidP="00C2438A">
            <w:pPr>
              <w:pStyle w:val="Textocomentario"/>
              <w:spacing w:line="360" w:lineRule="exact"/>
              <w:jc w:val="both"/>
              <w:rPr>
                <w:rFonts w:cstheme="minorHAnsi"/>
                <w:b/>
                <w:sz w:val="22"/>
                <w:szCs w:val="22"/>
                <w:u w:val="single"/>
              </w:rPr>
            </w:pPr>
            <w:r w:rsidRPr="002D1F09">
              <w:rPr>
                <w:rFonts w:cstheme="minorHAnsi"/>
                <w:b/>
                <w:sz w:val="22"/>
                <w:szCs w:val="22"/>
                <w:u w:val="single"/>
              </w:rPr>
              <w:t>Calculation of age-standardized mortality rates</w:t>
            </w:r>
          </w:p>
        </w:tc>
      </w:tr>
      <w:tr w:rsidR="002D1F09" w:rsidRPr="002D1F09" w14:paraId="432659A1" w14:textId="77777777" w:rsidTr="00304C84">
        <w:tc>
          <w:tcPr>
            <w:tcW w:w="9634" w:type="dxa"/>
            <w:tcBorders>
              <w:top w:val="nil"/>
              <w:bottom w:val="single" w:sz="4" w:space="0" w:color="auto"/>
            </w:tcBorders>
            <w:tcMar>
              <w:top w:w="57" w:type="dxa"/>
              <w:left w:w="57" w:type="dxa"/>
              <w:bottom w:w="57" w:type="dxa"/>
              <w:right w:w="57" w:type="dxa"/>
            </w:tcMar>
          </w:tcPr>
          <w:p w14:paraId="4016BB90" w14:textId="77777777" w:rsidR="0007289F" w:rsidRPr="002D1F09" w:rsidRDefault="003452ED" w:rsidP="00C2438A">
            <w:pPr>
              <w:pStyle w:val="Textocomentario"/>
              <w:spacing w:line="360" w:lineRule="exact"/>
              <w:jc w:val="both"/>
              <w:rPr>
                <w:rFonts w:cstheme="minorHAnsi"/>
                <w:sz w:val="22"/>
                <w:szCs w:val="22"/>
              </w:rPr>
            </w:pPr>
            <w:r w:rsidRPr="002D1F09">
              <w:rPr>
                <w:rFonts w:cstheme="minorHAnsi"/>
                <w:sz w:val="22"/>
                <w:szCs w:val="22"/>
              </w:rPr>
              <w:t>They were standardized using the direct method, applying the weights from the 2013 European Standard Population to the deaths and resident population at mid-year by 5-year age group, from the 0-4 years age-group to the 85 years and older group.</w:t>
            </w:r>
          </w:p>
        </w:tc>
      </w:tr>
      <w:tr w:rsidR="002D1F09" w:rsidRPr="002D1F09" w14:paraId="65E50AA2" w14:textId="77777777" w:rsidTr="00304C84">
        <w:tc>
          <w:tcPr>
            <w:tcW w:w="9634" w:type="dxa"/>
            <w:tcBorders>
              <w:bottom w:val="nil"/>
            </w:tcBorders>
            <w:tcMar>
              <w:top w:w="57" w:type="dxa"/>
              <w:left w:w="57" w:type="dxa"/>
              <w:bottom w:w="57" w:type="dxa"/>
              <w:right w:w="57" w:type="dxa"/>
            </w:tcMar>
          </w:tcPr>
          <w:p w14:paraId="314958EB" w14:textId="77777777" w:rsidR="0007289F" w:rsidRPr="002D1F09" w:rsidRDefault="0007289F" w:rsidP="00C2438A">
            <w:pPr>
              <w:pStyle w:val="Textocomentario"/>
              <w:spacing w:line="360" w:lineRule="exact"/>
              <w:jc w:val="both"/>
              <w:rPr>
                <w:rFonts w:cstheme="minorHAnsi"/>
                <w:b/>
                <w:sz w:val="22"/>
                <w:szCs w:val="22"/>
                <w:u w:val="single"/>
                <w:lang w:val="en-GB"/>
              </w:rPr>
            </w:pPr>
            <w:r w:rsidRPr="002D1F09">
              <w:rPr>
                <w:rFonts w:cstheme="minorHAnsi"/>
                <w:b/>
                <w:sz w:val="22"/>
                <w:szCs w:val="22"/>
                <w:u w:val="single"/>
                <w:lang w:val="en-GB"/>
              </w:rPr>
              <w:t>General specification of the country-level fixed-effects model</w:t>
            </w:r>
          </w:p>
        </w:tc>
      </w:tr>
      <w:tr w:rsidR="002D1F09" w:rsidRPr="002D1F09" w14:paraId="75A943E0" w14:textId="77777777" w:rsidTr="00304C84">
        <w:tc>
          <w:tcPr>
            <w:tcW w:w="9634" w:type="dxa"/>
            <w:tcBorders>
              <w:top w:val="nil"/>
              <w:bottom w:val="single" w:sz="4" w:space="0" w:color="auto"/>
            </w:tcBorders>
            <w:tcMar>
              <w:top w:w="57" w:type="dxa"/>
              <w:left w:w="57" w:type="dxa"/>
              <w:bottom w:w="57" w:type="dxa"/>
              <w:right w:w="57" w:type="dxa"/>
            </w:tcMar>
          </w:tcPr>
          <w:p w14:paraId="1ED5CBD6" w14:textId="77777777" w:rsidR="0007289F" w:rsidRPr="002D1F09" w:rsidRDefault="0007289F" w:rsidP="00C2438A">
            <w:pPr>
              <w:pStyle w:val="Textocomentario"/>
              <w:spacing w:line="360" w:lineRule="exact"/>
              <w:jc w:val="both"/>
              <w:rPr>
                <w:rFonts w:cstheme="minorHAnsi"/>
                <w:iCs/>
                <w:sz w:val="22"/>
                <w:szCs w:val="22"/>
                <w:lang w:val="en-GB"/>
              </w:rPr>
            </w:pPr>
            <w:proofErr w:type="gramStart"/>
            <w:r w:rsidRPr="002D1F09">
              <w:rPr>
                <w:rFonts w:cstheme="minorHAnsi"/>
                <w:iCs/>
                <w:sz w:val="22"/>
                <w:szCs w:val="22"/>
                <w:lang w:val="en-GB"/>
              </w:rPr>
              <w:t>ln(</w:t>
            </w:r>
            <w:proofErr w:type="spellStart"/>
            <w:proofErr w:type="gramEnd"/>
            <w:r w:rsidRPr="002D1F09">
              <w:rPr>
                <w:rFonts w:cstheme="minorHAnsi"/>
                <w:i/>
                <w:iCs/>
                <w:sz w:val="22"/>
                <w:szCs w:val="22"/>
                <w:lang w:val="en-GB"/>
              </w:rPr>
              <w:t>R</w:t>
            </w:r>
            <w:r w:rsidRPr="002D1F09">
              <w:rPr>
                <w:rFonts w:cstheme="minorHAnsi"/>
                <w:i/>
                <w:iCs/>
                <w:sz w:val="22"/>
                <w:szCs w:val="22"/>
                <w:vertAlign w:val="subscript"/>
                <w:lang w:val="en-GB"/>
              </w:rPr>
              <w:t>it</w:t>
            </w:r>
            <w:proofErr w:type="spellEnd"/>
            <w:r w:rsidRPr="002D1F09">
              <w:rPr>
                <w:rFonts w:cstheme="minorHAnsi"/>
                <w:iCs/>
                <w:sz w:val="22"/>
                <w:szCs w:val="22"/>
                <w:lang w:val="en-GB"/>
              </w:rPr>
              <w:t xml:space="preserve">) = </w:t>
            </w:r>
            <w:r w:rsidRPr="002D1F09">
              <w:rPr>
                <w:rFonts w:cstheme="minorHAnsi"/>
                <w:i/>
                <w:iCs/>
                <w:sz w:val="22"/>
                <w:szCs w:val="22"/>
                <w:lang w:val="en-GB"/>
              </w:rPr>
              <w:sym w:font="Symbol" w:char="F061"/>
            </w:r>
            <w:r w:rsidRPr="002D1F09">
              <w:rPr>
                <w:rFonts w:cstheme="minorHAnsi"/>
                <w:iCs/>
                <w:sz w:val="22"/>
                <w:szCs w:val="22"/>
                <w:vertAlign w:val="subscript"/>
                <w:lang w:val="en-GB"/>
              </w:rPr>
              <w:t>0</w:t>
            </w:r>
            <w:r w:rsidRPr="002D1F09">
              <w:rPr>
                <w:rFonts w:cstheme="minorHAnsi"/>
                <w:iCs/>
                <w:sz w:val="22"/>
                <w:szCs w:val="22"/>
                <w:lang w:val="en-GB"/>
              </w:rPr>
              <w:t xml:space="preserve"> + </w:t>
            </w:r>
            <w:r w:rsidRPr="002D1F09">
              <w:rPr>
                <w:rFonts w:cstheme="minorHAnsi"/>
                <w:i/>
                <w:iCs/>
                <w:sz w:val="22"/>
                <w:szCs w:val="22"/>
                <w:lang w:val="en-GB"/>
              </w:rPr>
              <w:sym w:font="Symbol" w:char="F061"/>
            </w:r>
            <w:r w:rsidRPr="002D1F09">
              <w:rPr>
                <w:rFonts w:cstheme="minorHAnsi"/>
                <w:iCs/>
                <w:sz w:val="22"/>
                <w:szCs w:val="22"/>
                <w:vertAlign w:val="subscript"/>
                <w:lang w:val="en-GB"/>
              </w:rPr>
              <w:t>1</w:t>
            </w:r>
            <w:r w:rsidR="00304C84" w:rsidRPr="002D1F09">
              <w:rPr>
                <w:rFonts w:cstheme="minorHAnsi"/>
                <w:i/>
                <w:iCs/>
                <w:sz w:val="22"/>
                <w:szCs w:val="22"/>
                <w:lang w:val="en-GB"/>
              </w:rPr>
              <w:t>H</w:t>
            </w:r>
            <w:r w:rsidRPr="002D1F09">
              <w:rPr>
                <w:rFonts w:cstheme="minorHAnsi"/>
                <w:i/>
                <w:iCs/>
                <w:sz w:val="22"/>
                <w:szCs w:val="22"/>
                <w:vertAlign w:val="subscript"/>
                <w:lang w:val="en-GB"/>
              </w:rPr>
              <w:t>it</w:t>
            </w:r>
            <w:r w:rsidRPr="002D1F09">
              <w:rPr>
                <w:rFonts w:cstheme="minorHAnsi"/>
                <w:iCs/>
                <w:sz w:val="22"/>
                <w:szCs w:val="22"/>
                <w:lang w:val="en-GB"/>
              </w:rPr>
              <w:t xml:space="preserve"> + </w:t>
            </w:r>
            <w:r w:rsidRPr="002D1F09">
              <w:rPr>
                <w:rFonts w:cstheme="minorHAnsi"/>
                <w:b/>
                <w:i/>
                <w:iCs/>
                <w:sz w:val="22"/>
                <w:szCs w:val="22"/>
                <w:lang w:val="en-GB"/>
              </w:rPr>
              <w:sym w:font="Symbol" w:char="F061"/>
            </w:r>
            <w:r w:rsidRPr="002D1F09">
              <w:rPr>
                <w:rFonts w:cstheme="minorHAnsi"/>
                <w:iCs/>
                <w:sz w:val="22"/>
                <w:szCs w:val="22"/>
                <w:vertAlign w:val="subscript"/>
                <w:lang w:val="en-GB"/>
              </w:rPr>
              <w:t>2</w:t>
            </w:r>
            <w:r w:rsidRPr="002D1F09">
              <w:rPr>
                <w:rFonts w:cstheme="minorHAnsi"/>
                <w:sz w:val="22"/>
                <w:szCs w:val="22"/>
                <w:lang w:val="en-GB"/>
              </w:rPr>
              <w:sym w:font="Symbol" w:char="F0A2"/>
            </w:r>
            <w:r w:rsidRPr="002D1F09">
              <w:rPr>
                <w:rFonts w:cstheme="minorHAnsi"/>
                <w:b/>
                <w:iCs/>
                <w:sz w:val="22"/>
                <w:szCs w:val="22"/>
                <w:lang w:val="en-GB"/>
              </w:rPr>
              <w:t>C</w:t>
            </w:r>
            <w:r w:rsidRPr="002D1F09">
              <w:rPr>
                <w:rFonts w:cstheme="minorHAnsi"/>
                <w:i/>
                <w:iCs/>
                <w:sz w:val="22"/>
                <w:szCs w:val="22"/>
                <w:vertAlign w:val="subscript"/>
                <w:lang w:val="en-GB"/>
              </w:rPr>
              <w:t>i</w:t>
            </w:r>
            <w:r w:rsidRPr="002D1F09">
              <w:rPr>
                <w:rFonts w:cstheme="minorHAnsi"/>
                <w:iCs/>
                <w:sz w:val="22"/>
                <w:szCs w:val="22"/>
                <w:lang w:val="en-GB"/>
              </w:rPr>
              <w:t xml:space="preserve"> + </w:t>
            </w:r>
            <w:r w:rsidRPr="002D1F09">
              <w:rPr>
                <w:rFonts w:cstheme="minorHAnsi"/>
                <w:i/>
                <w:iCs/>
                <w:sz w:val="22"/>
                <w:szCs w:val="22"/>
                <w:lang w:val="en-GB"/>
              </w:rPr>
              <w:sym w:font="Symbol" w:char="F061"/>
            </w:r>
            <w:r w:rsidRPr="002D1F09">
              <w:rPr>
                <w:rFonts w:cstheme="minorHAnsi"/>
                <w:sz w:val="22"/>
                <w:szCs w:val="22"/>
                <w:vertAlign w:val="subscript"/>
              </w:rPr>
              <w:t>3</w:t>
            </w:r>
            <w:r w:rsidRPr="002D1F09">
              <w:rPr>
                <w:rFonts w:cstheme="minorHAnsi"/>
                <w:i/>
                <w:sz w:val="22"/>
                <w:szCs w:val="22"/>
              </w:rPr>
              <w:t>t</w:t>
            </w:r>
            <w:r w:rsidRPr="002D1F09">
              <w:rPr>
                <w:rFonts w:cstheme="minorHAnsi"/>
                <w:sz w:val="22"/>
                <w:szCs w:val="22"/>
              </w:rPr>
              <w:t xml:space="preserve"> + </w:t>
            </w:r>
            <w:r w:rsidRPr="002D1F09">
              <w:rPr>
                <w:rFonts w:cstheme="minorHAnsi"/>
                <w:i/>
                <w:iCs/>
                <w:sz w:val="22"/>
                <w:szCs w:val="22"/>
                <w:lang w:val="en-GB"/>
              </w:rPr>
              <w:sym w:font="Symbol" w:char="F061"/>
            </w:r>
            <w:r w:rsidRPr="002D1F09">
              <w:rPr>
                <w:rFonts w:cstheme="minorHAnsi"/>
                <w:sz w:val="22"/>
                <w:szCs w:val="22"/>
                <w:vertAlign w:val="subscript"/>
              </w:rPr>
              <w:t>4</w:t>
            </w:r>
            <w:r w:rsidRPr="002D1F09">
              <w:rPr>
                <w:rFonts w:cstheme="minorHAnsi"/>
                <w:i/>
                <w:sz w:val="22"/>
                <w:szCs w:val="22"/>
              </w:rPr>
              <w:t>s</w:t>
            </w:r>
            <w:r w:rsidRPr="002D1F09">
              <w:rPr>
                <w:rFonts w:cstheme="minorHAnsi"/>
                <w:sz w:val="22"/>
                <w:szCs w:val="22"/>
                <w:vertAlign w:val="subscript"/>
              </w:rPr>
              <w:t>1</w:t>
            </w:r>
            <w:r w:rsidRPr="002D1F09">
              <w:rPr>
                <w:rFonts w:cstheme="minorHAnsi"/>
                <w:sz w:val="22"/>
                <w:szCs w:val="22"/>
              </w:rPr>
              <w:t>(</w:t>
            </w:r>
            <w:r w:rsidRPr="002D1F09">
              <w:rPr>
                <w:rFonts w:cstheme="minorHAnsi"/>
                <w:i/>
                <w:sz w:val="22"/>
                <w:szCs w:val="22"/>
              </w:rPr>
              <w:t>t</w:t>
            </w:r>
            <w:r w:rsidRPr="002D1F09">
              <w:rPr>
                <w:rFonts w:cstheme="minorHAnsi"/>
                <w:sz w:val="22"/>
                <w:szCs w:val="22"/>
              </w:rPr>
              <w:t>) +</w:t>
            </w:r>
            <w:r w:rsidRPr="002D1F09">
              <w:rPr>
                <w:rFonts w:cstheme="minorHAnsi"/>
                <w:iCs/>
                <w:sz w:val="22"/>
                <w:szCs w:val="22"/>
                <w:lang w:val="en-GB"/>
              </w:rPr>
              <w:t xml:space="preserve"> </w:t>
            </w:r>
            <w:r w:rsidRPr="002D1F09">
              <w:rPr>
                <w:rFonts w:cstheme="minorHAnsi"/>
                <w:i/>
                <w:iCs/>
                <w:sz w:val="22"/>
                <w:szCs w:val="22"/>
                <w:lang w:val="en-GB"/>
              </w:rPr>
              <w:sym w:font="Symbol" w:char="F061"/>
            </w:r>
            <w:r w:rsidRPr="002D1F09">
              <w:rPr>
                <w:rFonts w:cstheme="minorHAnsi"/>
                <w:sz w:val="22"/>
                <w:szCs w:val="22"/>
                <w:vertAlign w:val="subscript"/>
              </w:rPr>
              <w:t>5</w:t>
            </w:r>
            <w:r w:rsidRPr="002D1F09">
              <w:rPr>
                <w:rFonts w:cstheme="minorHAnsi"/>
                <w:i/>
                <w:sz w:val="22"/>
                <w:szCs w:val="22"/>
              </w:rPr>
              <w:t>s</w:t>
            </w:r>
            <w:r w:rsidRPr="002D1F09">
              <w:rPr>
                <w:rFonts w:cstheme="minorHAnsi"/>
                <w:sz w:val="22"/>
                <w:szCs w:val="22"/>
                <w:vertAlign w:val="subscript"/>
              </w:rPr>
              <w:t>2</w:t>
            </w:r>
            <w:r w:rsidRPr="002D1F09">
              <w:rPr>
                <w:rFonts w:cstheme="minorHAnsi"/>
                <w:sz w:val="22"/>
                <w:szCs w:val="22"/>
              </w:rPr>
              <w:t>(</w:t>
            </w:r>
            <w:r w:rsidRPr="002D1F09">
              <w:rPr>
                <w:rFonts w:cstheme="minorHAnsi"/>
                <w:i/>
                <w:sz w:val="22"/>
                <w:szCs w:val="22"/>
              </w:rPr>
              <w:t>t</w:t>
            </w:r>
            <w:r w:rsidRPr="002D1F09">
              <w:rPr>
                <w:rFonts w:cstheme="minorHAnsi"/>
                <w:sz w:val="22"/>
                <w:szCs w:val="22"/>
              </w:rPr>
              <w:t>)</w:t>
            </w:r>
            <w:r w:rsidRPr="002D1F09">
              <w:rPr>
                <w:rFonts w:cstheme="minorHAnsi"/>
                <w:iCs/>
                <w:sz w:val="22"/>
                <w:szCs w:val="22"/>
              </w:rPr>
              <w:t xml:space="preserve"> </w:t>
            </w:r>
            <w:r w:rsidRPr="002D1F09">
              <w:rPr>
                <w:rFonts w:cstheme="minorHAnsi"/>
                <w:iCs/>
                <w:sz w:val="22"/>
                <w:szCs w:val="22"/>
                <w:lang w:val="en-GB"/>
              </w:rPr>
              <w:t xml:space="preserve">+ </w:t>
            </w:r>
            <w:r w:rsidRPr="002D1F09">
              <w:rPr>
                <w:rFonts w:cstheme="minorHAnsi"/>
                <w:b/>
                <w:i/>
                <w:iCs/>
                <w:sz w:val="22"/>
                <w:szCs w:val="22"/>
                <w:lang w:val="en-GB"/>
              </w:rPr>
              <w:sym w:font="Symbol" w:char="F061"/>
            </w:r>
            <w:r w:rsidRPr="002D1F09">
              <w:rPr>
                <w:rFonts w:cstheme="minorHAnsi"/>
                <w:sz w:val="22"/>
                <w:szCs w:val="22"/>
                <w:vertAlign w:val="subscript"/>
              </w:rPr>
              <w:t>6</w:t>
            </w:r>
            <w:r w:rsidRPr="002D1F09">
              <w:rPr>
                <w:rFonts w:cstheme="minorHAnsi"/>
                <w:sz w:val="22"/>
                <w:szCs w:val="22"/>
                <w:lang w:val="en-GB"/>
              </w:rPr>
              <w:sym w:font="Symbol" w:char="F0A2"/>
            </w:r>
            <w:proofErr w:type="spellStart"/>
            <w:r w:rsidRPr="002D1F09">
              <w:rPr>
                <w:rFonts w:cstheme="minorHAnsi"/>
                <w:b/>
                <w:iCs/>
                <w:sz w:val="22"/>
                <w:szCs w:val="22"/>
                <w:lang w:val="en-GB"/>
              </w:rPr>
              <w:t>X</w:t>
            </w:r>
            <w:r w:rsidRPr="002D1F09">
              <w:rPr>
                <w:rFonts w:cstheme="minorHAnsi"/>
                <w:i/>
                <w:iCs/>
                <w:sz w:val="22"/>
                <w:szCs w:val="22"/>
                <w:vertAlign w:val="subscript"/>
                <w:lang w:val="en-GB"/>
              </w:rPr>
              <w:t>it</w:t>
            </w:r>
            <w:proofErr w:type="spellEnd"/>
            <w:r w:rsidRPr="002D1F09">
              <w:rPr>
                <w:rFonts w:cstheme="minorHAnsi"/>
                <w:iCs/>
                <w:sz w:val="22"/>
                <w:szCs w:val="22"/>
                <w:lang w:val="en-GB"/>
              </w:rPr>
              <w:t xml:space="preserve"> </w:t>
            </w:r>
            <w:r w:rsidRPr="002D1F09">
              <w:rPr>
                <w:rFonts w:cstheme="minorHAnsi"/>
                <w:sz w:val="22"/>
                <w:szCs w:val="22"/>
              </w:rPr>
              <w:t>+</w:t>
            </w:r>
            <w:r w:rsidRPr="002D1F09">
              <w:rPr>
                <w:rFonts w:cstheme="minorHAnsi"/>
                <w:iCs/>
                <w:sz w:val="22"/>
                <w:szCs w:val="22"/>
                <w:lang w:val="en-GB"/>
              </w:rPr>
              <w:t xml:space="preserve"> </w:t>
            </w:r>
            <w:r w:rsidRPr="002D1F09">
              <w:rPr>
                <w:rFonts w:cstheme="minorHAnsi"/>
                <w:i/>
                <w:sz w:val="22"/>
                <w:szCs w:val="22"/>
                <w:lang w:val="en-GB"/>
              </w:rPr>
              <w:sym w:font="Symbol" w:char="F065"/>
            </w:r>
            <w:r w:rsidRPr="002D1F09">
              <w:rPr>
                <w:rFonts w:cstheme="minorHAnsi"/>
                <w:i/>
                <w:iCs/>
                <w:sz w:val="22"/>
                <w:szCs w:val="22"/>
                <w:vertAlign w:val="subscript"/>
                <w:lang w:val="en-GB"/>
              </w:rPr>
              <w:t>it</w:t>
            </w:r>
            <w:r w:rsidRPr="002D1F09">
              <w:rPr>
                <w:rFonts w:cstheme="minorHAnsi"/>
                <w:iCs/>
                <w:sz w:val="22"/>
                <w:szCs w:val="22"/>
                <w:lang w:val="en-GB"/>
              </w:rPr>
              <w:t>,</w:t>
            </w:r>
          </w:p>
          <w:p w14:paraId="0AF98233" w14:textId="77777777" w:rsidR="0007289F" w:rsidRPr="002D1F09" w:rsidRDefault="0007289F" w:rsidP="00C2438A">
            <w:pPr>
              <w:spacing w:line="360" w:lineRule="exact"/>
              <w:jc w:val="both"/>
              <w:rPr>
                <w:rFonts w:cstheme="minorHAnsi"/>
                <w:lang w:val="en-GB"/>
              </w:rPr>
            </w:pPr>
            <w:r w:rsidRPr="002D1F09">
              <w:rPr>
                <w:rFonts w:cstheme="minorHAnsi"/>
                <w:lang w:val="en-GB"/>
              </w:rPr>
              <w:t xml:space="preserve">where </w:t>
            </w:r>
            <w:proofErr w:type="spellStart"/>
            <w:r w:rsidRPr="002D1F09">
              <w:rPr>
                <w:rFonts w:cstheme="minorHAnsi"/>
                <w:i/>
                <w:iCs/>
                <w:lang w:val="en-GB"/>
              </w:rPr>
              <w:t>R</w:t>
            </w:r>
            <w:r w:rsidRPr="002D1F09">
              <w:rPr>
                <w:rFonts w:cstheme="minorHAnsi"/>
                <w:i/>
                <w:iCs/>
                <w:vertAlign w:val="subscript"/>
                <w:lang w:val="en-GB"/>
              </w:rPr>
              <w:t>it</w:t>
            </w:r>
            <w:proofErr w:type="spellEnd"/>
            <w:r w:rsidRPr="002D1F09" w:rsidDel="00F700D9">
              <w:rPr>
                <w:rFonts w:cstheme="minorHAnsi"/>
                <w:lang w:val="en-GB"/>
              </w:rPr>
              <w:t xml:space="preserve"> </w:t>
            </w:r>
            <w:r w:rsidRPr="002D1F09">
              <w:rPr>
                <w:rFonts w:cstheme="minorHAnsi"/>
                <w:lang w:val="en-GB"/>
              </w:rPr>
              <w:t xml:space="preserve">is the age-standardized mortality rate in country </w:t>
            </w:r>
            <w:proofErr w:type="spellStart"/>
            <w:r w:rsidRPr="002D1F09">
              <w:rPr>
                <w:rFonts w:cstheme="minorHAnsi"/>
                <w:i/>
                <w:lang w:val="en-GB"/>
              </w:rPr>
              <w:t>i</w:t>
            </w:r>
            <w:proofErr w:type="spellEnd"/>
            <w:r w:rsidRPr="002D1F09">
              <w:rPr>
                <w:rFonts w:cstheme="minorHAnsi"/>
                <w:lang w:val="en-GB"/>
              </w:rPr>
              <w:t xml:space="preserve"> at year </w:t>
            </w:r>
            <w:r w:rsidRPr="002D1F09">
              <w:rPr>
                <w:rFonts w:cstheme="minorHAnsi"/>
                <w:i/>
                <w:lang w:val="en-GB"/>
              </w:rPr>
              <w:t>t</w:t>
            </w:r>
            <w:r w:rsidRPr="002D1F09">
              <w:rPr>
                <w:rFonts w:cstheme="minorHAnsi"/>
                <w:lang w:val="en-GB"/>
              </w:rPr>
              <w:t>,</w:t>
            </w:r>
          </w:p>
          <w:p w14:paraId="21048D82" w14:textId="77777777" w:rsidR="0007289F" w:rsidRPr="002D1F09" w:rsidRDefault="00304C84" w:rsidP="00C2438A">
            <w:pPr>
              <w:spacing w:line="360" w:lineRule="exact"/>
              <w:jc w:val="both"/>
              <w:rPr>
                <w:rFonts w:cstheme="minorHAnsi"/>
                <w:lang w:val="en-GB"/>
              </w:rPr>
            </w:pPr>
            <w:r w:rsidRPr="002D1F09">
              <w:rPr>
                <w:rFonts w:cstheme="minorHAnsi"/>
                <w:i/>
                <w:iCs/>
                <w:lang w:val="en-GB"/>
              </w:rPr>
              <w:t>H</w:t>
            </w:r>
            <w:r w:rsidR="0007289F" w:rsidRPr="002D1F09">
              <w:rPr>
                <w:rFonts w:cstheme="minorHAnsi"/>
                <w:i/>
                <w:iCs/>
                <w:vertAlign w:val="subscript"/>
                <w:lang w:val="en-GB"/>
              </w:rPr>
              <w:t>it</w:t>
            </w:r>
            <w:r w:rsidR="0007289F" w:rsidRPr="002D1F09">
              <w:rPr>
                <w:rFonts w:cstheme="minorHAnsi"/>
                <w:lang w:val="en-GB"/>
              </w:rPr>
              <w:t xml:space="preserve"> is the health spending in country </w:t>
            </w:r>
            <w:proofErr w:type="spellStart"/>
            <w:r w:rsidR="0007289F" w:rsidRPr="002D1F09">
              <w:rPr>
                <w:rFonts w:cstheme="minorHAnsi"/>
                <w:i/>
                <w:lang w:val="en-GB"/>
              </w:rPr>
              <w:t>i</w:t>
            </w:r>
            <w:proofErr w:type="spellEnd"/>
            <w:r w:rsidR="0007289F" w:rsidRPr="002D1F09">
              <w:rPr>
                <w:rFonts w:cstheme="minorHAnsi"/>
                <w:lang w:val="en-GB"/>
              </w:rPr>
              <w:t xml:space="preserve"> at year </w:t>
            </w:r>
            <w:r w:rsidR="0007289F" w:rsidRPr="002D1F09">
              <w:rPr>
                <w:rFonts w:cstheme="minorHAnsi"/>
                <w:i/>
                <w:lang w:val="en-GB"/>
              </w:rPr>
              <w:t>t</w:t>
            </w:r>
            <w:r w:rsidR="0059459D" w:rsidRPr="002D1F09">
              <w:rPr>
                <w:rFonts w:cstheme="minorHAnsi"/>
                <w:i/>
                <w:lang w:val="en-GB"/>
              </w:rPr>
              <w:t xml:space="preserve"> </w:t>
            </w:r>
            <w:r w:rsidR="0059459D" w:rsidRPr="002D1F09">
              <w:rPr>
                <w:rFonts w:cstheme="minorHAnsi"/>
                <w:lang w:val="en-GB"/>
              </w:rPr>
              <w:t xml:space="preserve">in </w:t>
            </w:r>
            <w:proofErr w:type="gramStart"/>
            <w:r w:rsidR="0059459D" w:rsidRPr="002D1F09">
              <w:rPr>
                <w:rFonts w:cstheme="minorHAnsi"/>
                <w:lang w:val="en-GB"/>
              </w:rPr>
              <w:t>thousands</w:t>
            </w:r>
            <w:proofErr w:type="gramEnd"/>
            <w:r w:rsidR="0059459D" w:rsidRPr="002D1F09">
              <w:rPr>
                <w:rFonts w:cstheme="minorHAnsi"/>
                <w:lang w:val="en-GB"/>
              </w:rPr>
              <w:t xml:space="preserve"> of 2015 US dollars</w:t>
            </w:r>
            <w:r w:rsidR="0007289F" w:rsidRPr="002D1F09">
              <w:rPr>
                <w:rFonts w:cstheme="minorHAnsi"/>
                <w:lang w:val="en-GB"/>
              </w:rPr>
              <w:t>,</w:t>
            </w:r>
          </w:p>
          <w:p w14:paraId="46B589CB" w14:textId="77777777" w:rsidR="0007289F" w:rsidRPr="002D1F09" w:rsidRDefault="0007289F" w:rsidP="00C2438A">
            <w:pPr>
              <w:spacing w:line="360" w:lineRule="exact"/>
              <w:jc w:val="both"/>
              <w:rPr>
                <w:rFonts w:cstheme="minorHAnsi"/>
                <w:lang w:val="en-GB"/>
              </w:rPr>
            </w:pPr>
            <w:r w:rsidRPr="002D1F09">
              <w:rPr>
                <w:rFonts w:cstheme="minorHAnsi"/>
                <w:b/>
                <w:iCs/>
                <w:lang w:val="en-GB"/>
              </w:rPr>
              <w:t>C</w:t>
            </w:r>
            <w:r w:rsidRPr="002D1F09">
              <w:rPr>
                <w:rFonts w:cstheme="minorHAnsi"/>
                <w:i/>
                <w:iCs/>
                <w:vertAlign w:val="subscript"/>
                <w:lang w:val="en-GB"/>
              </w:rPr>
              <w:t>i</w:t>
            </w:r>
            <w:r w:rsidRPr="002D1F09">
              <w:rPr>
                <w:rFonts w:cstheme="minorHAnsi"/>
                <w:lang w:val="en-GB"/>
              </w:rPr>
              <w:t xml:space="preserve"> are the country indicators,</w:t>
            </w:r>
          </w:p>
          <w:p w14:paraId="3D741B38" w14:textId="77777777" w:rsidR="0007289F" w:rsidRPr="002D1F09" w:rsidRDefault="0007289F" w:rsidP="00C2438A">
            <w:pPr>
              <w:spacing w:line="360" w:lineRule="exact"/>
              <w:jc w:val="both"/>
              <w:rPr>
                <w:rFonts w:cstheme="minorHAnsi"/>
                <w:lang w:val="en-GB"/>
              </w:rPr>
            </w:pPr>
            <w:r w:rsidRPr="002D1F09">
              <w:rPr>
                <w:rFonts w:cstheme="minorHAnsi"/>
                <w:i/>
                <w:lang w:val="en-US"/>
              </w:rPr>
              <w:t>t</w:t>
            </w:r>
            <w:r w:rsidRPr="002D1F09">
              <w:rPr>
                <w:rFonts w:cstheme="minorHAnsi"/>
                <w:lang w:val="en-US"/>
              </w:rPr>
              <w:t xml:space="preserve">, </w:t>
            </w:r>
            <w:r w:rsidRPr="002D1F09">
              <w:rPr>
                <w:rFonts w:cstheme="minorHAnsi"/>
                <w:i/>
                <w:lang w:val="en-US"/>
              </w:rPr>
              <w:t>s</w:t>
            </w:r>
            <w:r w:rsidRPr="002D1F09">
              <w:rPr>
                <w:rFonts w:cstheme="minorHAnsi"/>
                <w:vertAlign w:val="subscript"/>
                <w:lang w:val="en-US"/>
              </w:rPr>
              <w:t>1</w:t>
            </w:r>
            <w:r w:rsidRPr="002D1F09">
              <w:rPr>
                <w:rFonts w:cstheme="minorHAnsi"/>
                <w:lang w:val="en-US"/>
              </w:rPr>
              <w:t>(</w:t>
            </w:r>
            <w:r w:rsidRPr="002D1F09">
              <w:rPr>
                <w:rFonts w:cstheme="minorHAnsi"/>
                <w:i/>
                <w:lang w:val="en-US"/>
              </w:rPr>
              <w:t>t</w:t>
            </w:r>
            <w:r w:rsidRPr="002D1F09">
              <w:rPr>
                <w:rFonts w:cstheme="minorHAnsi"/>
                <w:lang w:val="en-US"/>
              </w:rPr>
              <w:t xml:space="preserve">), and </w:t>
            </w:r>
            <w:r w:rsidRPr="002D1F09">
              <w:rPr>
                <w:rFonts w:cstheme="minorHAnsi"/>
                <w:i/>
                <w:lang w:val="en-US"/>
              </w:rPr>
              <w:t>s</w:t>
            </w:r>
            <w:r w:rsidRPr="002D1F09">
              <w:rPr>
                <w:rFonts w:cstheme="minorHAnsi"/>
                <w:vertAlign w:val="subscript"/>
                <w:lang w:val="en-US"/>
              </w:rPr>
              <w:t>2</w:t>
            </w:r>
            <w:r w:rsidRPr="002D1F09">
              <w:rPr>
                <w:rFonts w:cstheme="minorHAnsi"/>
                <w:lang w:val="en-US"/>
              </w:rPr>
              <w:t>(</w:t>
            </w:r>
            <w:r w:rsidRPr="002D1F09">
              <w:rPr>
                <w:rFonts w:cstheme="minorHAnsi"/>
                <w:i/>
                <w:lang w:val="en-US"/>
              </w:rPr>
              <w:t>t</w:t>
            </w:r>
            <w:r w:rsidRPr="002D1F09">
              <w:rPr>
                <w:rFonts w:cstheme="minorHAnsi"/>
                <w:lang w:val="en-US"/>
              </w:rPr>
              <w:t>)</w:t>
            </w:r>
            <w:r w:rsidRPr="002D1F09">
              <w:rPr>
                <w:rFonts w:cstheme="minorHAnsi"/>
                <w:iCs/>
                <w:lang w:val="en-US"/>
              </w:rPr>
              <w:t xml:space="preserve"> </w:t>
            </w:r>
            <w:r w:rsidRPr="002D1F09">
              <w:rPr>
                <w:rFonts w:cstheme="minorHAnsi"/>
                <w:lang w:val="en-GB"/>
              </w:rPr>
              <w:t xml:space="preserve">are linear and restricted cubic spline terms for calendar year </w:t>
            </w:r>
            <w:proofErr w:type="gramStart"/>
            <w:r w:rsidRPr="002D1F09">
              <w:rPr>
                <w:rFonts w:cstheme="minorHAnsi"/>
                <w:i/>
                <w:lang w:val="en-GB"/>
              </w:rPr>
              <w:t>t</w:t>
            </w:r>
            <w:r w:rsidRPr="002D1F09">
              <w:rPr>
                <w:rFonts w:cstheme="minorHAnsi"/>
                <w:lang w:val="en-GB"/>
              </w:rPr>
              <w:t>,  with</w:t>
            </w:r>
            <w:proofErr w:type="gramEnd"/>
            <w:r w:rsidRPr="002D1F09">
              <w:rPr>
                <w:rFonts w:cstheme="minorHAnsi"/>
                <w:lang w:val="en-GB"/>
              </w:rPr>
              <w:t xml:space="preserve"> internal knots at 2008 and 2014 and boundary knots at 2002 and 2019, which allow flexible time trends while avoiding implausible shapes </w:t>
            </w:r>
            <w:r w:rsidRPr="002D1F09">
              <w:rPr>
                <w:rFonts w:ascii="Calibri" w:hAnsi="Calibri" w:cs="Calibri"/>
                <w:lang w:val="en-GB"/>
              </w:rPr>
              <w:t>at the ends</w:t>
            </w:r>
            <w:r w:rsidRPr="002D1F09">
              <w:rPr>
                <w:rFonts w:cstheme="minorHAnsi"/>
                <w:lang w:val="en-GB"/>
              </w:rPr>
              <w:t>,</w:t>
            </w:r>
          </w:p>
          <w:p w14:paraId="2A451175" w14:textId="77777777" w:rsidR="0007289F" w:rsidRPr="002D1F09" w:rsidRDefault="0007289F" w:rsidP="00C2438A">
            <w:pPr>
              <w:spacing w:line="360" w:lineRule="exact"/>
              <w:jc w:val="both"/>
              <w:rPr>
                <w:rFonts w:cstheme="minorHAnsi"/>
                <w:lang w:val="en-GB"/>
              </w:rPr>
            </w:pPr>
            <w:proofErr w:type="spellStart"/>
            <w:r w:rsidRPr="002D1F09">
              <w:rPr>
                <w:rFonts w:cstheme="minorHAnsi"/>
                <w:b/>
                <w:iCs/>
                <w:lang w:val="en-GB"/>
              </w:rPr>
              <w:t>X</w:t>
            </w:r>
            <w:r w:rsidRPr="002D1F09">
              <w:rPr>
                <w:rFonts w:cstheme="minorHAnsi"/>
                <w:i/>
                <w:iCs/>
                <w:vertAlign w:val="subscript"/>
                <w:lang w:val="en-GB"/>
              </w:rPr>
              <w:t>it</w:t>
            </w:r>
            <w:proofErr w:type="spellEnd"/>
            <w:r w:rsidRPr="002D1F09">
              <w:rPr>
                <w:rFonts w:cstheme="minorHAnsi"/>
                <w:lang w:val="en-GB"/>
              </w:rPr>
              <w:t xml:space="preserve"> are other adjustment covariates, including heatwave, </w:t>
            </w:r>
            <w:proofErr w:type="spellStart"/>
            <w:r w:rsidRPr="002D1F09">
              <w:rPr>
                <w:rFonts w:cstheme="minorHAnsi"/>
                <w:lang w:val="en-GB"/>
              </w:rPr>
              <w:t>coldwave</w:t>
            </w:r>
            <w:proofErr w:type="spellEnd"/>
            <w:r w:rsidRPr="002D1F09">
              <w:rPr>
                <w:rFonts w:cstheme="minorHAnsi"/>
                <w:lang w:val="en-GB"/>
              </w:rPr>
              <w:t>, influenza activity, GDP per capita, and non-health social spending</w:t>
            </w:r>
            <w:r w:rsidR="0059459D" w:rsidRPr="002D1F09">
              <w:rPr>
                <w:rFonts w:cstheme="minorHAnsi"/>
                <w:lang w:val="en-GB"/>
              </w:rPr>
              <w:t xml:space="preserve"> per capita</w:t>
            </w:r>
            <w:r w:rsidRPr="002D1F09">
              <w:rPr>
                <w:rFonts w:cstheme="minorHAnsi"/>
                <w:lang w:val="en-GB"/>
              </w:rPr>
              <w:t>,</w:t>
            </w:r>
          </w:p>
          <w:p w14:paraId="36BB6E60" w14:textId="77777777" w:rsidR="0007289F" w:rsidRPr="002D1F09" w:rsidRDefault="0007289F" w:rsidP="00C2438A">
            <w:pPr>
              <w:spacing w:line="360" w:lineRule="exact"/>
              <w:jc w:val="both"/>
              <w:rPr>
                <w:rFonts w:eastAsia="Times New Roman" w:cstheme="minorHAnsi"/>
                <w:lang w:val="en-GB" w:eastAsia="es-ES"/>
              </w:rPr>
            </w:pPr>
            <w:r w:rsidRPr="002D1F09">
              <w:rPr>
                <w:rFonts w:cstheme="minorHAnsi"/>
                <w:i/>
                <w:iCs/>
                <w:lang w:val="en-GB"/>
              </w:rPr>
              <w:sym w:font="Symbol" w:char="F061"/>
            </w:r>
            <w:r w:rsidRPr="002D1F09">
              <w:rPr>
                <w:rFonts w:cstheme="minorHAnsi"/>
                <w:iCs/>
                <w:vertAlign w:val="subscript"/>
                <w:lang w:val="en-GB"/>
              </w:rPr>
              <w:t>0</w:t>
            </w:r>
            <w:r w:rsidRPr="002D1F09">
              <w:rPr>
                <w:rFonts w:cstheme="minorHAnsi"/>
                <w:lang w:val="en-GB"/>
              </w:rPr>
              <w:t xml:space="preserve"> is the model intercept,</w:t>
            </w:r>
          </w:p>
          <w:p w14:paraId="4F862D8B" w14:textId="77777777" w:rsidR="0007289F" w:rsidRPr="002D1F09" w:rsidRDefault="0007289F" w:rsidP="00C2438A">
            <w:pPr>
              <w:spacing w:line="360" w:lineRule="exact"/>
              <w:jc w:val="both"/>
              <w:rPr>
                <w:rFonts w:cstheme="minorHAnsi"/>
                <w:lang w:val="en-GB"/>
              </w:rPr>
            </w:pPr>
            <w:r w:rsidRPr="002D1F09">
              <w:rPr>
                <w:rFonts w:cstheme="minorHAnsi"/>
                <w:i/>
                <w:iCs/>
                <w:lang w:val="en-GB"/>
              </w:rPr>
              <w:sym w:font="Symbol" w:char="F061"/>
            </w:r>
            <w:r w:rsidRPr="002D1F09">
              <w:rPr>
                <w:rFonts w:cstheme="minorHAnsi"/>
                <w:iCs/>
                <w:vertAlign w:val="subscript"/>
                <w:lang w:val="en-GB"/>
              </w:rPr>
              <w:t>1</w:t>
            </w:r>
            <w:r w:rsidRPr="002D1F09">
              <w:rPr>
                <w:rFonts w:cstheme="minorHAnsi"/>
                <w:lang w:val="en-GB"/>
              </w:rPr>
              <w:t xml:space="preserve"> is </w:t>
            </w:r>
            <w:r w:rsidRPr="002D1F09">
              <w:rPr>
                <w:rFonts w:eastAsia="Times New Roman" w:cstheme="minorHAnsi"/>
                <w:lang w:val="en-GB" w:eastAsia="es-ES"/>
              </w:rPr>
              <w:t xml:space="preserve">the regression </w:t>
            </w:r>
            <w:r w:rsidRPr="002D1F09">
              <w:rPr>
                <w:rFonts w:cstheme="minorHAnsi"/>
                <w:lang w:val="en-GB"/>
              </w:rPr>
              <w:t>coefficient associated with health spending and gives the multiplicative factor of mortality rate for every one</w:t>
            </w:r>
            <w:r w:rsidR="0059459D" w:rsidRPr="002D1F09">
              <w:rPr>
                <w:lang w:val="en-GB"/>
              </w:rPr>
              <w:t xml:space="preserve"> thousand 2015 US dollars increase in annual government health</w:t>
            </w:r>
            <w:r w:rsidR="00A8141A" w:rsidRPr="002D1F09">
              <w:rPr>
                <w:lang w:val="en-GB"/>
              </w:rPr>
              <w:t xml:space="preserve"> spending</w:t>
            </w:r>
            <w:r w:rsidR="0059459D" w:rsidRPr="002D1F09">
              <w:rPr>
                <w:lang w:val="en-GB"/>
              </w:rPr>
              <w:t>.</w:t>
            </w:r>
          </w:p>
          <w:p w14:paraId="698E1113" w14:textId="77777777" w:rsidR="0007289F" w:rsidRPr="002D1F09" w:rsidRDefault="0007289F" w:rsidP="00C2438A">
            <w:pPr>
              <w:spacing w:line="360" w:lineRule="exact"/>
              <w:jc w:val="both"/>
              <w:rPr>
                <w:rFonts w:cstheme="minorHAnsi"/>
                <w:lang w:val="en-GB"/>
              </w:rPr>
            </w:pPr>
            <w:r w:rsidRPr="002D1F09">
              <w:rPr>
                <w:rFonts w:cstheme="minorHAnsi"/>
                <w:b/>
                <w:i/>
                <w:iCs/>
                <w:lang w:val="en-GB"/>
              </w:rPr>
              <w:sym w:font="Symbol" w:char="F061"/>
            </w:r>
            <w:r w:rsidRPr="002D1F09">
              <w:rPr>
                <w:rFonts w:cstheme="minorHAnsi"/>
                <w:iCs/>
                <w:vertAlign w:val="subscript"/>
                <w:lang w:val="en-GB"/>
              </w:rPr>
              <w:t>2</w:t>
            </w:r>
            <w:r w:rsidRPr="002D1F09">
              <w:rPr>
                <w:rFonts w:cstheme="minorHAnsi"/>
                <w:lang w:val="en-GB"/>
              </w:rPr>
              <w:t xml:space="preserve"> are the </w:t>
            </w:r>
            <w:r w:rsidRPr="002D1F09">
              <w:rPr>
                <w:rFonts w:eastAsia="Times New Roman" w:cstheme="minorHAnsi"/>
                <w:lang w:val="en-GB" w:eastAsia="es-ES"/>
              </w:rPr>
              <w:t xml:space="preserve">coefficients for </w:t>
            </w:r>
            <w:r w:rsidRPr="002D1F09">
              <w:rPr>
                <w:rFonts w:cstheme="minorHAnsi"/>
                <w:lang w:val="en-GB"/>
              </w:rPr>
              <w:t>country indicators,</w:t>
            </w:r>
          </w:p>
          <w:p w14:paraId="0A31EF1B" w14:textId="77777777" w:rsidR="0007289F" w:rsidRPr="002D1F09" w:rsidRDefault="0007289F" w:rsidP="00C2438A">
            <w:pPr>
              <w:spacing w:line="360" w:lineRule="exact"/>
              <w:jc w:val="both"/>
              <w:rPr>
                <w:rFonts w:eastAsia="Times New Roman" w:cstheme="minorHAnsi"/>
                <w:lang w:val="en-GB" w:eastAsia="es-ES"/>
              </w:rPr>
            </w:pPr>
            <w:r w:rsidRPr="002D1F09">
              <w:rPr>
                <w:rFonts w:cstheme="minorHAnsi"/>
                <w:i/>
                <w:iCs/>
                <w:lang w:val="en-GB"/>
              </w:rPr>
              <w:sym w:font="Symbol" w:char="F061"/>
            </w:r>
            <w:r w:rsidRPr="002D1F09">
              <w:rPr>
                <w:rFonts w:cstheme="minorHAnsi"/>
                <w:vertAlign w:val="subscript"/>
                <w:lang w:val="en-US"/>
              </w:rPr>
              <w:t>3</w:t>
            </w:r>
            <w:r w:rsidRPr="002D1F09">
              <w:rPr>
                <w:rFonts w:cstheme="minorHAnsi"/>
                <w:lang w:val="en-US"/>
              </w:rPr>
              <w:t xml:space="preserve">, </w:t>
            </w:r>
            <w:r w:rsidRPr="002D1F09">
              <w:rPr>
                <w:rFonts w:cstheme="minorHAnsi"/>
                <w:i/>
                <w:iCs/>
                <w:lang w:val="en-GB"/>
              </w:rPr>
              <w:sym w:font="Symbol" w:char="F061"/>
            </w:r>
            <w:r w:rsidRPr="002D1F09">
              <w:rPr>
                <w:rFonts w:cstheme="minorHAnsi"/>
                <w:vertAlign w:val="subscript"/>
                <w:lang w:val="en-US"/>
              </w:rPr>
              <w:t>4</w:t>
            </w:r>
            <w:r w:rsidRPr="002D1F09">
              <w:rPr>
                <w:rFonts w:cstheme="minorHAnsi"/>
                <w:lang w:val="en-US"/>
              </w:rPr>
              <w:t>, and</w:t>
            </w:r>
            <w:r w:rsidRPr="002D1F09">
              <w:rPr>
                <w:rFonts w:cstheme="minorHAnsi"/>
                <w:iCs/>
                <w:lang w:val="en-GB"/>
              </w:rPr>
              <w:t xml:space="preserve"> </w:t>
            </w:r>
            <w:r w:rsidRPr="002D1F09">
              <w:rPr>
                <w:rFonts w:cstheme="minorHAnsi"/>
                <w:i/>
                <w:iCs/>
                <w:lang w:val="en-GB"/>
              </w:rPr>
              <w:sym w:font="Symbol" w:char="F061"/>
            </w:r>
            <w:r w:rsidRPr="002D1F09">
              <w:rPr>
                <w:rFonts w:cstheme="minorHAnsi"/>
                <w:vertAlign w:val="subscript"/>
                <w:lang w:val="en-US"/>
              </w:rPr>
              <w:t>5</w:t>
            </w:r>
            <w:r w:rsidRPr="002D1F09">
              <w:rPr>
                <w:rFonts w:cstheme="minorHAnsi"/>
                <w:lang w:val="en-US"/>
              </w:rPr>
              <w:t xml:space="preserve"> </w:t>
            </w:r>
            <w:r w:rsidRPr="002D1F09">
              <w:rPr>
                <w:rFonts w:ascii="Calibri" w:hAnsi="Calibri" w:cs="Calibri"/>
                <w:lang w:val="en-GB"/>
              </w:rPr>
              <w:t>are the coefficients associated with each spline term</w:t>
            </w:r>
            <w:r w:rsidRPr="002D1F09">
              <w:rPr>
                <w:rFonts w:cstheme="minorHAnsi"/>
                <w:lang w:val="en-GB"/>
              </w:rPr>
              <w:t xml:space="preserve"> for calendar year</w:t>
            </w:r>
            <w:r w:rsidRPr="002D1F09">
              <w:rPr>
                <w:rFonts w:ascii="Calibri" w:hAnsi="Calibri" w:cs="Calibri"/>
                <w:lang w:val="en-GB"/>
              </w:rPr>
              <w:t>,</w:t>
            </w:r>
          </w:p>
          <w:p w14:paraId="38AE932F" w14:textId="77777777" w:rsidR="0007289F" w:rsidRPr="002D1F09" w:rsidRDefault="0007289F" w:rsidP="00C2438A">
            <w:pPr>
              <w:spacing w:line="360" w:lineRule="exact"/>
              <w:jc w:val="both"/>
              <w:rPr>
                <w:rFonts w:eastAsia="Times New Roman" w:cstheme="minorHAnsi"/>
                <w:lang w:val="en-GB" w:eastAsia="es-ES"/>
              </w:rPr>
            </w:pPr>
            <w:r w:rsidRPr="002D1F09">
              <w:rPr>
                <w:rFonts w:cstheme="minorHAnsi"/>
                <w:b/>
                <w:i/>
                <w:iCs/>
                <w:lang w:val="en-GB"/>
              </w:rPr>
              <w:sym w:font="Symbol" w:char="F061"/>
            </w:r>
            <w:r w:rsidRPr="002D1F09">
              <w:rPr>
                <w:rFonts w:cstheme="minorHAnsi"/>
                <w:vertAlign w:val="subscript"/>
                <w:lang w:val="en-US"/>
              </w:rPr>
              <w:t>6</w:t>
            </w:r>
            <w:r w:rsidRPr="002D1F09">
              <w:rPr>
                <w:rFonts w:cstheme="minorHAnsi"/>
                <w:lang w:val="en-GB"/>
              </w:rPr>
              <w:t xml:space="preserve"> are the</w:t>
            </w:r>
            <w:r w:rsidRPr="002D1F09">
              <w:rPr>
                <w:rFonts w:cstheme="minorHAnsi"/>
                <w:i/>
                <w:vertAlign w:val="subscript"/>
                <w:lang w:val="en-GB"/>
              </w:rPr>
              <w:t xml:space="preserve"> </w:t>
            </w:r>
            <w:r w:rsidRPr="002D1F09">
              <w:rPr>
                <w:rFonts w:eastAsia="Times New Roman" w:cstheme="minorHAnsi"/>
                <w:lang w:val="en-GB" w:eastAsia="es-ES"/>
              </w:rPr>
              <w:t>coefficients for the other adjustment covariates, and</w:t>
            </w:r>
          </w:p>
          <w:p w14:paraId="1C514AA4" w14:textId="77777777" w:rsidR="0007289F" w:rsidRPr="002D1F09" w:rsidRDefault="0007289F" w:rsidP="00C2438A">
            <w:pPr>
              <w:spacing w:line="360" w:lineRule="exact"/>
              <w:jc w:val="both"/>
              <w:rPr>
                <w:rFonts w:cstheme="minorHAnsi"/>
                <w:lang w:val="en-GB"/>
              </w:rPr>
            </w:pPr>
            <w:r w:rsidRPr="002D1F09">
              <w:rPr>
                <w:rFonts w:cstheme="minorHAnsi"/>
                <w:i/>
                <w:lang w:val="en-GB"/>
              </w:rPr>
              <w:sym w:font="Symbol" w:char="F065"/>
            </w:r>
            <w:r w:rsidRPr="002D1F09">
              <w:rPr>
                <w:rFonts w:cstheme="minorHAnsi"/>
                <w:i/>
                <w:iCs/>
                <w:vertAlign w:val="subscript"/>
                <w:lang w:val="en-GB"/>
              </w:rPr>
              <w:t>it</w:t>
            </w:r>
            <w:r w:rsidRPr="002D1F09">
              <w:rPr>
                <w:rFonts w:cstheme="minorHAnsi"/>
                <w:lang w:val="en-GB"/>
              </w:rPr>
              <w:t xml:space="preserve"> is the error term of the model.</w:t>
            </w:r>
          </w:p>
        </w:tc>
      </w:tr>
      <w:tr w:rsidR="002D1F09" w:rsidRPr="002D1F09" w14:paraId="38DF33B9" w14:textId="77777777" w:rsidTr="00304C84">
        <w:tc>
          <w:tcPr>
            <w:tcW w:w="9634" w:type="dxa"/>
            <w:tcBorders>
              <w:bottom w:val="nil"/>
            </w:tcBorders>
            <w:tcMar>
              <w:top w:w="57" w:type="dxa"/>
              <w:left w:w="57" w:type="dxa"/>
              <w:bottom w:w="57" w:type="dxa"/>
              <w:right w:w="57" w:type="dxa"/>
            </w:tcMar>
          </w:tcPr>
          <w:p w14:paraId="799DE175" w14:textId="77777777" w:rsidR="0007289F" w:rsidRPr="002D1F09" w:rsidRDefault="0007289F" w:rsidP="00C2438A">
            <w:pPr>
              <w:pStyle w:val="Textocomentario"/>
              <w:spacing w:line="360" w:lineRule="exact"/>
              <w:jc w:val="both"/>
              <w:rPr>
                <w:rFonts w:cstheme="minorHAnsi"/>
                <w:b/>
                <w:sz w:val="22"/>
                <w:szCs w:val="22"/>
                <w:u w:val="single"/>
              </w:rPr>
            </w:pPr>
            <w:r w:rsidRPr="002D1F09">
              <w:rPr>
                <w:rFonts w:cstheme="minorHAnsi"/>
                <w:b/>
                <w:sz w:val="22"/>
                <w:szCs w:val="22"/>
                <w:u w:val="single"/>
              </w:rPr>
              <w:t xml:space="preserve">General specification of the </w:t>
            </w:r>
            <w:r w:rsidRPr="002D1F09">
              <w:rPr>
                <w:b/>
                <w:sz w:val="22"/>
                <w:szCs w:val="22"/>
                <w:u w:val="single"/>
                <w:lang w:val="en-GB"/>
              </w:rPr>
              <w:t>first-differences model</w:t>
            </w:r>
          </w:p>
        </w:tc>
      </w:tr>
      <w:tr w:rsidR="002D1F09" w:rsidRPr="002D1F09" w14:paraId="36CF47F1" w14:textId="77777777" w:rsidTr="00304C84">
        <w:tc>
          <w:tcPr>
            <w:tcW w:w="9634" w:type="dxa"/>
            <w:tcBorders>
              <w:top w:val="nil"/>
            </w:tcBorders>
            <w:tcMar>
              <w:top w:w="57" w:type="dxa"/>
              <w:left w:w="57" w:type="dxa"/>
              <w:bottom w:w="57" w:type="dxa"/>
              <w:right w:w="57" w:type="dxa"/>
            </w:tcMar>
          </w:tcPr>
          <w:p w14:paraId="65D02189" w14:textId="77777777" w:rsidR="0007289F" w:rsidRPr="002D1F09" w:rsidRDefault="0007289F" w:rsidP="00C2438A">
            <w:pPr>
              <w:pStyle w:val="Textocomentario"/>
              <w:spacing w:line="360" w:lineRule="exact"/>
              <w:rPr>
                <w:sz w:val="22"/>
                <w:szCs w:val="22"/>
              </w:rPr>
            </w:pPr>
            <w:proofErr w:type="gramStart"/>
            <w:r w:rsidRPr="002D1F09">
              <w:rPr>
                <w:rFonts w:cstheme="minorHAnsi"/>
                <w:sz w:val="22"/>
                <w:szCs w:val="22"/>
              </w:rPr>
              <w:t>ln(</w:t>
            </w:r>
            <w:proofErr w:type="gramEnd"/>
            <w:r w:rsidRPr="002D1F09">
              <w:rPr>
                <w:rFonts w:cstheme="minorHAnsi"/>
                <w:i/>
                <w:sz w:val="22"/>
                <w:szCs w:val="22"/>
              </w:rPr>
              <w:t>R</w:t>
            </w:r>
            <w:r w:rsidRPr="002D1F09">
              <w:rPr>
                <w:rFonts w:cstheme="minorHAnsi"/>
                <w:i/>
                <w:sz w:val="22"/>
                <w:szCs w:val="22"/>
                <w:vertAlign w:val="subscript"/>
              </w:rPr>
              <w:t>it</w:t>
            </w:r>
            <w:r w:rsidRPr="002D1F09">
              <w:rPr>
                <w:rFonts w:cstheme="minorHAnsi"/>
                <w:sz w:val="22"/>
                <w:szCs w:val="22"/>
              </w:rPr>
              <w:t>/</w:t>
            </w:r>
            <w:r w:rsidRPr="002D1F09">
              <w:rPr>
                <w:rFonts w:cstheme="minorHAnsi"/>
                <w:i/>
                <w:sz w:val="22"/>
                <w:szCs w:val="22"/>
              </w:rPr>
              <w:t>R</w:t>
            </w:r>
            <w:r w:rsidRPr="002D1F09">
              <w:rPr>
                <w:rFonts w:cstheme="minorHAnsi"/>
                <w:i/>
                <w:sz w:val="22"/>
                <w:szCs w:val="22"/>
                <w:vertAlign w:val="subscript"/>
              </w:rPr>
              <w:t>it</w:t>
            </w:r>
            <w:r w:rsidRPr="002D1F09">
              <w:rPr>
                <w:sz w:val="22"/>
                <w:szCs w:val="22"/>
                <w:vertAlign w:val="subscript"/>
              </w:rPr>
              <w:t>−</w:t>
            </w:r>
            <w:r w:rsidRPr="002D1F09">
              <w:rPr>
                <w:rFonts w:cstheme="minorHAnsi"/>
                <w:sz w:val="22"/>
                <w:szCs w:val="22"/>
                <w:vertAlign w:val="subscript"/>
              </w:rPr>
              <w:t>1</w:t>
            </w:r>
            <w:r w:rsidRPr="002D1F09">
              <w:rPr>
                <w:rFonts w:cstheme="minorHAnsi"/>
                <w:sz w:val="22"/>
                <w:szCs w:val="22"/>
              </w:rPr>
              <w:t xml:space="preserve">) = </w:t>
            </w:r>
            <w:r w:rsidRPr="002D1F09">
              <w:rPr>
                <w:sz w:val="22"/>
                <w:szCs w:val="22"/>
              </w:rPr>
              <w:t>ln(</w:t>
            </w:r>
            <w:r w:rsidRPr="002D1F09">
              <w:rPr>
                <w:i/>
                <w:sz w:val="22"/>
                <w:szCs w:val="22"/>
              </w:rPr>
              <w:t>R</w:t>
            </w:r>
            <w:r w:rsidRPr="002D1F09">
              <w:rPr>
                <w:i/>
                <w:sz w:val="22"/>
                <w:szCs w:val="22"/>
                <w:vertAlign w:val="subscript"/>
              </w:rPr>
              <w:t>it</w:t>
            </w:r>
            <w:r w:rsidRPr="002D1F09">
              <w:rPr>
                <w:sz w:val="22"/>
                <w:szCs w:val="22"/>
              </w:rPr>
              <w:t xml:space="preserve">) </w:t>
            </w:r>
            <w:r w:rsidRPr="002D1F09">
              <w:rPr>
                <w:rFonts w:cstheme="minorHAnsi"/>
                <w:sz w:val="22"/>
                <w:szCs w:val="22"/>
              </w:rPr>
              <w:t>−</w:t>
            </w:r>
            <w:r w:rsidRPr="002D1F09">
              <w:rPr>
                <w:sz w:val="22"/>
                <w:szCs w:val="22"/>
              </w:rPr>
              <w:t xml:space="preserve"> ln(</w:t>
            </w:r>
            <w:r w:rsidRPr="002D1F09">
              <w:rPr>
                <w:i/>
                <w:sz w:val="22"/>
                <w:szCs w:val="22"/>
              </w:rPr>
              <w:t>R</w:t>
            </w:r>
            <w:r w:rsidRPr="002D1F09">
              <w:rPr>
                <w:i/>
                <w:sz w:val="22"/>
                <w:szCs w:val="22"/>
                <w:vertAlign w:val="subscript"/>
              </w:rPr>
              <w:t>it</w:t>
            </w:r>
            <w:r w:rsidRPr="002D1F09">
              <w:rPr>
                <w:sz w:val="22"/>
                <w:szCs w:val="22"/>
                <w:vertAlign w:val="subscript"/>
              </w:rPr>
              <w:t>−1</w:t>
            </w:r>
            <w:r w:rsidRPr="002D1F09">
              <w:rPr>
                <w:sz w:val="22"/>
                <w:szCs w:val="22"/>
              </w:rPr>
              <w:t xml:space="preserve">) = </w:t>
            </w:r>
            <w:r w:rsidRPr="002D1F09">
              <w:rPr>
                <w:rFonts w:cstheme="minorHAnsi"/>
                <w:i/>
                <w:sz w:val="22"/>
                <w:szCs w:val="22"/>
                <w:lang w:val="en-GB"/>
              </w:rPr>
              <w:sym w:font="Symbol" w:char="F062"/>
            </w:r>
            <w:r w:rsidRPr="002D1F09">
              <w:rPr>
                <w:sz w:val="22"/>
                <w:szCs w:val="22"/>
                <w:vertAlign w:val="subscript"/>
              </w:rPr>
              <w:t>0</w:t>
            </w:r>
            <w:r w:rsidRPr="002D1F09">
              <w:rPr>
                <w:sz w:val="22"/>
                <w:szCs w:val="22"/>
              </w:rPr>
              <w:t xml:space="preserve"> + </w:t>
            </w:r>
            <w:r w:rsidRPr="002D1F09">
              <w:rPr>
                <w:rFonts w:cstheme="minorHAnsi"/>
                <w:i/>
                <w:sz w:val="22"/>
                <w:szCs w:val="22"/>
                <w:lang w:val="en-GB"/>
              </w:rPr>
              <w:sym w:font="Symbol" w:char="F062"/>
            </w:r>
            <w:r w:rsidRPr="002D1F09">
              <w:rPr>
                <w:sz w:val="22"/>
                <w:szCs w:val="22"/>
                <w:vertAlign w:val="subscript"/>
              </w:rPr>
              <w:t>1</w:t>
            </w:r>
            <w:r w:rsidRPr="002D1F09">
              <w:rPr>
                <w:sz w:val="22"/>
                <w:szCs w:val="22"/>
              </w:rPr>
              <w:t>(</w:t>
            </w:r>
            <w:r w:rsidR="00304C84" w:rsidRPr="002D1F09">
              <w:rPr>
                <w:i/>
                <w:sz w:val="22"/>
                <w:szCs w:val="22"/>
              </w:rPr>
              <w:t>H</w:t>
            </w:r>
            <w:r w:rsidRPr="002D1F09">
              <w:rPr>
                <w:i/>
                <w:sz w:val="22"/>
                <w:szCs w:val="22"/>
                <w:vertAlign w:val="subscript"/>
              </w:rPr>
              <w:t>it</w:t>
            </w:r>
            <w:r w:rsidRPr="002D1F09">
              <w:rPr>
                <w:sz w:val="22"/>
                <w:szCs w:val="22"/>
              </w:rPr>
              <w:t xml:space="preserve"> </w:t>
            </w:r>
            <w:r w:rsidRPr="002D1F09">
              <w:rPr>
                <w:rFonts w:cstheme="minorHAnsi"/>
                <w:sz w:val="22"/>
                <w:szCs w:val="22"/>
              </w:rPr>
              <w:t>−</w:t>
            </w:r>
            <w:r w:rsidRPr="002D1F09">
              <w:rPr>
                <w:sz w:val="22"/>
                <w:szCs w:val="22"/>
              </w:rPr>
              <w:t xml:space="preserve"> </w:t>
            </w:r>
            <w:r w:rsidR="00304C84" w:rsidRPr="002D1F09">
              <w:rPr>
                <w:i/>
                <w:sz w:val="22"/>
                <w:szCs w:val="22"/>
              </w:rPr>
              <w:t>H</w:t>
            </w:r>
            <w:r w:rsidRPr="002D1F09">
              <w:rPr>
                <w:i/>
                <w:sz w:val="22"/>
                <w:szCs w:val="22"/>
                <w:vertAlign w:val="subscript"/>
              </w:rPr>
              <w:t>it</w:t>
            </w:r>
            <w:r w:rsidRPr="002D1F09">
              <w:rPr>
                <w:rFonts w:cstheme="minorHAnsi"/>
                <w:sz w:val="22"/>
                <w:szCs w:val="22"/>
                <w:vertAlign w:val="subscript"/>
              </w:rPr>
              <w:t>−</w:t>
            </w:r>
            <w:r w:rsidRPr="002D1F09">
              <w:rPr>
                <w:sz w:val="22"/>
                <w:szCs w:val="22"/>
                <w:vertAlign w:val="subscript"/>
              </w:rPr>
              <w:t>1</w:t>
            </w:r>
            <w:r w:rsidRPr="002D1F09">
              <w:rPr>
                <w:sz w:val="22"/>
                <w:szCs w:val="22"/>
              </w:rPr>
              <w:t>) +</w:t>
            </w:r>
            <w:r w:rsidRPr="002D1F09">
              <w:rPr>
                <w:rFonts w:cstheme="minorHAnsi"/>
                <w:sz w:val="22"/>
                <w:szCs w:val="22"/>
              </w:rPr>
              <w:t xml:space="preserve"> </w:t>
            </w:r>
            <w:r w:rsidRPr="002D1F09">
              <w:rPr>
                <w:rFonts w:cstheme="minorHAnsi"/>
                <w:i/>
                <w:sz w:val="22"/>
                <w:szCs w:val="22"/>
                <w:lang w:val="en-GB"/>
              </w:rPr>
              <w:sym w:font="Symbol" w:char="F062"/>
            </w:r>
            <w:r w:rsidRPr="002D1F09">
              <w:rPr>
                <w:rFonts w:cstheme="minorHAnsi"/>
                <w:sz w:val="22"/>
                <w:szCs w:val="22"/>
                <w:vertAlign w:val="subscript"/>
              </w:rPr>
              <w:t>2</w:t>
            </w:r>
            <w:r w:rsidRPr="002D1F09">
              <w:rPr>
                <w:rFonts w:cstheme="minorHAnsi"/>
                <w:sz w:val="22"/>
                <w:szCs w:val="22"/>
              </w:rPr>
              <w:t>{</w:t>
            </w:r>
            <w:r w:rsidRPr="002D1F09">
              <w:rPr>
                <w:rFonts w:cstheme="minorHAnsi"/>
                <w:i/>
                <w:sz w:val="22"/>
                <w:szCs w:val="22"/>
              </w:rPr>
              <w:t>s</w:t>
            </w:r>
            <w:r w:rsidRPr="002D1F09">
              <w:rPr>
                <w:rFonts w:cstheme="minorHAnsi"/>
                <w:sz w:val="22"/>
                <w:szCs w:val="22"/>
                <w:vertAlign w:val="subscript"/>
              </w:rPr>
              <w:t>1</w:t>
            </w:r>
            <w:r w:rsidRPr="002D1F09">
              <w:rPr>
                <w:rFonts w:cstheme="minorHAnsi"/>
                <w:sz w:val="22"/>
                <w:szCs w:val="22"/>
              </w:rPr>
              <w:t>(</w:t>
            </w:r>
            <w:r w:rsidRPr="002D1F09">
              <w:rPr>
                <w:rFonts w:cstheme="minorHAnsi"/>
                <w:i/>
                <w:sz w:val="22"/>
                <w:szCs w:val="22"/>
              </w:rPr>
              <w:t>t</w:t>
            </w:r>
            <w:r w:rsidRPr="002D1F09">
              <w:rPr>
                <w:rFonts w:cstheme="minorHAnsi"/>
                <w:sz w:val="22"/>
                <w:szCs w:val="22"/>
              </w:rPr>
              <w:t xml:space="preserve">) − </w:t>
            </w:r>
            <w:r w:rsidRPr="002D1F09">
              <w:rPr>
                <w:rFonts w:cstheme="minorHAnsi"/>
                <w:i/>
                <w:sz w:val="22"/>
                <w:szCs w:val="22"/>
              </w:rPr>
              <w:t>s</w:t>
            </w:r>
            <w:r w:rsidRPr="002D1F09">
              <w:rPr>
                <w:rFonts w:cstheme="minorHAnsi"/>
                <w:sz w:val="22"/>
                <w:szCs w:val="22"/>
                <w:vertAlign w:val="subscript"/>
              </w:rPr>
              <w:t>1</w:t>
            </w:r>
            <w:r w:rsidRPr="002D1F09">
              <w:rPr>
                <w:rFonts w:cstheme="minorHAnsi"/>
                <w:sz w:val="22"/>
                <w:szCs w:val="22"/>
              </w:rPr>
              <w:t>(</w:t>
            </w:r>
            <w:r w:rsidRPr="002D1F09">
              <w:rPr>
                <w:rFonts w:cstheme="minorHAnsi"/>
                <w:i/>
                <w:sz w:val="22"/>
                <w:szCs w:val="22"/>
              </w:rPr>
              <w:t>t</w:t>
            </w:r>
            <w:r w:rsidRPr="002D1F09">
              <w:rPr>
                <w:rFonts w:cstheme="minorHAnsi"/>
                <w:sz w:val="22"/>
                <w:szCs w:val="22"/>
              </w:rPr>
              <w:t xml:space="preserve">−1)} + </w:t>
            </w:r>
            <w:r w:rsidRPr="002D1F09">
              <w:rPr>
                <w:rFonts w:cstheme="minorHAnsi"/>
                <w:i/>
                <w:sz w:val="22"/>
                <w:szCs w:val="22"/>
                <w:lang w:val="en-GB"/>
              </w:rPr>
              <w:sym w:font="Symbol" w:char="F062"/>
            </w:r>
            <w:r w:rsidRPr="002D1F09">
              <w:rPr>
                <w:rFonts w:cstheme="minorHAnsi"/>
                <w:sz w:val="22"/>
                <w:szCs w:val="22"/>
                <w:vertAlign w:val="subscript"/>
              </w:rPr>
              <w:t>3</w:t>
            </w:r>
            <w:r w:rsidRPr="002D1F09">
              <w:rPr>
                <w:rFonts w:cstheme="minorHAnsi"/>
                <w:sz w:val="22"/>
                <w:szCs w:val="22"/>
              </w:rPr>
              <w:t>{</w:t>
            </w:r>
            <w:r w:rsidRPr="002D1F09">
              <w:rPr>
                <w:rFonts w:cstheme="minorHAnsi"/>
                <w:i/>
                <w:sz w:val="22"/>
                <w:szCs w:val="22"/>
              </w:rPr>
              <w:t>s</w:t>
            </w:r>
            <w:r w:rsidRPr="002D1F09">
              <w:rPr>
                <w:rFonts w:cstheme="minorHAnsi"/>
                <w:sz w:val="22"/>
                <w:szCs w:val="22"/>
                <w:vertAlign w:val="subscript"/>
              </w:rPr>
              <w:t>2</w:t>
            </w:r>
            <w:r w:rsidRPr="002D1F09">
              <w:rPr>
                <w:rFonts w:cstheme="minorHAnsi"/>
                <w:sz w:val="22"/>
                <w:szCs w:val="22"/>
              </w:rPr>
              <w:t>(</w:t>
            </w:r>
            <w:r w:rsidRPr="002D1F09">
              <w:rPr>
                <w:rFonts w:cstheme="minorHAnsi"/>
                <w:i/>
                <w:sz w:val="22"/>
                <w:szCs w:val="22"/>
              </w:rPr>
              <w:t>t</w:t>
            </w:r>
            <w:r w:rsidRPr="002D1F09">
              <w:rPr>
                <w:rFonts w:cstheme="minorHAnsi"/>
                <w:sz w:val="22"/>
                <w:szCs w:val="22"/>
              </w:rPr>
              <w:t xml:space="preserve">) – </w:t>
            </w:r>
            <w:r w:rsidRPr="002D1F09">
              <w:rPr>
                <w:rFonts w:cstheme="minorHAnsi"/>
                <w:i/>
                <w:sz w:val="22"/>
                <w:szCs w:val="22"/>
              </w:rPr>
              <w:t>s</w:t>
            </w:r>
            <w:r w:rsidRPr="002D1F09">
              <w:rPr>
                <w:rFonts w:cstheme="minorHAnsi"/>
                <w:sz w:val="22"/>
                <w:szCs w:val="22"/>
                <w:vertAlign w:val="subscript"/>
              </w:rPr>
              <w:t>2</w:t>
            </w:r>
            <w:r w:rsidRPr="002D1F09">
              <w:rPr>
                <w:rFonts w:cstheme="minorHAnsi"/>
                <w:sz w:val="22"/>
                <w:szCs w:val="22"/>
              </w:rPr>
              <w:t>(</w:t>
            </w:r>
            <w:r w:rsidRPr="002D1F09">
              <w:rPr>
                <w:rFonts w:cstheme="minorHAnsi"/>
                <w:i/>
                <w:sz w:val="22"/>
                <w:szCs w:val="22"/>
              </w:rPr>
              <w:t>t</w:t>
            </w:r>
            <w:r w:rsidRPr="002D1F09">
              <w:rPr>
                <w:rFonts w:cstheme="minorHAnsi"/>
                <w:sz w:val="22"/>
                <w:szCs w:val="22"/>
              </w:rPr>
              <w:t>−1)} +</w:t>
            </w:r>
            <w:r w:rsidRPr="002D1F09">
              <w:rPr>
                <w:sz w:val="22"/>
                <w:szCs w:val="22"/>
              </w:rPr>
              <w:t xml:space="preserve"> </w:t>
            </w:r>
            <w:r w:rsidRPr="002D1F09">
              <w:rPr>
                <w:rFonts w:cstheme="minorHAnsi"/>
                <w:b/>
                <w:i/>
                <w:sz w:val="22"/>
                <w:szCs w:val="22"/>
                <w:lang w:val="en-GB"/>
              </w:rPr>
              <w:sym w:font="Symbol" w:char="F062"/>
            </w:r>
            <w:r w:rsidRPr="002D1F09">
              <w:rPr>
                <w:sz w:val="22"/>
                <w:szCs w:val="22"/>
                <w:vertAlign w:val="subscript"/>
              </w:rPr>
              <w:t>4</w:t>
            </w:r>
            <w:r w:rsidRPr="002D1F09">
              <w:rPr>
                <w:rFonts w:cstheme="minorHAnsi"/>
                <w:sz w:val="22"/>
                <w:szCs w:val="22"/>
                <w:lang w:val="en-GB"/>
              </w:rPr>
              <w:sym w:font="Symbol" w:char="F0A2"/>
            </w:r>
            <w:r w:rsidRPr="002D1F09">
              <w:rPr>
                <w:sz w:val="22"/>
                <w:szCs w:val="22"/>
              </w:rPr>
              <w:t>(</w:t>
            </w:r>
            <w:r w:rsidRPr="002D1F09">
              <w:rPr>
                <w:b/>
                <w:sz w:val="22"/>
                <w:szCs w:val="22"/>
              </w:rPr>
              <w:t>X</w:t>
            </w:r>
            <w:r w:rsidRPr="002D1F09">
              <w:rPr>
                <w:i/>
                <w:sz w:val="22"/>
                <w:szCs w:val="22"/>
                <w:vertAlign w:val="subscript"/>
              </w:rPr>
              <w:t>it</w:t>
            </w:r>
            <w:r w:rsidRPr="002D1F09">
              <w:rPr>
                <w:sz w:val="22"/>
                <w:szCs w:val="22"/>
              </w:rPr>
              <w:t xml:space="preserve"> </w:t>
            </w:r>
            <w:r w:rsidRPr="002D1F09">
              <w:rPr>
                <w:rFonts w:cstheme="minorHAnsi"/>
                <w:sz w:val="22"/>
                <w:szCs w:val="22"/>
              </w:rPr>
              <w:t>−</w:t>
            </w:r>
            <w:r w:rsidRPr="002D1F09">
              <w:rPr>
                <w:sz w:val="22"/>
                <w:szCs w:val="22"/>
              </w:rPr>
              <w:t xml:space="preserve"> </w:t>
            </w:r>
            <w:r w:rsidRPr="002D1F09">
              <w:rPr>
                <w:b/>
                <w:sz w:val="22"/>
                <w:szCs w:val="22"/>
              </w:rPr>
              <w:t>X</w:t>
            </w:r>
            <w:r w:rsidRPr="002D1F09">
              <w:rPr>
                <w:i/>
                <w:sz w:val="22"/>
                <w:szCs w:val="22"/>
                <w:vertAlign w:val="subscript"/>
              </w:rPr>
              <w:t>it</w:t>
            </w:r>
            <w:r w:rsidRPr="002D1F09">
              <w:rPr>
                <w:rFonts w:cstheme="minorHAnsi"/>
                <w:sz w:val="22"/>
                <w:szCs w:val="22"/>
                <w:vertAlign w:val="subscript"/>
              </w:rPr>
              <w:t>−</w:t>
            </w:r>
            <w:r w:rsidRPr="002D1F09">
              <w:rPr>
                <w:sz w:val="22"/>
                <w:szCs w:val="22"/>
                <w:vertAlign w:val="subscript"/>
              </w:rPr>
              <w:t>1</w:t>
            </w:r>
            <w:r w:rsidRPr="002D1F09">
              <w:rPr>
                <w:sz w:val="22"/>
                <w:szCs w:val="22"/>
              </w:rPr>
              <w:t xml:space="preserve">) + </w:t>
            </w:r>
            <w:r w:rsidRPr="002D1F09">
              <w:rPr>
                <w:rFonts w:cstheme="minorHAnsi"/>
                <w:i/>
                <w:sz w:val="22"/>
                <w:szCs w:val="22"/>
                <w:lang w:val="en-GB"/>
              </w:rPr>
              <w:sym w:font="Symbol" w:char="F075"/>
            </w:r>
            <w:r w:rsidRPr="002D1F09">
              <w:rPr>
                <w:rFonts w:cstheme="minorHAnsi"/>
                <w:i/>
                <w:sz w:val="22"/>
                <w:szCs w:val="22"/>
                <w:vertAlign w:val="subscript"/>
              </w:rPr>
              <w:t>it</w:t>
            </w:r>
            <w:r w:rsidRPr="002D1F09">
              <w:rPr>
                <w:sz w:val="22"/>
                <w:szCs w:val="22"/>
              </w:rPr>
              <w:t>,</w:t>
            </w:r>
          </w:p>
          <w:p w14:paraId="7CA38318" w14:textId="77777777" w:rsidR="0007289F" w:rsidRPr="002D1F09" w:rsidRDefault="0007289F" w:rsidP="00C2438A">
            <w:pPr>
              <w:pStyle w:val="Textocomentario"/>
              <w:spacing w:line="360" w:lineRule="exact"/>
              <w:jc w:val="both"/>
              <w:rPr>
                <w:rFonts w:cstheme="minorHAnsi"/>
                <w:sz w:val="22"/>
                <w:szCs w:val="22"/>
                <w:lang w:val="en-GB"/>
              </w:rPr>
            </w:pPr>
            <w:r w:rsidRPr="002D1F09">
              <w:rPr>
                <w:rFonts w:cstheme="minorHAnsi"/>
                <w:sz w:val="22"/>
                <w:szCs w:val="22"/>
                <w:lang w:val="en-GB"/>
              </w:rPr>
              <w:t xml:space="preserve">where </w:t>
            </w:r>
            <w:r w:rsidRPr="002D1F09">
              <w:rPr>
                <w:rFonts w:cstheme="minorHAnsi"/>
                <w:i/>
                <w:sz w:val="22"/>
                <w:szCs w:val="22"/>
                <w:lang w:val="en-GB"/>
              </w:rPr>
              <w:t>R</w:t>
            </w:r>
            <w:r w:rsidRPr="002D1F09">
              <w:rPr>
                <w:rFonts w:cstheme="minorHAnsi"/>
                <w:i/>
                <w:sz w:val="22"/>
                <w:szCs w:val="22"/>
                <w:vertAlign w:val="subscript"/>
                <w:lang w:val="en-GB"/>
              </w:rPr>
              <w:t>it</w:t>
            </w:r>
            <w:r w:rsidRPr="002D1F09">
              <w:rPr>
                <w:sz w:val="22"/>
                <w:szCs w:val="22"/>
                <w:vertAlign w:val="subscript"/>
                <w:lang w:val="en-GB"/>
              </w:rPr>
              <w:t>−</w:t>
            </w:r>
            <w:r w:rsidRPr="002D1F09">
              <w:rPr>
                <w:rFonts w:cstheme="minorHAnsi"/>
                <w:sz w:val="22"/>
                <w:szCs w:val="22"/>
                <w:vertAlign w:val="subscript"/>
                <w:lang w:val="en-GB"/>
              </w:rPr>
              <w:t>1</w:t>
            </w:r>
            <w:r w:rsidRPr="002D1F09">
              <w:rPr>
                <w:rFonts w:cstheme="minorHAnsi"/>
                <w:sz w:val="22"/>
                <w:szCs w:val="22"/>
                <w:lang w:val="en-GB"/>
              </w:rPr>
              <w:t xml:space="preserve">, </w:t>
            </w:r>
            <w:r w:rsidR="000D6478" w:rsidRPr="002D1F09">
              <w:rPr>
                <w:i/>
                <w:sz w:val="22"/>
                <w:szCs w:val="22"/>
                <w:lang w:val="en-GB"/>
              </w:rPr>
              <w:t>H</w:t>
            </w:r>
            <w:r w:rsidRPr="002D1F09">
              <w:rPr>
                <w:i/>
                <w:sz w:val="22"/>
                <w:szCs w:val="22"/>
                <w:vertAlign w:val="subscript"/>
                <w:lang w:val="en-GB"/>
              </w:rPr>
              <w:t>it</w:t>
            </w:r>
            <w:r w:rsidRPr="002D1F09">
              <w:rPr>
                <w:rFonts w:cstheme="minorHAnsi"/>
                <w:sz w:val="22"/>
                <w:szCs w:val="22"/>
                <w:vertAlign w:val="subscript"/>
                <w:lang w:val="en-GB"/>
              </w:rPr>
              <w:t>−</w:t>
            </w:r>
            <w:r w:rsidRPr="002D1F09">
              <w:rPr>
                <w:sz w:val="22"/>
                <w:szCs w:val="22"/>
                <w:vertAlign w:val="subscript"/>
                <w:lang w:val="en-GB"/>
              </w:rPr>
              <w:t>1</w:t>
            </w:r>
            <w:r w:rsidRPr="002D1F09">
              <w:rPr>
                <w:rFonts w:cstheme="minorHAnsi"/>
                <w:sz w:val="22"/>
                <w:szCs w:val="22"/>
                <w:lang w:val="en-GB"/>
              </w:rPr>
              <w:t xml:space="preserve">, and </w:t>
            </w:r>
            <w:r w:rsidRPr="002D1F09">
              <w:rPr>
                <w:b/>
                <w:sz w:val="22"/>
                <w:szCs w:val="22"/>
                <w:lang w:val="en-GB"/>
              </w:rPr>
              <w:t>X</w:t>
            </w:r>
            <w:r w:rsidRPr="002D1F09">
              <w:rPr>
                <w:i/>
                <w:sz w:val="22"/>
                <w:szCs w:val="22"/>
                <w:vertAlign w:val="subscript"/>
                <w:lang w:val="en-GB"/>
              </w:rPr>
              <w:t>it</w:t>
            </w:r>
            <w:r w:rsidRPr="002D1F09">
              <w:rPr>
                <w:rFonts w:cstheme="minorHAnsi"/>
                <w:sz w:val="22"/>
                <w:szCs w:val="22"/>
                <w:vertAlign w:val="subscript"/>
                <w:lang w:val="en-GB"/>
              </w:rPr>
              <w:t>−</w:t>
            </w:r>
            <w:r w:rsidRPr="002D1F09">
              <w:rPr>
                <w:sz w:val="22"/>
                <w:szCs w:val="22"/>
                <w:vertAlign w:val="subscript"/>
                <w:lang w:val="en-GB"/>
              </w:rPr>
              <w:t>1</w:t>
            </w:r>
            <w:r w:rsidRPr="002D1F09">
              <w:rPr>
                <w:rFonts w:cstheme="minorHAnsi"/>
                <w:sz w:val="22"/>
                <w:szCs w:val="22"/>
                <w:lang w:val="en-GB"/>
              </w:rPr>
              <w:t xml:space="preserve"> are the age-standardized mortality rate, the health spending, and the adjustment covariates in each country during the previous year, respectively,</w:t>
            </w:r>
          </w:p>
          <w:p w14:paraId="27E9395D" w14:textId="77777777" w:rsidR="0007289F" w:rsidRPr="002D1F09" w:rsidRDefault="0007289F" w:rsidP="00C2438A">
            <w:pPr>
              <w:spacing w:line="360" w:lineRule="exact"/>
              <w:jc w:val="both"/>
              <w:rPr>
                <w:rFonts w:eastAsia="Times New Roman" w:cstheme="minorHAnsi"/>
                <w:lang w:val="en-GB" w:eastAsia="es-ES"/>
              </w:rPr>
            </w:pPr>
            <w:r w:rsidRPr="002D1F09">
              <w:rPr>
                <w:rFonts w:cstheme="minorHAnsi"/>
                <w:i/>
                <w:lang w:val="en-GB"/>
              </w:rPr>
              <w:sym w:font="Symbol" w:char="F062"/>
            </w:r>
            <w:r w:rsidRPr="002D1F09">
              <w:rPr>
                <w:vertAlign w:val="subscript"/>
                <w:lang w:val="en-GB"/>
              </w:rPr>
              <w:t>0</w:t>
            </w:r>
            <w:r w:rsidRPr="002D1F09">
              <w:rPr>
                <w:rFonts w:cstheme="minorHAnsi"/>
                <w:lang w:val="en-GB"/>
              </w:rPr>
              <w:t xml:space="preserve"> is the model intercept,</w:t>
            </w:r>
          </w:p>
          <w:p w14:paraId="394A7230" w14:textId="77777777" w:rsidR="0007289F" w:rsidRPr="002D1F09" w:rsidRDefault="0007289F" w:rsidP="00C2438A">
            <w:pPr>
              <w:pStyle w:val="Textocomentario"/>
              <w:spacing w:line="360" w:lineRule="exact"/>
              <w:jc w:val="both"/>
              <w:rPr>
                <w:rFonts w:cstheme="minorHAnsi"/>
                <w:sz w:val="22"/>
                <w:szCs w:val="22"/>
                <w:lang w:val="en-GB"/>
              </w:rPr>
            </w:pPr>
            <w:r w:rsidRPr="002D1F09">
              <w:rPr>
                <w:rFonts w:cstheme="minorHAnsi"/>
                <w:i/>
                <w:sz w:val="22"/>
                <w:szCs w:val="22"/>
                <w:lang w:val="en-GB"/>
              </w:rPr>
              <w:sym w:font="Symbol" w:char="F062"/>
            </w:r>
            <w:r w:rsidRPr="002D1F09">
              <w:rPr>
                <w:sz w:val="22"/>
                <w:szCs w:val="22"/>
                <w:vertAlign w:val="subscript"/>
                <w:lang w:val="en-GB"/>
              </w:rPr>
              <w:t>1</w:t>
            </w:r>
            <w:r w:rsidRPr="002D1F09">
              <w:rPr>
                <w:rFonts w:cstheme="minorHAnsi"/>
                <w:sz w:val="22"/>
                <w:szCs w:val="22"/>
                <w:lang w:val="en-GB"/>
              </w:rPr>
              <w:t xml:space="preserve"> is </w:t>
            </w:r>
            <w:r w:rsidRPr="002D1F09">
              <w:rPr>
                <w:rFonts w:eastAsia="Times New Roman" w:cstheme="minorHAnsi"/>
                <w:sz w:val="22"/>
                <w:szCs w:val="22"/>
                <w:lang w:val="en-GB" w:eastAsia="es-ES"/>
              </w:rPr>
              <w:t xml:space="preserve">the </w:t>
            </w:r>
            <w:r w:rsidRPr="002D1F09">
              <w:rPr>
                <w:rFonts w:cstheme="minorHAnsi"/>
                <w:sz w:val="22"/>
                <w:szCs w:val="22"/>
                <w:lang w:val="en-GB"/>
              </w:rPr>
              <w:t xml:space="preserve">coefficient for interannual changes in health spending and gives the multiplicative factor of the interannual ratio of mortality rates </w:t>
            </w:r>
            <w:r w:rsidR="00A8141A" w:rsidRPr="002D1F09">
              <w:rPr>
                <w:rFonts w:cstheme="minorHAnsi"/>
                <w:sz w:val="22"/>
                <w:szCs w:val="22"/>
                <w:lang w:val="en-GB"/>
              </w:rPr>
              <w:t>per every one thousand US dollars increase in interannual difference in health spending.</w:t>
            </w:r>
          </w:p>
          <w:p w14:paraId="780B6743" w14:textId="77777777" w:rsidR="0007289F" w:rsidRPr="002D1F09" w:rsidRDefault="0007289F" w:rsidP="00C2438A">
            <w:pPr>
              <w:spacing w:line="360" w:lineRule="exact"/>
              <w:jc w:val="both"/>
              <w:rPr>
                <w:rFonts w:eastAsia="Times New Roman" w:cstheme="minorHAnsi"/>
                <w:lang w:val="en-GB" w:eastAsia="es-ES"/>
              </w:rPr>
            </w:pPr>
            <w:r w:rsidRPr="002D1F09">
              <w:rPr>
                <w:rFonts w:cstheme="minorHAnsi"/>
                <w:i/>
                <w:lang w:val="en-GB"/>
              </w:rPr>
              <w:sym w:font="Symbol" w:char="F062"/>
            </w:r>
            <w:r w:rsidRPr="002D1F09">
              <w:rPr>
                <w:rFonts w:cstheme="minorHAnsi"/>
                <w:vertAlign w:val="subscript"/>
                <w:lang w:val="en-US"/>
              </w:rPr>
              <w:t>2</w:t>
            </w:r>
            <w:r w:rsidRPr="002D1F09">
              <w:rPr>
                <w:rFonts w:cstheme="minorHAnsi"/>
                <w:lang w:val="en-US"/>
              </w:rPr>
              <w:t xml:space="preserve"> and</w:t>
            </w:r>
            <w:r w:rsidRPr="002D1F09">
              <w:rPr>
                <w:rFonts w:cstheme="minorHAnsi"/>
                <w:iCs/>
                <w:lang w:val="en-GB"/>
              </w:rPr>
              <w:t xml:space="preserve"> </w:t>
            </w:r>
            <w:r w:rsidRPr="002D1F09">
              <w:rPr>
                <w:rFonts w:cstheme="minorHAnsi"/>
                <w:i/>
                <w:lang w:val="en-GB"/>
              </w:rPr>
              <w:sym w:font="Symbol" w:char="F062"/>
            </w:r>
            <w:r w:rsidRPr="002D1F09">
              <w:rPr>
                <w:rFonts w:cstheme="minorHAnsi"/>
                <w:vertAlign w:val="subscript"/>
                <w:lang w:val="en-US"/>
              </w:rPr>
              <w:t>3</w:t>
            </w:r>
            <w:r w:rsidRPr="002D1F09">
              <w:rPr>
                <w:rFonts w:cstheme="minorHAnsi"/>
                <w:lang w:val="en-US"/>
              </w:rPr>
              <w:t xml:space="preserve"> </w:t>
            </w:r>
            <w:r w:rsidRPr="002D1F09">
              <w:rPr>
                <w:rFonts w:ascii="Calibri" w:hAnsi="Calibri" w:cs="Calibri"/>
                <w:lang w:val="en-GB"/>
              </w:rPr>
              <w:t xml:space="preserve">are the coefficients associated with lag-1 differences in each </w:t>
            </w:r>
            <w:r w:rsidRPr="002D1F09">
              <w:rPr>
                <w:rFonts w:cstheme="minorHAnsi"/>
                <w:lang w:val="en-GB"/>
              </w:rPr>
              <w:t>restricted cubic spline term</w:t>
            </w:r>
            <w:r w:rsidRPr="002D1F09">
              <w:rPr>
                <w:rFonts w:ascii="Calibri" w:hAnsi="Calibri" w:cs="Calibri"/>
                <w:lang w:val="en-GB"/>
              </w:rPr>
              <w:t>,</w:t>
            </w:r>
          </w:p>
          <w:p w14:paraId="68856EA6" w14:textId="77777777" w:rsidR="0007289F" w:rsidRPr="002D1F09" w:rsidRDefault="0007289F" w:rsidP="00C2438A">
            <w:pPr>
              <w:spacing w:line="360" w:lineRule="exact"/>
              <w:jc w:val="both"/>
              <w:rPr>
                <w:rFonts w:eastAsia="Times New Roman" w:cstheme="minorHAnsi"/>
                <w:lang w:val="en-GB" w:eastAsia="es-ES"/>
              </w:rPr>
            </w:pPr>
            <w:r w:rsidRPr="002D1F09">
              <w:rPr>
                <w:rFonts w:cstheme="minorHAnsi"/>
                <w:b/>
                <w:i/>
                <w:lang w:val="en-GB"/>
              </w:rPr>
              <w:sym w:font="Symbol" w:char="F062"/>
            </w:r>
            <w:r w:rsidRPr="002D1F09">
              <w:rPr>
                <w:vertAlign w:val="subscript"/>
                <w:lang w:val="en-GB"/>
              </w:rPr>
              <w:t>4</w:t>
            </w:r>
            <w:r w:rsidRPr="002D1F09">
              <w:rPr>
                <w:rFonts w:cstheme="minorHAnsi"/>
                <w:lang w:val="en-GB"/>
              </w:rPr>
              <w:t xml:space="preserve"> are the</w:t>
            </w:r>
            <w:r w:rsidRPr="002D1F09">
              <w:rPr>
                <w:rFonts w:cstheme="minorHAnsi"/>
                <w:i/>
                <w:vertAlign w:val="subscript"/>
                <w:lang w:val="en-GB"/>
              </w:rPr>
              <w:t xml:space="preserve"> </w:t>
            </w:r>
            <w:r w:rsidRPr="002D1F09">
              <w:rPr>
                <w:rFonts w:eastAsia="Times New Roman" w:cstheme="minorHAnsi"/>
                <w:lang w:val="en-GB" w:eastAsia="es-ES"/>
              </w:rPr>
              <w:t xml:space="preserve">coefficients for </w:t>
            </w:r>
            <w:r w:rsidRPr="002D1F09">
              <w:rPr>
                <w:rFonts w:cstheme="minorHAnsi"/>
                <w:lang w:val="en-GB"/>
              </w:rPr>
              <w:t xml:space="preserve">interannual changes in </w:t>
            </w:r>
            <w:r w:rsidRPr="002D1F09">
              <w:rPr>
                <w:rFonts w:eastAsia="Times New Roman" w:cstheme="minorHAnsi"/>
                <w:lang w:val="en-GB" w:eastAsia="es-ES"/>
              </w:rPr>
              <w:t>the other adjustment covariates, and</w:t>
            </w:r>
          </w:p>
          <w:p w14:paraId="61F2B324" w14:textId="77777777" w:rsidR="0007289F" w:rsidRPr="002D1F09" w:rsidRDefault="0007289F" w:rsidP="00C2438A">
            <w:pPr>
              <w:pStyle w:val="Textocomentario"/>
              <w:spacing w:line="360" w:lineRule="exact"/>
              <w:jc w:val="both"/>
              <w:rPr>
                <w:rFonts w:cstheme="minorHAnsi"/>
                <w:sz w:val="22"/>
                <w:szCs w:val="22"/>
                <w:lang w:val="en-GB"/>
              </w:rPr>
            </w:pPr>
            <w:r w:rsidRPr="002D1F09">
              <w:rPr>
                <w:rFonts w:cstheme="minorHAnsi"/>
                <w:i/>
                <w:sz w:val="22"/>
                <w:szCs w:val="22"/>
                <w:lang w:val="en-GB"/>
              </w:rPr>
              <w:sym w:font="Symbol" w:char="F075"/>
            </w:r>
            <w:r w:rsidRPr="002D1F09">
              <w:rPr>
                <w:rFonts w:cstheme="minorHAnsi"/>
                <w:i/>
                <w:sz w:val="22"/>
                <w:szCs w:val="22"/>
                <w:vertAlign w:val="subscript"/>
                <w:lang w:val="en-GB"/>
              </w:rPr>
              <w:t>it</w:t>
            </w:r>
            <w:r w:rsidRPr="002D1F09">
              <w:rPr>
                <w:rFonts w:cstheme="minorHAnsi"/>
                <w:sz w:val="22"/>
                <w:szCs w:val="22"/>
                <w:lang w:val="en-GB"/>
              </w:rPr>
              <w:t xml:space="preserve"> is the error term of the model.</w:t>
            </w:r>
          </w:p>
        </w:tc>
      </w:tr>
    </w:tbl>
    <w:p w14:paraId="4907B68D" w14:textId="77777777" w:rsidR="0007289F" w:rsidRPr="002D1F09" w:rsidRDefault="0007289F" w:rsidP="00C2438A">
      <w:pPr>
        <w:rPr>
          <w:b/>
          <w:lang w:val="en-GB"/>
        </w:rPr>
      </w:pPr>
      <w:r w:rsidRPr="002D1F09">
        <w:rPr>
          <w:b/>
          <w:lang w:val="en-GB"/>
        </w:rPr>
        <w:br w:type="page"/>
      </w:r>
    </w:p>
    <w:p w14:paraId="47F31C6F" w14:textId="77777777" w:rsidR="004E4FFB" w:rsidRPr="002D1F09" w:rsidRDefault="004E4FFB" w:rsidP="00C2438A">
      <w:pPr>
        <w:pStyle w:val="Textocomentario"/>
        <w:ind w:right="424"/>
        <w:rPr>
          <w:b/>
          <w:sz w:val="22"/>
          <w:szCs w:val="22"/>
          <w:lang w:val="en-GB"/>
        </w:rPr>
      </w:pPr>
      <w:proofErr w:type="spellStart"/>
      <w:r w:rsidRPr="002D1F09">
        <w:rPr>
          <w:b/>
          <w:sz w:val="22"/>
          <w:szCs w:val="22"/>
          <w:lang w:val="en-GB"/>
        </w:rPr>
        <w:lastRenderedPageBreak/>
        <w:t>eTable</w:t>
      </w:r>
      <w:proofErr w:type="spellEnd"/>
      <w:r w:rsidRPr="002D1F09">
        <w:rPr>
          <w:b/>
          <w:sz w:val="22"/>
          <w:szCs w:val="22"/>
          <w:lang w:val="en-GB"/>
        </w:rPr>
        <w:t xml:space="preserve"> </w:t>
      </w:r>
      <w:r w:rsidR="009A0548" w:rsidRPr="002D1F09">
        <w:rPr>
          <w:b/>
          <w:sz w:val="22"/>
          <w:szCs w:val="22"/>
          <w:lang w:val="en-GB"/>
        </w:rPr>
        <w:t>4</w:t>
      </w:r>
      <w:r w:rsidRPr="002D1F09">
        <w:rPr>
          <w:b/>
          <w:sz w:val="22"/>
          <w:szCs w:val="22"/>
          <w:lang w:val="en-GB"/>
        </w:rPr>
        <w:t xml:space="preserve">. Association between annual age-standardized mortality rates and annual government health spending in </w:t>
      </w:r>
      <w:r w:rsidR="002E562B" w:rsidRPr="002D1F09">
        <w:rPr>
          <w:b/>
          <w:sz w:val="22"/>
          <w:szCs w:val="22"/>
          <w:lang w:val="en-GB"/>
        </w:rPr>
        <w:t>GDP percent</w:t>
      </w:r>
      <w:r w:rsidRPr="002D1F09">
        <w:rPr>
          <w:b/>
          <w:sz w:val="22"/>
          <w:szCs w:val="22"/>
          <w:lang w:val="en-GB"/>
        </w:rPr>
        <w:t xml:space="preserve"> from regression models by model type</w:t>
      </w:r>
      <w:r w:rsidR="00632535" w:rsidRPr="002D1F09">
        <w:rPr>
          <w:b/>
          <w:sz w:val="22"/>
          <w:szCs w:val="22"/>
          <w:lang w:val="en-GB"/>
        </w:rPr>
        <w:t xml:space="preserve"> and</w:t>
      </w:r>
      <w:r w:rsidRPr="002D1F09">
        <w:rPr>
          <w:b/>
          <w:sz w:val="22"/>
          <w:szCs w:val="22"/>
          <w:lang w:val="en-GB"/>
        </w:rPr>
        <w:t xml:space="preserve"> period in four European countries, 2002-2019</w:t>
      </w:r>
    </w:p>
    <w:p w14:paraId="5496A6AA" w14:textId="77777777" w:rsidR="004E4FFB" w:rsidRPr="002D1F09" w:rsidRDefault="004E4FFB" w:rsidP="00C2438A">
      <w:pPr>
        <w:pStyle w:val="Textocomentario"/>
        <w:ind w:right="424"/>
        <w:rPr>
          <w:b/>
          <w:sz w:val="16"/>
          <w:szCs w:val="16"/>
          <w:lang w:val="en-GB"/>
        </w:rPr>
      </w:pPr>
    </w:p>
    <w:tbl>
      <w:tblPr>
        <w:tblStyle w:val="Tablaconcuadrcula"/>
        <w:tblW w:w="8836"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567"/>
        <w:gridCol w:w="283"/>
        <w:gridCol w:w="850"/>
        <w:gridCol w:w="331"/>
        <w:gridCol w:w="1134"/>
      </w:tblGrid>
      <w:tr w:rsidR="002D1F09" w:rsidRPr="002D1F09" w14:paraId="3BAF389A" w14:textId="77777777" w:rsidTr="00BC671E">
        <w:tc>
          <w:tcPr>
            <w:tcW w:w="5671" w:type="dxa"/>
            <w:tcMar>
              <w:left w:w="28" w:type="dxa"/>
              <w:right w:w="28" w:type="dxa"/>
            </w:tcMar>
            <w:vAlign w:val="center"/>
          </w:tcPr>
          <w:p w14:paraId="3284A784" w14:textId="77777777" w:rsidR="004E4FFB" w:rsidRPr="002D1F09" w:rsidRDefault="004E4FFB" w:rsidP="00C2438A">
            <w:pPr>
              <w:ind w:right="-109"/>
              <w:rPr>
                <w:b/>
                <w:sz w:val="20"/>
                <w:szCs w:val="20"/>
                <w:lang w:val="en-GB"/>
              </w:rPr>
            </w:pPr>
          </w:p>
        </w:tc>
        <w:tc>
          <w:tcPr>
            <w:tcW w:w="567" w:type="dxa"/>
            <w:tcBorders>
              <w:top w:val="single" w:sz="4" w:space="0" w:color="auto"/>
              <w:bottom w:val="single" w:sz="4" w:space="0" w:color="auto"/>
            </w:tcBorders>
            <w:tcMar>
              <w:left w:w="28" w:type="dxa"/>
              <w:right w:w="28" w:type="dxa"/>
            </w:tcMar>
            <w:vAlign w:val="center"/>
          </w:tcPr>
          <w:p w14:paraId="261B520A" w14:textId="77777777" w:rsidR="004E4FFB" w:rsidRPr="002D1F09" w:rsidRDefault="004E4FFB" w:rsidP="00C2438A">
            <w:pPr>
              <w:ind w:right="-109"/>
              <w:jc w:val="center"/>
              <w:rPr>
                <w:b/>
                <w:sz w:val="20"/>
                <w:szCs w:val="20"/>
                <w:lang w:val="en-GB"/>
              </w:rPr>
            </w:pPr>
            <w:r w:rsidRPr="002D1F09">
              <w:rPr>
                <w:b/>
                <w:sz w:val="20"/>
                <w:szCs w:val="20"/>
                <w:lang w:val="en-GB"/>
              </w:rPr>
              <w:t>N</w:t>
            </w:r>
            <w:r w:rsidR="00FA390B" w:rsidRPr="002D1F09">
              <w:rPr>
                <w:b/>
                <w:sz w:val="20"/>
                <w:szCs w:val="20"/>
                <w:vertAlign w:val="superscript"/>
                <w:lang w:val="en-GB"/>
              </w:rPr>
              <w:t>1</w:t>
            </w:r>
          </w:p>
        </w:tc>
        <w:tc>
          <w:tcPr>
            <w:tcW w:w="283" w:type="dxa"/>
          </w:tcPr>
          <w:p w14:paraId="0127105F" w14:textId="77777777" w:rsidR="004E4FFB" w:rsidRPr="002D1F09" w:rsidRDefault="004E4FFB" w:rsidP="00C2438A">
            <w:pPr>
              <w:ind w:right="-109"/>
              <w:jc w:val="center"/>
              <w:rPr>
                <w:rFonts w:eastAsia="Times New Roman" w:cstheme="minorHAnsi"/>
                <w:b/>
                <w:bCs/>
                <w:sz w:val="20"/>
                <w:szCs w:val="20"/>
                <w:lang w:val="en-GB" w:eastAsia="en-GB"/>
              </w:rPr>
            </w:pPr>
          </w:p>
        </w:tc>
        <w:tc>
          <w:tcPr>
            <w:tcW w:w="850" w:type="dxa"/>
            <w:tcBorders>
              <w:top w:val="single" w:sz="4" w:space="0" w:color="auto"/>
              <w:bottom w:val="single" w:sz="4" w:space="0" w:color="auto"/>
            </w:tcBorders>
            <w:tcMar>
              <w:left w:w="28" w:type="dxa"/>
              <w:right w:w="28" w:type="dxa"/>
            </w:tcMar>
            <w:vAlign w:val="center"/>
          </w:tcPr>
          <w:p w14:paraId="52ABAB9B" w14:textId="77777777" w:rsidR="004E4FFB" w:rsidRPr="002D1F09" w:rsidRDefault="004E4FFB" w:rsidP="00C2438A">
            <w:pPr>
              <w:ind w:right="-109"/>
              <w:jc w:val="center"/>
              <w:rPr>
                <w:rFonts w:eastAsia="Times New Roman" w:cstheme="minorHAnsi"/>
                <w:b/>
                <w:bCs/>
                <w:sz w:val="20"/>
                <w:szCs w:val="20"/>
                <w:lang w:val="en-GB" w:eastAsia="en-GB"/>
              </w:rPr>
            </w:pPr>
            <w:r w:rsidRPr="002D1F09">
              <w:rPr>
                <w:rFonts w:eastAsia="Times New Roman" w:cstheme="minorHAnsi"/>
                <w:b/>
                <w:bCs/>
                <w:sz w:val="20"/>
                <w:szCs w:val="20"/>
                <w:lang w:val="en-GB" w:eastAsia="en-GB"/>
              </w:rPr>
              <w:t>PC</w:t>
            </w:r>
          </w:p>
        </w:tc>
        <w:tc>
          <w:tcPr>
            <w:tcW w:w="331" w:type="dxa"/>
          </w:tcPr>
          <w:p w14:paraId="1EE341C3" w14:textId="77777777" w:rsidR="004E4FFB" w:rsidRPr="002D1F09" w:rsidRDefault="004E4FFB" w:rsidP="00C2438A">
            <w:pPr>
              <w:ind w:right="-109"/>
              <w:jc w:val="center"/>
              <w:rPr>
                <w:rFonts w:eastAsia="Times New Roman" w:cstheme="minorHAnsi"/>
                <w:b/>
                <w:bCs/>
                <w:sz w:val="20"/>
                <w:szCs w:val="20"/>
                <w:lang w:val="en-GB" w:eastAsia="en-GB"/>
              </w:rPr>
            </w:pPr>
          </w:p>
        </w:tc>
        <w:tc>
          <w:tcPr>
            <w:tcW w:w="1134" w:type="dxa"/>
            <w:tcBorders>
              <w:top w:val="single" w:sz="4" w:space="0" w:color="auto"/>
              <w:bottom w:val="single" w:sz="4" w:space="0" w:color="auto"/>
            </w:tcBorders>
            <w:tcMar>
              <w:left w:w="28" w:type="dxa"/>
              <w:right w:w="28" w:type="dxa"/>
            </w:tcMar>
            <w:vAlign w:val="center"/>
          </w:tcPr>
          <w:p w14:paraId="0F5E9CBA" w14:textId="77777777" w:rsidR="004E4FFB" w:rsidRPr="002D1F09" w:rsidRDefault="004E4FFB" w:rsidP="00C2438A">
            <w:pPr>
              <w:ind w:right="-109"/>
              <w:jc w:val="center"/>
              <w:rPr>
                <w:rFonts w:eastAsia="Times New Roman" w:cstheme="minorHAnsi"/>
                <w:b/>
                <w:bCs/>
                <w:sz w:val="20"/>
                <w:szCs w:val="20"/>
                <w:lang w:val="en-GB" w:eastAsia="en-GB"/>
              </w:rPr>
            </w:pPr>
            <w:r w:rsidRPr="002D1F09">
              <w:rPr>
                <w:rFonts w:eastAsia="Times New Roman" w:cstheme="minorHAnsi"/>
                <w:b/>
                <w:bCs/>
                <w:sz w:val="20"/>
                <w:szCs w:val="20"/>
                <w:lang w:val="en-GB" w:eastAsia="en-GB"/>
              </w:rPr>
              <w:t>95%CI</w:t>
            </w:r>
          </w:p>
        </w:tc>
      </w:tr>
      <w:tr w:rsidR="002D1F09" w:rsidRPr="002D1F09" w14:paraId="0E80F602" w14:textId="77777777" w:rsidTr="00BC671E">
        <w:tc>
          <w:tcPr>
            <w:tcW w:w="5671" w:type="dxa"/>
            <w:tcMar>
              <w:left w:w="28" w:type="dxa"/>
              <w:right w:w="28" w:type="dxa"/>
            </w:tcMar>
            <w:vAlign w:val="center"/>
          </w:tcPr>
          <w:p w14:paraId="4C1B4C27" w14:textId="77777777" w:rsidR="004E4FFB" w:rsidRPr="002D1F09" w:rsidRDefault="004E4FFB" w:rsidP="00C2438A">
            <w:pPr>
              <w:ind w:right="-109"/>
              <w:rPr>
                <w:rFonts w:cstheme="minorHAnsi"/>
                <w:b/>
                <w:sz w:val="20"/>
                <w:szCs w:val="20"/>
                <w:lang w:val="en-GB"/>
              </w:rPr>
            </w:pPr>
            <w:r w:rsidRPr="002D1F09">
              <w:rPr>
                <w:rFonts w:cstheme="minorHAnsi"/>
                <w:b/>
                <w:sz w:val="20"/>
                <w:szCs w:val="20"/>
                <w:lang w:val="en-GB"/>
              </w:rPr>
              <w:t xml:space="preserve">Non </w:t>
            </w:r>
            <w:proofErr w:type="gramStart"/>
            <w:r w:rsidRPr="002D1F09">
              <w:rPr>
                <w:rFonts w:cstheme="minorHAnsi"/>
                <w:b/>
                <w:sz w:val="20"/>
                <w:szCs w:val="20"/>
                <w:lang w:val="en-GB"/>
              </w:rPr>
              <w:t>lagged  regression</w:t>
            </w:r>
            <w:proofErr w:type="gramEnd"/>
            <w:r w:rsidRPr="002D1F09">
              <w:rPr>
                <w:rFonts w:cstheme="minorHAnsi"/>
                <w:b/>
                <w:sz w:val="20"/>
                <w:szCs w:val="20"/>
                <w:lang w:val="en-GB"/>
              </w:rPr>
              <w:t xml:space="preserve"> model</w:t>
            </w:r>
            <w:r w:rsidR="00FA390B" w:rsidRPr="002D1F09">
              <w:rPr>
                <w:rFonts w:cstheme="minorHAnsi"/>
                <w:b/>
                <w:sz w:val="20"/>
                <w:szCs w:val="20"/>
                <w:vertAlign w:val="superscript"/>
                <w:lang w:val="en-GB"/>
              </w:rPr>
              <w:t>2</w:t>
            </w:r>
          </w:p>
        </w:tc>
        <w:tc>
          <w:tcPr>
            <w:tcW w:w="567" w:type="dxa"/>
            <w:tcBorders>
              <w:top w:val="single" w:sz="4" w:space="0" w:color="auto"/>
            </w:tcBorders>
            <w:tcMar>
              <w:left w:w="28" w:type="dxa"/>
              <w:right w:w="28" w:type="dxa"/>
            </w:tcMar>
            <w:vAlign w:val="center"/>
          </w:tcPr>
          <w:p w14:paraId="4E4556B3" w14:textId="77777777" w:rsidR="004E4FFB" w:rsidRPr="002D1F09" w:rsidRDefault="004E4FFB" w:rsidP="00C2438A">
            <w:pPr>
              <w:ind w:right="-109"/>
              <w:rPr>
                <w:rFonts w:eastAsia="Times New Roman" w:cstheme="minorHAnsi"/>
                <w:sz w:val="20"/>
                <w:szCs w:val="20"/>
                <w:lang w:val="en-GB" w:eastAsia="en-GB"/>
              </w:rPr>
            </w:pPr>
          </w:p>
        </w:tc>
        <w:tc>
          <w:tcPr>
            <w:tcW w:w="283" w:type="dxa"/>
          </w:tcPr>
          <w:p w14:paraId="551BE565" w14:textId="77777777" w:rsidR="004E4FFB" w:rsidRPr="002D1F09" w:rsidRDefault="004E4FFB" w:rsidP="00C2438A">
            <w:pPr>
              <w:ind w:right="-109"/>
              <w:rPr>
                <w:rFonts w:cstheme="minorHAnsi"/>
                <w:sz w:val="20"/>
                <w:szCs w:val="20"/>
                <w:lang w:val="en-GB"/>
              </w:rPr>
            </w:pPr>
          </w:p>
        </w:tc>
        <w:tc>
          <w:tcPr>
            <w:tcW w:w="850" w:type="dxa"/>
            <w:tcBorders>
              <w:top w:val="single" w:sz="4" w:space="0" w:color="auto"/>
            </w:tcBorders>
            <w:tcMar>
              <w:left w:w="28" w:type="dxa"/>
              <w:right w:w="28" w:type="dxa"/>
            </w:tcMar>
            <w:vAlign w:val="center"/>
          </w:tcPr>
          <w:p w14:paraId="2A3C41C3" w14:textId="77777777" w:rsidR="004E4FFB" w:rsidRPr="002D1F09" w:rsidRDefault="004E4FFB" w:rsidP="00C2438A">
            <w:pPr>
              <w:ind w:right="-109"/>
              <w:rPr>
                <w:rFonts w:cstheme="minorHAnsi"/>
                <w:sz w:val="20"/>
                <w:szCs w:val="20"/>
                <w:lang w:val="en-GB"/>
              </w:rPr>
            </w:pPr>
          </w:p>
        </w:tc>
        <w:tc>
          <w:tcPr>
            <w:tcW w:w="331" w:type="dxa"/>
          </w:tcPr>
          <w:p w14:paraId="64B3A928" w14:textId="77777777" w:rsidR="004E4FFB" w:rsidRPr="002D1F09" w:rsidRDefault="004E4FFB" w:rsidP="00C2438A">
            <w:pPr>
              <w:ind w:right="-109"/>
              <w:rPr>
                <w:rFonts w:cstheme="minorHAnsi"/>
                <w:sz w:val="20"/>
                <w:szCs w:val="20"/>
                <w:lang w:val="en-GB"/>
              </w:rPr>
            </w:pPr>
          </w:p>
        </w:tc>
        <w:tc>
          <w:tcPr>
            <w:tcW w:w="1134" w:type="dxa"/>
            <w:tcBorders>
              <w:top w:val="single" w:sz="4" w:space="0" w:color="auto"/>
            </w:tcBorders>
            <w:tcMar>
              <w:left w:w="28" w:type="dxa"/>
              <w:right w:w="28" w:type="dxa"/>
            </w:tcMar>
            <w:vAlign w:val="center"/>
          </w:tcPr>
          <w:p w14:paraId="5B6D6322" w14:textId="77777777" w:rsidR="004E4FFB" w:rsidRPr="002D1F09" w:rsidRDefault="004E4FFB" w:rsidP="00C2438A">
            <w:pPr>
              <w:ind w:right="-109"/>
              <w:rPr>
                <w:rFonts w:cstheme="minorHAnsi"/>
                <w:sz w:val="20"/>
                <w:szCs w:val="20"/>
                <w:lang w:val="en-GB"/>
              </w:rPr>
            </w:pPr>
          </w:p>
        </w:tc>
      </w:tr>
      <w:tr w:rsidR="002D1F09" w:rsidRPr="002D1F09" w14:paraId="6ABE3F7A" w14:textId="77777777" w:rsidTr="00BC671E">
        <w:tc>
          <w:tcPr>
            <w:tcW w:w="5671" w:type="dxa"/>
            <w:tcMar>
              <w:left w:w="28" w:type="dxa"/>
              <w:right w:w="28" w:type="dxa"/>
            </w:tcMar>
            <w:vAlign w:val="center"/>
          </w:tcPr>
          <w:p w14:paraId="046A585D" w14:textId="77777777" w:rsidR="004E4FFB" w:rsidRPr="002D1F09" w:rsidRDefault="004E4FFB" w:rsidP="001B55E0">
            <w:pPr>
              <w:ind w:left="261" w:right="-109"/>
              <w:rPr>
                <w:rFonts w:eastAsia="Times New Roman" w:cstheme="minorHAnsi"/>
                <w:sz w:val="20"/>
                <w:szCs w:val="20"/>
                <w:lang w:val="en-GB" w:eastAsia="en-GB"/>
              </w:rPr>
            </w:pPr>
            <w:r w:rsidRPr="002D1F09">
              <w:rPr>
                <w:rFonts w:cstheme="minorHAnsi"/>
                <w:b/>
                <w:sz w:val="20"/>
                <w:szCs w:val="20"/>
                <w:lang w:val="en-GB"/>
              </w:rPr>
              <w:t>Country-level fixed-effect model</w:t>
            </w:r>
            <w:r w:rsidR="004318D6" w:rsidRPr="002D1F09">
              <w:rPr>
                <w:rFonts w:cstheme="minorHAnsi"/>
                <w:b/>
                <w:sz w:val="20"/>
                <w:szCs w:val="20"/>
                <w:lang w:val="en-GB"/>
              </w:rPr>
              <w:t xml:space="preserve"> (FE)</w:t>
            </w:r>
            <w:r w:rsidR="00FA390B" w:rsidRPr="002D1F09">
              <w:rPr>
                <w:rFonts w:cstheme="minorHAnsi"/>
                <w:b/>
                <w:sz w:val="20"/>
                <w:szCs w:val="20"/>
                <w:vertAlign w:val="superscript"/>
                <w:lang w:val="en-GB"/>
              </w:rPr>
              <w:t>3</w:t>
            </w:r>
          </w:p>
        </w:tc>
        <w:tc>
          <w:tcPr>
            <w:tcW w:w="567" w:type="dxa"/>
            <w:tcBorders>
              <w:bottom w:val="nil"/>
            </w:tcBorders>
            <w:tcMar>
              <w:left w:w="28" w:type="dxa"/>
              <w:right w:w="28" w:type="dxa"/>
            </w:tcMar>
            <w:vAlign w:val="center"/>
          </w:tcPr>
          <w:p w14:paraId="7ECC8CA5" w14:textId="77777777" w:rsidR="004E4FFB" w:rsidRPr="002D1F09" w:rsidRDefault="004E4FFB" w:rsidP="00C2438A">
            <w:pPr>
              <w:ind w:right="-109"/>
              <w:rPr>
                <w:rFonts w:eastAsia="Times New Roman" w:cstheme="minorHAnsi"/>
                <w:sz w:val="20"/>
                <w:szCs w:val="20"/>
                <w:lang w:val="en-GB" w:eastAsia="en-GB"/>
              </w:rPr>
            </w:pPr>
          </w:p>
        </w:tc>
        <w:tc>
          <w:tcPr>
            <w:tcW w:w="283" w:type="dxa"/>
            <w:tcBorders>
              <w:bottom w:val="nil"/>
            </w:tcBorders>
          </w:tcPr>
          <w:p w14:paraId="083CA43C" w14:textId="77777777" w:rsidR="004E4FFB" w:rsidRPr="002D1F09" w:rsidRDefault="004E4FFB" w:rsidP="00C2438A">
            <w:pPr>
              <w:ind w:right="-109"/>
              <w:rPr>
                <w:rFonts w:cstheme="minorHAnsi"/>
                <w:sz w:val="20"/>
                <w:szCs w:val="20"/>
                <w:lang w:val="en-GB"/>
              </w:rPr>
            </w:pPr>
          </w:p>
        </w:tc>
        <w:tc>
          <w:tcPr>
            <w:tcW w:w="850" w:type="dxa"/>
            <w:tcBorders>
              <w:bottom w:val="nil"/>
            </w:tcBorders>
            <w:tcMar>
              <w:left w:w="28" w:type="dxa"/>
              <w:right w:w="28" w:type="dxa"/>
            </w:tcMar>
            <w:vAlign w:val="center"/>
          </w:tcPr>
          <w:p w14:paraId="197542E1" w14:textId="77777777" w:rsidR="004E4FFB" w:rsidRPr="002D1F09" w:rsidRDefault="004E4FFB" w:rsidP="00C2438A">
            <w:pPr>
              <w:ind w:right="-109"/>
              <w:rPr>
                <w:rFonts w:cstheme="minorHAnsi"/>
                <w:sz w:val="20"/>
                <w:szCs w:val="20"/>
                <w:lang w:val="en-GB"/>
              </w:rPr>
            </w:pPr>
          </w:p>
        </w:tc>
        <w:tc>
          <w:tcPr>
            <w:tcW w:w="331" w:type="dxa"/>
            <w:tcBorders>
              <w:bottom w:val="nil"/>
            </w:tcBorders>
          </w:tcPr>
          <w:p w14:paraId="4293643D" w14:textId="77777777" w:rsidR="004E4FFB" w:rsidRPr="002D1F09" w:rsidRDefault="004E4FFB" w:rsidP="00C2438A">
            <w:pPr>
              <w:ind w:right="-109"/>
              <w:rPr>
                <w:rFonts w:cstheme="minorHAnsi"/>
                <w:sz w:val="20"/>
                <w:szCs w:val="20"/>
                <w:lang w:val="en-GB"/>
              </w:rPr>
            </w:pPr>
          </w:p>
        </w:tc>
        <w:tc>
          <w:tcPr>
            <w:tcW w:w="1134" w:type="dxa"/>
            <w:tcBorders>
              <w:bottom w:val="nil"/>
            </w:tcBorders>
            <w:tcMar>
              <w:left w:w="28" w:type="dxa"/>
              <w:right w:w="28" w:type="dxa"/>
            </w:tcMar>
            <w:vAlign w:val="center"/>
          </w:tcPr>
          <w:p w14:paraId="2B796256" w14:textId="77777777" w:rsidR="004E4FFB" w:rsidRPr="002D1F09" w:rsidRDefault="004E4FFB" w:rsidP="00C2438A">
            <w:pPr>
              <w:ind w:right="-109"/>
              <w:rPr>
                <w:rFonts w:cstheme="minorHAnsi"/>
                <w:sz w:val="20"/>
                <w:szCs w:val="20"/>
                <w:lang w:val="en-GB"/>
              </w:rPr>
            </w:pPr>
          </w:p>
        </w:tc>
      </w:tr>
      <w:tr w:rsidR="002D1F09" w:rsidRPr="002D1F09" w14:paraId="63A30659" w14:textId="77777777" w:rsidTr="006E271B">
        <w:tc>
          <w:tcPr>
            <w:tcW w:w="5671" w:type="dxa"/>
            <w:tcMar>
              <w:left w:w="28" w:type="dxa"/>
              <w:right w:w="28" w:type="dxa"/>
            </w:tcMar>
            <w:vAlign w:val="center"/>
          </w:tcPr>
          <w:p w14:paraId="1F961B0A" w14:textId="77777777" w:rsidR="001106EF" w:rsidRPr="002D1F09" w:rsidRDefault="001106EF" w:rsidP="001B55E0">
            <w:pPr>
              <w:ind w:left="261" w:right="-109"/>
              <w:rPr>
                <w:rFonts w:cstheme="minorHAnsi"/>
                <w:b/>
                <w:sz w:val="20"/>
                <w:szCs w:val="20"/>
                <w:lang w:val="en-GB"/>
              </w:rPr>
            </w:pPr>
            <w:r w:rsidRPr="002D1F09">
              <w:rPr>
                <w:rFonts w:eastAsia="Times New Roman" w:cstheme="minorHAnsi"/>
                <w:sz w:val="20"/>
                <w:szCs w:val="20"/>
                <w:lang w:val="en-GB" w:eastAsia="en-GB"/>
              </w:rPr>
              <w:t>2002-2010</w:t>
            </w:r>
          </w:p>
        </w:tc>
        <w:tc>
          <w:tcPr>
            <w:tcW w:w="567" w:type="dxa"/>
            <w:tcBorders>
              <w:top w:val="nil"/>
              <w:bottom w:val="nil"/>
            </w:tcBorders>
            <w:tcMar>
              <w:left w:w="28" w:type="dxa"/>
              <w:right w:w="142" w:type="dxa"/>
            </w:tcMar>
            <w:vAlign w:val="center"/>
          </w:tcPr>
          <w:p w14:paraId="5C9821CD" w14:textId="77777777" w:rsidR="001106EF" w:rsidRPr="002D1F09" w:rsidRDefault="001106EF" w:rsidP="001106EF">
            <w:pPr>
              <w:ind w:right="-109"/>
              <w:jc w:val="right"/>
              <w:rPr>
                <w:rFonts w:cstheme="minorHAnsi"/>
                <w:sz w:val="20"/>
                <w:szCs w:val="20"/>
                <w:lang w:val="en-GB"/>
              </w:rPr>
            </w:pPr>
            <w:r w:rsidRPr="002D1F09">
              <w:rPr>
                <w:rFonts w:cstheme="minorHAnsi"/>
                <w:sz w:val="20"/>
                <w:szCs w:val="20"/>
                <w:lang w:val="en-GB"/>
              </w:rPr>
              <w:t>36</w:t>
            </w:r>
          </w:p>
        </w:tc>
        <w:tc>
          <w:tcPr>
            <w:tcW w:w="283" w:type="dxa"/>
            <w:tcBorders>
              <w:top w:val="nil"/>
              <w:bottom w:val="nil"/>
            </w:tcBorders>
          </w:tcPr>
          <w:p w14:paraId="5355A723" w14:textId="77777777" w:rsidR="001106EF" w:rsidRPr="002D1F09" w:rsidRDefault="001106EF" w:rsidP="001106EF">
            <w:pPr>
              <w:jc w:val="right"/>
              <w:rPr>
                <w:rFonts w:cstheme="minorHAnsi"/>
                <w:sz w:val="20"/>
                <w:szCs w:val="20"/>
              </w:rPr>
            </w:pPr>
          </w:p>
        </w:tc>
        <w:tc>
          <w:tcPr>
            <w:tcW w:w="850" w:type="dxa"/>
            <w:tcBorders>
              <w:top w:val="nil"/>
              <w:left w:val="nil"/>
              <w:bottom w:val="nil"/>
              <w:right w:val="nil"/>
            </w:tcBorders>
            <w:tcMar>
              <w:left w:w="28" w:type="dxa"/>
              <w:right w:w="142" w:type="dxa"/>
            </w:tcMar>
            <w:vAlign w:val="center"/>
          </w:tcPr>
          <w:p w14:paraId="17F9D89D" w14:textId="77777777" w:rsidR="001106EF" w:rsidRPr="002D1F09" w:rsidRDefault="001106EF" w:rsidP="001106EF">
            <w:pPr>
              <w:ind w:right="-109"/>
              <w:jc w:val="right"/>
              <w:rPr>
                <w:rFonts w:cstheme="minorHAnsi"/>
                <w:sz w:val="16"/>
                <w:szCs w:val="16"/>
                <w:lang w:val="en-GB"/>
              </w:rPr>
            </w:pPr>
            <w:r w:rsidRPr="002D1F09">
              <w:rPr>
                <w:rFonts w:ascii="Calibri" w:hAnsi="Calibri" w:cs="Calibri"/>
                <w:sz w:val="16"/>
                <w:szCs w:val="16"/>
              </w:rPr>
              <w:t>-4.7</w:t>
            </w:r>
          </w:p>
        </w:tc>
        <w:tc>
          <w:tcPr>
            <w:tcW w:w="331" w:type="dxa"/>
            <w:tcBorders>
              <w:top w:val="nil"/>
              <w:bottom w:val="nil"/>
            </w:tcBorders>
          </w:tcPr>
          <w:p w14:paraId="66F7ABEA" w14:textId="77777777" w:rsidR="001106EF" w:rsidRPr="002D1F09" w:rsidRDefault="001106EF" w:rsidP="001106EF">
            <w:pPr>
              <w:jc w:val="right"/>
              <w:rPr>
                <w:rFonts w:cstheme="minorHAnsi"/>
                <w:sz w:val="20"/>
                <w:szCs w:val="20"/>
              </w:rPr>
            </w:pPr>
          </w:p>
        </w:tc>
        <w:tc>
          <w:tcPr>
            <w:tcW w:w="1134" w:type="dxa"/>
            <w:tcBorders>
              <w:top w:val="nil"/>
              <w:left w:val="nil"/>
              <w:bottom w:val="nil"/>
              <w:right w:val="nil"/>
            </w:tcBorders>
            <w:tcMar>
              <w:left w:w="28" w:type="dxa"/>
              <w:right w:w="142" w:type="dxa"/>
            </w:tcMar>
            <w:vAlign w:val="center"/>
          </w:tcPr>
          <w:p w14:paraId="468B28A4" w14:textId="77777777" w:rsidR="001106EF" w:rsidRPr="002D1F09" w:rsidRDefault="001106EF" w:rsidP="00632535">
            <w:pPr>
              <w:jc w:val="right"/>
              <w:rPr>
                <w:rFonts w:cstheme="minorHAnsi"/>
                <w:sz w:val="16"/>
                <w:szCs w:val="16"/>
                <w:lang w:val="en-GB"/>
              </w:rPr>
            </w:pPr>
            <w:r w:rsidRPr="002D1F09">
              <w:rPr>
                <w:rFonts w:ascii="Calibri" w:hAnsi="Calibri" w:cs="Calibri"/>
                <w:sz w:val="16"/>
                <w:szCs w:val="16"/>
              </w:rPr>
              <w:t>-6.7, -2.6</w:t>
            </w:r>
          </w:p>
        </w:tc>
      </w:tr>
      <w:tr w:rsidR="002D1F09" w:rsidRPr="002D1F09" w14:paraId="659D23BC" w14:textId="77777777" w:rsidTr="006E271B">
        <w:tc>
          <w:tcPr>
            <w:tcW w:w="5671" w:type="dxa"/>
            <w:tcMar>
              <w:left w:w="28" w:type="dxa"/>
              <w:right w:w="28" w:type="dxa"/>
            </w:tcMar>
            <w:vAlign w:val="center"/>
          </w:tcPr>
          <w:p w14:paraId="00377E52" w14:textId="77777777" w:rsidR="001106EF" w:rsidRPr="002D1F09" w:rsidRDefault="001106EF" w:rsidP="001B55E0">
            <w:pPr>
              <w:ind w:left="261" w:right="-109"/>
              <w:rPr>
                <w:rFonts w:cstheme="minorHAnsi"/>
                <w:b/>
                <w:sz w:val="20"/>
                <w:szCs w:val="20"/>
                <w:lang w:val="en-GB"/>
              </w:rPr>
            </w:pPr>
            <w:r w:rsidRPr="002D1F09">
              <w:rPr>
                <w:rFonts w:eastAsia="Times New Roman" w:cstheme="minorHAnsi"/>
                <w:sz w:val="20"/>
                <w:szCs w:val="20"/>
                <w:lang w:val="en-GB" w:eastAsia="en-GB"/>
              </w:rPr>
              <w:t>2011-2019</w:t>
            </w:r>
          </w:p>
        </w:tc>
        <w:tc>
          <w:tcPr>
            <w:tcW w:w="567" w:type="dxa"/>
            <w:tcBorders>
              <w:top w:val="nil"/>
              <w:bottom w:val="nil"/>
            </w:tcBorders>
            <w:tcMar>
              <w:left w:w="28" w:type="dxa"/>
              <w:right w:w="142" w:type="dxa"/>
            </w:tcMar>
            <w:vAlign w:val="center"/>
          </w:tcPr>
          <w:p w14:paraId="6BF5B82C" w14:textId="77777777" w:rsidR="001106EF" w:rsidRPr="002D1F09" w:rsidRDefault="001106EF" w:rsidP="001106EF">
            <w:pPr>
              <w:ind w:right="-109"/>
              <w:jc w:val="right"/>
              <w:rPr>
                <w:rFonts w:cstheme="minorHAnsi"/>
                <w:sz w:val="20"/>
                <w:szCs w:val="20"/>
                <w:lang w:val="en-GB"/>
              </w:rPr>
            </w:pPr>
            <w:r w:rsidRPr="002D1F09">
              <w:rPr>
                <w:rFonts w:cstheme="minorHAnsi"/>
                <w:sz w:val="20"/>
                <w:szCs w:val="20"/>
                <w:lang w:val="en-GB"/>
              </w:rPr>
              <w:t>36</w:t>
            </w:r>
          </w:p>
        </w:tc>
        <w:tc>
          <w:tcPr>
            <w:tcW w:w="283" w:type="dxa"/>
            <w:tcBorders>
              <w:top w:val="nil"/>
              <w:bottom w:val="nil"/>
            </w:tcBorders>
          </w:tcPr>
          <w:p w14:paraId="4CA76C84" w14:textId="77777777" w:rsidR="001106EF" w:rsidRPr="002D1F09" w:rsidRDefault="001106EF" w:rsidP="001106EF">
            <w:pPr>
              <w:jc w:val="right"/>
              <w:rPr>
                <w:rFonts w:cstheme="minorHAnsi"/>
                <w:sz w:val="20"/>
                <w:szCs w:val="20"/>
              </w:rPr>
            </w:pPr>
          </w:p>
        </w:tc>
        <w:tc>
          <w:tcPr>
            <w:tcW w:w="850" w:type="dxa"/>
            <w:tcBorders>
              <w:top w:val="nil"/>
              <w:left w:val="nil"/>
              <w:bottom w:val="nil"/>
              <w:right w:val="nil"/>
            </w:tcBorders>
            <w:tcMar>
              <w:left w:w="28" w:type="dxa"/>
              <w:right w:w="142" w:type="dxa"/>
            </w:tcMar>
            <w:vAlign w:val="center"/>
          </w:tcPr>
          <w:p w14:paraId="4DFAE7D5" w14:textId="77777777" w:rsidR="001106EF" w:rsidRPr="002D1F09" w:rsidRDefault="001106EF" w:rsidP="001106EF">
            <w:pPr>
              <w:ind w:right="-109"/>
              <w:jc w:val="right"/>
              <w:rPr>
                <w:rFonts w:cstheme="minorHAnsi"/>
                <w:sz w:val="16"/>
                <w:szCs w:val="16"/>
                <w:lang w:val="en-GB"/>
              </w:rPr>
            </w:pPr>
            <w:r w:rsidRPr="002D1F09">
              <w:rPr>
                <w:rFonts w:ascii="Calibri" w:hAnsi="Calibri" w:cs="Calibri"/>
                <w:sz w:val="16"/>
                <w:szCs w:val="16"/>
              </w:rPr>
              <w:t>2.2</w:t>
            </w:r>
          </w:p>
        </w:tc>
        <w:tc>
          <w:tcPr>
            <w:tcW w:w="331" w:type="dxa"/>
            <w:tcBorders>
              <w:top w:val="nil"/>
              <w:bottom w:val="nil"/>
            </w:tcBorders>
          </w:tcPr>
          <w:p w14:paraId="2D9CB517" w14:textId="77777777" w:rsidR="001106EF" w:rsidRPr="002D1F09" w:rsidRDefault="001106EF" w:rsidP="001106EF">
            <w:pPr>
              <w:jc w:val="right"/>
              <w:rPr>
                <w:rFonts w:cstheme="minorHAnsi"/>
                <w:sz w:val="20"/>
                <w:szCs w:val="20"/>
              </w:rPr>
            </w:pPr>
          </w:p>
        </w:tc>
        <w:tc>
          <w:tcPr>
            <w:tcW w:w="1134" w:type="dxa"/>
            <w:tcBorders>
              <w:top w:val="nil"/>
              <w:left w:val="nil"/>
              <w:bottom w:val="nil"/>
              <w:right w:val="nil"/>
            </w:tcBorders>
            <w:tcMar>
              <w:left w:w="28" w:type="dxa"/>
              <w:right w:w="142" w:type="dxa"/>
            </w:tcMar>
            <w:vAlign w:val="center"/>
          </w:tcPr>
          <w:p w14:paraId="6FDBFD9B" w14:textId="77777777" w:rsidR="001106EF" w:rsidRPr="002D1F09" w:rsidRDefault="001106EF" w:rsidP="00632535">
            <w:pPr>
              <w:jc w:val="right"/>
              <w:rPr>
                <w:rFonts w:cstheme="minorHAnsi"/>
                <w:sz w:val="16"/>
                <w:szCs w:val="16"/>
                <w:lang w:val="en-GB"/>
              </w:rPr>
            </w:pPr>
            <w:r w:rsidRPr="002D1F09">
              <w:rPr>
                <w:rFonts w:ascii="Calibri" w:hAnsi="Calibri" w:cs="Calibri"/>
                <w:sz w:val="16"/>
                <w:szCs w:val="16"/>
              </w:rPr>
              <w:t>1.2, 3.2</w:t>
            </w:r>
          </w:p>
        </w:tc>
      </w:tr>
      <w:tr w:rsidR="002D1F09" w:rsidRPr="002D1F09" w14:paraId="44EE5B6F" w14:textId="77777777" w:rsidTr="006E271B">
        <w:trPr>
          <w:trHeight w:val="20"/>
        </w:trPr>
        <w:tc>
          <w:tcPr>
            <w:tcW w:w="5671" w:type="dxa"/>
            <w:tcMar>
              <w:left w:w="28" w:type="dxa"/>
              <w:right w:w="28" w:type="dxa"/>
            </w:tcMar>
            <w:vAlign w:val="center"/>
          </w:tcPr>
          <w:p w14:paraId="5870CA06" w14:textId="77777777" w:rsidR="001106EF" w:rsidRPr="002D1F09" w:rsidRDefault="001106EF" w:rsidP="001B55E0">
            <w:pPr>
              <w:ind w:left="261" w:right="-109"/>
              <w:rPr>
                <w:rFonts w:cstheme="minorHAnsi"/>
                <w:b/>
                <w:sz w:val="20"/>
                <w:szCs w:val="20"/>
                <w:lang w:val="en-GB"/>
              </w:rPr>
            </w:pPr>
            <w:r w:rsidRPr="002D1F09">
              <w:rPr>
                <w:rFonts w:eastAsia="Times New Roman" w:cstheme="minorHAnsi"/>
                <w:sz w:val="20"/>
                <w:szCs w:val="20"/>
                <w:lang w:val="en-GB" w:eastAsia="en-GB"/>
              </w:rPr>
              <w:t>Total</w:t>
            </w:r>
          </w:p>
        </w:tc>
        <w:tc>
          <w:tcPr>
            <w:tcW w:w="567" w:type="dxa"/>
            <w:tcBorders>
              <w:top w:val="nil"/>
              <w:bottom w:val="nil"/>
            </w:tcBorders>
            <w:tcMar>
              <w:left w:w="28" w:type="dxa"/>
              <w:right w:w="142" w:type="dxa"/>
            </w:tcMar>
            <w:vAlign w:val="center"/>
          </w:tcPr>
          <w:p w14:paraId="7A032324" w14:textId="77777777" w:rsidR="001106EF" w:rsidRPr="002D1F09" w:rsidRDefault="001106EF" w:rsidP="001106EF">
            <w:pPr>
              <w:ind w:right="-109"/>
              <w:jc w:val="right"/>
              <w:rPr>
                <w:rFonts w:cstheme="minorHAnsi"/>
                <w:sz w:val="20"/>
                <w:szCs w:val="20"/>
                <w:lang w:val="en-GB"/>
              </w:rPr>
            </w:pPr>
            <w:r w:rsidRPr="002D1F09">
              <w:rPr>
                <w:rFonts w:cstheme="minorHAnsi"/>
                <w:sz w:val="20"/>
                <w:szCs w:val="20"/>
                <w:lang w:val="en-GB"/>
              </w:rPr>
              <w:t>72</w:t>
            </w:r>
          </w:p>
        </w:tc>
        <w:tc>
          <w:tcPr>
            <w:tcW w:w="283" w:type="dxa"/>
            <w:tcBorders>
              <w:top w:val="nil"/>
              <w:bottom w:val="nil"/>
            </w:tcBorders>
          </w:tcPr>
          <w:p w14:paraId="6568098C" w14:textId="77777777" w:rsidR="001106EF" w:rsidRPr="002D1F09" w:rsidRDefault="001106EF" w:rsidP="001106EF">
            <w:pPr>
              <w:jc w:val="right"/>
              <w:rPr>
                <w:rFonts w:cstheme="minorHAnsi"/>
                <w:sz w:val="20"/>
                <w:szCs w:val="20"/>
              </w:rPr>
            </w:pPr>
          </w:p>
        </w:tc>
        <w:tc>
          <w:tcPr>
            <w:tcW w:w="850" w:type="dxa"/>
            <w:tcBorders>
              <w:top w:val="nil"/>
              <w:left w:val="nil"/>
              <w:bottom w:val="nil"/>
              <w:right w:val="nil"/>
            </w:tcBorders>
            <w:tcMar>
              <w:left w:w="28" w:type="dxa"/>
              <w:right w:w="142" w:type="dxa"/>
            </w:tcMar>
            <w:vAlign w:val="center"/>
          </w:tcPr>
          <w:p w14:paraId="6343283C" w14:textId="77777777" w:rsidR="001106EF" w:rsidRPr="002D1F09" w:rsidRDefault="001106EF" w:rsidP="001106EF">
            <w:pPr>
              <w:ind w:right="-109"/>
              <w:jc w:val="right"/>
              <w:rPr>
                <w:rFonts w:cstheme="minorHAnsi"/>
                <w:sz w:val="16"/>
                <w:szCs w:val="16"/>
                <w:lang w:val="en-GB"/>
              </w:rPr>
            </w:pPr>
            <w:r w:rsidRPr="002D1F09">
              <w:rPr>
                <w:rFonts w:ascii="Calibri" w:hAnsi="Calibri" w:cs="Calibri"/>
                <w:sz w:val="16"/>
                <w:szCs w:val="16"/>
              </w:rPr>
              <w:t>-2.1</w:t>
            </w:r>
          </w:p>
        </w:tc>
        <w:tc>
          <w:tcPr>
            <w:tcW w:w="331" w:type="dxa"/>
            <w:tcBorders>
              <w:top w:val="nil"/>
              <w:bottom w:val="nil"/>
            </w:tcBorders>
          </w:tcPr>
          <w:p w14:paraId="226B609D" w14:textId="77777777" w:rsidR="001106EF" w:rsidRPr="002D1F09" w:rsidRDefault="001106EF" w:rsidP="001106EF">
            <w:pPr>
              <w:jc w:val="right"/>
              <w:rPr>
                <w:rFonts w:cstheme="minorHAnsi"/>
                <w:sz w:val="20"/>
                <w:szCs w:val="20"/>
              </w:rPr>
            </w:pPr>
          </w:p>
        </w:tc>
        <w:tc>
          <w:tcPr>
            <w:tcW w:w="1134" w:type="dxa"/>
            <w:tcBorders>
              <w:top w:val="nil"/>
              <w:left w:val="nil"/>
              <w:bottom w:val="nil"/>
              <w:right w:val="nil"/>
            </w:tcBorders>
            <w:tcMar>
              <w:left w:w="28" w:type="dxa"/>
              <w:right w:w="142" w:type="dxa"/>
            </w:tcMar>
            <w:vAlign w:val="center"/>
          </w:tcPr>
          <w:p w14:paraId="0C662035" w14:textId="77777777" w:rsidR="001106EF" w:rsidRPr="002D1F09" w:rsidRDefault="001106EF" w:rsidP="00632535">
            <w:pPr>
              <w:jc w:val="right"/>
              <w:rPr>
                <w:rFonts w:cstheme="minorHAnsi"/>
                <w:sz w:val="16"/>
                <w:szCs w:val="16"/>
                <w:lang w:val="en-GB"/>
              </w:rPr>
            </w:pPr>
            <w:r w:rsidRPr="002D1F09">
              <w:rPr>
                <w:rFonts w:ascii="Calibri" w:hAnsi="Calibri" w:cs="Calibri"/>
                <w:sz w:val="16"/>
                <w:szCs w:val="16"/>
              </w:rPr>
              <w:t>-3.8, -0.2</w:t>
            </w:r>
          </w:p>
        </w:tc>
      </w:tr>
      <w:tr w:rsidR="002D1F09" w:rsidRPr="002D1F09" w14:paraId="30BF3172" w14:textId="77777777" w:rsidTr="006E271B">
        <w:tc>
          <w:tcPr>
            <w:tcW w:w="5671" w:type="dxa"/>
            <w:tcMar>
              <w:left w:w="28" w:type="dxa"/>
              <w:right w:w="28" w:type="dxa"/>
            </w:tcMar>
            <w:vAlign w:val="center"/>
          </w:tcPr>
          <w:p w14:paraId="0736846C" w14:textId="77777777" w:rsidR="001106EF" w:rsidRPr="002D1F09" w:rsidRDefault="001106EF" w:rsidP="001B55E0">
            <w:pPr>
              <w:ind w:left="261" w:right="-109"/>
              <w:rPr>
                <w:rFonts w:eastAsia="Times New Roman" w:cstheme="minorHAnsi"/>
                <w:sz w:val="20"/>
                <w:szCs w:val="20"/>
                <w:lang w:val="en-GB" w:eastAsia="en-GB"/>
              </w:rPr>
            </w:pPr>
            <w:r w:rsidRPr="002D1F09">
              <w:rPr>
                <w:rFonts w:cstheme="minorHAnsi"/>
                <w:b/>
                <w:sz w:val="20"/>
                <w:szCs w:val="20"/>
                <w:lang w:val="en-GB"/>
              </w:rPr>
              <w:t>First-differences model</w:t>
            </w:r>
            <w:r w:rsidR="004318D6" w:rsidRPr="002D1F09">
              <w:rPr>
                <w:rFonts w:cstheme="minorHAnsi"/>
                <w:b/>
                <w:sz w:val="20"/>
                <w:szCs w:val="20"/>
                <w:lang w:val="en-GB"/>
              </w:rPr>
              <w:t xml:space="preserve"> (FD)</w:t>
            </w:r>
            <w:r w:rsidR="00FA390B" w:rsidRPr="002D1F09">
              <w:rPr>
                <w:rFonts w:cstheme="minorHAnsi"/>
                <w:b/>
                <w:sz w:val="20"/>
                <w:szCs w:val="20"/>
                <w:vertAlign w:val="superscript"/>
                <w:lang w:val="en-GB"/>
              </w:rPr>
              <w:t>4</w:t>
            </w:r>
          </w:p>
        </w:tc>
        <w:tc>
          <w:tcPr>
            <w:tcW w:w="567" w:type="dxa"/>
            <w:tcBorders>
              <w:top w:val="nil"/>
              <w:bottom w:val="nil"/>
            </w:tcBorders>
            <w:tcMar>
              <w:left w:w="28" w:type="dxa"/>
              <w:right w:w="142" w:type="dxa"/>
            </w:tcMar>
            <w:vAlign w:val="center"/>
          </w:tcPr>
          <w:p w14:paraId="5182E791" w14:textId="77777777" w:rsidR="001106EF" w:rsidRPr="002D1F09" w:rsidRDefault="001106EF" w:rsidP="001106EF">
            <w:pPr>
              <w:ind w:right="-109"/>
              <w:jc w:val="right"/>
              <w:rPr>
                <w:rFonts w:cstheme="minorHAnsi"/>
                <w:sz w:val="20"/>
                <w:szCs w:val="20"/>
              </w:rPr>
            </w:pPr>
          </w:p>
        </w:tc>
        <w:tc>
          <w:tcPr>
            <w:tcW w:w="283" w:type="dxa"/>
            <w:tcBorders>
              <w:top w:val="nil"/>
              <w:bottom w:val="nil"/>
            </w:tcBorders>
          </w:tcPr>
          <w:p w14:paraId="25FA98B1" w14:textId="77777777" w:rsidR="001106EF" w:rsidRPr="002D1F09" w:rsidRDefault="001106EF" w:rsidP="001106EF">
            <w:pPr>
              <w:ind w:right="-109"/>
              <w:jc w:val="right"/>
              <w:rPr>
                <w:rFonts w:cstheme="minorHAnsi"/>
                <w:sz w:val="20"/>
                <w:szCs w:val="20"/>
                <w:lang w:val="en-GB"/>
              </w:rPr>
            </w:pPr>
          </w:p>
        </w:tc>
        <w:tc>
          <w:tcPr>
            <w:tcW w:w="850" w:type="dxa"/>
            <w:tcBorders>
              <w:top w:val="nil"/>
              <w:left w:val="nil"/>
              <w:bottom w:val="nil"/>
              <w:right w:val="nil"/>
            </w:tcBorders>
            <w:tcMar>
              <w:left w:w="28" w:type="dxa"/>
              <w:right w:w="142" w:type="dxa"/>
            </w:tcMar>
            <w:vAlign w:val="center"/>
          </w:tcPr>
          <w:p w14:paraId="19C0912D" w14:textId="77777777" w:rsidR="001106EF" w:rsidRPr="002D1F09" w:rsidRDefault="001106EF" w:rsidP="001106EF">
            <w:pPr>
              <w:ind w:right="-109"/>
              <w:jc w:val="right"/>
              <w:rPr>
                <w:rFonts w:cstheme="minorHAnsi"/>
                <w:sz w:val="16"/>
                <w:szCs w:val="16"/>
                <w:lang w:val="en-GB"/>
              </w:rPr>
            </w:pPr>
          </w:p>
        </w:tc>
        <w:tc>
          <w:tcPr>
            <w:tcW w:w="331" w:type="dxa"/>
            <w:tcBorders>
              <w:top w:val="nil"/>
              <w:bottom w:val="nil"/>
            </w:tcBorders>
          </w:tcPr>
          <w:p w14:paraId="0B8E1AC8" w14:textId="77777777" w:rsidR="001106EF" w:rsidRPr="002D1F09" w:rsidRDefault="001106EF" w:rsidP="001106EF">
            <w:pPr>
              <w:ind w:right="-109"/>
              <w:jc w:val="right"/>
              <w:rPr>
                <w:rFonts w:cstheme="minorHAnsi"/>
                <w:sz w:val="20"/>
                <w:szCs w:val="20"/>
                <w:lang w:val="en-GB"/>
              </w:rPr>
            </w:pPr>
          </w:p>
        </w:tc>
        <w:tc>
          <w:tcPr>
            <w:tcW w:w="1134" w:type="dxa"/>
            <w:tcBorders>
              <w:top w:val="nil"/>
              <w:left w:val="nil"/>
              <w:bottom w:val="nil"/>
              <w:right w:val="nil"/>
            </w:tcBorders>
            <w:tcMar>
              <w:left w:w="28" w:type="dxa"/>
              <w:right w:w="142" w:type="dxa"/>
            </w:tcMar>
            <w:vAlign w:val="center"/>
          </w:tcPr>
          <w:p w14:paraId="65A61D4E" w14:textId="77777777" w:rsidR="001106EF" w:rsidRPr="002D1F09" w:rsidRDefault="001106EF" w:rsidP="00632535">
            <w:pPr>
              <w:jc w:val="right"/>
              <w:rPr>
                <w:rFonts w:cstheme="minorHAnsi"/>
                <w:sz w:val="16"/>
                <w:szCs w:val="16"/>
                <w:lang w:val="en-GB"/>
              </w:rPr>
            </w:pPr>
          </w:p>
        </w:tc>
      </w:tr>
      <w:tr w:rsidR="002D1F09" w:rsidRPr="002D1F09" w14:paraId="10CA47C7" w14:textId="77777777" w:rsidTr="006E271B">
        <w:tc>
          <w:tcPr>
            <w:tcW w:w="5671" w:type="dxa"/>
            <w:tcMar>
              <w:left w:w="28" w:type="dxa"/>
              <w:right w:w="28" w:type="dxa"/>
            </w:tcMar>
            <w:vAlign w:val="center"/>
          </w:tcPr>
          <w:p w14:paraId="31D8C2C6" w14:textId="77777777" w:rsidR="001106EF" w:rsidRPr="002D1F09" w:rsidRDefault="001106EF" w:rsidP="001B55E0">
            <w:pPr>
              <w:ind w:left="261" w:right="-109"/>
              <w:rPr>
                <w:rFonts w:eastAsia="Times New Roman" w:cstheme="minorHAnsi"/>
                <w:sz w:val="20"/>
                <w:szCs w:val="20"/>
                <w:lang w:val="en-GB" w:eastAsia="en-GB"/>
              </w:rPr>
            </w:pPr>
            <w:r w:rsidRPr="002D1F09">
              <w:rPr>
                <w:rFonts w:eastAsia="Times New Roman" w:cstheme="minorHAnsi"/>
                <w:sz w:val="20"/>
                <w:szCs w:val="20"/>
                <w:lang w:val="en-GB" w:eastAsia="en-GB"/>
              </w:rPr>
              <w:t>2002-2010</w:t>
            </w:r>
          </w:p>
        </w:tc>
        <w:tc>
          <w:tcPr>
            <w:tcW w:w="567" w:type="dxa"/>
            <w:tcBorders>
              <w:top w:val="nil"/>
              <w:bottom w:val="nil"/>
            </w:tcBorders>
            <w:tcMar>
              <w:left w:w="28" w:type="dxa"/>
              <w:right w:w="142" w:type="dxa"/>
            </w:tcMar>
            <w:vAlign w:val="center"/>
          </w:tcPr>
          <w:p w14:paraId="63B4F008" w14:textId="77777777" w:rsidR="001106EF" w:rsidRPr="002D1F09" w:rsidRDefault="001106EF" w:rsidP="001106EF">
            <w:pPr>
              <w:ind w:right="-109"/>
              <w:jc w:val="right"/>
              <w:rPr>
                <w:rFonts w:cstheme="minorHAnsi"/>
                <w:sz w:val="20"/>
                <w:szCs w:val="20"/>
                <w:lang w:val="en-GB"/>
              </w:rPr>
            </w:pPr>
            <w:r w:rsidRPr="002D1F09">
              <w:rPr>
                <w:rFonts w:cstheme="minorHAnsi"/>
                <w:sz w:val="20"/>
                <w:szCs w:val="20"/>
                <w:lang w:val="en-GB"/>
              </w:rPr>
              <w:t>36</w:t>
            </w:r>
          </w:p>
        </w:tc>
        <w:tc>
          <w:tcPr>
            <w:tcW w:w="283" w:type="dxa"/>
            <w:tcBorders>
              <w:top w:val="nil"/>
              <w:bottom w:val="nil"/>
            </w:tcBorders>
          </w:tcPr>
          <w:p w14:paraId="2F695566" w14:textId="77777777" w:rsidR="001106EF" w:rsidRPr="002D1F09" w:rsidRDefault="001106EF" w:rsidP="001106EF">
            <w:pPr>
              <w:jc w:val="right"/>
              <w:rPr>
                <w:rFonts w:cstheme="minorHAnsi"/>
                <w:sz w:val="20"/>
                <w:szCs w:val="20"/>
              </w:rPr>
            </w:pPr>
          </w:p>
        </w:tc>
        <w:tc>
          <w:tcPr>
            <w:tcW w:w="850" w:type="dxa"/>
            <w:tcBorders>
              <w:top w:val="nil"/>
              <w:left w:val="nil"/>
              <w:bottom w:val="nil"/>
              <w:right w:val="nil"/>
            </w:tcBorders>
            <w:tcMar>
              <w:left w:w="28" w:type="dxa"/>
              <w:right w:w="142" w:type="dxa"/>
            </w:tcMar>
            <w:vAlign w:val="center"/>
          </w:tcPr>
          <w:p w14:paraId="76FDF282" w14:textId="77777777" w:rsidR="001106EF" w:rsidRPr="002D1F09" w:rsidRDefault="001106EF" w:rsidP="001106EF">
            <w:pPr>
              <w:ind w:right="-109"/>
              <w:jc w:val="right"/>
              <w:rPr>
                <w:rFonts w:cstheme="minorHAnsi"/>
                <w:sz w:val="16"/>
                <w:szCs w:val="16"/>
                <w:lang w:val="en-GB"/>
              </w:rPr>
            </w:pPr>
            <w:r w:rsidRPr="002D1F09">
              <w:rPr>
                <w:rFonts w:ascii="Calibri" w:hAnsi="Calibri" w:cs="Calibri"/>
                <w:sz w:val="16"/>
                <w:szCs w:val="16"/>
              </w:rPr>
              <w:t>-4.3</w:t>
            </w:r>
          </w:p>
        </w:tc>
        <w:tc>
          <w:tcPr>
            <w:tcW w:w="331" w:type="dxa"/>
            <w:tcBorders>
              <w:top w:val="nil"/>
              <w:bottom w:val="nil"/>
            </w:tcBorders>
          </w:tcPr>
          <w:p w14:paraId="074D57DF" w14:textId="77777777" w:rsidR="001106EF" w:rsidRPr="002D1F09" w:rsidRDefault="001106EF" w:rsidP="001106EF">
            <w:pPr>
              <w:jc w:val="right"/>
              <w:rPr>
                <w:rFonts w:cstheme="minorHAnsi"/>
                <w:sz w:val="20"/>
                <w:szCs w:val="20"/>
              </w:rPr>
            </w:pPr>
          </w:p>
        </w:tc>
        <w:tc>
          <w:tcPr>
            <w:tcW w:w="1134" w:type="dxa"/>
            <w:tcBorders>
              <w:top w:val="nil"/>
              <w:left w:val="nil"/>
              <w:bottom w:val="nil"/>
              <w:right w:val="nil"/>
            </w:tcBorders>
            <w:tcMar>
              <w:left w:w="28" w:type="dxa"/>
              <w:right w:w="142" w:type="dxa"/>
            </w:tcMar>
            <w:vAlign w:val="center"/>
          </w:tcPr>
          <w:p w14:paraId="3D30B631" w14:textId="77777777" w:rsidR="001106EF" w:rsidRPr="002D1F09" w:rsidRDefault="001106EF" w:rsidP="00632535">
            <w:pPr>
              <w:jc w:val="right"/>
              <w:rPr>
                <w:rFonts w:cstheme="minorHAnsi"/>
                <w:sz w:val="16"/>
                <w:szCs w:val="16"/>
                <w:lang w:val="en-GB"/>
              </w:rPr>
            </w:pPr>
            <w:r w:rsidRPr="002D1F09">
              <w:rPr>
                <w:rFonts w:ascii="Calibri" w:hAnsi="Calibri" w:cs="Calibri"/>
                <w:sz w:val="16"/>
                <w:szCs w:val="16"/>
              </w:rPr>
              <w:t>-6.4, -2.3</w:t>
            </w:r>
          </w:p>
        </w:tc>
      </w:tr>
      <w:tr w:rsidR="002D1F09" w:rsidRPr="002D1F09" w14:paraId="75AE64EE" w14:textId="77777777" w:rsidTr="006E271B">
        <w:tc>
          <w:tcPr>
            <w:tcW w:w="5671" w:type="dxa"/>
            <w:tcMar>
              <w:left w:w="28" w:type="dxa"/>
              <w:right w:w="28" w:type="dxa"/>
            </w:tcMar>
            <w:vAlign w:val="center"/>
          </w:tcPr>
          <w:p w14:paraId="3B3045D4" w14:textId="77777777" w:rsidR="001106EF" w:rsidRPr="002D1F09" w:rsidRDefault="001106EF" w:rsidP="001B55E0">
            <w:pPr>
              <w:ind w:left="261" w:right="-109"/>
              <w:rPr>
                <w:rFonts w:eastAsia="Times New Roman" w:cstheme="minorHAnsi"/>
                <w:sz w:val="20"/>
                <w:szCs w:val="20"/>
                <w:lang w:val="en-GB" w:eastAsia="en-GB"/>
              </w:rPr>
            </w:pPr>
            <w:r w:rsidRPr="002D1F09">
              <w:rPr>
                <w:rFonts w:eastAsia="Times New Roman" w:cstheme="minorHAnsi"/>
                <w:sz w:val="20"/>
                <w:szCs w:val="20"/>
                <w:lang w:val="en-GB" w:eastAsia="en-GB"/>
              </w:rPr>
              <w:t>2011-2019</w:t>
            </w:r>
          </w:p>
        </w:tc>
        <w:tc>
          <w:tcPr>
            <w:tcW w:w="567" w:type="dxa"/>
            <w:tcBorders>
              <w:top w:val="nil"/>
              <w:bottom w:val="nil"/>
            </w:tcBorders>
            <w:tcMar>
              <w:left w:w="28" w:type="dxa"/>
              <w:right w:w="142" w:type="dxa"/>
            </w:tcMar>
            <w:vAlign w:val="center"/>
          </w:tcPr>
          <w:p w14:paraId="45F3BA1F" w14:textId="77777777" w:rsidR="001106EF" w:rsidRPr="002D1F09" w:rsidRDefault="001106EF" w:rsidP="001106EF">
            <w:pPr>
              <w:ind w:right="-109"/>
              <w:jc w:val="right"/>
              <w:rPr>
                <w:rFonts w:cstheme="minorHAnsi"/>
                <w:sz w:val="20"/>
                <w:szCs w:val="20"/>
                <w:lang w:val="en-GB"/>
              </w:rPr>
            </w:pPr>
            <w:r w:rsidRPr="002D1F09">
              <w:rPr>
                <w:rFonts w:cstheme="minorHAnsi"/>
                <w:sz w:val="20"/>
                <w:szCs w:val="20"/>
                <w:lang w:val="en-GB"/>
              </w:rPr>
              <w:t>36</w:t>
            </w:r>
          </w:p>
        </w:tc>
        <w:tc>
          <w:tcPr>
            <w:tcW w:w="283" w:type="dxa"/>
            <w:tcBorders>
              <w:top w:val="nil"/>
              <w:bottom w:val="nil"/>
            </w:tcBorders>
          </w:tcPr>
          <w:p w14:paraId="32380484" w14:textId="77777777" w:rsidR="001106EF" w:rsidRPr="002D1F09" w:rsidRDefault="001106EF" w:rsidP="001106EF">
            <w:pPr>
              <w:jc w:val="right"/>
              <w:rPr>
                <w:rFonts w:cstheme="minorHAnsi"/>
                <w:sz w:val="20"/>
                <w:szCs w:val="20"/>
              </w:rPr>
            </w:pPr>
          </w:p>
        </w:tc>
        <w:tc>
          <w:tcPr>
            <w:tcW w:w="850" w:type="dxa"/>
            <w:tcBorders>
              <w:top w:val="nil"/>
              <w:left w:val="nil"/>
              <w:bottom w:val="nil"/>
              <w:right w:val="nil"/>
            </w:tcBorders>
            <w:tcMar>
              <w:left w:w="28" w:type="dxa"/>
              <w:right w:w="142" w:type="dxa"/>
            </w:tcMar>
            <w:vAlign w:val="center"/>
          </w:tcPr>
          <w:p w14:paraId="2A11F9D8" w14:textId="77777777" w:rsidR="001106EF" w:rsidRPr="002D1F09" w:rsidRDefault="001106EF" w:rsidP="001106EF">
            <w:pPr>
              <w:ind w:right="-109"/>
              <w:jc w:val="right"/>
              <w:rPr>
                <w:rFonts w:cstheme="minorHAnsi"/>
                <w:sz w:val="16"/>
                <w:szCs w:val="16"/>
                <w:lang w:val="en-GB"/>
              </w:rPr>
            </w:pPr>
            <w:r w:rsidRPr="002D1F09">
              <w:rPr>
                <w:rFonts w:ascii="Calibri" w:hAnsi="Calibri" w:cs="Calibri"/>
                <w:sz w:val="16"/>
                <w:szCs w:val="16"/>
              </w:rPr>
              <w:t>2.0</w:t>
            </w:r>
          </w:p>
        </w:tc>
        <w:tc>
          <w:tcPr>
            <w:tcW w:w="331" w:type="dxa"/>
            <w:tcBorders>
              <w:top w:val="nil"/>
              <w:bottom w:val="nil"/>
            </w:tcBorders>
          </w:tcPr>
          <w:p w14:paraId="0EAAAEA9" w14:textId="77777777" w:rsidR="001106EF" w:rsidRPr="002D1F09" w:rsidRDefault="001106EF" w:rsidP="001106EF">
            <w:pPr>
              <w:jc w:val="right"/>
              <w:rPr>
                <w:rFonts w:cstheme="minorHAnsi"/>
                <w:sz w:val="20"/>
                <w:szCs w:val="20"/>
              </w:rPr>
            </w:pPr>
          </w:p>
        </w:tc>
        <w:tc>
          <w:tcPr>
            <w:tcW w:w="1134" w:type="dxa"/>
            <w:tcBorders>
              <w:top w:val="nil"/>
              <w:left w:val="nil"/>
              <w:bottom w:val="nil"/>
              <w:right w:val="nil"/>
            </w:tcBorders>
            <w:tcMar>
              <w:left w:w="28" w:type="dxa"/>
              <w:right w:w="142" w:type="dxa"/>
            </w:tcMar>
            <w:vAlign w:val="center"/>
          </w:tcPr>
          <w:p w14:paraId="44FB3F0B" w14:textId="77777777" w:rsidR="001106EF" w:rsidRPr="002D1F09" w:rsidRDefault="001106EF" w:rsidP="00632535">
            <w:pPr>
              <w:jc w:val="right"/>
              <w:rPr>
                <w:rFonts w:cstheme="minorHAnsi"/>
                <w:sz w:val="16"/>
                <w:szCs w:val="16"/>
                <w:lang w:val="en-GB"/>
              </w:rPr>
            </w:pPr>
            <w:r w:rsidRPr="002D1F09">
              <w:rPr>
                <w:rFonts w:ascii="Calibri" w:hAnsi="Calibri" w:cs="Calibri"/>
                <w:sz w:val="16"/>
                <w:szCs w:val="16"/>
              </w:rPr>
              <w:t>1.2, 2.8</w:t>
            </w:r>
          </w:p>
        </w:tc>
      </w:tr>
      <w:tr w:rsidR="002D1F09" w:rsidRPr="002D1F09" w14:paraId="4FDA6306" w14:textId="77777777" w:rsidTr="006E271B">
        <w:tc>
          <w:tcPr>
            <w:tcW w:w="5671" w:type="dxa"/>
            <w:tcMar>
              <w:left w:w="28" w:type="dxa"/>
              <w:right w:w="28" w:type="dxa"/>
            </w:tcMar>
            <w:vAlign w:val="center"/>
          </w:tcPr>
          <w:p w14:paraId="3E62F9CB" w14:textId="77777777" w:rsidR="001106EF" w:rsidRPr="002D1F09" w:rsidRDefault="001106EF" w:rsidP="001B55E0">
            <w:pPr>
              <w:ind w:left="261" w:right="-109"/>
              <w:rPr>
                <w:rFonts w:eastAsia="Times New Roman" w:cstheme="minorHAnsi"/>
                <w:sz w:val="20"/>
                <w:szCs w:val="20"/>
                <w:lang w:val="en-GB" w:eastAsia="en-GB"/>
              </w:rPr>
            </w:pPr>
            <w:r w:rsidRPr="002D1F09">
              <w:rPr>
                <w:rFonts w:eastAsia="Times New Roman" w:cstheme="minorHAnsi"/>
                <w:sz w:val="20"/>
                <w:szCs w:val="20"/>
                <w:lang w:val="en-GB" w:eastAsia="en-GB"/>
              </w:rPr>
              <w:t>Total</w:t>
            </w:r>
          </w:p>
        </w:tc>
        <w:tc>
          <w:tcPr>
            <w:tcW w:w="567" w:type="dxa"/>
            <w:tcBorders>
              <w:top w:val="nil"/>
              <w:bottom w:val="nil"/>
            </w:tcBorders>
            <w:tcMar>
              <w:left w:w="28" w:type="dxa"/>
              <w:right w:w="142" w:type="dxa"/>
            </w:tcMar>
            <w:vAlign w:val="center"/>
          </w:tcPr>
          <w:p w14:paraId="7615B9FC" w14:textId="77777777" w:rsidR="001106EF" w:rsidRPr="002D1F09" w:rsidRDefault="001106EF" w:rsidP="001106EF">
            <w:pPr>
              <w:ind w:right="-109"/>
              <w:jc w:val="right"/>
              <w:rPr>
                <w:rFonts w:cstheme="minorHAnsi"/>
                <w:sz w:val="20"/>
                <w:szCs w:val="20"/>
                <w:lang w:val="en-GB"/>
              </w:rPr>
            </w:pPr>
            <w:r w:rsidRPr="002D1F09">
              <w:rPr>
                <w:rFonts w:cstheme="minorHAnsi"/>
                <w:sz w:val="20"/>
                <w:szCs w:val="20"/>
                <w:lang w:val="en-GB"/>
              </w:rPr>
              <w:t>72</w:t>
            </w:r>
          </w:p>
        </w:tc>
        <w:tc>
          <w:tcPr>
            <w:tcW w:w="283" w:type="dxa"/>
            <w:tcBorders>
              <w:top w:val="nil"/>
              <w:bottom w:val="nil"/>
            </w:tcBorders>
          </w:tcPr>
          <w:p w14:paraId="3A8CDF33" w14:textId="77777777" w:rsidR="001106EF" w:rsidRPr="002D1F09" w:rsidRDefault="001106EF" w:rsidP="001106EF">
            <w:pPr>
              <w:jc w:val="right"/>
              <w:rPr>
                <w:rFonts w:cstheme="minorHAnsi"/>
                <w:sz w:val="20"/>
                <w:szCs w:val="20"/>
              </w:rPr>
            </w:pPr>
          </w:p>
        </w:tc>
        <w:tc>
          <w:tcPr>
            <w:tcW w:w="850" w:type="dxa"/>
            <w:tcBorders>
              <w:top w:val="nil"/>
              <w:left w:val="nil"/>
              <w:bottom w:val="nil"/>
              <w:right w:val="nil"/>
            </w:tcBorders>
            <w:tcMar>
              <w:left w:w="28" w:type="dxa"/>
              <w:right w:w="142" w:type="dxa"/>
            </w:tcMar>
            <w:vAlign w:val="center"/>
          </w:tcPr>
          <w:p w14:paraId="495B7BAC" w14:textId="77777777" w:rsidR="001106EF" w:rsidRPr="002D1F09" w:rsidRDefault="001106EF" w:rsidP="001106EF">
            <w:pPr>
              <w:ind w:right="-109"/>
              <w:jc w:val="right"/>
              <w:rPr>
                <w:rFonts w:cstheme="minorHAnsi"/>
                <w:sz w:val="16"/>
                <w:szCs w:val="16"/>
                <w:lang w:val="en-GB"/>
              </w:rPr>
            </w:pPr>
            <w:r w:rsidRPr="002D1F09">
              <w:rPr>
                <w:rFonts w:ascii="Calibri" w:hAnsi="Calibri" w:cs="Calibri"/>
                <w:sz w:val="16"/>
                <w:szCs w:val="16"/>
              </w:rPr>
              <w:t>-1.3</w:t>
            </w:r>
          </w:p>
        </w:tc>
        <w:tc>
          <w:tcPr>
            <w:tcW w:w="331" w:type="dxa"/>
            <w:tcBorders>
              <w:top w:val="nil"/>
              <w:bottom w:val="nil"/>
            </w:tcBorders>
          </w:tcPr>
          <w:p w14:paraId="55A44EA6" w14:textId="77777777" w:rsidR="001106EF" w:rsidRPr="002D1F09" w:rsidRDefault="001106EF" w:rsidP="001106EF">
            <w:pPr>
              <w:jc w:val="right"/>
              <w:rPr>
                <w:rFonts w:cstheme="minorHAnsi"/>
                <w:sz w:val="20"/>
                <w:szCs w:val="20"/>
              </w:rPr>
            </w:pPr>
          </w:p>
        </w:tc>
        <w:tc>
          <w:tcPr>
            <w:tcW w:w="1134" w:type="dxa"/>
            <w:tcBorders>
              <w:top w:val="nil"/>
              <w:left w:val="nil"/>
              <w:bottom w:val="nil"/>
              <w:right w:val="nil"/>
            </w:tcBorders>
            <w:tcMar>
              <w:left w:w="28" w:type="dxa"/>
              <w:right w:w="142" w:type="dxa"/>
            </w:tcMar>
            <w:vAlign w:val="center"/>
          </w:tcPr>
          <w:p w14:paraId="1B6A15FE" w14:textId="77777777" w:rsidR="001106EF" w:rsidRPr="002D1F09" w:rsidRDefault="001106EF" w:rsidP="00632535">
            <w:pPr>
              <w:jc w:val="right"/>
              <w:rPr>
                <w:rFonts w:cstheme="minorHAnsi"/>
                <w:sz w:val="16"/>
                <w:szCs w:val="16"/>
                <w:lang w:val="en-GB"/>
              </w:rPr>
            </w:pPr>
            <w:r w:rsidRPr="002D1F09">
              <w:rPr>
                <w:rFonts w:ascii="Calibri" w:hAnsi="Calibri" w:cs="Calibri"/>
                <w:sz w:val="16"/>
                <w:szCs w:val="16"/>
              </w:rPr>
              <w:t>-2.4, -0.1</w:t>
            </w:r>
          </w:p>
        </w:tc>
      </w:tr>
      <w:tr w:rsidR="002D1F09" w:rsidRPr="002D1F09" w14:paraId="2D8927ED" w14:textId="77777777" w:rsidTr="006E271B">
        <w:tc>
          <w:tcPr>
            <w:tcW w:w="5671" w:type="dxa"/>
            <w:tcMar>
              <w:left w:w="28" w:type="dxa"/>
              <w:right w:w="28" w:type="dxa"/>
            </w:tcMar>
            <w:vAlign w:val="center"/>
          </w:tcPr>
          <w:p w14:paraId="0815CE66" w14:textId="77777777" w:rsidR="001106EF" w:rsidRPr="002D1F09" w:rsidRDefault="006B6709" w:rsidP="00FA390B">
            <w:pPr>
              <w:ind w:right="-109"/>
              <w:rPr>
                <w:rFonts w:eastAsia="Times New Roman" w:cstheme="minorHAnsi"/>
                <w:sz w:val="20"/>
                <w:szCs w:val="20"/>
                <w:lang w:val="en-GB" w:eastAsia="en-GB"/>
              </w:rPr>
            </w:pPr>
            <w:r w:rsidRPr="002D1F09">
              <w:rPr>
                <w:rFonts w:cstheme="minorHAnsi"/>
                <w:b/>
                <w:sz w:val="20"/>
                <w:szCs w:val="20"/>
                <w:lang w:val="en-GB"/>
              </w:rPr>
              <w:t>L</w:t>
            </w:r>
            <w:r w:rsidR="001106EF" w:rsidRPr="002D1F09">
              <w:rPr>
                <w:rFonts w:cstheme="minorHAnsi"/>
                <w:b/>
                <w:sz w:val="20"/>
                <w:szCs w:val="20"/>
                <w:lang w:val="en-GB"/>
              </w:rPr>
              <w:t>agged regression model</w:t>
            </w:r>
            <w:r w:rsidR="00577DE1" w:rsidRPr="002D1F09">
              <w:rPr>
                <w:rFonts w:cstheme="minorHAnsi"/>
                <w:b/>
                <w:sz w:val="20"/>
                <w:szCs w:val="20"/>
                <w:lang w:val="en-GB"/>
              </w:rPr>
              <w:t xml:space="preserve"> (0-</w:t>
            </w:r>
            <w:proofErr w:type="gramStart"/>
            <w:r w:rsidR="00577DE1" w:rsidRPr="002D1F09">
              <w:rPr>
                <w:rFonts w:cstheme="minorHAnsi"/>
                <w:b/>
                <w:sz w:val="20"/>
                <w:szCs w:val="20"/>
                <w:lang w:val="en-GB"/>
              </w:rPr>
              <w:t>1 year</w:t>
            </w:r>
            <w:proofErr w:type="gramEnd"/>
            <w:r w:rsidR="00577DE1" w:rsidRPr="002D1F09">
              <w:rPr>
                <w:rFonts w:cstheme="minorHAnsi"/>
                <w:b/>
                <w:sz w:val="20"/>
                <w:szCs w:val="20"/>
                <w:lang w:val="en-GB"/>
              </w:rPr>
              <w:t xml:space="preserve"> lag mean)</w:t>
            </w:r>
            <w:r w:rsidR="00FA390B" w:rsidRPr="002D1F09">
              <w:rPr>
                <w:rFonts w:cstheme="minorHAnsi"/>
                <w:b/>
                <w:sz w:val="20"/>
                <w:szCs w:val="20"/>
                <w:vertAlign w:val="superscript"/>
                <w:lang w:val="en-GB"/>
              </w:rPr>
              <w:t>5</w:t>
            </w:r>
          </w:p>
        </w:tc>
        <w:tc>
          <w:tcPr>
            <w:tcW w:w="567" w:type="dxa"/>
            <w:tcBorders>
              <w:top w:val="nil"/>
              <w:bottom w:val="nil"/>
            </w:tcBorders>
            <w:tcMar>
              <w:left w:w="28" w:type="dxa"/>
              <w:right w:w="142" w:type="dxa"/>
            </w:tcMar>
            <w:vAlign w:val="center"/>
          </w:tcPr>
          <w:p w14:paraId="479BE423" w14:textId="77777777" w:rsidR="001106EF" w:rsidRPr="002D1F09" w:rsidRDefault="001106EF" w:rsidP="001106EF">
            <w:pPr>
              <w:ind w:right="-109"/>
              <w:jc w:val="right"/>
              <w:rPr>
                <w:rFonts w:cstheme="minorHAnsi"/>
                <w:sz w:val="20"/>
                <w:szCs w:val="20"/>
                <w:lang w:val="en-GB"/>
              </w:rPr>
            </w:pPr>
          </w:p>
        </w:tc>
        <w:tc>
          <w:tcPr>
            <w:tcW w:w="283" w:type="dxa"/>
            <w:tcBorders>
              <w:top w:val="nil"/>
              <w:bottom w:val="nil"/>
            </w:tcBorders>
          </w:tcPr>
          <w:p w14:paraId="428BFEB0" w14:textId="77777777" w:rsidR="001106EF" w:rsidRPr="002D1F09" w:rsidRDefault="001106EF" w:rsidP="001106EF">
            <w:pPr>
              <w:jc w:val="right"/>
              <w:rPr>
                <w:rFonts w:eastAsia="Times New Roman" w:cstheme="minorHAnsi"/>
                <w:sz w:val="20"/>
                <w:szCs w:val="20"/>
                <w:lang w:val="en-GB" w:eastAsia="en-GB"/>
              </w:rPr>
            </w:pPr>
          </w:p>
        </w:tc>
        <w:tc>
          <w:tcPr>
            <w:tcW w:w="850" w:type="dxa"/>
            <w:tcBorders>
              <w:top w:val="nil"/>
              <w:left w:val="nil"/>
              <w:bottom w:val="nil"/>
              <w:right w:val="nil"/>
            </w:tcBorders>
            <w:tcMar>
              <w:left w:w="28" w:type="dxa"/>
              <w:right w:w="142" w:type="dxa"/>
            </w:tcMar>
            <w:vAlign w:val="center"/>
          </w:tcPr>
          <w:p w14:paraId="0FB675F7" w14:textId="77777777" w:rsidR="001106EF" w:rsidRPr="002D1F09" w:rsidRDefault="001106EF" w:rsidP="001106EF">
            <w:pPr>
              <w:ind w:right="-109"/>
              <w:jc w:val="right"/>
              <w:rPr>
                <w:rFonts w:eastAsia="Times New Roman" w:cstheme="minorHAnsi"/>
                <w:sz w:val="16"/>
                <w:szCs w:val="16"/>
                <w:lang w:val="en-GB" w:eastAsia="en-GB"/>
              </w:rPr>
            </w:pPr>
          </w:p>
        </w:tc>
        <w:tc>
          <w:tcPr>
            <w:tcW w:w="331" w:type="dxa"/>
            <w:tcBorders>
              <w:top w:val="nil"/>
              <w:bottom w:val="nil"/>
            </w:tcBorders>
          </w:tcPr>
          <w:p w14:paraId="65D837E8" w14:textId="77777777" w:rsidR="001106EF" w:rsidRPr="002D1F09" w:rsidRDefault="001106EF" w:rsidP="001106EF">
            <w:pPr>
              <w:jc w:val="right"/>
              <w:rPr>
                <w:rFonts w:eastAsia="Times New Roman" w:cstheme="minorHAnsi"/>
                <w:sz w:val="20"/>
                <w:szCs w:val="20"/>
                <w:lang w:val="en-GB" w:eastAsia="en-GB"/>
              </w:rPr>
            </w:pPr>
          </w:p>
        </w:tc>
        <w:tc>
          <w:tcPr>
            <w:tcW w:w="1134" w:type="dxa"/>
            <w:tcBorders>
              <w:top w:val="nil"/>
              <w:bottom w:val="nil"/>
            </w:tcBorders>
            <w:tcMar>
              <w:left w:w="28" w:type="dxa"/>
              <w:right w:w="142" w:type="dxa"/>
            </w:tcMar>
            <w:vAlign w:val="center"/>
          </w:tcPr>
          <w:p w14:paraId="32E59B72" w14:textId="77777777" w:rsidR="001106EF" w:rsidRPr="002D1F09" w:rsidRDefault="001106EF" w:rsidP="00632535">
            <w:pPr>
              <w:jc w:val="right"/>
              <w:rPr>
                <w:rFonts w:eastAsia="Times New Roman" w:cstheme="minorHAnsi"/>
                <w:sz w:val="20"/>
                <w:szCs w:val="20"/>
                <w:lang w:val="en-GB" w:eastAsia="en-GB"/>
              </w:rPr>
            </w:pPr>
          </w:p>
        </w:tc>
      </w:tr>
      <w:tr w:rsidR="002D1F09" w:rsidRPr="002D1F09" w14:paraId="0E2D3AE8" w14:textId="77777777" w:rsidTr="006E271B">
        <w:tc>
          <w:tcPr>
            <w:tcW w:w="5671" w:type="dxa"/>
            <w:tcMar>
              <w:left w:w="28" w:type="dxa"/>
              <w:right w:w="28" w:type="dxa"/>
            </w:tcMar>
            <w:vAlign w:val="center"/>
          </w:tcPr>
          <w:p w14:paraId="01CD7BD4" w14:textId="77777777" w:rsidR="001106EF" w:rsidRPr="002D1F09" w:rsidRDefault="001106EF" w:rsidP="001B55E0">
            <w:pPr>
              <w:ind w:left="261" w:right="-109"/>
              <w:rPr>
                <w:rFonts w:eastAsia="Times New Roman" w:cstheme="minorHAnsi"/>
                <w:sz w:val="20"/>
                <w:szCs w:val="20"/>
                <w:lang w:val="en-GB" w:eastAsia="en-GB"/>
              </w:rPr>
            </w:pPr>
            <w:r w:rsidRPr="002D1F09">
              <w:rPr>
                <w:rFonts w:cstheme="minorHAnsi"/>
                <w:b/>
                <w:sz w:val="20"/>
                <w:szCs w:val="20"/>
                <w:lang w:val="en-GB"/>
              </w:rPr>
              <w:t>Country-level fixed-effect model</w:t>
            </w:r>
            <w:r w:rsidR="004318D6" w:rsidRPr="002D1F09">
              <w:rPr>
                <w:rFonts w:cstheme="minorHAnsi"/>
                <w:b/>
                <w:sz w:val="20"/>
                <w:szCs w:val="20"/>
                <w:lang w:val="en-GB"/>
              </w:rPr>
              <w:t xml:space="preserve"> (FE)</w:t>
            </w:r>
            <w:r w:rsidR="00FA390B" w:rsidRPr="002D1F09">
              <w:rPr>
                <w:rFonts w:cstheme="minorHAnsi"/>
                <w:b/>
                <w:sz w:val="20"/>
                <w:szCs w:val="20"/>
                <w:vertAlign w:val="superscript"/>
                <w:lang w:val="en-GB"/>
              </w:rPr>
              <w:t>3</w:t>
            </w:r>
          </w:p>
        </w:tc>
        <w:tc>
          <w:tcPr>
            <w:tcW w:w="567" w:type="dxa"/>
            <w:tcBorders>
              <w:top w:val="nil"/>
              <w:bottom w:val="nil"/>
            </w:tcBorders>
            <w:tcMar>
              <w:left w:w="28" w:type="dxa"/>
              <w:right w:w="142" w:type="dxa"/>
            </w:tcMar>
            <w:vAlign w:val="center"/>
          </w:tcPr>
          <w:p w14:paraId="4314277E" w14:textId="77777777" w:rsidR="001106EF" w:rsidRPr="002D1F09" w:rsidRDefault="001106EF" w:rsidP="001106EF">
            <w:pPr>
              <w:ind w:right="-109"/>
              <w:jc w:val="right"/>
              <w:rPr>
                <w:rFonts w:eastAsia="Times New Roman" w:cstheme="minorHAnsi"/>
                <w:sz w:val="20"/>
                <w:szCs w:val="20"/>
                <w:lang w:val="en-GB" w:eastAsia="en-GB"/>
              </w:rPr>
            </w:pPr>
          </w:p>
        </w:tc>
        <w:tc>
          <w:tcPr>
            <w:tcW w:w="283" w:type="dxa"/>
            <w:tcBorders>
              <w:top w:val="nil"/>
              <w:bottom w:val="nil"/>
            </w:tcBorders>
          </w:tcPr>
          <w:p w14:paraId="773BDE72" w14:textId="77777777" w:rsidR="001106EF" w:rsidRPr="002D1F09" w:rsidRDefault="001106EF" w:rsidP="001106EF">
            <w:pPr>
              <w:jc w:val="right"/>
              <w:rPr>
                <w:rFonts w:eastAsia="Times New Roman" w:cstheme="minorHAnsi"/>
                <w:sz w:val="20"/>
                <w:szCs w:val="20"/>
                <w:lang w:val="en-GB" w:eastAsia="en-GB"/>
              </w:rPr>
            </w:pPr>
          </w:p>
        </w:tc>
        <w:tc>
          <w:tcPr>
            <w:tcW w:w="850" w:type="dxa"/>
            <w:tcBorders>
              <w:top w:val="nil"/>
              <w:left w:val="nil"/>
              <w:bottom w:val="nil"/>
              <w:right w:val="nil"/>
            </w:tcBorders>
            <w:tcMar>
              <w:left w:w="28" w:type="dxa"/>
              <w:right w:w="142" w:type="dxa"/>
            </w:tcMar>
            <w:vAlign w:val="center"/>
          </w:tcPr>
          <w:p w14:paraId="4ED1ABCE" w14:textId="77777777" w:rsidR="001106EF" w:rsidRPr="002D1F09" w:rsidRDefault="001106EF" w:rsidP="001106EF">
            <w:pPr>
              <w:ind w:right="-109"/>
              <w:jc w:val="right"/>
              <w:rPr>
                <w:rFonts w:eastAsia="Times New Roman" w:cstheme="minorHAnsi"/>
                <w:b/>
                <w:bCs/>
                <w:sz w:val="16"/>
                <w:szCs w:val="16"/>
                <w:lang w:val="en-GB" w:eastAsia="en-GB"/>
              </w:rPr>
            </w:pPr>
          </w:p>
        </w:tc>
        <w:tc>
          <w:tcPr>
            <w:tcW w:w="331" w:type="dxa"/>
            <w:tcBorders>
              <w:top w:val="nil"/>
              <w:bottom w:val="nil"/>
            </w:tcBorders>
          </w:tcPr>
          <w:p w14:paraId="5CB8E95B" w14:textId="77777777" w:rsidR="001106EF" w:rsidRPr="002D1F09" w:rsidRDefault="001106EF" w:rsidP="001106EF">
            <w:pPr>
              <w:jc w:val="right"/>
              <w:rPr>
                <w:rFonts w:eastAsia="Times New Roman" w:cstheme="minorHAnsi"/>
                <w:sz w:val="20"/>
                <w:szCs w:val="20"/>
                <w:lang w:val="en-GB" w:eastAsia="en-GB"/>
              </w:rPr>
            </w:pPr>
          </w:p>
        </w:tc>
        <w:tc>
          <w:tcPr>
            <w:tcW w:w="1134" w:type="dxa"/>
            <w:tcBorders>
              <w:top w:val="nil"/>
              <w:bottom w:val="nil"/>
            </w:tcBorders>
            <w:tcMar>
              <w:left w:w="28" w:type="dxa"/>
              <w:right w:w="142" w:type="dxa"/>
            </w:tcMar>
            <w:vAlign w:val="center"/>
          </w:tcPr>
          <w:p w14:paraId="3CDD3B00" w14:textId="77777777" w:rsidR="001106EF" w:rsidRPr="002D1F09" w:rsidRDefault="001106EF" w:rsidP="00632535">
            <w:pPr>
              <w:jc w:val="right"/>
              <w:rPr>
                <w:rFonts w:eastAsia="Times New Roman" w:cstheme="minorHAnsi"/>
                <w:sz w:val="20"/>
                <w:szCs w:val="20"/>
                <w:lang w:val="en-GB" w:eastAsia="en-GB"/>
              </w:rPr>
            </w:pPr>
          </w:p>
        </w:tc>
      </w:tr>
      <w:tr w:rsidR="002D1F09" w:rsidRPr="002D1F09" w14:paraId="54DEB3B7" w14:textId="77777777" w:rsidTr="00BC671E">
        <w:tc>
          <w:tcPr>
            <w:tcW w:w="5671" w:type="dxa"/>
            <w:tcMar>
              <w:left w:w="28" w:type="dxa"/>
              <w:right w:w="28" w:type="dxa"/>
            </w:tcMar>
            <w:vAlign w:val="center"/>
          </w:tcPr>
          <w:p w14:paraId="783989D4" w14:textId="77777777" w:rsidR="001106EF" w:rsidRPr="002D1F09" w:rsidRDefault="001106EF" w:rsidP="001B55E0">
            <w:pPr>
              <w:ind w:left="261" w:right="-109"/>
              <w:rPr>
                <w:rFonts w:cstheme="minorHAnsi"/>
                <w:b/>
                <w:sz w:val="20"/>
                <w:szCs w:val="20"/>
                <w:lang w:val="en-GB"/>
              </w:rPr>
            </w:pPr>
            <w:r w:rsidRPr="002D1F09">
              <w:rPr>
                <w:rFonts w:eastAsia="Times New Roman" w:cstheme="minorHAnsi"/>
                <w:sz w:val="20"/>
                <w:szCs w:val="20"/>
                <w:lang w:val="en-GB" w:eastAsia="en-GB"/>
              </w:rPr>
              <w:t>2002-2010</w:t>
            </w:r>
          </w:p>
        </w:tc>
        <w:tc>
          <w:tcPr>
            <w:tcW w:w="567" w:type="dxa"/>
            <w:tcBorders>
              <w:top w:val="nil"/>
              <w:bottom w:val="nil"/>
              <w:right w:val="nil"/>
            </w:tcBorders>
            <w:tcMar>
              <w:left w:w="28" w:type="dxa"/>
              <w:right w:w="142" w:type="dxa"/>
            </w:tcMar>
            <w:vAlign w:val="center"/>
          </w:tcPr>
          <w:p w14:paraId="52698905" w14:textId="77777777" w:rsidR="001106EF" w:rsidRPr="002D1F09" w:rsidRDefault="001106EF" w:rsidP="001106EF">
            <w:pPr>
              <w:ind w:right="-109"/>
              <w:jc w:val="right"/>
              <w:rPr>
                <w:rFonts w:cstheme="minorHAnsi"/>
                <w:sz w:val="20"/>
                <w:szCs w:val="20"/>
                <w:lang w:val="en-GB"/>
              </w:rPr>
            </w:pPr>
            <w:r w:rsidRPr="002D1F09">
              <w:rPr>
                <w:rFonts w:cstheme="minorHAnsi"/>
                <w:sz w:val="20"/>
                <w:szCs w:val="20"/>
                <w:lang w:val="en-GB"/>
              </w:rPr>
              <w:t>36</w:t>
            </w:r>
          </w:p>
        </w:tc>
        <w:tc>
          <w:tcPr>
            <w:tcW w:w="283" w:type="dxa"/>
            <w:tcBorders>
              <w:top w:val="nil"/>
              <w:left w:val="nil"/>
              <w:bottom w:val="nil"/>
              <w:right w:val="nil"/>
            </w:tcBorders>
          </w:tcPr>
          <w:p w14:paraId="35BA5A29" w14:textId="77777777" w:rsidR="001106EF" w:rsidRPr="002D1F09" w:rsidRDefault="001106EF" w:rsidP="001106EF">
            <w:pPr>
              <w:jc w:val="right"/>
              <w:rPr>
                <w:rFonts w:cstheme="minorHAnsi"/>
                <w:sz w:val="20"/>
                <w:szCs w:val="20"/>
              </w:rPr>
            </w:pPr>
          </w:p>
        </w:tc>
        <w:tc>
          <w:tcPr>
            <w:tcW w:w="850" w:type="dxa"/>
            <w:tcBorders>
              <w:top w:val="nil"/>
              <w:left w:val="nil"/>
              <w:bottom w:val="nil"/>
              <w:right w:val="nil"/>
            </w:tcBorders>
            <w:tcMar>
              <w:left w:w="28" w:type="dxa"/>
              <w:right w:w="142" w:type="dxa"/>
            </w:tcMar>
            <w:vAlign w:val="bottom"/>
          </w:tcPr>
          <w:p w14:paraId="4921AC76" w14:textId="77777777" w:rsidR="001106EF" w:rsidRPr="002D1F09" w:rsidRDefault="001106EF" w:rsidP="001106EF">
            <w:pPr>
              <w:ind w:right="-109"/>
              <w:jc w:val="right"/>
              <w:rPr>
                <w:rFonts w:eastAsia="Times New Roman" w:cstheme="minorHAnsi"/>
                <w:sz w:val="16"/>
                <w:szCs w:val="16"/>
                <w:lang w:val="en-GB" w:eastAsia="en-GB"/>
              </w:rPr>
            </w:pPr>
            <w:r w:rsidRPr="002D1F09">
              <w:rPr>
                <w:rFonts w:ascii="Calibri" w:hAnsi="Calibri" w:cs="Calibri"/>
                <w:sz w:val="16"/>
                <w:szCs w:val="16"/>
              </w:rPr>
              <w:t>-5.1</w:t>
            </w:r>
          </w:p>
        </w:tc>
        <w:tc>
          <w:tcPr>
            <w:tcW w:w="331" w:type="dxa"/>
            <w:tcBorders>
              <w:top w:val="nil"/>
              <w:left w:val="nil"/>
              <w:bottom w:val="nil"/>
              <w:right w:val="nil"/>
            </w:tcBorders>
          </w:tcPr>
          <w:p w14:paraId="2BE21558" w14:textId="77777777" w:rsidR="001106EF" w:rsidRPr="002D1F09" w:rsidRDefault="001106EF" w:rsidP="001106EF">
            <w:pPr>
              <w:jc w:val="right"/>
              <w:rPr>
                <w:rFonts w:cstheme="minorHAnsi"/>
                <w:sz w:val="20"/>
                <w:szCs w:val="20"/>
              </w:rPr>
            </w:pPr>
          </w:p>
        </w:tc>
        <w:tc>
          <w:tcPr>
            <w:tcW w:w="1134" w:type="dxa"/>
            <w:tcBorders>
              <w:top w:val="nil"/>
              <w:left w:val="nil"/>
              <w:bottom w:val="nil"/>
              <w:right w:val="nil"/>
            </w:tcBorders>
            <w:tcMar>
              <w:left w:w="28" w:type="dxa"/>
              <w:right w:w="142" w:type="dxa"/>
            </w:tcMar>
            <w:vAlign w:val="bottom"/>
          </w:tcPr>
          <w:p w14:paraId="1B5988B8" w14:textId="77777777" w:rsidR="001106EF" w:rsidRPr="002D1F09" w:rsidRDefault="001106EF" w:rsidP="00632535">
            <w:pPr>
              <w:jc w:val="right"/>
              <w:rPr>
                <w:rFonts w:eastAsia="Times New Roman" w:cstheme="minorHAnsi"/>
                <w:sz w:val="16"/>
                <w:szCs w:val="16"/>
                <w:lang w:val="en-GB" w:eastAsia="en-GB"/>
              </w:rPr>
            </w:pPr>
            <w:r w:rsidRPr="002D1F09">
              <w:rPr>
                <w:rFonts w:ascii="Calibri" w:hAnsi="Calibri" w:cs="Calibri"/>
                <w:sz w:val="16"/>
                <w:szCs w:val="16"/>
              </w:rPr>
              <w:t>-7.4, -2.7</w:t>
            </w:r>
          </w:p>
        </w:tc>
      </w:tr>
      <w:tr w:rsidR="002D1F09" w:rsidRPr="002D1F09" w14:paraId="760958F7" w14:textId="77777777" w:rsidTr="00BC671E">
        <w:tc>
          <w:tcPr>
            <w:tcW w:w="5671" w:type="dxa"/>
            <w:tcMar>
              <w:left w:w="28" w:type="dxa"/>
              <w:right w:w="28" w:type="dxa"/>
            </w:tcMar>
            <w:vAlign w:val="center"/>
          </w:tcPr>
          <w:p w14:paraId="7EA14825" w14:textId="77777777" w:rsidR="001106EF" w:rsidRPr="002D1F09" w:rsidRDefault="001106EF" w:rsidP="001B55E0">
            <w:pPr>
              <w:ind w:left="261" w:right="-109"/>
              <w:rPr>
                <w:rFonts w:cstheme="minorHAnsi"/>
                <w:b/>
                <w:sz w:val="20"/>
                <w:szCs w:val="20"/>
                <w:lang w:val="en-GB"/>
              </w:rPr>
            </w:pPr>
            <w:r w:rsidRPr="002D1F09">
              <w:rPr>
                <w:rFonts w:eastAsia="Times New Roman" w:cstheme="minorHAnsi"/>
                <w:sz w:val="20"/>
                <w:szCs w:val="20"/>
                <w:lang w:val="en-GB" w:eastAsia="en-GB"/>
              </w:rPr>
              <w:t>2011-2019</w:t>
            </w:r>
          </w:p>
        </w:tc>
        <w:tc>
          <w:tcPr>
            <w:tcW w:w="567" w:type="dxa"/>
            <w:tcBorders>
              <w:top w:val="nil"/>
              <w:bottom w:val="nil"/>
              <w:right w:val="nil"/>
            </w:tcBorders>
            <w:tcMar>
              <w:left w:w="28" w:type="dxa"/>
              <w:right w:w="142" w:type="dxa"/>
            </w:tcMar>
            <w:vAlign w:val="center"/>
          </w:tcPr>
          <w:p w14:paraId="0C59BD63" w14:textId="77777777" w:rsidR="001106EF" w:rsidRPr="002D1F09" w:rsidRDefault="001106EF" w:rsidP="001106EF">
            <w:pPr>
              <w:ind w:right="-109"/>
              <w:jc w:val="right"/>
              <w:rPr>
                <w:rFonts w:cstheme="minorHAnsi"/>
                <w:sz w:val="20"/>
                <w:szCs w:val="20"/>
                <w:lang w:val="en-GB"/>
              </w:rPr>
            </w:pPr>
            <w:r w:rsidRPr="002D1F09">
              <w:rPr>
                <w:rFonts w:cstheme="minorHAnsi"/>
                <w:sz w:val="20"/>
                <w:szCs w:val="20"/>
                <w:lang w:val="en-GB"/>
              </w:rPr>
              <w:t>36</w:t>
            </w:r>
          </w:p>
        </w:tc>
        <w:tc>
          <w:tcPr>
            <w:tcW w:w="283" w:type="dxa"/>
            <w:tcBorders>
              <w:top w:val="nil"/>
              <w:left w:val="nil"/>
              <w:bottom w:val="nil"/>
              <w:right w:val="nil"/>
            </w:tcBorders>
          </w:tcPr>
          <w:p w14:paraId="69C341E0" w14:textId="77777777" w:rsidR="001106EF" w:rsidRPr="002D1F09" w:rsidRDefault="001106EF" w:rsidP="001106EF">
            <w:pPr>
              <w:jc w:val="right"/>
              <w:rPr>
                <w:rFonts w:cstheme="minorHAnsi"/>
                <w:sz w:val="20"/>
                <w:szCs w:val="20"/>
              </w:rPr>
            </w:pPr>
          </w:p>
        </w:tc>
        <w:tc>
          <w:tcPr>
            <w:tcW w:w="850" w:type="dxa"/>
            <w:tcBorders>
              <w:top w:val="nil"/>
              <w:left w:val="nil"/>
              <w:bottom w:val="nil"/>
              <w:right w:val="nil"/>
            </w:tcBorders>
            <w:tcMar>
              <w:left w:w="28" w:type="dxa"/>
              <w:right w:w="142" w:type="dxa"/>
            </w:tcMar>
            <w:vAlign w:val="bottom"/>
          </w:tcPr>
          <w:p w14:paraId="02C31016" w14:textId="77777777" w:rsidR="001106EF" w:rsidRPr="002D1F09" w:rsidRDefault="001106EF" w:rsidP="001106EF">
            <w:pPr>
              <w:ind w:right="-109"/>
              <w:jc w:val="right"/>
              <w:rPr>
                <w:rFonts w:eastAsia="Times New Roman" w:cstheme="minorHAnsi"/>
                <w:sz w:val="16"/>
                <w:szCs w:val="16"/>
                <w:lang w:val="en-GB" w:eastAsia="en-GB"/>
              </w:rPr>
            </w:pPr>
            <w:r w:rsidRPr="002D1F09">
              <w:rPr>
                <w:rFonts w:ascii="Calibri" w:hAnsi="Calibri" w:cs="Calibri"/>
                <w:sz w:val="16"/>
                <w:szCs w:val="16"/>
              </w:rPr>
              <w:t>1.5</w:t>
            </w:r>
          </w:p>
        </w:tc>
        <w:tc>
          <w:tcPr>
            <w:tcW w:w="331" w:type="dxa"/>
            <w:tcBorders>
              <w:top w:val="nil"/>
              <w:left w:val="nil"/>
              <w:bottom w:val="nil"/>
              <w:right w:val="nil"/>
            </w:tcBorders>
          </w:tcPr>
          <w:p w14:paraId="104CCA14" w14:textId="77777777" w:rsidR="001106EF" w:rsidRPr="002D1F09" w:rsidRDefault="001106EF" w:rsidP="001106EF">
            <w:pPr>
              <w:jc w:val="right"/>
              <w:rPr>
                <w:rFonts w:cstheme="minorHAnsi"/>
                <w:sz w:val="20"/>
                <w:szCs w:val="20"/>
              </w:rPr>
            </w:pPr>
          </w:p>
        </w:tc>
        <w:tc>
          <w:tcPr>
            <w:tcW w:w="1134" w:type="dxa"/>
            <w:tcBorders>
              <w:top w:val="nil"/>
              <w:left w:val="nil"/>
              <w:bottom w:val="nil"/>
              <w:right w:val="nil"/>
            </w:tcBorders>
            <w:tcMar>
              <w:left w:w="28" w:type="dxa"/>
              <w:right w:w="142" w:type="dxa"/>
            </w:tcMar>
            <w:vAlign w:val="bottom"/>
          </w:tcPr>
          <w:p w14:paraId="6CF10994" w14:textId="77777777" w:rsidR="001106EF" w:rsidRPr="002D1F09" w:rsidRDefault="001106EF" w:rsidP="00632535">
            <w:pPr>
              <w:jc w:val="right"/>
              <w:rPr>
                <w:rFonts w:eastAsia="Times New Roman" w:cstheme="minorHAnsi"/>
                <w:sz w:val="16"/>
                <w:szCs w:val="16"/>
                <w:lang w:val="en-GB" w:eastAsia="en-GB"/>
              </w:rPr>
            </w:pPr>
            <w:r w:rsidRPr="002D1F09">
              <w:rPr>
                <w:rFonts w:ascii="Calibri" w:hAnsi="Calibri" w:cs="Calibri"/>
                <w:sz w:val="16"/>
                <w:szCs w:val="16"/>
              </w:rPr>
              <w:t>0.5, 2.5</w:t>
            </w:r>
          </w:p>
        </w:tc>
      </w:tr>
      <w:tr w:rsidR="002D1F09" w:rsidRPr="002D1F09" w14:paraId="1F9E6C3B" w14:textId="77777777" w:rsidTr="00BC671E">
        <w:tc>
          <w:tcPr>
            <w:tcW w:w="5671" w:type="dxa"/>
            <w:tcMar>
              <w:left w:w="28" w:type="dxa"/>
              <w:right w:w="28" w:type="dxa"/>
            </w:tcMar>
            <w:vAlign w:val="center"/>
          </w:tcPr>
          <w:p w14:paraId="5FA6F2A4" w14:textId="77777777" w:rsidR="001106EF" w:rsidRPr="002D1F09" w:rsidRDefault="001106EF" w:rsidP="001B55E0">
            <w:pPr>
              <w:ind w:left="261" w:right="-109"/>
              <w:rPr>
                <w:rFonts w:cstheme="minorHAnsi"/>
                <w:b/>
                <w:sz w:val="20"/>
                <w:szCs w:val="20"/>
                <w:lang w:val="en-GB"/>
              </w:rPr>
            </w:pPr>
            <w:r w:rsidRPr="002D1F09">
              <w:rPr>
                <w:rFonts w:eastAsia="Times New Roman" w:cstheme="minorHAnsi"/>
                <w:sz w:val="20"/>
                <w:szCs w:val="20"/>
                <w:lang w:val="en-GB" w:eastAsia="en-GB"/>
              </w:rPr>
              <w:t>Total</w:t>
            </w:r>
          </w:p>
        </w:tc>
        <w:tc>
          <w:tcPr>
            <w:tcW w:w="567" w:type="dxa"/>
            <w:tcBorders>
              <w:top w:val="nil"/>
              <w:bottom w:val="nil"/>
              <w:right w:val="nil"/>
            </w:tcBorders>
            <w:tcMar>
              <w:left w:w="28" w:type="dxa"/>
              <w:right w:w="142" w:type="dxa"/>
            </w:tcMar>
            <w:vAlign w:val="center"/>
          </w:tcPr>
          <w:p w14:paraId="22B7619C" w14:textId="77777777" w:rsidR="001106EF" w:rsidRPr="002D1F09" w:rsidRDefault="001106EF" w:rsidP="001106EF">
            <w:pPr>
              <w:ind w:right="-109"/>
              <w:jc w:val="right"/>
              <w:rPr>
                <w:rFonts w:cstheme="minorHAnsi"/>
                <w:sz w:val="20"/>
                <w:szCs w:val="20"/>
                <w:lang w:val="en-GB"/>
              </w:rPr>
            </w:pPr>
            <w:r w:rsidRPr="002D1F09">
              <w:rPr>
                <w:rFonts w:cstheme="minorHAnsi"/>
                <w:sz w:val="20"/>
                <w:szCs w:val="20"/>
                <w:lang w:val="en-GB"/>
              </w:rPr>
              <w:t>72</w:t>
            </w:r>
          </w:p>
        </w:tc>
        <w:tc>
          <w:tcPr>
            <w:tcW w:w="283" w:type="dxa"/>
            <w:tcBorders>
              <w:top w:val="nil"/>
              <w:left w:val="nil"/>
              <w:bottom w:val="nil"/>
              <w:right w:val="nil"/>
            </w:tcBorders>
          </w:tcPr>
          <w:p w14:paraId="702863F4" w14:textId="77777777" w:rsidR="001106EF" w:rsidRPr="002D1F09" w:rsidRDefault="001106EF" w:rsidP="001106EF">
            <w:pPr>
              <w:jc w:val="right"/>
              <w:rPr>
                <w:rFonts w:cstheme="minorHAnsi"/>
                <w:sz w:val="20"/>
                <w:szCs w:val="20"/>
              </w:rPr>
            </w:pPr>
          </w:p>
        </w:tc>
        <w:tc>
          <w:tcPr>
            <w:tcW w:w="850" w:type="dxa"/>
            <w:tcBorders>
              <w:top w:val="nil"/>
              <w:left w:val="nil"/>
              <w:bottom w:val="nil"/>
              <w:right w:val="nil"/>
            </w:tcBorders>
            <w:tcMar>
              <w:left w:w="28" w:type="dxa"/>
              <w:right w:w="142" w:type="dxa"/>
            </w:tcMar>
            <w:vAlign w:val="bottom"/>
          </w:tcPr>
          <w:p w14:paraId="588F7004" w14:textId="77777777" w:rsidR="001106EF" w:rsidRPr="002D1F09" w:rsidRDefault="001106EF" w:rsidP="001106EF">
            <w:pPr>
              <w:ind w:right="-109"/>
              <w:jc w:val="right"/>
              <w:rPr>
                <w:rFonts w:eastAsia="Times New Roman" w:cstheme="minorHAnsi"/>
                <w:sz w:val="16"/>
                <w:szCs w:val="16"/>
                <w:lang w:val="en-GB" w:eastAsia="en-GB"/>
              </w:rPr>
            </w:pPr>
            <w:r w:rsidRPr="002D1F09">
              <w:rPr>
                <w:rFonts w:ascii="Calibri" w:hAnsi="Calibri" w:cs="Calibri"/>
                <w:sz w:val="16"/>
                <w:szCs w:val="16"/>
              </w:rPr>
              <w:t>-2.7</w:t>
            </w:r>
          </w:p>
        </w:tc>
        <w:tc>
          <w:tcPr>
            <w:tcW w:w="331" w:type="dxa"/>
            <w:tcBorders>
              <w:top w:val="nil"/>
              <w:left w:val="nil"/>
              <w:bottom w:val="nil"/>
              <w:right w:val="nil"/>
            </w:tcBorders>
          </w:tcPr>
          <w:p w14:paraId="11C92458" w14:textId="77777777" w:rsidR="001106EF" w:rsidRPr="002D1F09" w:rsidRDefault="001106EF" w:rsidP="001106EF">
            <w:pPr>
              <w:jc w:val="right"/>
              <w:rPr>
                <w:rFonts w:cstheme="minorHAnsi"/>
                <w:sz w:val="20"/>
                <w:szCs w:val="20"/>
              </w:rPr>
            </w:pPr>
          </w:p>
        </w:tc>
        <w:tc>
          <w:tcPr>
            <w:tcW w:w="1134" w:type="dxa"/>
            <w:tcBorders>
              <w:top w:val="nil"/>
              <w:left w:val="nil"/>
              <w:bottom w:val="nil"/>
              <w:right w:val="nil"/>
            </w:tcBorders>
            <w:tcMar>
              <w:left w:w="28" w:type="dxa"/>
              <w:right w:w="142" w:type="dxa"/>
            </w:tcMar>
            <w:vAlign w:val="bottom"/>
          </w:tcPr>
          <w:p w14:paraId="6C84041B" w14:textId="77777777" w:rsidR="001106EF" w:rsidRPr="002D1F09" w:rsidRDefault="001106EF" w:rsidP="00632535">
            <w:pPr>
              <w:jc w:val="right"/>
              <w:rPr>
                <w:rFonts w:eastAsia="Times New Roman" w:cstheme="minorHAnsi"/>
                <w:sz w:val="16"/>
                <w:szCs w:val="16"/>
                <w:lang w:val="en-GB" w:eastAsia="en-GB"/>
              </w:rPr>
            </w:pPr>
            <w:r w:rsidRPr="002D1F09">
              <w:rPr>
                <w:rFonts w:ascii="Calibri" w:hAnsi="Calibri" w:cs="Calibri"/>
                <w:sz w:val="16"/>
                <w:szCs w:val="16"/>
              </w:rPr>
              <w:t>-4.9, -0.4</w:t>
            </w:r>
          </w:p>
        </w:tc>
      </w:tr>
      <w:tr w:rsidR="002D1F09" w:rsidRPr="002D1F09" w14:paraId="6ADC071B" w14:textId="77777777" w:rsidTr="00BC671E">
        <w:tc>
          <w:tcPr>
            <w:tcW w:w="5671" w:type="dxa"/>
            <w:tcMar>
              <w:left w:w="28" w:type="dxa"/>
              <w:right w:w="28" w:type="dxa"/>
            </w:tcMar>
            <w:vAlign w:val="center"/>
          </w:tcPr>
          <w:p w14:paraId="1BAAE6FB" w14:textId="77777777" w:rsidR="001106EF" w:rsidRPr="002D1F09" w:rsidRDefault="001106EF" w:rsidP="001B55E0">
            <w:pPr>
              <w:ind w:left="261" w:right="-109"/>
              <w:rPr>
                <w:rFonts w:eastAsia="Times New Roman" w:cstheme="minorHAnsi"/>
                <w:sz w:val="20"/>
                <w:szCs w:val="20"/>
                <w:lang w:val="en-GB" w:eastAsia="en-GB"/>
              </w:rPr>
            </w:pPr>
            <w:r w:rsidRPr="002D1F09">
              <w:rPr>
                <w:rFonts w:cstheme="minorHAnsi"/>
                <w:b/>
                <w:sz w:val="20"/>
                <w:szCs w:val="20"/>
                <w:lang w:val="en-GB"/>
              </w:rPr>
              <w:t>First-differences model</w:t>
            </w:r>
            <w:r w:rsidR="004318D6" w:rsidRPr="002D1F09">
              <w:rPr>
                <w:rFonts w:cstheme="minorHAnsi"/>
                <w:b/>
                <w:sz w:val="20"/>
                <w:szCs w:val="20"/>
                <w:lang w:val="en-GB"/>
              </w:rPr>
              <w:t xml:space="preserve"> (FD)</w:t>
            </w:r>
            <w:r w:rsidR="00FA390B" w:rsidRPr="002D1F09">
              <w:rPr>
                <w:rFonts w:cstheme="minorHAnsi"/>
                <w:b/>
                <w:sz w:val="20"/>
                <w:szCs w:val="20"/>
                <w:vertAlign w:val="superscript"/>
                <w:lang w:val="en-GB"/>
              </w:rPr>
              <w:t>4</w:t>
            </w:r>
          </w:p>
        </w:tc>
        <w:tc>
          <w:tcPr>
            <w:tcW w:w="567" w:type="dxa"/>
            <w:tcBorders>
              <w:top w:val="nil"/>
              <w:bottom w:val="nil"/>
              <w:right w:val="nil"/>
            </w:tcBorders>
            <w:tcMar>
              <w:left w:w="28" w:type="dxa"/>
              <w:right w:w="142" w:type="dxa"/>
            </w:tcMar>
            <w:vAlign w:val="center"/>
          </w:tcPr>
          <w:p w14:paraId="066BF2F8" w14:textId="77777777" w:rsidR="001106EF" w:rsidRPr="002D1F09" w:rsidRDefault="001106EF" w:rsidP="001106EF">
            <w:pPr>
              <w:ind w:right="-109"/>
              <w:jc w:val="right"/>
              <w:rPr>
                <w:rFonts w:cstheme="minorHAnsi"/>
                <w:sz w:val="20"/>
                <w:szCs w:val="20"/>
              </w:rPr>
            </w:pPr>
          </w:p>
        </w:tc>
        <w:tc>
          <w:tcPr>
            <w:tcW w:w="283" w:type="dxa"/>
            <w:tcBorders>
              <w:top w:val="nil"/>
              <w:left w:val="nil"/>
              <w:bottom w:val="nil"/>
              <w:right w:val="nil"/>
            </w:tcBorders>
          </w:tcPr>
          <w:p w14:paraId="7654C804" w14:textId="77777777" w:rsidR="001106EF" w:rsidRPr="002D1F09" w:rsidRDefault="001106EF" w:rsidP="001106EF">
            <w:pPr>
              <w:jc w:val="right"/>
              <w:rPr>
                <w:rFonts w:eastAsia="Times New Roman" w:cstheme="minorHAnsi"/>
                <w:sz w:val="20"/>
                <w:szCs w:val="20"/>
                <w:lang w:val="en-GB" w:eastAsia="en-GB"/>
              </w:rPr>
            </w:pPr>
          </w:p>
        </w:tc>
        <w:tc>
          <w:tcPr>
            <w:tcW w:w="850" w:type="dxa"/>
            <w:tcBorders>
              <w:top w:val="nil"/>
              <w:left w:val="nil"/>
              <w:bottom w:val="nil"/>
              <w:right w:val="nil"/>
            </w:tcBorders>
            <w:tcMar>
              <w:left w:w="28" w:type="dxa"/>
              <w:right w:w="142" w:type="dxa"/>
            </w:tcMar>
            <w:vAlign w:val="center"/>
          </w:tcPr>
          <w:p w14:paraId="2D8A3CF0" w14:textId="77777777" w:rsidR="001106EF" w:rsidRPr="002D1F09" w:rsidRDefault="001106EF" w:rsidP="001106EF">
            <w:pPr>
              <w:ind w:right="-109"/>
              <w:jc w:val="right"/>
              <w:rPr>
                <w:sz w:val="16"/>
                <w:szCs w:val="16"/>
                <w:lang w:val="en-GB"/>
              </w:rPr>
            </w:pPr>
          </w:p>
        </w:tc>
        <w:tc>
          <w:tcPr>
            <w:tcW w:w="331" w:type="dxa"/>
            <w:tcBorders>
              <w:top w:val="nil"/>
              <w:left w:val="nil"/>
              <w:bottom w:val="nil"/>
              <w:right w:val="nil"/>
            </w:tcBorders>
          </w:tcPr>
          <w:p w14:paraId="2B5083DA" w14:textId="77777777" w:rsidR="001106EF" w:rsidRPr="002D1F09" w:rsidRDefault="001106EF" w:rsidP="001106EF">
            <w:pPr>
              <w:jc w:val="right"/>
              <w:rPr>
                <w:rFonts w:eastAsia="Times New Roman" w:cstheme="minorHAnsi"/>
                <w:sz w:val="20"/>
                <w:szCs w:val="20"/>
                <w:lang w:val="en-GB" w:eastAsia="en-GB"/>
              </w:rPr>
            </w:pPr>
          </w:p>
        </w:tc>
        <w:tc>
          <w:tcPr>
            <w:tcW w:w="1134" w:type="dxa"/>
            <w:tcBorders>
              <w:top w:val="nil"/>
              <w:left w:val="nil"/>
              <w:bottom w:val="nil"/>
              <w:right w:val="nil"/>
            </w:tcBorders>
            <w:tcMar>
              <w:left w:w="28" w:type="dxa"/>
              <w:right w:w="142" w:type="dxa"/>
            </w:tcMar>
            <w:vAlign w:val="center"/>
          </w:tcPr>
          <w:p w14:paraId="4ADF12AB" w14:textId="77777777" w:rsidR="001106EF" w:rsidRPr="002D1F09" w:rsidRDefault="001106EF" w:rsidP="00632535">
            <w:pPr>
              <w:jc w:val="right"/>
              <w:rPr>
                <w:sz w:val="16"/>
                <w:szCs w:val="16"/>
                <w:lang w:val="en-GB"/>
              </w:rPr>
            </w:pPr>
          </w:p>
        </w:tc>
      </w:tr>
      <w:tr w:rsidR="002D1F09" w:rsidRPr="002D1F09" w14:paraId="34C7C95B" w14:textId="77777777" w:rsidTr="00BC671E">
        <w:tc>
          <w:tcPr>
            <w:tcW w:w="5671" w:type="dxa"/>
            <w:tcMar>
              <w:left w:w="28" w:type="dxa"/>
              <w:right w:w="28" w:type="dxa"/>
            </w:tcMar>
            <w:vAlign w:val="center"/>
          </w:tcPr>
          <w:p w14:paraId="1609809C" w14:textId="77777777" w:rsidR="001106EF" w:rsidRPr="002D1F09" w:rsidRDefault="001106EF" w:rsidP="001B55E0">
            <w:pPr>
              <w:ind w:left="261" w:right="-109"/>
              <w:rPr>
                <w:rFonts w:eastAsia="Times New Roman" w:cstheme="minorHAnsi"/>
                <w:sz w:val="20"/>
                <w:szCs w:val="20"/>
                <w:lang w:val="en-GB" w:eastAsia="en-GB"/>
              </w:rPr>
            </w:pPr>
            <w:r w:rsidRPr="002D1F09">
              <w:rPr>
                <w:rFonts w:eastAsia="Times New Roman" w:cstheme="minorHAnsi"/>
                <w:sz w:val="20"/>
                <w:szCs w:val="20"/>
                <w:lang w:val="en-GB" w:eastAsia="en-GB"/>
              </w:rPr>
              <w:t>2002-2010</w:t>
            </w:r>
          </w:p>
        </w:tc>
        <w:tc>
          <w:tcPr>
            <w:tcW w:w="567" w:type="dxa"/>
            <w:tcBorders>
              <w:top w:val="nil"/>
              <w:bottom w:val="nil"/>
              <w:right w:val="nil"/>
            </w:tcBorders>
            <w:tcMar>
              <w:left w:w="28" w:type="dxa"/>
              <w:right w:w="142" w:type="dxa"/>
            </w:tcMar>
            <w:vAlign w:val="center"/>
          </w:tcPr>
          <w:p w14:paraId="0597A66F" w14:textId="77777777" w:rsidR="001106EF" w:rsidRPr="002D1F09" w:rsidRDefault="001106EF" w:rsidP="001106EF">
            <w:pPr>
              <w:ind w:right="-109"/>
              <w:jc w:val="right"/>
              <w:rPr>
                <w:rFonts w:cstheme="minorHAnsi"/>
                <w:sz w:val="20"/>
                <w:szCs w:val="20"/>
                <w:lang w:val="en-GB"/>
              </w:rPr>
            </w:pPr>
            <w:r w:rsidRPr="002D1F09">
              <w:rPr>
                <w:rFonts w:cstheme="minorHAnsi"/>
                <w:sz w:val="20"/>
                <w:szCs w:val="20"/>
                <w:lang w:val="en-GB"/>
              </w:rPr>
              <w:t>36</w:t>
            </w:r>
          </w:p>
        </w:tc>
        <w:tc>
          <w:tcPr>
            <w:tcW w:w="283" w:type="dxa"/>
            <w:tcBorders>
              <w:top w:val="nil"/>
              <w:left w:val="nil"/>
              <w:bottom w:val="nil"/>
              <w:right w:val="nil"/>
            </w:tcBorders>
          </w:tcPr>
          <w:p w14:paraId="25D8A7EC" w14:textId="77777777" w:rsidR="001106EF" w:rsidRPr="002D1F09" w:rsidRDefault="001106EF" w:rsidP="001106EF">
            <w:pPr>
              <w:jc w:val="right"/>
              <w:rPr>
                <w:rFonts w:cstheme="minorHAnsi"/>
                <w:sz w:val="20"/>
                <w:szCs w:val="20"/>
              </w:rPr>
            </w:pPr>
          </w:p>
        </w:tc>
        <w:tc>
          <w:tcPr>
            <w:tcW w:w="850" w:type="dxa"/>
            <w:tcBorders>
              <w:top w:val="nil"/>
              <w:left w:val="nil"/>
              <w:bottom w:val="nil"/>
              <w:right w:val="nil"/>
            </w:tcBorders>
            <w:tcMar>
              <w:left w:w="28" w:type="dxa"/>
              <w:right w:w="142" w:type="dxa"/>
            </w:tcMar>
            <w:vAlign w:val="bottom"/>
          </w:tcPr>
          <w:p w14:paraId="03AEDA09" w14:textId="77777777" w:rsidR="001106EF" w:rsidRPr="002D1F09" w:rsidRDefault="001106EF" w:rsidP="001106EF">
            <w:pPr>
              <w:ind w:right="-109"/>
              <w:jc w:val="right"/>
              <w:rPr>
                <w:sz w:val="16"/>
                <w:szCs w:val="16"/>
                <w:lang w:val="en-GB"/>
              </w:rPr>
            </w:pPr>
            <w:r w:rsidRPr="002D1F09">
              <w:rPr>
                <w:rFonts w:ascii="Calibri" w:hAnsi="Calibri" w:cs="Calibri"/>
                <w:sz w:val="16"/>
                <w:szCs w:val="16"/>
              </w:rPr>
              <w:t>-3.0</w:t>
            </w:r>
          </w:p>
        </w:tc>
        <w:tc>
          <w:tcPr>
            <w:tcW w:w="331" w:type="dxa"/>
            <w:tcBorders>
              <w:top w:val="nil"/>
              <w:left w:val="nil"/>
              <w:bottom w:val="nil"/>
              <w:right w:val="nil"/>
            </w:tcBorders>
          </w:tcPr>
          <w:p w14:paraId="65EF41D1" w14:textId="77777777" w:rsidR="001106EF" w:rsidRPr="002D1F09" w:rsidRDefault="001106EF" w:rsidP="001106EF">
            <w:pPr>
              <w:jc w:val="right"/>
              <w:rPr>
                <w:rFonts w:cstheme="minorHAnsi"/>
                <w:sz w:val="20"/>
                <w:szCs w:val="20"/>
              </w:rPr>
            </w:pPr>
          </w:p>
        </w:tc>
        <w:tc>
          <w:tcPr>
            <w:tcW w:w="1134" w:type="dxa"/>
            <w:tcBorders>
              <w:top w:val="nil"/>
              <w:left w:val="nil"/>
              <w:bottom w:val="nil"/>
              <w:right w:val="nil"/>
            </w:tcBorders>
            <w:tcMar>
              <w:left w:w="28" w:type="dxa"/>
              <w:right w:w="142" w:type="dxa"/>
            </w:tcMar>
            <w:vAlign w:val="bottom"/>
          </w:tcPr>
          <w:p w14:paraId="26BCD1C2" w14:textId="77777777" w:rsidR="001106EF" w:rsidRPr="002D1F09" w:rsidRDefault="001106EF" w:rsidP="00632535">
            <w:pPr>
              <w:jc w:val="right"/>
              <w:rPr>
                <w:sz w:val="16"/>
                <w:szCs w:val="16"/>
                <w:lang w:val="en-GB"/>
              </w:rPr>
            </w:pPr>
            <w:r w:rsidRPr="002D1F09">
              <w:rPr>
                <w:rFonts w:ascii="Calibri" w:hAnsi="Calibri" w:cs="Calibri"/>
                <w:sz w:val="16"/>
                <w:szCs w:val="16"/>
              </w:rPr>
              <w:t>-7.8, 2.1</w:t>
            </w:r>
          </w:p>
        </w:tc>
      </w:tr>
      <w:tr w:rsidR="002D1F09" w:rsidRPr="002D1F09" w14:paraId="07DA1F6F" w14:textId="77777777" w:rsidTr="00BC671E">
        <w:tc>
          <w:tcPr>
            <w:tcW w:w="5671" w:type="dxa"/>
            <w:tcBorders>
              <w:bottom w:val="nil"/>
            </w:tcBorders>
            <w:tcMar>
              <w:left w:w="28" w:type="dxa"/>
              <w:right w:w="28" w:type="dxa"/>
            </w:tcMar>
            <w:vAlign w:val="center"/>
          </w:tcPr>
          <w:p w14:paraId="6F8485A4" w14:textId="77777777" w:rsidR="001106EF" w:rsidRPr="002D1F09" w:rsidRDefault="001106EF" w:rsidP="001B55E0">
            <w:pPr>
              <w:ind w:left="261" w:right="-109"/>
              <w:rPr>
                <w:rFonts w:eastAsia="Times New Roman" w:cstheme="minorHAnsi"/>
                <w:sz w:val="20"/>
                <w:szCs w:val="20"/>
                <w:lang w:val="en-GB" w:eastAsia="en-GB"/>
              </w:rPr>
            </w:pPr>
            <w:r w:rsidRPr="002D1F09">
              <w:rPr>
                <w:rFonts w:eastAsia="Times New Roman" w:cstheme="minorHAnsi"/>
                <w:sz w:val="20"/>
                <w:szCs w:val="20"/>
                <w:lang w:val="en-GB" w:eastAsia="en-GB"/>
              </w:rPr>
              <w:t>2011-2019</w:t>
            </w:r>
          </w:p>
        </w:tc>
        <w:tc>
          <w:tcPr>
            <w:tcW w:w="567" w:type="dxa"/>
            <w:tcBorders>
              <w:top w:val="nil"/>
              <w:bottom w:val="nil"/>
              <w:right w:val="nil"/>
            </w:tcBorders>
            <w:tcMar>
              <w:left w:w="28" w:type="dxa"/>
              <w:right w:w="142" w:type="dxa"/>
            </w:tcMar>
            <w:vAlign w:val="center"/>
          </w:tcPr>
          <w:p w14:paraId="4A07DFC3" w14:textId="77777777" w:rsidR="001106EF" w:rsidRPr="002D1F09" w:rsidRDefault="001106EF" w:rsidP="001106EF">
            <w:pPr>
              <w:ind w:right="-109"/>
              <w:jc w:val="right"/>
              <w:rPr>
                <w:rFonts w:cstheme="minorHAnsi"/>
                <w:sz w:val="20"/>
                <w:szCs w:val="20"/>
                <w:lang w:val="en-GB"/>
              </w:rPr>
            </w:pPr>
            <w:r w:rsidRPr="002D1F09">
              <w:rPr>
                <w:rFonts w:cstheme="minorHAnsi"/>
                <w:sz w:val="20"/>
                <w:szCs w:val="20"/>
                <w:lang w:val="en-GB"/>
              </w:rPr>
              <w:t>36</w:t>
            </w:r>
          </w:p>
        </w:tc>
        <w:tc>
          <w:tcPr>
            <w:tcW w:w="283" w:type="dxa"/>
            <w:tcBorders>
              <w:top w:val="nil"/>
              <w:left w:val="nil"/>
              <w:bottom w:val="nil"/>
              <w:right w:val="nil"/>
            </w:tcBorders>
          </w:tcPr>
          <w:p w14:paraId="2B2006FF" w14:textId="77777777" w:rsidR="001106EF" w:rsidRPr="002D1F09" w:rsidRDefault="001106EF" w:rsidP="001106EF">
            <w:pPr>
              <w:jc w:val="right"/>
              <w:rPr>
                <w:rFonts w:cstheme="minorHAnsi"/>
                <w:sz w:val="20"/>
                <w:szCs w:val="20"/>
              </w:rPr>
            </w:pPr>
          </w:p>
        </w:tc>
        <w:tc>
          <w:tcPr>
            <w:tcW w:w="850" w:type="dxa"/>
            <w:tcBorders>
              <w:top w:val="nil"/>
              <w:left w:val="nil"/>
              <w:bottom w:val="nil"/>
              <w:right w:val="nil"/>
            </w:tcBorders>
            <w:tcMar>
              <w:left w:w="28" w:type="dxa"/>
              <w:right w:w="142" w:type="dxa"/>
            </w:tcMar>
            <w:vAlign w:val="bottom"/>
          </w:tcPr>
          <w:p w14:paraId="06B91F3C" w14:textId="77777777" w:rsidR="001106EF" w:rsidRPr="002D1F09" w:rsidRDefault="001106EF" w:rsidP="001106EF">
            <w:pPr>
              <w:ind w:right="-109"/>
              <w:jc w:val="right"/>
              <w:rPr>
                <w:sz w:val="16"/>
                <w:szCs w:val="16"/>
                <w:lang w:val="en-GB"/>
              </w:rPr>
            </w:pPr>
            <w:r w:rsidRPr="002D1F09">
              <w:rPr>
                <w:rFonts w:ascii="Calibri" w:hAnsi="Calibri" w:cs="Calibri"/>
                <w:sz w:val="16"/>
                <w:szCs w:val="16"/>
              </w:rPr>
              <w:t>2.5</w:t>
            </w:r>
          </w:p>
        </w:tc>
        <w:tc>
          <w:tcPr>
            <w:tcW w:w="331" w:type="dxa"/>
            <w:tcBorders>
              <w:top w:val="nil"/>
              <w:left w:val="nil"/>
              <w:bottom w:val="nil"/>
              <w:right w:val="nil"/>
            </w:tcBorders>
          </w:tcPr>
          <w:p w14:paraId="06EFF5ED" w14:textId="77777777" w:rsidR="001106EF" w:rsidRPr="002D1F09" w:rsidRDefault="001106EF" w:rsidP="001106EF">
            <w:pPr>
              <w:jc w:val="right"/>
              <w:rPr>
                <w:rFonts w:cstheme="minorHAnsi"/>
                <w:sz w:val="20"/>
                <w:szCs w:val="20"/>
              </w:rPr>
            </w:pPr>
          </w:p>
        </w:tc>
        <w:tc>
          <w:tcPr>
            <w:tcW w:w="1134" w:type="dxa"/>
            <w:tcBorders>
              <w:top w:val="nil"/>
              <w:left w:val="nil"/>
              <w:bottom w:val="nil"/>
              <w:right w:val="nil"/>
            </w:tcBorders>
            <w:tcMar>
              <w:left w:w="28" w:type="dxa"/>
              <w:right w:w="142" w:type="dxa"/>
            </w:tcMar>
            <w:vAlign w:val="bottom"/>
          </w:tcPr>
          <w:p w14:paraId="3EBA3042" w14:textId="77777777" w:rsidR="001106EF" w:rsidRPr="002D1F09" w:rsidRDefault="001106EF" w:rsidP="00632535">
            <w:pPr>
              <w:jc w:val="right"/>
              <w:rPr>
                <w:sz w:val="16"/>
                <w:szCs w:val="16"/>
                <w:lang w:val="en-GB"/>
              </w:rPr>
            </w:pPr>
            <w:r w:rsidRPr="002D1F09">
              <w:rPr>
                <w:rFonts w:ascii="Calibri" w:hAnsi="Calibri" w:cs="Calibri"/>
                <w:sz w:val="16"/>
                <w:szCs w:val="16"/>
              </w:rPr>
              <w:t>-0.2, 5.2</w:t>
            </w:r>
          </w:p>
        </w:tc>
      </w:tr>
      <w:tr w:rsidR="002D1F09" w:rsidRPr="002D1F09" w14:paraId="68B7BD50" w14:textId="77777777" w:rsidTr="00BC671E">
        <w:tc>
          <w:tcPr>
            <w:tcW w:w="5671" w:type="dxa"/>
            <w:tcBorders>
              <w:top w:val="nil"/>
              <w:bottom w:val="single" w:sz="4" w:space="0" w:color="auto"/>
            </w:tcBorders>
            <w:tcMar>
              <w:left w:w="28" w:type="dxa"/>
              <w:right w:w="28" w:type="dxa"/>
            </w:tcMar>
            <w:vAlign w:val="center"/>
          </w:tcPr>
          <w:p w14:paraId="55F4956D" w14:textId="77777777" w:rsidR="001106EF" w:rsidRPr="002D1F09" w:rsidRDefault="001106EF" w:rsidP="001B55E0">
            <w:pPr>
              <w:ind w:left="261" w:right="-109"/>
              <w:rPr>
                <w:rFonts w:eastAsia="Times New Roman" w:cstheme="minorHAnsi"/>
                <w:sz w:val="20"/>
                <w:szCs w:val="20"/>
                <w:lang w:val="en-GB" w:eastAsia="en-GB"/>
              </w:rPr>
            </w:pPr>
            <w:r w:rsidRPr="002D1F09">
              <w:rPr>
                <w:rFonts w:eastAsia="Times New Roman" w:cstheme="minorHAnsi"/>
                <w:sz w:val="20"/>
                <w:szCs w:val="20"/>
                <w:lang w:val="en-GB" w:eastAsia="en-GB"/>
              </w:rPr>
              <w:t>Total</w:t>
            </w:r>
          </w:p>
        </w:tc>
        <w:tc>
          <w:tcPr>
            <w:tcW w:w="567" w:type="dxa"/>
            <w:tcBorders>
              <w:top w:val="nil"/>
              <w:bottom w:val="single" w:sz="4" w:space="0" w:color="auto"/>
              <w:right w:val="nil"/>
            </w:tcBorders>
            <w:tcMar>
              <w:left w:w="28" w:type="dxa"/>
              <w:right w:w="142" w:type="dxa"/>
            </w:tcMar>
            <w:vAlign w:val="center"/>
          </w:tcPr>
          <w:p w14:paraId="231567F7" w14:textId="77777777" w:rsidR="001106EF" w:rsidRPr="002D1F09" w:rsidRDefault="001106EF" w:rsidP="001106EF">
            <w:pPr>
              <w:ind w:right="-109"/>
              <w:jc w:val="right"/>
              <w:rPr>
                <w:rFonts w:cstheme="minorHAnsi"/>
                <w:sz w:val="20"/>
                <w:szCs w:val="20"/>
                <w:lang w:val="en-GB"/>
              </w:rPr>
            </w:pPr>
            <w:r w:rsidRPr="002D1F09">
              <w:rPr>
                <w:rFonts w:cstheme="minorHAnsi"/>
                <w:sz w:val="20"/>
                <w:szCs w:val="20"/>
                <w:lang w:val="en-GB"/>
              </w:rPr>
              <w:t>72</w:t>
            </w:r>
          </w:p>
        </w:tc>
        <w:tc>
          <w:tcPr>
            <w:tcW w:w="283" w:type="dxa"/>
            <w:tcBorders>
              <w:top w:val="nil"/>
              <w:left w:val="nil"/>
              <w:bottom w:val="single" w:sz="4" w:space="0" w:color="auto"/>
              <w:right w:val="nil"/>
            </w:tcBorders>
          </w:tcPr>
          <w:p w14:paraId="074241C1" w14:textId="77777777" w:rsidR="001106EF" w:rsidRPr="002D1F09" w:rsidRDefault="001106EF" w:rsidP="001106EF">
            <w:pPr>
              <w:jc w:val="right"/>
              <w:rPr>
                <w:rFonts w:cstheme="minorHAnsi"/>
                <w:sz w:val="20"/>
                <w:szCs w:val="20"/>
              </w:rPr>
            </w:pPr>
          </w:p>
        </w:tc>
        <w:tc>
          <w:tcPr>
            <w:tcW w:w="850" w:type="dxa"/>
            <w:tcBorders>
              <w:top w:val="nil"/>
              <w:left w:val="nil"/>
              <w:bottom w:val="single" w:sz="4" w:space="0" w:color="auto"/>
              <w:right w:val="nil"/>
            </w:tcBorders>
            <w:tcMar>
              <w:left w:w="28" w:type="dxa"/>
              <w:right w:w="142" w:type="dxa"/>
            </w:tcMar>
            <w:vAlign w:val="bottom"/>
          </w:tcPr>
          <w:p w14:paraId="13E1467C" w14:textId="77777777" w:rsidR="001106EF" w:rsidRPr="002D1F09" w:rsidRDefault="001106EF" w:rsidP="001106EF">
            <w:pPr>
              <w:ind w:right="-109"/>
              <w:jc w:val="right"/>
              <w:rPr>
                <w:sz w:val="16"/>
                <w:szCs w:val="16"/>
                <w:lang w:val="en-GB"/>
              </w:rPr>
            </w:pPr>
            <w:r w:rsidRPr="002D1F09">
              <w:rPr>
                <w:rFonts w:ascii="Calibri" w:hAnsi="Calibri" w:cs="Calibri"/>
                <w:sz w:val="16"/>
                <w:szCs w:val="16"/>
              </w:rPr>
              <w:t>-2.7</w:t>
            </w:r>
          </w:p>
        </w:tc>
        <w:tc>
          <w:tcPr>
            <w:tcW w:w="331" w:type="dxa"/>
            <w:tcBorders>
              <w:top w:val="nil"/>
              <w:left w:val="nil"/>
              <w:bottom w:val="single" w:sz="4" w:space="0" w:color="auto"/>
              <w:right w:val="nil"/>
            </w:tcBorders>
          </w:tcPr>
          <w:p w14:paraId="4459AD75" w14:textId="77777777" w:rsidR="001106EF" w:rsidRPr="002D1F09" w:rsidRDefault="001106EF" w:rsidP="001106EF">
            <w:pPr>
              <w:jc w:val="right"/>
              <w:rPr>
                <w:rFonts w:cstheme="minorHAnsi"/>
                <w:sz w:val="20"/>
                <w:szCs w:val="20"/>
              </w:rPr>
            </w:pPr>
          </w:p>
        </w:tc>
        <w:tc>
          <w:tcPr>
            <w:tcW w:w="1134" w:type="dxa"/>
            <w:tcBorders>
              <w:top w:val="nil"/>
              <w:left w:val="nil"/>
              <w:bottom w:val="single" w:sz="4" w:space="0" w:color="auto"/>
              <w:right w:val="nil"/>
            </w:tcBorders>
            <w:tcMar>
              <w:left w:w="28" w:type="dxa"/>
              <w:right w:w="142" w:type="dxa"/>
            </w:tcMar>
            <w:vAlign w:val="bottom"/>
          </w:tcPr>
          <w:p w14:paraId="3F603400" w14:textId="77777777" w:rsidR="001106EF" w:rsidRPr="002D1F09" w:rsidRDefault="001106EF" w:rsidP="00632535">
            <w:pPr>
              <w:jc w:val="right"/>
              <w:rPr>
                <w:sz w:val="16"/>
                <w:szCs w:val="16"/>
                <w:lang w:val="en-GB"/>
              </w:rPr>
            </w:pPr>
            <w:r w:rsidRPr="002D1F09">
              <w:rPr>
                <w:rFonts w:ascii="Calibri" w:hAnsi="Calibri" w:cs="Calibri"/>
                <w:sz w:val="16"/>
                <w:szCs w:val="16"/>
              </w:rPr>
              <w:t>-4.9, -0.4</w:t>
            </w:r>
          </w:p>
        </w:tc>
      </w:tr>
    </w:tbl>
    <w:p w14:paraId="6BE693AE" w14:textId="77777777" w:rsidR="004E4FFB" w:rsidRPr="002D1F09" w:rsidRDefault="004E4FFB" w:rsidP="00924604">
      <w:pPr>
        <w:spacing w:after="0" w:line="200" w:lineRule="exact"/>
        <w:ind w:right="567"/>
        <w:jc w:val="both"/>
        <w:rPr>
          <w:b/>
          <w:sz w:val="16"/>
          <w:szCs w:val="16"/>
          <w:lang w:val="en-GB"/>
        </w:rPr>
      </w:pPr>
      <w:r w:rsidRPr="002D1F09">
        <w:rPr>
          <w:b/>
          <w:sz w:val="16"/>
          <w:szCs w:val="16"/>
          <w:lang w:val="en-GB"/>
        </w:rPr>
        <w:t>PC</w:t>
      </w:r>
      <w:r w:rsidRPr="002D1F09">
        <w:rPr>
          <w:sz w:val="16"/>
          <w:szCs w:val="16"/>
          <w:lang w:val="en-GB"/>
        </w:rPr>
        <w:t xml:space="preserve">: </w:t>
      </w:r>
      <w:r w:rsidR="007A2BEB" w:rsidRPr="002D1F09">
        <w:rPr>
          <w:sz w:val="16"/>
          <w:szCs w:val="16"/>
          <w:lang w:val="en-GB"/>
        </w:rPr>
        <w:t xml:space="preserve">Percent change in the annual mortality rate (FE model) or in the interannual mortality rate ratio (FD model) for each unit increase in annual government health spending measured as a percentage of Gross Domestic Product -GDP- (FE model) or in the interannual difference in health spending (FD model). </w:t>
      </w:r>
      <w:r w:rsidRPr="002D1F09">
        <w:rPr>
          <w:b/>
          <w:sz w:val="16"/>
          <w:szCs w:val="16"/>
          <w:lang w:val="en-GB"/>
        </w:rPr>
        <w:t>95%CI</w:t>
      </w:r>
      <w:r w:rsidRPr="002D1F09">
        <w:rPr>
          <w:sz w:val="16"/>
          <w:szCs w:val="16"/>
          <w:lang w:val="en-GB"/>
        </w:rPr>
        <w:t>: 95% confidence interval of PC.</w:t>
      </w:r>
      <w:r w:rsidR="009E6BFF" w:rsidRPr="002D1F09">
        <w:rPr>
          <w:b/>
          <w:sz w:val="16"/>
          <w:szCs w:val="16"/>
          <w:vertAlign w:val="superscript"/>
          <w:lang w:val="en-GB"/>
        </w:rPr>
        <w:t xml:space="preserve"> 1</w:t>
      </w:r>
      <w:r w:rsidR="009E6BFF" w:rsidRPr="002D1F09">
        <w:rPr>
          <w:sz w:val="16"/>
          <w:szCs w:val="16"/>
          <w:lang w:val="en-GB"/>
        </w:rPr>
        <w:t xml:space="preserve"> It refers to the number of points in the regression models.</w:t>
      </w:r>
      <w:r w:rsidRPr="002D1F09">
        <w:rPr>
          <w:sz w:val="16"/>
          <w:szCs w:val="16"/>
          <w:lang w:val="en-GB"/>
        </w:rPr>
        <w:t xml:space="preserve"> </w:t>
      </w:r>
      <w:r w:rsidR="009E6BFF" w:rsidRPr="002D1F09">
        <w:rPr>
          <w:b/>
          <w:sz w:val="16"/>
          <w:szCs w:val="16"/>
          <w:vertAlign w:val="superscript"/>
          <w:lang w:val="en-GB"/>
        </w:rPr>
        <w:t>2</w:t>
      </w:r>
      <w:r w:rsidR="00FA390B" w:rsidRPr="002D1F09">
        <w:rPr>
          <w:sz w:val="16"/>
          <w:szCs w:val="16"/>
          <w:lang w:val="en-GB"/>
        </w:rPr>
        <w:t xml:space="preserve"> Health spending and social spending in the regression model correspond to the same year as mortality and the rest of the independent </w:t>
      </w:r>
      <w:proofErr w:type="gramStart"/>
      <w:r w:rsidR="00FA390B" w:rsidRPr="002D1F09">
        <w:rPr>
          <w:sz w:val="16"/>
          <w:szCs w:val="16"/>
          <w:lang w:val="en-GB"/>
        </w:rPr>
        <w:t>variables</w:t>
      </w:r>
      <w:r w:rsidR="00FA390B" w:rsidRPr="002D1F09">
        <w:rPr>
          <w:b/>
          <w:sz w:val="16"/>
          <w:szCs w:val="16"/>
          <w:vertAlign w:val="superscript"/>
          <w:lang w:val="en-GB"/>
        </w:rPr>
        <w:t xml:space="preserve"> </w:t>
      </w:r>
      <w:r w:rsidRPr="002D1F09">
        <w:rPr>
          <w:b/>
          <w:sz w:val="16"/>
          <w:szCs w:val="16"/>
          <w:vertAlign w:val="superscript"/>
          <w:lang w:val="en-GB"/>
        </w:rPr>
        <w:t xml:space="preserve"> </w:t>
      </w:r>
      <w:r w:rsidR="009E6BFF" w:rsidRPr="002D1F09">
        <w:rPr>
          <w:b/>
          <w:sz w:val="16"/>
          <w:szCs w:val="16"/>
          <w:vertAlign w:val="superscript"/>
          <w:lang w:val="en-GB"/>
        </w:rPr>
        <w:t>3</w:t>
      </w:r>
      <w:proofErr w:type="gramEnd"/>
      <w:r w:rsidR="00FA390B" w:rsidRPr="002D1F09">
        <w:rPr>
          <w:b/>
          <w:sz w:val="16"/>
          <w:szCs w:val="16"/>
          <w:vertAlign w:val="superscript"/>
          <w:lang w:val="en-GB"/>
        </w:rPr>
        <w:t xml:space="preserve"> </w:t>
      </w:r>
      <w:r w:rsidR="00FA390B" w:rsidRPr="002D1F09">
        <w:rPr>
          <w:sz w:val="16"/>
          <w:szCs w:val="16"/>
          <w:lang w:val="en-GB"/>
        </w:rPr>
        <w:t>Multiple linear regression of logarithm of age-standardized mortality rates on government health spending in GDP percent</w:t>
      </w:r>
      <w:r w:rsidR="00FA390B" w:rsidRPr="002D1F09">
        <w:rPr>
          <w:rFonts w:cstheme="minorHAnsi"/>
          <w:sz w:val="16"/>
          <w:szCs w:val="16"/>
          <w:lang w:val="en-GB"/>
        </w:rPr>
        <w:t xml:space="preserve">, adjusting for country, year as a restricted cubic spline and other covariates, as heatwave, </w:t>
      </w:r>
      <w:proofErr w:type="spellStart"/>
      <w:r w:rsidR="00FA390B" w:rsidRPr="002D1F09">
        <w:rPr>
          <w:rFonts w:cstheme="minorHAnsi"/>
          <w:sz w:val="16"/>
          <w:szCs w:val="16"/>
          <w:lang w:val="en-GB"/>
        </w:rPr>
        <w:t>coldwave</w:t>
      </w:r>
      <w:proofErr w:type="spellEnd"/>
      <w:r w:rsidR="00FA390B" w:rsidRPr="002D1F09">
        <w:rPr>
          <w:rFonts w:cstheme="minorHAnsi"/>
          <w:sz w:val="16"/>
          <w:szCs w:val="16"/>
          <w:lang w:val="en-GB"/>
        </w:rPr>
        <w:t>, influenza activity, real GDP per capita</w:t>
      </w:r>
      <w:r w:rsidR="00FA390B" w:rsidRPr="002D1F09">
        <w:rPr>
          <w:sz w:val="16"/>
          <w:szCs w:val="16"/>
          <w:lang w:val="en-GB"/>
        </w:rPr>
        <w:t xml:space="preserve"> </w:t>
      </w:r>
      <w:r w:rsidR="00FA390B" w:rsidRPr="002D1F09">
        <w:rPr>
          <w:rFonts w:cstheme="minorHAnsi"/>
          <w:sz w:val="16"/>
          <w:szCs w:val="16"/>
          <w:lang w:val="en-GB"/>
        </w:rPr>
        <w:t>and social spending in GDP percent.</w:t>
      </w:r>
      <w:r w:rsidR="009E6BFF" w:rsidRPr="002D1F09">
        <w:rPr>
          <w:b/>
          <w:sz w:val="16"/>
          <w:szCs w:val="16"/>
          <w:vertAlign w:val="superscript"/>
          <w:lang w:val="en-GB"/>
        </w:rPr>
        <w:t xml:space="preserve"> 4</w:t>
      </w:r>
      <w:r w:rsidR="009E6BFF" w:rsidRPr="002D1F09">
        <w:rPr>
          <w:b/>
          <w:sz w:val="16"/>
          <w:szCs w:val="16"/>
          <w:lang w:val="en-GB"/>
        </w:rPr>
        <w:t xml:space="preserve"> </w:t>
      </w:r>
      <w:r w:rsidR="009E6BFF" w:rsidRPr="002D1F09">
        <w:rPr>
          <w:sz w:val="16"/>
          <w:szCs w:val="16"/>
          <w:lang w:val="en-GB"/>
        </w:rPr>
        <w:t xml:space="preserve">Multiple linear regression of first differences between the logarithm of age-standardized mortality rate in a given year and country and its logarithm in the previous year, on first differences of health spending, adjusting for first-differences in year as a restricted cubic spline, and first-differences in the covariates heatwave, </w:t>
      </w:r>
      <w:proofErr w:type="spellStart"/>
      <w:r w:rsidR="009E6BFF" w:rsidRPr="002D1F09">
        <w:rPr>
          <w:sz w:val="16"/>
          <w:szCs w:val="16"/>
          <w:lang w:val="en-GB"/>
        </w:rPr>
        <w:t>coldwave</w:t>
      </w:r>
      <w:proofErr w:type="spellEnd"/>
      <w:r w:rsidR="009E6BFF" w:rsidRPr="002D1F09">
        <w:rPr>
          <w:sz w:val="16"/>
          <w:szCs w:val="16"/>
          <w:lang w:val="en-GB"/>
        </w:rPr>
        <w:t xml:space="preserve">, influenza activity, real GDP per capita and social spending. </w:t>
      </w:r>
      <w:r w:rsidRPr="002D1F09">
        <w:rPr>
          <w:rFonts w:cstheme="minorHAnsi"/>
          <w:sz w:val="16"/>
          <w:szCs w:val="16"/>
          <w:lang w:val="en-GB"/>
        </w:rPr>
        <w:t xml:space="preserve"> </w:t>
      </w:r>
      <w:r w:rsidR="009E6BFF" w:rsidRPr="002D1F09">
        <w:rPr>
          <w:b/>
          <w:sz w:val="16"/>
          <w:szCs w:val="16"/>
          <w:vertAlign w:val="superscript"/>
          <w:lang w:val="en-GB"/>
        </w:rPr>
        <w:t>5</w:t>
      </w:r>
      <w:r w:rsidRPr="002D1F09">
        <w:rPr>
          <w:sz w:val="16"/>
          <w:szCs w:val="16"/>
          <w:vertAlign w:val="superscript"/>
          <w:lang w:val="en-GB"/>
        </w:rPr>
        <w:t xml:space="preserve"> </w:t>
      </w:r>
      <w:r w:rsidR="006B6709" w:rsidRPr="002D1F09">
        <w:rPr>
          <w:sz w:val="16"/>
          <w:szCs w:val="16"/>
          <w:lang w:val="en-GB"/>
        </w:rPr>
        <w:t>Health spending and social spending in the regression model correspond to the mean of the current and previous year's values</w:t>
      </w:r>
      <w:r w:rsidRPr="002D1F09">
        <w:rPr>
          <w:sz w:val="16"/>
          <w:szCs w:val="16"/>
          <w:lang w:val="en-GB"/>
        </w:rPr>
        <w:t xml:space="preserve">. </w:t>
      </w:r>
    </w:p>
    <w:p w14:paraId="07BC7074" w14:textId="77777777" w:rsidR="00074B63" w:rsidRPr="002D1F09" w:rsidRDefault="00074B63">
      <w:pPr>
        <w:rPr>
          <w:b/>
          <w:lang w:val="en-GB"/>
        </w:rPr>
      </w:pPr>
      <w:r w:rsidRPr="002D1F09">
        <w:rPr>
          <w:b/>
          <w:lang w:val="en-GB"/>
        </w:rPr>
        <w:br w:type="page"/>
      </w:r>
    </w:p>
    <w:p w14:paraId="6332B787" w14:textId="77777777" w:rsidR="00074B63" w:rsidRPr="002D1F09" w:rsidRDefault="00074B63" w:rsidP="007E750F">
      <w:pPr>
        <w:ind w:right="142"/>
        <w:rPr>
          <w:b/>
          <w:sz w:val="20"/>
          <w:szCs w:val="20"/>
          <w:lang w:val="en-GB"/>
        </w:rPr>
      </w:pPr>
      <w:proofErr w:type="spellStart"/>
      <w:r w:rsidRPr="002D1F09">
        <w:rPr>
          <w:b/>
          <w:sz w:val="20"/>
          <w:szCs w:val="20"/>
          <w:lang w:val="en-GB"/>
        </w:rPr>
        <w:lastRenderedPageBreak/>
        <w:t>eTable</w:t>
      </w:r>
      <w:proofErr w:type="spellEnd"/>
      <w:r w:rsidRPr="002D1F09">
        <w:rPr>
          <w:b/>
          <w:sz w:val="20"/>
          <w:szCs w:val="20"/>
          <w:lang w:val="en-GB"/>
        </w:rPr>
        <w:t xml:space="preserve"> 5. Association between </w:t>
      </w:r>
      <w:r w:rsidR="00AD7540" w:rsidRPr="002D1F09">
        <w:rPr>
          <w:b/>
          <w:sz w:val="20"/>
          <w:szCs w:val="20"/>
          <w:lang w:val="en-GB"/>
        </w:rPr>
        <w:t xml:space="preserve">annual </w:t>
      </w:r>
      <w:r w:rsidRPr="002D1F09">
        <w:rPr>
          <w:b/>
          <w:sz w:val="20"/>
          <w:szCs w:val="20"/>
          <w:lang w:val="en-GB"/>
        </w:rPr>
        <w:t>age-standardized mortality rates</w:t>
      </w:r>
      <w:r w:rsidR="007E0D03" w:rsidRPr="002D1F09">
        <w:rPr>
          <w:b/>
          <w:sz w:val="20"/>
          <w:szCs w:val="20"/>
          <w:lang w:val="en-GB"/>
        </w:rPr>
        <w:t xml:space="preserve"> and </w:t>
      </w:r>
      <w:r w:rsidR="00EB1884" w:rsidRPr="002D1F09">
        <w:rPr>
          <w:b/>
          <w:sz w:val="20"/>
          <w:szCs w:val="20"/>
          <w:lang w:val="en-GB"/>
        </w:rPr>
        <w:t>two</w:t>
      </w:r>
      <w:r w:rsidR="007E0D03" w:rsidRPr="002D1F09">
        <w:rPr>
          <w:b/>
          <w:sz w:val="20"/>
          <w:szCs w:val="20"/>
          <w:lang w:val="en-GB"/>
        </w:rPr>
        <w:t xml:space="preserve"> </w:t>
      </w:r>
      <w:r w:rsidR="007E750F" w:rsidRPr="002D1F09">
        <w:rPr>
          <w:b/>
          <w:sz w:val="20"/>
          <w:szCs w:val="20"/>
          <w:lang w:val="en-GB"/>
        </w:rPr>
        <w:t xml:space="preserve">cumulative </w:t>
      </w:r>
      <w:r w:rsidR="007E0D03" w:rsidRPr="002D1F09">
        <w:rPr>
          <w:b/>
          <w:sz w:val="20"/>
          <w:szCs w:val="20"/>
          <w:lang w:val="en-GB"/>
        </w:rPr>
        <w:t xml:space="preserve">lag structures </w:t>
      </w:r>
      <w:r w:rsidRPr="002D1F09">
        <w:rPr>
          <w:b/>
          <w:sz w:val="20"/>
          <w:szCs w:val="20"/>
          <w:lang w:val="en-GB"/>
        </w:rPr>
        <w:t xml:space="preserve">of health spending from regression models by period </w:t>
      </w:r>
      <w:r w:rsidR="00AD7540" w:rsidRPr="002D1F09">
        <w:rPr>
          <w:b/>
          <w:sz w:val="20"/>
          <w:szCs w:val="20"/>
          <w:lang w:val="en-GB"/>
        </w:rPr>
        <w:t xml:space="preserve">and model type </w:t>
      </w:r>
      <w:r w:rsidRPr="002D1F09">
        <w:rPr>
          <w:b/>
          <w:sz w:val="20"/>
          <w:szCs w:val="20"/>
          <w:lang w:val="en-GB"/>
        </w:rPr>
        <w:t>in four European countries, 2002-2019.</w:t>
      </w:r>
    </w:p>
    <w:p w14:paraId="2BB7A863" w14:textId="77777777" w:rsidR="007E750F" w:rsidRPr="002D1F09" w:rsidRDefault="007E750F" w:rsidP="007E750F">
      <w:pPr>
        <w:ind w:right="142"/>
        <w:rPr>
          <w:b/>
          <w:sz w:val="16"/>
          <w:szCs w:val="16"/>
          <w:lang w:val="en-GB"/>
        </w:rPr>
      </w:pPr>
    </w:p>
    <w:tbl>
      <w:tblPr>
        <w:tblStyle w:val="Tablaconcuadrcula"/>
        <w:tblpPr w:leftFromText="141" w:rightFromText="141" w:vertAnchor="text" w:tblpY="1"/>
        <w:tblOverlap w:val="never"/>
        <w:tblW w:w="9209" w:type="dxa"/>
        <w:tblBorders>
          <w:insideH w:val="none" w:sz="0" w:space="0" w:color="auto"/>
          <w:insideV w:val="none" w:sz="0" w:space="0" w:color="auto"/>
        </w:tblBorders>
        <w:tblLayout w:type="fixed"/>
        <w:tblLook w:val="04A0" w:firstRow="1" w:lastRow="0" w:firstColumn="1" w:lastColumn="0" w:noHBand="0" w:noVBand="1"/>
      </w:tblPr>
      <w:tblGrid>
        <w:gridCol w:w="3256"/>
        <w:gridCol w:w="708"/>
        <w:gridCol w:w="283"/>
        <w:gridCol w:w="709"/>
        <w:gridCol w:w="1559"/>
        <w:gridCol w:w="236"/>
        <w:gridCol w:w="756"/>
        <w:gridCol w:w="1702"/>
      </w:tblGrid>
      <w:tr w:rsidR="002D1F09" w:rsidRPr="002D1F09" w14:paraId="75F86E94" w14:textId="77777777" w:rsidTr="00A7589C">
        <w:tc>
          <w:tcPr>
            <w:tcW w:w="3256" w:type="dxa"/>
            <w:tcMar>
              <w:left w:w="28" w:type="dxa"/>
              <w:right w:w="28" w:type="dxa"/>
            </w:tcMar>
            <w:vAlign w:val="center"/>
          </w:tcPr>
          <w:p w14:paraId="3FC3987C" w14:textId="77777777" w:rsidR="00787152" w:rsidRPr="002D1F09" w:rsidRDefault="00787152" w:rsidP="00787152">
            <w:pPr>
              <w:ind w:left="-19" w:right="-109"/>
              <w:rPr>
                <w:rFonts w:cstheme="minorHAnsi"/>
                <w:b/>
                <w:sz w:val="20"/>
                <w:szCs w:val="20"/>
                <w:lang w:val="en-GB"/>
              </w:rPr>
            </w:pPr>
          </w:p>
        </w:tc>
        <w:tc>
          <w:tcPr>
            <w:tcW w:w="708" w:type="dxa"/>
            <w:tcBorders>
              <w:top w:val="single" w:sz="4" w:space="0" w:color="auto"/>
              <w:bottom w:val="single" w:sz="4" w:space="0" w:color="auto"/>
            </w:tcBorders>
          </w:tcPr>
          <w:p w14:paraId="4DBDA191" w14:textId="77777777" w:rsidR="00787152" w:rsidRPr="002D1F09" w:rsidRDefault="00787152" w:rsidP="00787152">
            <w:pPr>
              <w:ind w:left="-19" w:right="-109"/>
              <w:jc w:val="center"/>
              <w:rPr>
                <w:rFonts w:cstheme="minorHAnsi"/>
                <w:b/>
                <w:sz w:val="20"/>
                <w:szCs w:val="20"/>
                <w:lang w:val="en-GB"/>
              </w:rPr>
            </w:pPr>
            <w:r w:rsidRPr="002D1F09">
              <w:rPr>
                <w:rFonts w:cstheme="minorHAnsi"/>
                <w:b/>
                <w:sz w:val="20"/>
                <w:szCs w:val="20"/>
                <w:lang w:val="en-GB"/>
              </w:rPr>
              <w:t>N</w:t>
            </w:r>
            <w:r w:rsidRPr="002D1F09">
              <w:rPr>
                <w:rFonts w:cstheme="minorHAnsi"/>
                <w:b/>
                <w:sz w:val="20"/>
                <w:szCs w:val="20"/>
                <w:vertAlign w:val="superscript"/>
                <w:lang w:val="en-GB"/>
              </w:rPr>
              <w:t>1</w:t>
            </w:r>
          </w:p>
        </w:tc>
        <w:tc>
          <w:tcPr>
            <w:tcW w:w="283" w:type="dxa"/>
          </w:tcPr>
          <w:p w14:paraId="7EEC0D51" w14:textId="77777777" w:rsidR="00787152" w:rsidRPr="002D1F09" w:rsidRDefault="00787152" w:rsidP="00787152">
            <w:pPr>
              <w:ind w:left="-19" w:right="-109"/>
              <w:jc w:val="center"/>
              <w:rPr>
                <w:rFonts w:cstheme="minorHAnsi"/>
                <w:b/>
                <w:sz w:val="20"/>
                <w:szCs w:val="20"/>
                <w:lang w:val="en-GB"/>
              </w:rPr>
            </w:pPr>
          </w:p>
        </w:tc>
        <w:tc>
          <w:tcPr>
            <w:tcW w:w="2268" w:type="dxa"/>
            <w:gridSpan w:val="2"/>
            <w:tcBorders>
              <w:top w:val="single" w:sz="4" w:space="0" w:color="auto"/>
              <w:bottom w:val="single" w:sz="4" w:space="0" w:color="auto"/>
            </w:tcBorders>
            <w:tcMar>
              <w:left w:w="28" w:type="dxa"/>
              <w:right w:w="28" w:type="dxa"/>
            </w:tcMar>
            <w:vAlign w:val="center"/>
          </w:tcPr>
          <w:p w14:paraId="40C7CDDE" w14:textId="77777777" w:rsidR="00787152" w:rsidRPr="002D1F09" w:rsidRDefault="00787152" w:rsidP="00787152">
            <w:pPr>
              <w:ind w:left="-19" w:right="-109"/>
              <w:jc w:val="center"/>
              <w:rPr>
                <w:rFonts w:cstheme="minorHAnsi"/>
                <w:sz w:val="20"/>
                <w:szCs w:val="20"/>
                <w:lang w:val="en-GB"/>
              </w:rPr>
            </w:pPr>
            <w:r w:rsidRPr="002D1F09">
              <w:rPr>
                <w:rFonts w:cstheme="minorHAnsi"/>
                <w:b/>
                <w:sz w:val="20"/>
                <w:szCs w:val="20"/>
                <w:lang w:val="en-GB"/>
              </w:rPr>
              <w:t>Country-level fixed-effect model (FE)</w:t>
            </w:r>
            <w:r w:rsidRPr="002D1F09">
              <w:rPr>
                <w:rFonts w:cstheme="minorHAnsi"/>
                <w:b/>
                <w:sz w:val="20"/>
                <w:szCs w:val="20"/>
                <w:vertAlign w:val="superscript"/>
                <w:lang w:val="en-GB"/>
              </w:rPr>
              <w:t>2</w:t>
            </w:r>
          </w:p>
        </w:tc>
        <w:tc>
          <w:tcPr>
            <w:tcW w:w="236" w:type="dxa"/>
          </w:tcPr>
          <w:p w14:paraId="4C3197C9" w14:textId="77777777" w:rsidR="00787152" w:rsidRPr="002D1F09" w:rsidRDefault="00787152" w:rsidP="00787152">
            <w:pPr>
              <w:ind w:left="-19" w:right="-109"/>
              <w:jc w:val="center"/>
              <w:rPr>
                <w:rFonts w:cstheme="minorHAnsi"/>
                <w:b/>
                <w:sz w:val="20"/>
                <w:szCs w:val="20"/>
                <w:lang w:val="en-GB"/>
              </w:rPr>
            </w:pPr>
          </w:p>
        </w:tc>
        <w:tc>
          <w:tcPr>
            <w:tcW w:w="2458" w:type="dxa"/>
            <w:gridSpan w:val="2"/>
            <w:tcBorders>
              <w:top w:val="single" w:sz="4" w:space="0" w:color="auto"/>
              <w:bottom w:val="single" w:sz="4" w:space="0" w:color="auto"/>
            </w:tcBorders>
          </w:tcPr>
          <w:p w14:paraId="2598E791" w14:textId="77777777" w:rsidR="00787152" w:rsidRPr="002D1F09" w:rsidRDefault="00787152" w:rsidP="00787152">
            <w:pPr>
              <w:ind w:left="-19" w:right="-109"/>
              <w:jc w:val="center"/>
              <w:rPr>
                <w:rFonts w:cstheme="minorHAnsi"/>
                <w:b/>
                <w:sz w:val="20"/>
                <w:szCs w:val="20"/>
                <w:lang w:val="en-GB"/>
              </w:rPr>
            </w:pPr>
            <w:r w:rsidRPr="002D1F09">
              <w:rPr>
                <w:rFonts w:cstheme="minorHAnsi"/>
                <w:b/>
                <w:sz w:val="20"/>
                <w:szCs w:val="20"/>
                <w:lang w:val="en-GB"/>
              </w:rPr>
              <w:t>First-differences model (FD)</w:t>
            </w:r>
            <w:r w:rsidRPr="002D1F09">
              <w:rPr>
                <w:rFonts w:cstheme="minorHAnsi"/>
                <w:b/>
                <w:sz w:val="20"/>
                <w:szCs w:val="20"/>
                <w:vertAlign w:val="superscript"/>
                <w:lang w:val="en-GB"/>
              </w:rPr>
              <w:t>3</w:t>
            </w:r>
          </w:p>
        </w:tc>
      </w:tr>
      <w:tr w:rsidR="002D1F09" w:rsidRPr="002D1F09" w14:paraId="2DCC74B0" w14:textId="77777777" w:rsidTr="00A7589C">
        <w:tc>
          <w:tcPr>
            <w:tcW w:w="3256" w:type="dxa"/>
            <w:shd w:val="clear" w:color="auto" w:fill="auto"/>
            <w:tcMar>
              <w:left w:w="28" w:type="dxa"/>
              <w:right w:w="28" w:type="dxa"/>
            </w:tcMar>
            <w:vAlign w:val="bottom"/>
          </w:tcPr>
          <w:p w14:paraId="56B719DA" w14:textId="77777777" w:rsidR="00787152" w:rsidRPr="002D1F09" w:rsidRDefault="007E750F" w:rsidP="007E750F">
            <w:pPr>
              <w:ind w:left="110"/>
              <w:rPr>
                <w:rFonts w:cstheme="minorHAnsi"/>
                <w:b/>
                <w:sz w:val="20"/>
                <w:szCs w:val="20"/>
                <w:lang w:val="en-GB"/>
              </w:rPr>
            </w:pPr>
            <w:r w:rsidRPr="002D1F09">
              <w:rPr>
                <w:rFonts w:cstheme="minorHAnsi"/>
                <w:b/>
                <w:sz w:val="20"/>
                <w:szCs w:val="20"/>
                <w:lang w:val="en-GB"/>
              </w:rPr>
              <w:t>Cumulative l</w:t>
            </w:r>
            <w:r w:rsidR="00787152" w:rsidRPr="002D1F09">
              <w:rPr>
                <w:rFonts w:cstheme="minorHAnsi"/>
                <w:b/>
                <w:sz w:val="20"/>
                <w:szCs w:val="20"/>
                <w:lang w:val="en-GB"/>
              </w:rPr>
              <w:t>ag structure and period</w:t>
            </w:r>
          </w:p>
        </w:tc>
        <w:tc>
          <w:tcPr>
            <w:tcW w:w="708" w:type="dxa"/>
            <w:tcBorders>
              <w:top w:val="single" w:sz="4" w:space="0" w:color="auto"/>
            </w:tcBorders>
          </w:tcPr>
          <w:p w14:paraId="4967A439" w14:textId="77777777" w:rsidR="00787152" w:rsidRPr="002D1F09" w:rsidRDefault="00787152" w:rsidP="00787152">
            <w:pPr>
              <w:jc w:val="right"/>
              <w:rPr>
                <w:rFonts w:cstheme="minorHAnsi"/>
                <w:b/>
                <w:sz w:val="20"/>
                <w:szCs w:val="20"/>
                <w:lang w:val="en-GB"/>
              </w:rPr>
            </w:pPr>
          </w:p>
        </w:tc>
        <w:tc>
          <w:tcPr>
            <w:tcW w:w="283" w:type="dxa"/>
          </w:tcPr>
          <w:p w14:paraId="28140B5B" w14:textId="77777777" w:rsidR="00787152" w:rsidRPr="002D1F09" w:rsidRDefault="00787152" w:rsidP="00787152">
            <w:pPr>
              <w:jc w:val="right"/>
              <w:rPr>
                <w:rFonts w:cstheme="minorHAnsi"/>
                <w:b/>
                <w:sz w:val="20"/>
                <w:szCs w:val="20"/>
                <w:lang w:val="en-GB"/>
              </w:rPr>
            </w:pPr>
          </w:p>
        </w:tc>
        <w:tc>
          <w:tcPr>
            <w:tcW w:w="709" w:type="dxa"/>
            <w:tcBorders>
              <w:top w:val="single" w:sz="4" w:space="0" w:color="auto"/>
            </w:tcBorders>
            <w:shd w:val="clear" w:color="auto" w:fill="auto"/>
            <w:tcMar>
              <w:left w:w="0" w:type="dxa"/>
              <w:right w:w="142" w:type="dxa"/>
            </w:tcMar>
            <w:vAlign w:val="bottom"/>
          </w:tcPr>
          <w:p w14:paraId="24046413" w14:textId="77777777" w:rsidR="00787152" w:rsidRPr="002D1F09" w:rsidRDefault="00787152" w:rsidP="00787152">
            <w:pPr>
              <w:jc w:val="right"/>
              <w:rPr>
                <w:rFonts w:cstheme="minorHAnsi"/>
                <w:b/>
                <w:sz w:val="20"/>
                <w:szCs w:val="20"/>
                <w:lang w:val="en-GB"/>
              </w:rPr>
            </w:pPr>
            <w:r w:rsidRPr="002D1F09">
              <w:rPr>
                <w:rFonts w:cstheme="minorHAnsi"/>
                <w:b/>
                <w:sz w:val="20"/>
                <w:szCs w:val="20"/>
                <w:lang w:val="en-GB"/>
              </w:rPr>
              <w:t>PC</w:t>
            </w:r>
          </w:p>
        </w:tc>
        <w:tc>
          <w:tcPr>
            <w:tcW w:w="1559" w:type="dxa"/>
            <w:tcBorders>
              <w:top w:val="single" w:sz="4" w:space="0" w:color="auto"/>
            </w:tcBorders>
            <w:shd w:val="clear" w:color="auto" w:fill="auto"/>
            <w:tcMar>
              <w:left w:w="0" w:type="dxa"/>
              <w:right w:w="142" w:type="dxa"/>
            </w:tcMar>
            <w:vAlign w:val="bottom"/>
          </w:tcPr>
          <w:p w14:paraId="577FE15A" w14:textId="77777777" w:rsidR="00787152" w:rsidRPr="002D1F09" w:rsidRDefault="00787152" w:rsidP="00787152">
            <w:pPr>
              <w:jc w:val="right"/>
              <w:rPr>
                <w:rFonts w:cstheme="minorHAnsi"/>
                <w:b/>
                <w:sz w:val="20"/>
                <w:szCs w:val="20"/>
                <w:lang w:val="en-GB"/>
              </w:rPr>
            </w:pPr>
            <w:r w:rsidRPr="002D1F09">
              <w:rPr>
                <w:rFonts w:cstheme="minorHAnsi"/>
                <w:b/>
                <w:sz w:val="20"/>
                <w:szCs w:val="20"/>
                <w:lang w:val="en-GB"/>
              </w:rPr>
              <w:t>95%CI</w:t>
            </w:r>
          </w:p>
        </w:tc>
        <w:tc>
          <w:tcPr>
            <w:tcW w:w="236" w:type="dxa"/>
          </w:tcPr>
          <w:p w14:paraId="5FF5193A" w14:textId="77777777" w:rsidR="00787152" w:rsidRPr="002D1F09" w:rsidRDefault="00787152" w:rsidP="00787152">
            <w:pPr>
              <w:jc w:val="right"/>
              <w:rPr>
                <w:rFonts w:cstheme="minorHAnsi"/>
                <w:b/>
                <w:sz w:val="20"/>
                <w:szCs w:val="20"/>
                <w:lang w:val="en-GB"/>
              </w:rPr>
            </w:pPr>
          </w:p>
        </w:tc>
        <w:tc>
          <w:tcPr>
            <w:tcW w:w="756" w:type="dxa"/>
            <w:tcBorders>
              <w:top w:val="single" w:sz="4" w:space="0" w:color="auto"/>
            </w:tcBorders>
            <w:shd w:val="clear" w:color="auto" w:fill="auto"/>
            <w:vAlign w:val="bottom"/>
          </w:tcPr>
          <w:p w14:paraId="58D5B69D" w14:textId="77777777" w:rsidR="00787152" w:rsidRPr="002D1F09" w:rsidRDefault="00787152" w:rsidP="00787152">
            <w:pPr>
              <w:jc w:val="right"/>
              <w:rPr>
                <w:rFonts w:cstheme="minorHAnsi"/>
                <w:b/>
                <w:sz w:val="20"/>
                <w:szCs w:val="20"/>
                <w:lang w:val="en-GB"/>
              </w:rPr>
            </w:pPr>
            <w:r w:rsidRPr="002D1F09">
              <w:rPr>
                <w:rFonts w:cstheme="minorHAnsi"/>
                <w:b/>
                <w:sz w:val="20"/>
                <w:szCs w:val="20"/>
                <w:lang w:val="en-GB"/>
              </w:rPr>
              <w:t>PC</w:t>
            </w:r>
          </w:p>
        </w:tc>
        <w:tc>
          <w:tcPr>
            <w:tcW w:w="1702" w:type="dxa"/>
            <w:tcBorders>
              <w:top w:val="single" w:sz="4" w:space="0" w:color="auto"/>
            </w:tcBorders>
            <w:shd w:val="clear" w:color="auto" w:fill="auto"/>
            <w:tcMar>
              <w:left w:w="0" w:type="dxa"/>
              <w:right w:w="142" w:type="dxa"/>
            </w:tcMar>
            <w:vAlign w:val="bottom"/>
          </w:tcPr>
          <w:p w14:paraId="19CB7822" w14:textId="77777777" w:rsidR="00787152" w:rsidRPr="002D1F09" w:rsidRDefault="00787152" w:rsidP="00787152">
            <w:pPr>
              <w:jc w:val="right"/>
              <w:rPr>
                <w:rFonts w:cstheme="minorHAnsi"/>
                <w:b/>
                <w:sz w:val="20"/>
                <w:szCs w:val="20"/>
                <w:lang w:val="en-GB"/>
              </w:rPr>
            </w:pPr>
            <w:r w:rsidRPr="002D1F09">
              <w:rPr>
                <w:rFonts w:cstheme="minorHAnsi"/>
                <w:b/>
                <w:sz w:val="20"/>
                <w:szCs w:val="20"/>
                <w:lang w:val="en-GB"/>
              </w:rPr>
              <w:t>95%CI</w:t>
            </w:r>
          </w:p>
        </w:tc>
      </w:tr>
      <w:tr w:rsidR="002D1F09" w:rsidRPr="002D1F09" w14:paraId="477BAA29" w14:textId="77777777" w:rsidTr="00A7589C">
        <w:tc>
          <w:tcPr>
            <w:tcW w:w="3256" w:type="dxa"/>
            <w:tcMar>
              <w:left w:w="28" w:type="dxa"/>
              <w:right w:w="28" w:type="dxa"/>
            </w:tcMar>
            <w:vAlign w:val="center"/>
          </w:tcPr>
          <w:p w14:paraId="17A55098" w14:textId="77777777" w:rsidR="00787152" w:rsidRPr="002D1F09" w:rsidRDefault="00787152" w:rsidP="00787152">
            <w:pPr>
              <w:ind w:left="110" w:right="-109"/>
              <w:rPr>
                <w:rFonts w:cstheme="minorHAnsi"/>
                <w:b/>
                <w:sz w:val="20"/>
                <w:szCs w:val="20"/>
                <w:lang w:val="en-GB"/>
              </w:rPr>
            </w:pPr>
            <w:proofErr w:type="gramStart"/>
            <w:r w:rsidRPr="002D1F09">
              <w:rPr>
                <w:rFonts w:cstheme="minorHAnsi"/>
                <w:b/>
                <w:sz w:val="20"/>
                <w:szCs w:val="20"/>
                <w:lang w:val="en-GB"/>
              </w:rPr>
              <w:t>0-1-2 year</w:t>
            </w:r>
            <w:proofErr w:type="gramEnd"/>
            <w:r w:rsidRPr="002D1F09">
              <w:rPr>
                <w:rFonts w:cstheme="minorHAnsi"/>
                <w:b/>
                <w:sz w:val="20"/>
                <w:szCs w:val="20"/>
                <w:lang w:val="en-GB"/>
              </w:rPr>
              <w:t xml:space="preserve"> lag mean</w:t>
            </w:r>
            <w:r w:rsidR="003C57E7" w:rsidRPr="002D1F09">
              <w:rPr>
                <w:rFonts w:cstheme="minorHAnsi"/>
                <w:b/>
                <w:sz w:val="20"/>
                <w:szCs w:val="20"/>
                <w:vertAlign w:val="superscript"/>
                <w:lang w:val="en-GB"/>
              </w:rPr>
              <w:t>4</w:t>
            </w:r>
          </w:p>
        </w:tc>
        <w:tc>
          <w:tcPr>
            <w:tcW w:w="708" w:type="dxa"/>
            <w:vAlign w:val="center"/>
          </w:tcPr>
          <w:p w14:paraId="3C1183BA" w14:textId="77777777" w:rsidR="00787152" w:rsidRPr="002D1F09" w:rsidRDefault="00787152" w:rsidP="00787152">
            <w:pPr>
              <w:ind w:left="-19" w:right="-109"/>
              <w:jc w:val="right"/>
              <w:rPr>
                <w:rFonts w:eastAsia="Times New Roman" w:cstheme="minorHAnsi"/>
                <w:sz w:val="20"/>
                <w:szCs w:val="20"/>
                <w:lang w:val="en-GB" w:eastAsia="en-GB"/>
              </w:rPr>
            </w:pPr>
          </w:p>
        </w:tc>
        <w:tc>
          <w:tcPr>
            <w:tcW w:w="283" w:type="dxa"/>
          </w:tcPr>
          <w:p w14:paraId="06F74C5E" w14:textId="77777777" w:rsidR="00787152" w:rsidRPr="002D1F09" w:rsidRDefault="00787152" w:rsidP="00787152">
            <w:pPr>
              <w:ind w:left="-19" w:right="-109"/>
              <w:jc w:val="right"/>
              <w:rPr>
                <w:rFonts w:cstheme="minorHAnsi"/>
                <w:sz w:val="20"/>
                <w:szCs w:val="20"/>
                <w:lang w:val="en-GB"/>
              </w:rPr>
            </w:pPr>
          </w:p>
        </w:tc>
        <w:tc>
          <w:tcPr>
            <w:tcW w:w="709" w:type="dxa"/>
            <w:tcMar>
              <w:left w:w="0" w:type="dxa"/>
              <w:right w:w="142" w:type="dxa"/>
            </w:tcMar>
            <w:vAlign w:val="center"/>
          </w:tcPr>
          <w:p w14:paraId="583964CC" w14:textId="77777777" w:rsidR="00787152" w:rsidRPr="002D1F09" w:rsidRDefault="00787152" w:rsidP="00787152">
            <w:pPr>
              <w:ind w:left="-19" w:right="-109"/>
              <w:jc w:val="right"/>
              <w:rPr>
                <w:rFonts w:cstheme="minorHAnsi"/>
                <w:sz w:val="20"/>
                <w:szCs w:val="20"/>
                <w:lang w:val="en-GB"/>
              </w:rPr>
            </w:pPr>
          </w:p>
        </w:tc>
        <w:tc>
          <w:tcPr>
            <w:tcW w:w="1559" w:type="dxa"/>
            <w:tcMar>
              <w:left w:w="0" w:type="dxa"/>
              <w:right w:w="142" w:type="dxa"/>
            </w:tcMar>
            <w:vAlign w:val="center"/>
          </w:tcPr>
          <w:p w14:paraId="2CDCDE39" w14:textId="77777777" w:rsidR="00787152" w:rsidRPr="002D1F09" w:rsidRDefault="00787152" w:rsidP="00787152">
            <w:pPr>
              <w:ind w:left="-19"/>
              <w:jc w:val="right"/>
              <w:rPr>
                <w:rFonts w:cstheme="minorHAnsi"/>
                <w:sz w:val="20"/>
                <w:szCs w:val="20"/>
                <w:lang w:val="en-GB"/>
              </w:rPr>
            </w:pPr>
          </w:p>
        </w:tc>
        <w:tc>
          <w:tcPr>
            <w:tcW w:w="236" w:type="dxa"/>
          </w:tcPr>
          <w:p w14:paraId="3045EAB4" w14:textId="77777777" w:rsidR="00787152" w:rsidRPr="002D1F09" w:rsidRDefault="00787152" w:rsidP="00787152">
            <w:pPr>
              <w:ind w:left="-19" w:right="-109"/>
              <w:jc w:val="right"/>
              <w:rPr>
                <w:rFonts w:cstheme="minorHAnsi"/>
                <w:b/>
                <w:sz w:val="20"/>
                <w:szCs w:val="20"/>
                <w:lang w:val="en-GB"/>
              </w:rPr>
            </w:pPr>
          </w:p>
        </w:tc>
        <w:tc>
          <w:tcPr>
            <w:tcW w:w="756" w:type="dxa"/>
            <w:vAlign w:val="bottom"/>
          </w:tcPr>
          <w:p w14:paraId="0549C580" w14:textId="77777777" w:rsidR="00787152" w:rsidRPr="002D1F09" w:rsidRDefault="00787152" w:rsidP="00787152">
            <w:pPr>
              <w:ind w:left="-19" w:right="-109"/>
              <w:jc w:val="right"/>
              <w:rPr>
                <w:rFonts w:eastAsia="Times New Roman" w:cstheme="minorHAnsi"/>
                <w:sz w:val="20"/>
                <w:szCs w:val="20"/>
                <w:lang w:val="en-GB" w:eastAsia="en-GB"/>
              </w:rPr>
            </w:pPr>
          </w:p>
        </w:tc>
        <w:tc>
          <w:tcPr>
            <w:tcW w:w="1702" w:type="dxa"/>
            <w:tcMar>
              <w:left w:w="0" w:type="dxa"/>
              <w:right w:w="142" w:type="dxa"/>
            </w:tcMar>
            <w:vAlign w:val="bottom"/>
          </w:tcPr>
          <w:p w14:paraId="7A2A6543" w14:textId="77777777" w:rsidR="00787152" w:rsidRPr="002D1F09" w:rsidRDefault="00787152" w:rsidP="00787152">
            <w:pPr>
              <w:ind w:left="-19" w:right="-109"/>
              <w:jc w:val="right"/>
              <w:rPr>
                <w:rFonts w:eastAsia="Times New Roman" w:cstheme="minorHAnsi"/>
                <w:sz w:val="20"/>
                <w:szCs w:val="20"/>
                <w:lang w:val="en-GB" w:eastAsia="en-GB"/>
              </w:rPr>
            </w:pPr>
          </w:p>
        </w:tc>
      </w:tr>
      <w:tr w:rsidR="002D1F09" w:rsidRPr="002D1F09" w14:paraId="304009E1" w14:textId="77777777" w:rsidTr="00A7589C">
        <w:tc>
          <w:tcPr>
            <w:tcW w:w="3256" w:type="dxa"/>
            <w:shd w:val="clear" w:color="auto" w:fill="auto"/>
            <w:tcMar>
              <w:left w:w="28" w:type="dxa"/>
              <w:right w:w="28" w:type="dxa"/>
            </w:tcMar>
            <w:vAlign w:val="bottom"/>
          </w:tcPr>
          <w:p w14:paraId="6E3BB33E" w14:textId="77777777" w:rsidR="00787152" w:rsidRPr="002D1F09" w:rsidRDefault="00787152" w:rsidP="00787152">
            <w:pPr>
              <w:ind w:left="252"/>
              <w:rPr>
                <w:rFonts w:cstheme="minorHAnsi"/>
                <w:sz w:val="20"/>
                <w:szCs w:val="20"/>
              </w:rPr>
            </w:pPr>
            <w:r w:rsidRPr="002D1F09">
              <w:rPr>
                <w:rFonts w:cstheme="minorHAnsi"/>
                <w:sz w:val="20"/>
                <w:szCs w:val="20"/>
              </w:rPr>
              <w:t>2002-2010</w:t>
            </w:r>
          </w:p>
        </w:tc>
        <w:tc>
          <w:tcPr>
            <w:tcW w:w="708" w:type="dxa"/>
            <w:vAlign w:val="center"/>
          </w:tcPr>
          <w:p w14:paraId="03585540" w14:textId="77777777" w:rsidR="00787152" w:rsidRPr="002D1F09" w:rsidRDefault="00787152" w:rsidP="00787152">
            <w:pPr>
              <w:ind w:left="-19" w:right="-109"/>
              <w:jc w:val="right"/>
              <w:rPr>
                <w:rFonts w:cstheme="minorHAnsi"/>
                <w:sz w:val="20"/>
                <w:szCs w:val="20"/>
              </w:rPr>
            </w:pPr>
            <w:r w:rsidRPr="002D1F09">
              <w:rPr>
                <w:rFonts w:eastAsia="Times New Roman" w:cstheme="minorHAnsi"/>
                <w:sz w:val="20"/>
                <w:szCs w:val="20"/>
                <w:lang w:val="en-GB" w:eastAsia="en-GB"/>
              </w:rPr>
              <w:t>36</w:t>
            </w:r>
          </w:p>
        </w:tc>
        <w:tc>
          <w:tcPr>
            <w:tcW w:w="283" w:type="dxa"/>
          </w:tcPr>
          <w:p w14:paraId="6ECB3850" w14:textId="77777777" w:rsidR="00787152" w:rsidRPr="002D1F09" w:rsidRDefault="00787152" w:rsidP="00787152">
            <w:pPr>
              <w:jc w:val="right"/>
              <w:rPr>
                <w:rFonts w:cstheme="minorHAnsi"/>
                <w:sz w:val="20"/>
                <w:szCs w:val="20"/>
              </w:rPr>
            </w:pPr>
          </w:p>
        </w:tc>
        <w:tc>
          <w:tcPr>
            <w:tcW w:w="709" w:type="dxa"/>
            <w:shd w:val="clear" w:color="auto" w:fill="auto"/>
            <w:tcMar>
              <w:left w:w="0" w:type="dxa"/>
              <w:right w:w="142" w:type="dxa"/>
            </w:tcMar>
            <w:vAlign w:val="bottom"/>
          </w:tcPr>
          <w:p w14:paraId="053C3A85" w14:textId="77777777" w:rsidR="00787152" w:rsidRPr="002D1F09" w:rsidRDefault="00787152" w:rsidP="00787152">
            <w:pPr>
              <w:jc w:val="right"/>
              <w:rPr>
                <w:rFonts w:cstheme="minorHAnsi"/>
                <w:sz w:val="20"/>
                <w:szCs w:val="20"/>
              </w:rPr>
            </w:pPr>
            <w:r w:rsidRPr="002D1F09">
              <w:rPr>
                <w:rFonts w:cstheme="minorHAnsi"/>
                <w:sz w:val="20"/>
                <w:szCs w:val="20"/>
              </w:rPr>
              <w:t>-14.8</w:t>
            </w:r>
          </w:p>
        </w:tc>
        <w:tc>
          <w:tcPr>
            <w:tcW w:w="1559" w:type="dxa"/>
            <w:shd w:val="clear" w:color="auto" w:fill="auto"/>
            <w:tcMar>
              <w:left w:w="0" w:type="dxa"/>
              <w:right w:w="142" w:type="dxa"/>
            </w:tcMar>
            <w:vAlign w:val="bottom"/>
          </w:tcPr>
          <w:p w14:paraId="729DB1B1" w14:textId="77777777" w:rsidR="00787152" w:rsidRPr="002D1F09" w:rsidRDefault="00787152" w:rsidP="00787152">
            <w:pPr>
              <w:jc w:val="right"/>
              <w:rPr>
                <w:rFonts w:cstheme="minorHAnsi"/>
                <w:sz w:val="20"/>
                <w:szCs w:val="20"/>
              </w:rPr>
            </w:pPr>
            <w:r w:rsidRPr="002D1F09">
              <w:rPr>
                <w:rFonts w:cstheme="minorHAnsi"/>
                <w:sz w:val="20"/>
                <w:szCs w:val="20"/>
              </w:rPr>
              <w:t>-19.9, -9.3</w:t>
            </w:r>
          </w:p>
        </w:tc>
        <w:tc>
          <w:tcPr>
            <w:tcW w:w="236" w:type="dxa"/>
          </w:tcPr>
          <w:p w14:paraId="26B6C80A" w14:textId="77777777" w:rsidR="00787152" w:rsidRPr="002D1F09" w:rsidRDefault="00787152" w:rsidP="00787152">
            <w:pPr>
              <w:jc w:val="right"/>
              <w:rPr>
                <w:rFonts w:cstheme="minorHAnsi"/>
                <w:sz w:val="20"/>
                <w:szCs w:val="20"/>
              </w:rPr>
            </w:pPr>
          </w:p>
        </w:tc>
        <w:tc>
          <w:tcPr>
            <w:tcW w:w="756" w:type="dxa"/>
            <w:vAlign w:val="bottom"/>
          </w:tcPr>
          <w:p w14:paraId="4D250179" w14:textId="77777777" w:rsidR="00787152" w:rsidRPr="002D1F09" w:rsidRDefault="00787152" w:rsidP="00787152">
            <w:pPr>
              <w:jc w:val="right"/>
              <w:rPr>
                <w:rFonts w:cstheme="minorHAnsi"/>
                <w:sz w:val="20"/>
                <w:szCs w:val="20"/>
              </w:rPr>
            </w:pPr>
            <w:r w:rsidRPr="002D1F09">
              <w:rPr>
                <w:rFonts w:cstheme="minorHAnsi"/>
                <w:sz w:val="20"/>
                <w:szCs w:val="20"/>
              </w:rPr>
              <w:t>-19.2</w:t>
            </w:r>
          </w:p>
        </w:tc>
        <w:tc>
          <w:tcPr>
            <w:tcW w:w="1702" w:type="dxa"/>
            <w:shd w:val="clear" w:color="auto" w:fill="auto"/>
            <w:tcMar>
              <w:left w:w="0" w:type="dxa"/>
              <w:right w:w="142" w:type="dxa"/>
            </w:tcMar>
            <w:vAlign w:val="bottom"/>
          </w:tcPr>
          <w:p w14:paraId="1FB650A2" w14:textId="77777777" w:rsidR="00787152" w:rsidRPr="002D1F09" w:rsidRDefault="00787152" w:rsidP="00787152">
            <w:pPr>
              <w:jc w:val="right"/>
              <w:rPr>
                <w:rFonts w:cstheme="minorHAnsi"/>
                <w:sz w:val="20"/>
                <w:szCs w:val="20"/>
              </w:rPr>
            </w:pPr>
            <w:r w:rsidRPr="002D1F09">
              <w:rPr>
                <w:rFonts w:cstheme="minorHAnsi"/>
                <w:sz w:val="20"/>
                <w:szCs w:val="20"/>
              </w:rPr>
              <w:t>-32.6, -3.2</w:t>
            </w:r>
          </w:p>
        </w:tc>
      </w:tr>
      <w:tr w:rsidR="002D1F09" w:rsidRPr="002D1F09" w14:paraId="50FA74EA" w14:textId="77777777" w:rsidTr="00A7589C">
        <w:tc>
          <w:tcPr>
            <w:tcW w:w="3256" w:type="dxa"/>
            <w:shd w:val="clear" w:color="auto" w:fill="auto"/>
            <w:tcMar>
              <w:left w:w="28" w:type="dxa"/>
              <w:right w:w="28" w:type="dxa"/>
            </w:tcMar>
            <w:vAlign w:val="bottom"/>
          </w:tcPr>
          <w:p w14:paraId="23C7CAF7" w14:textId="77777777" w:rsidR="00787152" w:rsidRPr="002D1F09" w:rsidRDefault="00787152" w:rsidP="00787152">
            <w:pPr>
              <w:ind w:left="252"/>
              <w:rPr>
                <w:rFonts w:cstheme="minorHAnsi"/>
                <w:sz w:val="20"/>
                <w:szCs w:val="20"/>
              </w:rPr>
            </w:pPr>
            <w:r w:rsidRPr="002D1F09">
              <w:rPr>
                <w:rFonts w:cstheme="minorHAnsi"/>
                <w:sz w:val="20"/>
                <w:szCs w:val="20"/>
              </w:rPr>
              <w:t>2011-2019</w:t>
            </w:r>
          </w:p>
        </w:tc>
        <w:tc>
          <w:tcPr>
            <w:tcW w:w="708" w:type="dxa"/>
            <w:vAlign w:val="center"/>
          </w:tcPr>
          <w:p w14:paraId="42C2317C" w14:textId="77777777" w:rsidR="00787152" w:rsidRPr="002D1F09" w:rsidRDefault="00787152" w:rsidP="00787152">
            <w:pPr>
              <w:ind w:left="-19" w:right="-109"/>
              <w:jc w:val="right"/>
              <w:rPr>
                <w:rFonts w:cstheme="minorHAnsi"/>
                <w:sz w:val="20"/>
                <w:szCs w:val="20"/>
              </w:rPr>
            </w:pPr>
            <w:r w:rsidRPr="002D1F09">
              <w:rPr>
                <w:rFonts w:eastAsia="Times New Roman" w:cstheme="minorHAnsi"/>
                <w:sz w:val="20"/>
                <w:szCs w:val="20"/>
                <w:lang w:val="en-GB" w:eastAsia="en-GB"/>
              </w:rPr>
              <w:t>36</w:t>
            </w:r>
          </w:p>
        </w:tc>
        <w:tc>
          <w:tcPr>
            <w:tcW w:w="283" w:type="dxa"/>
          </w:tcPr>
          <w:p w14:paraId="2EF12E07" w14:textId="77777777" w:rsidR="00787152" w:rsidRPr="002D1F09" w:rsidRDefault="00787152" w:rsidP="00787152">
            <w:pPr>
              <w:jc w:val="right"/>
              <w:rPr>
                <w:rFonts w:cstheme="minorHAnsi"/>
                <w:sz w:val="20"/>
                <w:szCs w:val="20"/>
              </w:rPr>
            </w:pPr>
          </w:p>
        </w:tc>
        <w:tc>
          <w:tcPr>
            <w:tcW w:w="709" w:type="dxa"/>
            <w:shd w:val="clear" w:color="auto" w:fill="auto"/>
            <w:tcMar>
              <w:left w:w="0" w:type="dxa"/>
              <w:right w:w="142" w:type="dxa"/>
            </w:tcMar>
            <w:vAlign w:val="bottom"/>
          </w:tcPr>
          <w:p w14:paraId="757F7D0F" w14:textId="77777777" w:rsidR="00787152" w:rsidRPr="002D1F09" w:rsidRDefault="00787152" w:rsidP="00787152">
            <w:pPr>
              <w:jc w:val="right"/>
              <w:rPr>
                <w:rFonts w:cstheme="minorHAnsi"/>
                <w:sz w:val="20"/>
                <w:szCs w:val="20"/>
              </w:rPr>
            </w:pPr>
            <w:r w:rsidRPr="002D1F09">
              <w:rPr>
                <w:rFonts w:cstheme="minorHAnsi"/>
                <w:sz w:val="20"/>
                <w:szCs w:val="20"/>
              </w:rPr>
              <w:t>5.8</w:t>
            </w:r>
          </w:p>
        </w:tc>
        <w:tc>
          <w:tcPr>
            <w:tcW w:w="1559" w:type="dxa"/>
            <w:shd w:val="clear" w:color="auto" w:fill="auto"/>
            <w:tcMar>
              <w:left w:w="0" w:type="dxa"/>
              <w:right w:w="142" w:type="dxa"/>
            </w:tcMar>
            <w:vAlign w:val="bottom"/>
          </w:tcPr>
          <w:p w14:paraId="36EDA355" w14:textId="77777777" w:rsidR="00787152" w:rsidRPr="002D1F09" w:rsidRDefault="00787152" w:rsidP="00787152">
            <w:pPr>
              <w:jc w:val="right"/>
              <w:rPr>
                <w:rFonts w:cstheme="minorHAnsi"/>
                <w:sz w:val="20"/>
                <w:szCs w:val="20"/>
              </w:rPr>
            </w:pPr>
            <w:r w:rsidRPr="002D1F09">
              <w:rPr>
                <w:rFonts w:cstheme="minorHAnsi"/>
                <w:sz w:val="20"/>
                <w:szCs w:val="20"/>
              </w:rPr>
              <w:t>2.5, 9.2</w:t>
            </w:r>
          </w:p>
        </w:tc>
        <w:tc>
          <w:tcPr>
            <w:tcW w:w="236" w:type="dxa"/>
          </w:tcPr>
          <w:p w14:paraId="559FC985" w14:textId="77777777" w:rsidR="00787152" w:rsidRPr="002D1F09" w:rsidRDefault="00787152" w:rsidP="00787152">
            <w:pPr>
              <w:jc w:val="right"/>
              <w:rPr>
                <w:rFonts w:cstheme="minorHAnsi"/>
                <w:sz w:val="20"/>
                <w:szCs w:val="20"/>
              </w:rPr>
            </w:pPr>
          </w:p>
        </w:tc>
        <w:tc>
          <w:tcPr>
            <w:tcW w:w="756" w:type="dxa"/>
            <w:vAlign w:val="bottom"/>
          </w:tcPr>
          <w:p w14:paraId="6E02E4C1" w14:textId="77777777" w:rsidR="00787152" w:rsidRPr="002D1F09" w:rsidRDefault="00787152" w:rsidP="00787152">
            <w:pPr>
              <w:jc w:val="right"/>
              <w:rPr>
                <w:rFonts w:cstheme="minorHAnsi"/>
                <w:sz w:val="20"/>
                <w:szCs w:val="20"/>
              </w:rPr>
            </w:pPr>
            <w:r w:rsidRPr="002D1F09">
              <w:rPr>
                <w:rFonts w:cstheme="minorHAnsi"/>
                <w:sz w:val="20"/>
                <w:szCs w:val="20"/>
              </w:rPr>
              <w:t>4.8</w:t>
            </w:r>
          </w:p>
        </w:tc>
        <w:tc>
          <w:tcPr>
            <w:tcW w:w="1702" w:type="dxa"/>
            <w:shd w:val="clear" w:color="auto" w:fill="auto"/>
            <w:tcMar>
              <w:left w:w="0" w:type="dxa"/>
              <w:right w:w="142" w:type="dxa"/>
            </w:tcMar>
            <w:vAlign w:val="bottom"/>
          </w:tcPr>
          <w:p w14:paraId="000EC078" w14:textId="77777777" w:rsidR="00787152" w:rsidRPr="002D1F09" w:rsidRDefault="00787152" w:rsidP="00787152">
            <w:pPr>
              <w:jc w:val="right"/>
              <w:rPr>
                <w:rFonts w:cstheme="minorHAnsi"/>
                <w:sz w:val="20"/>
                <w:szCs w:val="20"/>
              </w:rPr>
            </w:pPr>
            <w:r w:rsidRPr="002D1F09">
              <w:rPr>
                <w:rFonts w:cstheme="minorHAnsi"/>
                <w:sz w:val="20"/>
                <w:szCs w:val="20"/>
              </w:rPr>
              <w:t>0.8, 9.0</w:t>
            </w:r>
          </w:p>
        </w:tc>
      </w:tr>
      <w:tr w:rsidR="002D1F09" w:rsidRPr="002D1F09" w14:paraId="505D54EC" w14:textId="77777777" w:rsidTr="00A7589C">
        <w:tc>
          <w:tcPr>
            <w:tcW w:w="3256" w:type="dxa"/>
            <w:shd w:val="clear" w:color="auto" w:fill="auto"/>
            <w:tcMar>
              <w:left w:w="28" w:type="dxa"/>
              <w:right w:w="28" w:type="dxa"/>
            </w:tcMar>
            <w:vAlign w:val="bottom"/>
          </w:tcPr>
          <w:p w14:paraId="33640D20" w14:textId="77777777" w:rsidR="00787152" w:rsidRPr="002D1F09" w:rsidRDefault="00787152" w:rsidP="00787152">
            <w:pPr>
              <w:ind w:left="252"/>
              <w:rPr>
                <w:rFonts w:cstheme="minorHAnsi"/>
                <w:sz w:val="20"/>
                <w:szCs w:val="20"/>
              </w:rPr>
            </w:pPr>
            <w:r w:rsidRPr="002D1F09">
              <w:rPr>
                <w:rFonts w:cstheme="minorHAnsi"/>
                <w:sz w:val="20"/>
                <w:szCs w:val="20"/>
              </w:rPr>
              <w:t>Total</w:t>
            </w:r>
          </w:p>
        </w:tc>
        <w:tc>
          <w:tcPr>
            <w:tcW w:w="708" w:type="dxa"/>
            <w:vAlign w:val="center"/>
          </w:tcPr>
          <w:p w14:paraId="20585D1E" w14:textId="77777777" w:rsidR="00787152" w:rsidRPr="002D1F09" w:rsidRDefault="00787152" w:rsidP="00787152">
            <w:pPr>
              <w:ind w:left="-19" w:right="-109"/>
              <w:jc w:val="right"/>
              <w:rPr>
                <w:rFonts w:cstheme="minorHAnsi"/>
                <w:sz w:val="20"/>
                <w:szCs w:val="20"/>
              </w:rPr>
            </w:pPr>
            <w:r w:rsidRPr="002D1F09">
              <w:rPr>
                <w:rFonts w:cstheme="minorHAnsi"/>
                <w:sz w:val="20"/>
                <w:szCs w:val="20"/>
              </w:rPr>
              <w:t>72</w:t>
            </w:r>
          </w:p>
        </w:tc>
        <w:tc>
          <w:tcPr>
            <w:tcW w:w="283" w:type="dxa"/>
          </w:tcPr>
          <w:p w14:paraId="78F90F3A" w14:textId="77777777" w:rsidR="00787152" w:rsidRPr="002D1F09" w:rsidRDefault="00787152" w:rsidP="00787152">
            <w:pPr>
              <w:jc w:val="right"/>
              <w:rPr>
                <w:rFonts w:cstheme="minorHAnsi"/>
                <w:sz w:val="20"/>
                <w:szCs w:val="20"/>
              </w:rPr>
            </w:pPr>
          </w:p>
        </w:tc>
        <w:tc>
          <w:tcPr>
            <w:tcW w:w="709" w:type="dxa"/>
            <w:shd w:val="clear" w:color="auto" w:fill="auto"/>
            <w:tcMar>
              <w:left w:w="0" w:type="dxa"/>
              <w:right w:w="142" w:type="dxa"/>
            </w:tcMar>
            <w:vAlign w:val="bottom"/>
          </w:tcPr>
          <w:p w14:paraId="05CA2148" w14:textId="77777777" w:rsidR="00787152" w:rsidRPr="002D1F09" w:rsidRDefault="00787152" w:rsidP="00787152">
            <w:pPr>
              <w:jc w:val="right"/>
              <w:rPr>
                <w:rFonts w:cstheme="minorHAnsi"/>
                <w:sz w:val="20"/>
                <w:szCs w:val="20"/>
              </w:rPr>
            </w:pPr>
            <w:r w:rsidRPr="002D1F09">
              <w:rPr>
                <w:rFonts w:cstheme="minorHAnsi"/>
                <w:sz w:val="20"/>
                <w:szCs w:val="20"/>
              </w:rPr>
              <w:t>-3.6</w:t>
            </w:r>
          </w:p>
        </w:tc>
        <w:tc>
          <w:tcPr>
            <w:tcW w:w="1559" w:type="dxa"/>
            <w:shd w:val="clear" w:color="auto" w:fill="auto"/>
            <w:tcMar>
              <w:left w:w="0" w:type="dxa"/>
              <w:right w:w="142" w:type="dxa"/>
            </w:tcMar>
            <w:vAlign w:val="bottom"/>
          </w:tcPr>
          <w:p w14:paraId="366B685A" w14:textId="77777777" w:rsidR="00787152" w:rsidRPr="002D1F09" w:rsidRDefault="00787152" w:rsidP="00787152">
            <w:pPr>
              <w:jc w:val="right"/>
              <w:rPr>
                <w:rFonts w:cstheme="minorHAnsi"/>
                <w:sz w:val="20"/>
                <w:szCs w:val="20"/>
              </w:rPr>
            </w:pPr>
            <w:r w:rsidRPr="002D1F09">
              <w:rPr>
                <w:rFonts w:cstheme="minorHAnsi"/>
                <w:sz w:val="20"/>
                <w:szCs w:val="20"/>
              </w:rPr>
              <w:t>-5.2, -2.0</w:t>
            </w:r>
          </w:p>
        </w:tc>
        <w:tc>
          <w:tcPr>
            <w:tcW w:w="236" w:type="dxa"/>
          </w:tcPr>
          <w:p w14:paraId="518F0A14" w14:textId="77777777" w:rsidR="00787152" w:rsidRPr="002D1F09" w:rsidRDefault="00787152" w:rsidP="00787152">
            <w:pPr>
              <w:jc w:val="right"/>
              <w:rPr>
                <w:rFonts w:cstheme="minorHAnsi"/>
                <w:sz w:val="20"/>
                <w:szCs w:val="20"/>
              </w:rPr>
            </w:pPr>
          </w:p>
        </w:tc>
        <w:tc>
          <w:tcPr>
            <w:tcW w:w="756" w:type="dxa"/>
            <w:vAlign w:val="bottom"/>
          </w:tcPr>
          <w:p w14:paraId="778282BF" w14:textId="77777777" w:rsidR="00787152" w:rsidRPr="002D1F09" w:rsidRDefault="00787152" w:rsidP="00787152">
            <w:pPr>
              <w:jc w:val="right"/>
              <w:rPr>
                <w:rFonts w:cstheme="minorHAnsi"/>
                <w:sz w:val="20"/>
                <w:szCs w:val="20"/>
              </w:rPr>
            </w:pPr>
            <w:r w:rsidRPr="002D1F09">
              <w:rPr>
                <w:rFonts w:cstheme="minorHAnsi"/>
                <w:sz w:val="20"/>
                <w:szCs w:val="20"/>
              </w:rPr>
              <w:t>-4.5</w:t>
            </w:r>
          </w:p>
        </w:tc>
        <w:tc>
          <w:tcPr>
            <w:tcW w:w="1702" w:type="dxa"/>
            <w:shd w:val="clear" w:color="auto" w:fill="auto"/>
            <w:tcMar>
              <w:left w:w="0" w:type="dxa"/>
              <w:right w:w="142" w:type="dxa"/>
            </w:tcMar>
            <w:vAlign w:val="bottom"/>
          </w:tcPr>
          <w:p w14:paraId="64DEBF4A" w14:textId="77777777" w:rsidR="00787152" w:rsidRPr="002D1F09" w:rsidRDefault="00787152" w:rsidP="00787152">
            <w:pPr>
              <w:jc w:val="right"/>
              <w:rPr>
                <w:rFonts w:cstheme="minorHAnsi"/>
                <w:sz w:val="20"/>
                <w:szCs w:val="20"/>
              </w:rPr>
            </w:pPr>
            <w:r w:rsidRPr="002D1F09">
              <w:rPr>
                <w:rFonts w:cstheme="minorHAnsi"/>
                <w:sz w:val="20"/>
                <w:szCs w:val="20"/>
              </w:rPr>
              <w:t>-8.3, -0.5</w:t>
            </w:r>
          </w:p>
        </w:tc>
      </w:tr>
      <w:tr w:rsidR="002D1F09" w:rsidRPr="002D1F09" w14:paraId="27D5D5B1" w14:textId="77777777" w:rsidTr="00A7589C">
        <w:tc>
          <w:tcPr>
            <w:tcW w:w="3256" w:type="dxa"/>
            <w:tcMar>
              <w:left w:w="28" w:type="dxa"/>
              <w:right w:w="28" w:type="dxa"/>
            </w:tcMar>
            <w:vAlign w:val="center"/>
          </w:tcPr>
          <w:p w14:paraId="278FAFD0" w14:textId="77777777" w:rsidR="00787152" w:rsidRPr="002D1F09" w:rsidRDefault="00787152" w:rsidP="00787152">
            <w:pPr>
              <w:ind w:left="110" w:right="-109"/>
              <w:rPr>
                <w:rFonts w:cstheme="minorHAnsi"/>
                <w:b/>
                <w:sz w:val="20"/>
                <w:szCs w:val="20"/>
                <w:lang w:val="en-GB"/>
              </w:rPr>
            </w:pPr>
            <w:proofErr w:type="gramStart"/>
            <w:r w:rsidRPr="002D1F09">
              <w:rPr>
                <w:rFonts w:cstheme="minorHAnsi"/>
                <w:b/>
                <w:sz w:val="20"/>
                <w:szCs w:val="20"/>
                <w:lang w:val="en-GB"/>
              </w:rPr>
              <w:t>0-1-2-3 year</w:t>
            </w:r>
            <w:proofErr w:type="gramEnd"/>
            <w:r w:rsidRPr="002D1F09">
              <w:rPr>
                <w:rFonts w:cstheme="minorHAnsi"/>
                <w:b/>
                <w:sz w:val="20"/>
                <w:szCs w:val="20"/>
                <w:lang w:val="en-GB"/>
              </w:rPr>
              <w:t xml:space="preserve"> lag mean</w:t>
            </w:r>
            <w:r w:rsidR="003C57E7" w:rsidRPr="002D1F09">
              <w:rPr>
                <w:rFonts w:cstheme="minorHAnsi"/>
                <w:b/>
                <w:sz w:val="20"/>
                <w:szCs w:val="20"/>
                <w:vertAlign w:val="superscript"/>
                <w:lang w:val="en-GB"/>
              </w:rPr>
              <w:t>5</w:t>
            </w:r>
          </w:p>
        </w:tc>
        <w:tc>
          <w:tcPr>
            <w:tcW w:w="708" w:type="dxa"/>
            <w:vAlign w:val="center"/>
          </w:tcPr>
          <w:p w14:paraId="4E587C61" w14:textId="77777777" w:rsidR="00787152" w:rsidRPr="002D1F09" w:rsidRDefault="00787152" w:rsidP="00787152">
            <w:pPr>
              <w:ind w:left="-19" w:right="-109"/>
              <w:jc w:val="right"/>
              <w:rPr>
                <w:rFonts w:eastAsia="Times New Roman" w:cstheme="minorHAnsi"/>
                <w:sz w:val="20"/>
                <w:szCs w:val="20"/>
                <w:lang w:val="en-GB" w:eastAsia="en-GB"/>
              </w:rPr>
            </w:pPr>
          </w:p>
        </w:tc>
        <w:tc>
          <w:tcPr>
            <w:tcW w:w="283" w:type="dxa"/>
          </w:tcPr>
          <w:p w14:paraId="33A86975" w14:textId="77777777" w:rsidR="00787152" w:rsidRPr="002D1F09" w:rsidRDefault="00787152" w:rsidP="00787152">
            <w:pPr>
              <w:ind w:left="-19" w:right="-109"/>
              <w:jc w:val="right"/>
              <w:rPr>
                <w:rFonts w:cstheme="minorHAnsi"/>
                <w:sz w:val="20"/>
                <w:szCs w:val="20"/>
                <w:lang w:val="en-GB"/>
              </w:rPr>
            </w:pPr>
          </w:p>
        </w:tc>
        <w:tc>
          <w:tcPr>
            <w:tcW w:w="709" w:type="dxa"/>
            <w:tcMar>
              <w:left w:w="0" w:type="dxa"/>
              <w:right w:w="142" w:type="dxa"/>
            </w:tcMar>
            <w:vAlign w:val="center"/>
          </w:tcPr>
          <w:p w14:paraId="5EE28DA3" w14:textId="77777777" w:rsidR="00787152" w:rsidRPr="002D1F09" w:rsidRDefault="00787152" w:rsidP="00787152">
            <w:pPr>
              <w:ind w:left="-19" w:right="-109"/>
              <w:jc w:val="right"/>
              <w:rPr>
                <w:rFonts w:cstheme="minorHAnsi"/>
                <w:sz w:val="20"/>
                <w:szCs w:val="20"/>
                <w:lang w:val="en-GB"/>
              </w:rPr>
            </w:pPr>
          </w:p>
        </w:tc>
        <w:tc>
          <w:tcPr>
            <w:tcW w:w="1559" w:type="dxa"/>
            <w:tcMar>
              <w:left w:w="0" w:type="dxa"/>
              <w:right w:w="142" w:type="dxa"/>
            </w:tcMar>
            <w:vAlign w:val="center"/>
          </w:tcPr>
          <w:p w14:paraId="346081C7" w14:textId="77777777" w:rsidR="00787152" w:rsidRPr="002D1F09" w:rsidRDefault="00787152" w:rsidP="00787152">
            <w:pPr>
              <w:ind w:left="-19"/>
              <w:jc w:val="right"/>
              <w:rPr>
                <w:rFonts w:cstheme="minorHAnsi"/>
                <w:sz w:val="20"/>
                <w:szCs w:val="20"/>
                <w:lang w:val="en-GB"/>
              </w:rPr>
            </w:pPr>
          </w:p>
        </w:tc>
        <w:tc>
          <w:tcPr>
            <w:tcW w:w="236" w:type="dxa"/>
          </w:tcPr>
          <w:p w14:paraId="755F87C8" w14:textId="77777777" w:rsidR="00787152" w:rsidRPr="002D1F09" w:rsidRDefault="00787152" w:rsidP="00787152">
            <w:pPr>
              <w:ind w:left="-19" w:right="-109"/>
              <w:jc w:val="right"/>
              <w:rPr>
                <w:rFonts w:cstheme="minorHAnsi"/>
                <w:b/>
                <w:sz w:val="20"/>
                <w:szCs w:val="20"/>
                <w:lang w:val="en-GB"/>
              </w:rPr>
            </w:pPr>
          </w:p>
        </w:tc>
        <w:tc>
          <w:tcPr>
            <w:tcW w:w="756" w:type="dxa"/>
            <w:vAlign w:val="bottom"/>
          </w:tcPr>
          <w:p w14:paraId="6CE8F159" w14:textId="77777777" w:rsidR="00787152" w:rsidRPr="002D1F09" w:rsidRDefault="00787152" w:rsidP="00787152">
            <w:pPr>
              <w:ind w:left="-19" w:right="-109"/>
              <w:jc w:val="right"/>
              <w:rPr>
                <w:rFonts w:eastAsia="Times New Roman" w:cstheme="minorHAnsi"/>
                <w:sz w:val="20"/>
                <w:szCs w:val="20"/>
                <w:lang w:val="en-GB" w:eastAsia="en-GB"/>
              </w:rPr>
            </w:pPr>
          </w:p>
        </w:tc>
        <w:tc>
          <w:tcPr>
            <w:tcW w:w="1702" w:type="dxa"/>
            <w:tcMar>
              <w:left w:w="0" w:type="dxa"/>
              <w:right w:w="142" w:type="dxa"/>
            </w:tcMar>
            <w:vAlign w:val="bottom"/>
          </w:tcPr>
          <w:p w14:paraId="3F7FE08A" w14:textId="77777777" w:rsidR="00787152" w:rsidRPr="002D1F09" w:rsidRDefault="00787152" w:rsidP="00787152">
            <w:pPr>
              <w:ind w:left="-19" w:right="-109"/>
              <w:jc w:val="right"/>
              <w:rPr>
                <w:rFonts w:eastAsia="Times New Roman" w:cstheme="minorHAnsi"/>
                <w:sz w:val="20"/>
                <w:szCs w:val="20"/>
                <w:lang w:val="en-GB" w:eastAsia="en-GB"/>
              </w:rPr>
            </w:pPr>
          </w:p>
        </w:tc>
      </w:tr>
      <w:tr w:rsidR="002D1F09" w:rsidRPr="002D1F09" w14:paraId="5FE4447F" w14:textId="77777777" w:rsidTr="00A7589C">
        <w:tc>
          <w:tcPr>
            <w:tcW w:w="3256" w:type="dxa"/>
            <w:tcMar>
              <w:left w:w="28" w:type="dxa"/>
              <w:right w:w="28" w:type="dxa"/>
            </w:tcMar>
            <w:vAlign w:val="bottom"/>
          </w:tcPr>
          <w:p w14:paraId="5173ACAF" w14:textId="77777777" w:rsidR="00787152" w:rsidRPr="002D1F09" w:rsidRDefault="00787152" w:rsidP="00787152">
            <w:pPr>
              <w:ind w:left="252"/>
              <w:rPr>
                <w:rFonts w:cstheme="minorHAnsi"/>
                <w:sz w:val="20"/>
                <w:szCs w:val="20"/>
              </w:rPr>
            </w:pPr>
            <w:r w:rsidRPr="002D1F09">
              <w:rPr>
                <w:rFonts w:cstheme="minorHAnsi"/>
                <w:sz w:val="20"/>
                <w:szCs w:val="20"/>
              </w:rPr>
              <w:t>2002-2010</w:t>
            </w:r>
          </w:p>
        </w:tc>
        <w:tc>
          <w:tcPr>
            <w:tcW w:w="708" w:type="dxa"/>
            <w:vAlign w:val="center"/>
          </w:tcPr>
          <w:p w14:paraId="5DB4970E" w14:textId="77777777" w:rsidR="00787152" w:rsidRPr="002D1F09" w:rsidRDefault="00787152" w:rsidP="00787152">
            <w:pPr>
              <w:ind w:left="-19" w:right="-109"/>
              <w:jc w:val="right"/>
              <w:rPr>
                <w:rFonts w:cstheme="minorHAnsi"/>
                <w:sz w:val="20"/>
                <w:szCs w:val="20"/>
              </w:rPr>
            </w:pPr>
            <w:r w:rsidRPr="002D1F09">
              <w:rPr>
                <w:rFonts w:eastAsia="Times New Roman" w:cstheme="minorHAnsi"/>
                <w:sz w:val="20"/>
                <w:szCs w:val="20"/>
                <w:lang w:val="en-GB" w:eastAsia="en-GB"/>
              </w:rPr>
              <w:t>36</w:t>
            </w:r>
          </w:p>
        </w:tc>
        <w:tc>
          <w:tcPr>
            <w:tcW w:w="283" w:type="dxa"/>
          </w:tcPr>
          <w:p w14:paraId="7413D9FC" w14:textId="77777777" w:rsidR="00787152" w:rsidRPr="002D1F09" w:rsidRDefault="00787152" w:rsidP="00787152">
            <w:pPr>
              <w:jc w:val="right"/>
              <w:rPr>
                <w:rFonts w:cstheme="minorHAnsi"/>
                <w:sz w:val="20"/>
                <w:szCs w:val="20"/>
              </w:rPr>
            </w:pPr>
          </w:p>
        </w:tc>
        <w:tc>
          <w:tcPr>
            <w:tcW w:w="709" w:type="dxa"/>
            <w:shd w:val="clear" w:color="auto" w:fill="auto"/>
            <w:tcMar>
              <w:left w:w="0" w:type="dxa"/>
              <w:right w:w="142" w:type="dxa"/>
            </w:tcMar>
            <w:vAlign w:val="bottom"/>
          </w:tcPr>
          <w:p w14:paraId="389E99F3" w14:textId="77777777" w:rsidR="00787152" w:rsidRPr="002D1F09" w:rsidRDefault="00787152" w:rsidP="00787152">
            <w:pPr>
              <w:jc w:val="right"/>
              <w:rPr>
                <w:rFonts w:cstheme="minorHAnsi"/>
                <w:sz w:val="20"/>
                <w:szCs w:val="20"/>
              </w:rPr>
            </w:pPr>
            <w:r w:rsidRPr="002D1F09">
              <w:rPr>
                <w:rFonts w:cstheme="minorHAnsi"/>
                <w:sz w:val="20"/>
                <w:szCs w:val="20"/>
              </w:rPr>
              <w:t>-14.9</w:t>
            </w:r>
          </w:p>
        </w:tc>
        <w:tc>
          <w:tcPr>
            <w:tcW w:w="1559" w:type="dxa"/>
            <w:shd w:val="clear" w:color="auto" w:fill="auto"/>
            <w:tcMar>
              <w:left w:w="0" w:type="dxa"/>
              <w:right w:w="142" w:type="dxa"/>
            </w:tcMar>
            <w:vAlign w:val="bottom"/>
          </w:tcPr>
          <w:p w14:paraId="3784CD6E" w14:textId="77777777" w:rsidR="00787152" w:rsidRPr="002D1F09" w:rsidRDefault="00787152" w:rsidP="00787152">
            <w:pPr>
              <w:jc w:val="right"/>
              <w:rPr>
                <w:rFonts w:cstheme="minorHAnsi"/>
                <w:sz w:val="20"/>
                <w:szCs w:val="20"/>
              </w:rPr>
            </w:pPr>
            <w:r w:rsidRPr="002D1F09">
              <w:rPr>
                <w:rFonts w:cstheme="minorHAnsi"/>
                <w:sz w:val="20"/>
                <w:szCs w:val="20"/>
              </w:rPr>
              <w:t>-21.2, -8.0</w:t>
            </w:r>
          </w:p>
        </w:tc>
        <w:tc>
          <w:tcPr>
            <w:tcW w:w="236" w:type="dxa"/>
          </w:tcPr>
          <w:p w14:paraId="7CC9B9BE" w14:textId="77777777" w:rsidR="00787152" w:rsidRPr="002D1F09" w:rsidRDefault="00787152" w:rsidP="00787152">
            <w:pPr>
              <w:jc w:val="right"/>
              <w:rPr>
                <w:rFonts w:cstheme="minorHAnsi"/>
                <w:sz w:val="20"/>
                <w:szCs w:val="20"/>
              </w:rPr>
            </w:pPr>
          </w:p>
        </w:tc>
        <w:tc>
          <w:tcPr>
            <w:tcW w:w="756" w:type="dxa"/>
            <w:vAlign w:val="bottom"/>
          </w:tcPr>
          <w:p w14:paraId="61E7A47C" w14:textId="77777777" w:rsidR="00787152" w:rsidRPr="002D1F09" w:rsidRDefault="00787152" w:rsidP="00787152">
            <w:pPr>
              <w:jc w:val="right"/>
              <w:rPr>
                <w:rFonts w:cstheme="minorHAnsi"/>
                <w:sz w:val="20"/>
                <w:szCs w:val="20"/>
              </w:rPr>
            </w:pPr>
            <w:r w:rsidRPr="002D1F09">
              <w:rPr>
                <w:rFonts w:cstheme="minorHAnsi"/>
                <w:sz w:val="20"/>
                <w:szCs w:val="20"/>
              </w:rPr>
              <w:t>-16.5</w:t>
            </w:r>
          </w:p>
        </w:tc>
        <w:tc>
          <w:tcPr>
            <w:tcW w:w="1702" w:type="dxa"/>
            <w:shd w:val="clear" w:color="auto" w:fill="auto"/>
            <w:tcMar>
              <w:left w:w="0" w:type="dxa"/>
              <w:right w:w="142" w:type="dxa"/>
            </w:tcMar>
            <w:vAlign w:val="bottom"/>
          </w:tcPr>
          <w:p w14:paraId="0E9E09A2" w14:textId="77777777" w:rsidR="00787152" w:rsidRPr="002D1F09" w:rsidRDefault="00787152" w:rsidP="00787152">
            <w:pPr>
              <w:jc w:val="right"/>
              <w:rPr>
                <w:rFonts w:cstheme="minorHAnsi"/>
                <w:sz w:val="20"/>
                <w:szCs w:val="20"/>
              </w:rPr>
            </w:pPr>
            <w:r w:rsidRPr="002D1F09">
              <w:rPr>
                <w:rFonts w:cstheme="minorHAnsi"/>
                <w:sz w:val="20"/>
                <w:szCs w:val="20"/>
              </w:rPr>
              <w:t>-22.9, -9.7</w:t>
            </w:r>
          </w:p>
        </w:tc>
      </w:tr>
      <w:tr w:rsidR="002D1F09" w:rsidRPr="002D1F09" w14:paraId="1F574D71" w14:textId="77777777" w:rsidTr="00A7589C">
        <w:tc>
          <w:tcPr>
            <w:tcW w:w="3256" w:type="dxa"/>
            <w:tcMar>
              <w:left w:w="28" w:type="dxa"/>
              <w:right w:w="28" w:type="dxa"/>
            </w:tcMar>
            <w:vAlign w:val="bottom"/>
          </w:tcPr>
          <w:p w14:paraId="5324A243" w14:textId="77777777" w:rsidR="00787152" w:rsidRPr="002D1F09" w:rsidRDefault="00787152" w:rsidP="00787152">
            <w:pPr>
              <w:ind w:left="252"/>
              <w:rPr>
                <w:rFonts w:cstheme="minorHAnsi"/>
                <w:sz w:val="20"/>
                <w:szCs w:val="20"/>
              </w:rPr>
            </w:pPr>
            <w:r w:rsidRPr="002D1F09">
              <w:rPr>
                <w:rFonts w:cstheme="minorHAnsi"/>
                <w:sz w:val="20"/>
                <w:szCs w:val="20"/>
              </w:rPr>
              <w:t>2011-2019</w:t>
            </w:r>
          </w:p>
        </w:tc>
        <w:tc>
          <w:tcPr>
            <w:tcW w:w="708" w:type="dxa"/>
            <w:vAlign w:val="center"/>
          </w:tcPr>
          <w:p w14:paraId="3F71D448" w14:textId="77777777" w:rsidR="00787152" w:rsidRPr="002D1F09" w:rsidRDefault="00787152" w:rsidP="00787152">
            <w:pPr>
              <w:ind w:left="-19" w:right="-109"/>
              <w:jc w:val="right"/>
              <w:rPr>
                <w:rFonts w:cstheme="minorHAnsi"/>
                <w:sz w:val="20"/>
                <w:szCs w:val="20"/>
              </w:rPr>
            </w:pPr>
            <w:r w:rsidRPr="002D1F09">
              <w:rPr>
                <w:rFonts w:eastAsia="Times New Roman" w:cstheme="minorHAnsi"/>
                <w:sz w:val="20"/>
                <w:szCs w:val="20"/>
                <w:lang w:val="en-GB" w:eastAsia="en-GB"/>
              </w:rPr>
              <w:t>36</w:t>
            </w:r>
          </w:p>
        </w:tc>
        <w:tc>
          <w:tcPr>
            <w:tcW w:w="283" w:type="dxa"/>
          </w:tcPr>
          <w:p w14:paraId="0CE9B63C" w14:textId="77777777" w:rsidR="00787152" w:rsidRPr="002D1F09" w:rsidRDefault="00787152" w:rsidP="00787152">
            <w:pPr>
              <w:jc w:val="right"/>
              <w:rPr>
                <w:rFonts w:cstheme="minorHAnsi"/>
                <w:sz w:val="20"/>
                <w:szCs w:val="20"/>
              </w:rPr>
            </w:pPr>
          </w:p>
        </w:tc>
        <w:tc>
          <w:tcPr>
            <w:tcW w:w="709" w:type="dxa"/>
            <w:shd w:val="clear" w:color="auto" w:fill="auto"/>
            <w:tcMar>
              <w:left w:w="0" w:type="dxa"/>
              <w:right w:w="142" w:type="dxa"/>
            </w:tcMar>
            <w:vAlign w:val="bottom"/>
          </w:tcPr>
          <w:p w14:paraId="7D00DABC" w14:textId="77777777" w:rsidR="00787152" w:rsidRPr="002D1F09" w:rsidRDefault="00787152" w:rsidP="00787152">
            <w:pPr>
              <w:jc w:val="right"/>
              <w:rPr>
                <w:rFonts w:cstheme="minorHAnsi"/>
                <w:sz w:val="20"/>
                <w:szCs w:val="20"/>
              </w:rPr>
            </w:pPr>
            <w:r w:rsidRPr="002D1F09">
              <w:rPr>
                <w:rFonts w:cstheme="minorHAnsi"/>
                <w:sz w:val="20"/>
                <w:szCs w:val="20"/>
              </w:rPr>
              <w:t>4.0</w:t>
            </w:r>
          </w:p>
        </w:tc>
        <w:tc>
          <w:tcPr>
            <w:tcW w:w="1559" w:type="dxa"/>
            <w:shd w:val="clear" w:color="auto" w:fill="auto"/>
            <w:tcMar>
              <w:left w:w="0" w:type="dxa"/>
              <w:right w:w="142" w:type="dxa"/>
            </w:tcMar>
            <w:vAlign w:val="bottom"/>
          </w:tcPr>
          <w:p w14:paraId="24D44E51" w14:textId="77777777" w:rsidR="00787152" w:rsidRPr="002D1F09" w:rsidRDefault="00787152" w:rsidP="00787152">
            <w:pPr>
              <w:jc w:val="right"/>
              <w:rPr>
                <w:rFonts w:cstheme="minorHAnsi"/>
                <w:sz w:val="20"/>
                <w:szCs w:val="20"/>
              </w:rPr>
            </w:pPr>
            <w:r w:rsidRPr="002D1F09">
              <w:rPr>
                <w:rFonts w:cstheme="minorHAnsi"/>
                <w:sz w:val="20"/>
                <w:szCs w:val="20"/>
              </w:rPr>
              <w:t>0.7, 7.5</w:t>
            </w:r>
          </w:p>
        </w:tc>
        <w:tc>
          <w:tcPr>
            <w:tcW w:w="236" w:type="dxa"/>
          </w:tcPr>
          <w:p w14:paraId="7FCD422D" w14:textId="77777777" w:rsidR="00787152" w:rsidRPr="002D1F09" w:rsidRDefault="00787152" w:rsidP="00787152">
            <w:pPr>
              <w:jc w:val="right"/>
              <w:rPr>
                <w:rFonts w:cstheme="minorHAnsi"/>
                <w:sz w:val="20"/>
                <w:szCs w:val="20"/>
              </w:rPr>
            </w:pPr>
          </w:p>
        </w:tc>
        <w:tc>
          <w:tcPr>
            <w:tcW w:w="756" w:type="dxa"/>
            <w:vAlign w:val="bottom"/>
          </w:tcPr>
          <w:p w14:paraId="0070C6DE" w14:textId="77777777" w:rsidR="00787152" w:rsidRPr="002D1F09" w:rsidRDefault="00787152" w:rsidP="00787152">
            <w:pPr>
              <w:jc w:val="right"/>
              <w:rPr>
                <w:rFonts w:cstheme="minorHAnsi"/>
                <w:sz w:val="20"/>
                <w:szCs w:val="20"/>
              </w:rPr>
            </w:pPr>
            <w:r w:rsidRPr="002D1F09">
              <w:rPr>
                <w:rFonts w:cstheme="minorHAnsi"/>
                <w:sz w:val="20"/>
                <w:szCs w:val="20"/>
              </w:rPr>
              <w:t>4.4</w:t>
            </w:r>
          </w:p>
        </w:tc>
        <w:tc>
          <w:tcPr>
            <w:tcW w:w="1702" w:type="dxa"/>
            <w:shd w:val="clear" w:color="auto" w:fill="auto"/>
            <w:tcMar>
              <w:left w:w="0" w:type="dxa"/>
              <w:right w:w="142" w:type="dxa"/>
            </w:tcMar>
            <w:vAlign w:val="bottom"/>
          </w:tcPr>
          <w:p w14:paraId="0189D259" w14:textId="77777777" w:rsidR="00787152" w:rsidRPr="002D1F09" w:rsidRDefault="00787152" w:rsidP="00787152">
            <w:pPr>
              <w:jc w:val="right"/>
              <w:rPr>
                <w:rFonts w:cstheme="minorHAnsi"/>
                <w:sz w:val="20"/>
                <w:szCs w:val="20"/>
              </w:rPr>
            </w:pPr>
            <w:r w:rsidRPr="002D1F09">
              <w:rPr>
                <w:rFonts w:cstheme="minorHAnsi"/>
                <w:sz w:val="20"/>
                <w:szCs w:val="20"/>
              </w:rPr>
              <w:t>-0.5, 9.4</w:t>
            </w:r>
          </w:p>
        </w:tc>
      </w:tr>
      <w:tr w:rsidR="002D1F09" w:rsidRPr="002D1F09" w14:paraId="5AC3CE16" w14:textId="77777777" w:rsidTr="00A7589C">
        <w:tc>
          <w:tcPr>
            <w:tcW w:w="3256" w:type="dxa"/>
            <w:tcMar>
              <w:left w:w="28" w:type="dxa"/>
              <w:right w:w="28" w:type="dxa"/>
            </w:tcMar>
            <w:vAlign w:val="bottom"/>
          </w:tcPr>
          <w:p w14:paraId="7342B45C" w14:textId="77777777" w:rsidR="00787152" w:rsidRPr="002D1F09" w:rsidRDefault="00787152" w:rsidP="00787152">
            <w:pPr>
              <w:ind w:left="252"/>
              <w:rPr>
                <w:rFonts w:cstheme="minorHAnsi"/>
                <w:sz w:val="20"/>
                <w:szCs w:val="20"/>
              </w:rPr>
            </w:pPr>
            <w:r w:rsidRPr="002D1F09">
              <w:rPr>
                <w:rFonts w:cstheme="minorHAnsi"/>
                <w:sz w:val="20"/>
                <w:szCs w:val="20"/>
              </w:rPr>
              <w:t>Total</w:t>
            </w:r>
          </w:p>
        </w:tc>
        <w:tc>
          <w:tcPr>
            <w:tcW w:w="708" w:type="dxa"/>
            <w:vAlign w:val="center"/>
          </w:tcPr>
          <w:p w14:paraId="610E29D7" w14:textId="77777777" w:rsidR="00787152" w:rsidRPr="002D1F09" w:rsidRDefault="00787152" w:rsidP="00787152">
            <w:pPr>
              <w:ind w:left="-19" w:right="-109"/>
              <w:jc w:val="right"/>
              <w:rPr>
                <w:rFonts w:cstheme="minorHAnsi"/>
                <w:sz w:val="20"/>
                <w:szCs w:val="20"/>
              </w:rPr>
            </w:pPr>
            <w:r w:rsidRPr="002D1F09">
              <w:rPr>
                <w:rFonts w:cstheme="minorHAnsi"/>
                <w:sz w:val="20"/>
                <w:szCs w:val="20"/>
              </w:rPr>
              <w:t>72</w:t>
            </w:r>
          </w:p>
        </w:tc>
        <w:tc>
          <w:tcPr>
            <w:tcW w:w="283" w:type="dxa"/>
          </w:tcPr>
          <w:p w14:paraId="7767FB70" w14:textId="77777777" w:rsidR="00787152" w:rsidRPr="002D1F09" w:rsidRDefault="00787152" w:rsidP="00787152">
            <w:pPr>
              <w:jc w:val="right"/>
              <w:rPr>
                <w:rFonts w:cstheme="minorHAnsi"/>
                <w:sz w:val="20"/>
                <w:szCs w:val="20"/>
              </w:rPr>
            </w:pPr>
          </w:p>
        </w:tc>
        <w:tc>
          <w:tcPr>
            <w:tcW w:w="709" w:type="dxa"/>
            <w:shd w:val="clear" w:color="auto" w:fill="auto"/>
            <w:tcMar>
              <w:left w:w="0" w:type="dxa"/>
              <w:right w:w="142" w:type="dxa"/>
            </w:tcMar>
            <w:vAlign w:val="bottom"/>
          </w:tcPr>
          <w:p w14:paraId="6B25EBD3" w14:textId="77777777" w:rsidR="00787152" w:rsidRPr="002D1F09" w:rsidRDefault="00787152" w:rsidP="00787152">
            <w:pPr>
              <w:jc w:val="right"/>
              <w:rPr>
                <w:rFonts w:cstheme="minorHAnsi"/>
                <w:sz w:val="20"/>
                <w:szCs w:val="20"/>
              </w:rPr>
            </w:pPr>
            <w:r w:rsidRPr="002D1F09">
              <w:rPr>
                <w:rFonts w:cstheme="minorHAnsi"/>
                <w:sz w:val="20"/>
                <w:szCs w:val="20"/>
              </w:rPr>
              <w:t>-1.8</w:t>
            </w:r>
          </w:p>
        </w:tc>
        <w:tc>
          <w:tcPr>
            <w:tcW w:w="1559" w:type="dxa"/>
            <w:shd w:val="clear" w:color="auto" w:fill="auto"/>
            <w:tcMar>
              <w:left w:w="0" w:type="dxa"/>
              <w:right w:w="142" w:type="dxa"/>
            </w:tcMar>
            <w:vAlign w:val="bottom"/>
          </w:tcPr>
          <w:p w14:paraId="28D4EC79" w14:textId="77777777" w:rsidR="00787152" w:rsidRPr="002D1F09" w:rsidRDefault="00787152" w:rsidP="00787152">
            <w:pPr>
              <w:jc w:val="right"/>
              <w:rPr>
                <w:rFonts w:cstheme="minorHAnsi"/>
                <w:sz w:val="20"/>
                <w:szCs w:val="20"/>
                <w:lang w:val="en-GB"/>
              </w:rPr>
            </w:pPr>
            <w:r w:rsidRPr="002D1F09">
              <w:rPr>
                <w:rFonts w:cstheme="minorHAnsi"/>
                <w:sz w:val="20"/>
                <w:szCs w:val="20"/>
                <w:lang w:val="en-GB"/>
              </w:rPr>
              <w:t>-2.7, -0.9</w:t>
            </w:r>
          </w:p>
        </w:tc>
        <w:tc>
          <w:tcPr>
            <w:tcW w:w="236" w:type="dxa"/>
          </w:tcPr>
          <w:p w14:paraId="0B80AA50" w14:textId="77777777" w:rsidR="00787152" w:rsidRPr="002D1F09" w:rsidRDefault="00787152" w:rsidP="00787152">
            <w:pPr>
              <w:jc w:val="right"/>
              <w:rPr>
                <w:rFonts w:cstheme="minorHAnsi"/>
                <w:sz w:val="20"/>
                <w:szCs w:val="20"/>
                <w:lang w:val="en-GB"/>
              </w:rPr>
            </w:pPr>
          </w:p>
        </w:tc>
        <w:tc>
          <w:tcPr>
            <w:tcW w:w="756" w:type="dxa"/>
            <w:vAlign w:val="bottom"/>
          </w:tcPr>
          <w:p w14:paraId="6212760F" w14:textId="77777777" w:rsidR="00787152" w:rsidRPr="002D1F09" w:rsidRDefault="00787152" w:rsidP="00787152">
            <w:pPr>
              <w:jc w:val="right"/>
              <w:rPr>
                <w:rFonts w:cstheme="minorHAnsi"/>
                <w:sz w:val="20"/>
                <w:szCs w:val="20"/>
              </w:rPr>
            </w:pPr>
            <w:r w:rsidRPr="002D1F09">
              <w:rPr>
                <w:rFonts w:cstheme="minorHAnsi"/>
                <w:sz w:val="20"/>
                <w:szCs w:val="20"/>
              </w:rPr>
              <w:t>-0.6</w:t>
            </w:r>
          </w:p>
        </w:tc>
        <w:tc>
          <w:tcPr>
            <w:tcW w:w="1702" w:type="dxa"/>
            <w:shd w:val="clear" w:color="auto" w:fill="auto"/>
            <w:tcMar>
              <w:left w:w="0" w:type="dxa"/>
              <w:right w:w="142" w:type="dxa"/>
            </w:tcMar>
            <w:vAlign w:val="bottom"/>
          </w:tcPr>
          <w:p w14:paraId="794803B9" w14:textId="77777777" w:rsidR="00787152" w:rsidRPr="002D1F09" w:rsidRDefault="00787152" w:rsidP="00787152">
            <w:pPr>
              <w:jc w:val="right"/>
              <w:rPr>
                <w:rFonts w:cstheme="minorHAnsi"/>
                <w:sz w:val="20"/>
                <w:szCs w:val="20"/>
              </w:rPr>
            </w:pPr>
            <w:r w:rsidRPr="002D1F09">
              <w:rPr>
                <w:rFonts w:cstheme="minorHAnsi"/>
                <w:sz w:val="20"/>
                <w:szCs w:val="20"/>
              </w:rPr>
              <w:t>-2.5, 1.4</w:t>
            </w:r>
          </w:p>
        </w:tc>
      </w:tr>
    </w:tbl>
    <w:p w14:paraId="24C601D4" w14:textId="77777777" w:rsidR="00787152" w:rsidRPr="002D1F09" w:rsidRDefault="00787152" w:rsidP="004318D6">
      <w:pPr>
        <w:spacing w:after="0" w:line="160" w:lineRule="exact"/>
        <w:ind w:right="142"/>
        <w:jc w:val="both"/>
        <w:rPr>
          <w:b/>
          <w:sz w:val="12"/>
          <w:szCs w:val="12"/>
          <w:lang w:val="en-GB"/>
        </w:rPr>
      </w:pPr>
    </w:p>
    <w:p w14:paraId="5B40E1B4" w14:textId="77777777" w:rsidR="00074B63" w:rsidRPr="002D1F09" w:rsidRDefault="00074B63" w:rsidP="004318D6">
      <w:pPr>
        <w:spacing w:after="0" w:line="160" w:lineRule="exact"/>
        <w:ind w:right="142"/>
        <w:jc w:val="both"/>
        <w:rPr>
          <w:sz w:val="16"/>
          <w:szCs w:val="16"/>
          <w:lang w:val="en-GB"/>
        </w:rPr>
      </w:pPr>
      <w:r w:rsidRPr="002D1F09">
        <w:rPr>
          <w:b/>
          <w:sz w:val="16"/>
          <w:szCs w:val="16"/>
          <w:lang w:val="en-GB"/>
        </w:rPr>
        <w:t>PC</w:t>
      </w:r>
      <w:r w:rsidRPr="002D1F09">
        <w:rPr>
          <w:sz w:val="16"/>
          <w:szCs w:val="16"/>
          <w:lang w:val="en-GB"/>
        </w:rPr>
        <w:t xml:space="preserve">: </w:t>
      </w:r>
      <w:r w:rsidR="004318D6" w:rsidRPr="002D1F09">
        <w:rPr>
          <w:sz w:val="16"/>
          <w:szCs w:val="16"/>
          <w:lang w:val="en-GB"/>
        </w:rPr>
        <w:t>Percent change in annual mortality rate</w:t>
      </w:r>
      <w:r w:rsidR="004318D6" w:rsidRPr="002D1F09">
        <w:rPr>
          <w:rFonts w:cstheme="minorHAnsi"/>
          <w:sz w:val="16"/>
          <w:szCs w:val="16"/>
          <w:lang w:val="en-GB"/>
        </w:rPr>
        <w:t xml:space="preserve"> (FE model) or ratio of interannual mortality rates (FD model) per one thousand US dollars increase in annual health spending (FE model) or interan</w:t>
      </w:r>
      <w:r w:rsidR="000E1275" w:rsidRPr="002D1F09">
        <w:rPr>
          <w:rFonts w:cstheme="minorHAnsi"/>
          <w:sz w:val="16"/>
          <w:szCs w:val="16"/>
          <w:lang w:val="en-GB"/>
        </w:rPr>
        <w:t>n</w:t>
      </w:r>
      <w:r w:rsidR="004318D6" w:rsidRPr="002D1F09">
        <w:rPr>
          <w:rFonts w:cstheme="minorHAnsi"/>
          <w:sz w:val="16"/>
          <w:szCs w:val="16"/>
          <w:lang w:val="en-GB"/>
        </w:rPr>
        <w:t>ual difference in health spending (FD model)</w:t>
      </w:r>
      <w:r w:rsidRPr="002D1F09">
        <w:rPr>
          <w:b/>
          <w:sz w:val="16"/>
          <w:szCs w:val="16"/>
          <w:lang w:val="en-GB"/>
        </w:rPr>
        <w:t>. 95%CI</w:t>
      </w:r>
      <w:r w:rsidRPr="002D1F09">
        <w:rPr>
          <w:sz w:val="16"/>
          <w:szCs w:val="16"/>
          <w:lang w:val="en-GB"/>
        </w:rPr>
        <w:t>: 95% confidence interval of PC.</w:t>
      </w:r>
      <w:r w:rsidR="004318D6" w:rsidRPr="002D1F09">
        <w:rPr>
          <w:b/>
          <w:sz w:val="16"/>
          <w:szCs w:val="16"/>
          <w:vertAlign w:val="superscript"/>
          <w:lang w:val="en-GB"/>
        </w:rPr>
        <w:t xml:space="preserve"> </w:t>
      </w:r>
      <w:r w:rsidR="00787152" w:rsidRPr="002D1F09">
        <w:rPr>
          <w:b/>
          <w:sz w:val="16"/>
          <w:szCs w:val="16"/>
          <w:vertAlign w:val="superscript"/>
          <w:lang w:val="en-GB"/>
        </w:rPr>
        <w:t>1</w:t>
      </w:r>
      <w:r w:rsidR="00787152" w:rsidRPr="002D1F09">
        <w:rPr>
          <w:sz w:val="16"/>
          <w:szCs w:val="16"/>
          <w:lang w:val="en-GB"/>
        </w:rPr>
        <w:t xml:space="preserve"> It refers to the number of points in the regression models.</w:t>
      </w:r>
      <w:r w:rsidR="00787152" w:rsidRPr="002D1F09">
        <w:rPr>
          <w:b/>
          <w:sz w:val="16"/>
          <w:szCs w:val="16"/>
          <w:vertAlign w:val="superscript"/>
          <w:lang w:val="en-GB"/>
        </w:rPr>
        <w:t xml:space="preserve"> </w:t>
      </w:r>
      <w:r w:rsidR="004318D6" w:rsidRPr="002D1F09">
        <w:rPr>
          <w:b/>
          <w:sz w:val="16"/>
          <w:szCs w:val="16"/>
          <w:vertAlign w:val="superscript"/>
          <w:lang w:val="en-GB"/>
        </w:rPr>
        <w:t xml:space="preserve">2 </w:t>
      </w:r>
      <w:r w:rsidR="004318D6" w:rsidRPr="002D1F09">
        <w:rPr>
          <w:sz w:val="16"/>
          <w:szCs w:val="16"/>
          <w:lang w:val="en-GB"/>
        </w:rPr>
        <w:t xml:space="preserve">Multiple linear regression of logarithm of age-standardized mortality rates on </w:t>
      </w:r>
      <w:r w:rsidR="000E1275" w:rsidRPr="002D1F09">
        <w:rPr>
          <w:sz w:val="16"/>
          <w:szCs w:val="16"/>
          <w:lang w:val="en-GB"/>
        </w:rPr>
        <w:t xml:space="preserve">government health spending in </w:t>
      </w:r>
      <w:proofErr w:type="gramStart"/>
      <w:r w:rsidR="000E1275" w:rsidRPr="002D1F09">
        <w:rPr>
          <w:sz w:val="16"/>
          <w:szCs w:val="16"/>
          <w:lang w:val="en-GB"/>
        </w:rPr>
        <w:t>thousands</w:t>
      </w:r>
      <w:proofErr w:type="gramEnd"/>
      <w:r w:rsidR="000E1275" w:rsidRPr="002D1F09">
        <w:rPr>
          <w:sz w:val="16"/>
          <w:szCs w:val="16"/>
          <w:lang w:val="en-GB"/>
        </w:rPr>
        <w:t xml:space="preserve"> of 2015 US dollars per capita</w:t>
      </w:r>
      <w:r w:rsidR="004318D6" w:rsidRPr="002D1F09">
        <w:rPr>
          <w:rFonts w:cstheme="minorHAnsi"/>
          <w:sz w:val="16"/>
          <w:szCs w:val="16"/>
          <w:lang w:val="en-GB"/>
        </w:rPr>
        <w:t xml:space="preserve">, adjusting for country, year as a restricted cubic spline and other covariates, as heatwave, </w:t>
      </w:r>
      <w:proofErr w:type="spellStart"/>
      <w:r w:rsidR="004318D6" w:rsidRPr="002D1F09">
        <w:rPr>
          <w:rFonts w:cstheme="minorHAnsi"/>
          <w:sz w:val="16"/>
          <w:szCs w:val="16"/>
          <w:lang w:val="en-GB"/>
        </w:rPr>
        <w:t>coldwave</w:t>
      </w:r>
      <w:proofErr w:type="spellEnd"/>
      <w:r w:rsidR="004318D6" w:rsidRPr="002D1F09">
        <w:rPr>
          <w:rFonts w:cstheme="minorHAnsi"/>
          <w:sz w:val="16"/>
          <w:szCs w:val="16"/>
          <w:lang w:val="en-GB"/>
        </w:rPr>
        <w:t>, influenza activity, real G</w:t>
      </w:r>
      <w:r w:rsidR="000E1275" w:rsidRPr="002D1F09">
        <w:rPr>
          <w:rFonts w:cstheme="minorHAnsi"/>
          <w:sz w:val="16"/>
          <w:szCs w:val="16"/>
          <w:lang w:val="en-GB"/>
        </w:rPr>
        <w:t>ross Domestic Product –G</w:t>
      </w:r>
      <w:r w:rsidR="004318D6" w:rsidRPr="002D1F09">
        <w:rPr>
          <w:rFonts w:cstheme="minorHAnsi"/>
          <w:sz w:val="16"/>
          <w:szCs w:val="16"/>
          <w:lang w:val="en-GB"/>
        </w:rPr>
        <w:t>DP</w:t>
      </w:r>
      <w:r w:rsidR="000E1275" w:rsidRPr="002D1F09">
        <w:rPr>
          <w:rFonts w:cstheme="minorHAnsi"/>
          <w:sz w:val="16"/>
          <w:szCs w:val="16"/>
          <w:lang w:val="en-GB"/>
        </w:rPr>
        <w:t>-</w:t>
      </w:r>
      <w:r w:rsidR="004318D6" w:rsidRPr="002D1F09">
        <w:rPr>
          <w:rFonts w:cstheme="minorHAnsi"/>
          <w:sz w:val="16"/>
          <w:szCs w:val="16"/>
          <w:lang w:val="en-GB"/>
        </w:rPr>
        <w:t xml:space="preserve"> per capita</w:t>
      </w:r>
      <w:r w:rsidR="004318D6" w:rsidRPr="002D1F09">
        <w:rPr>
          <w:sz w:val="16"/>
          <w:szCs w:val="16"/>
          <w:lang w:val="en-GB"/>
        </w:rPr>
        <w:t xml:space="preserve"> </w:t>
      </w:r>
      <w:r w:rsidR="004318D6" w:rsidRPr="002D1F09">
        <w:rPr>
          <w:rFonts w:cstheme="minorHAnsi"/>
          <w:sz w:val="16"/>
          <w:szCs w:val="16"/>
          <w:lang w:val="en-GB"/>
        </w:rPr>
        <w:t>and social spending</w:t>
      </w:r>
      <w:r w:rsidR="000E1275" w:rsidRPr="002D1F09">
        <w:rPr>
          <w:rFonts w:cstheme="minorHAnsi"/>
          <w:sz w:val="16"/>
          <w:szCs w:val="16"/>
          <w:lang w:val="en-GB"/>
        </w:rPr>
        <w:t xml:space="preserve"> per capita</w:t>
      </w:r>
      <w:r w:rsidR="004318D6" w:rsidRPr="002D1F09">
        <w:rPr>
          <w:rFonts w:cstheme="minorHAnsi"/>
          <w:sz w:val="16"/>
          <w:szCs w:val="16"/>
          <w:lang w:val="en-GB"/>
        </w:rPr>
        <w:t xml:space="preserve">. </w:t>
      </w:r>
      <w:r w:rsidR="004318D6" w:rsidRPr="002D1F09">
        <w:rPr>
          <w:b/>
          <w:sz w:val="16"/>
          <w:szCs w:val="16"/>
          <w:vertAlign w:val="superscript"/>
          <w:lang w:val="en-GB"/>
        </w:rPr>
        <w:t>3</w:t>
      </w:r>
      <w:r w:rsidR="004318D6" w:rsidRPr="002D1F09">
        <w:rPr>
          <w:b/>
          <w:sz w:val="16"/>
          <w:szCs w:val="16"/>
          <w:lang w:val="en-GB"/>
        </w:rPr>
        <w:t xml:space="preserve"> </w:t>
      </w:r>
      <w:r w:rsidR="004318D6" w:rsidRPr="002D1F09">
        <w:rPr>
          <w:sz w:val="16"/>
          <w:szCs w:val="16"/>
          <w:lang w:val="en-GB"/>
        </w:rPr>
        <w:t xml:space="preserve">Multiple linear regression of first differences between the logarithm of age-standardized mortality rate in a given year and country and its logarithm in the previous year, on first differences of health spending, adjusting for first-differences in year as a restricted cubic spline, and first-differences in the covariates heatwave, </w:t>
      </w:r>
      <w:proofErr w:type="spellStart"/>
      <w:r w:rsidR="004318D6" w:rsidRPr="002D1F09">
        <w:rPr>
          <w:sz w:val="16"/>
          <w:szCs w:val="16"/>
          <w:lang w:val="en-GB"/>
        </w:rPr>
        <w:t>coldwave</w:t>
      </w:r>
      <w:proofErr w:type="spellEnd"/>
      <w:r w:rsidR="004318D6" w:rsidRPr="002D1F09">
        <w:rPr>
          <w:sz w:val="16"/>
          <w:szCs w:val="16"/>
          <w:lang w:val="en-GB"/>
        </w:rPr>
        <w:t>, influenza activity, real GDP per capita and social spending</w:t>
      </w:r>
      <w:r w:rsidRPr="002D1F09">
        <w:rPr>
          <w:sz w:val="16"/>
          <w:szCs w:val="16"/>
          <w:lang w:val="en-GB"/>
        </w:rPr>
        <w:t xml:space="preserve">. </w:t>
      </w:r>
      <w:r w:rsidR="003C57E7" w:rsidRPr="002D1F09">
        <w:rPr>
          <w:b/>
          <w:sz w:val="16"/>
          <w:szCs w:val="16"/>
          <w:vertAlign w:val="superscript"/>
          <w:lang w:val="en-GB"/>
        </w:rPr>
        <w:t>4</w:t>
      </w:r>
      <w:r w:rsidR="00C725CF" w:rsidRPr="002D1F09">
        <w:rPr>
          <w:sz w:val="16"/>
          <w:szCs w:val="16"/>
          <w:vertAlign w:val="superscript"/>
          <w:lang w:val="en-GB"/>
        </w:rPr>
        <w:t xml:space="preserve"> </w:t>
      </w:r>
      <w:r w:rsidR="00C725CF" w:rsidRPr="002D1F09">
        <w:rPr>
          <w:sz w:val="16"/>
          <w:szCs w:val="16"/>
          <w:lang w:val="en-GB"/>
        </w:rPr>
        <w:t xml:space="preserve">Health spending and social spending in the regression model correspond to the mean of the current year, and the previous two years. </w:t>
      </w:r>
      <w:r w:rsidR="003C57E7" w:rsidRPr="002D1F09">
        <w:rPr>
          <w:b/>
          <w:sz w:val="16"/>
          <w:szCs w:val="16"/>
          <w:vertAlign w:val="superscript"/>
          <w:lang w:val="en-GB"/>
        </w:rPr>
        <w:t>5</w:t>
      </w:r>
      <w:r w:rsidR="00C725CF" w:rsidRPr="002D1F09">
        <w:rPr>
          <w:sz w:val="16"/>
          <w:szCs w:val="16"/>
          <w:lang w:val="en-GB"/>
        </w:rPr>
        <w:t xml:space="preserve"> Health spending and social spending in the regression model correspond to the mean of the current year, and the previous three years.</w:t>
      </w:r>
    </w:p>
    <w:p w14:paraId="631F9F5D" w14:textId="77777777" w:rsidR="00074B63" w:rsidRPr="002D1F09" w:rsidRDefault="00074B63" w:rsidP="00074B63">
      <w:pPr>
        <w:spacing w:after="0" w:line="240" w:lineRule="auto"/>
        <w:ind w:left="142" w:right="-284"/>
        <w:rPr>
          <w:sz w:val="16"/>
          <w:szCs w:val="16"/>
          <w:lang w:val="en-GB"/>
        </w:rPr>
      </w:pPr>
      <w:r w:rsidRPr="002D1F09">
        <w:rPr>
          <w:sz w:val="16"/>
          <w:szCs w:val="16"/>
          <w:lang w:val="en-GB"/>
        </w:rPr>
        <w:tab/>
      </w:r>
    </w:p>
    <w:p w14:paraId="4F319EFB" w14:textId="77777777" w:rsidR="00E37423" w:rsidRPr="002D1F09" w:rsidRDefault="00E37423">
      <w:pPr>
        <w:rPr>
          <w:b/>
          <w:lang w:val="en-GB"/>
        </w:rPr>
      </w:pPr>
      <w:r w:rsidRPr="002D1F09">
        <w:rPr>
          <w:b/>
          <w:lang w:val="en-GB"/>
        </w:rPr>
        <w:br w:type="page"/>
      </w:r>
    </w:p>
    <w:p w14:paraId="3DACE81D" w14:textId="77777777" w:rsidR="00477AD5" w:rsidRPr="002D1F09" w:rsidRDefault="009A0548" w:rsidP="00477AD5">
      <w:pPr>
        <w:pStyle w:val="Textocomentario"/>
        <w:rPr>
          <w:b/>
          <w:lang w:val="en-GB"/>
        </w:rPr>
      </w:pPr>
      <w:proofErr w:type="spellStart"/>
      <w:r w:rsidRPr="002D1F09">
        <w:rPr>
          <w:b/>
          <w:lang w:val="en-GB"/>
        </w:rPr>
        <w:lastRenderedPageBreak/>
        <w:t>eTable</w:t>
      </w:r>
      <w:proofErr w:type="spellEnd"/>
      <w:r w:rsidRPr="002D1F09">
        <w:rPr>
          <w:b/>
          <w:lang w:val="en-GB"/>
        </w:rPr>
        <w:t xml:space="preserve"> 6</w:t>
      </w:r>
      <w:r w:rsidR="00477AD5" w:rsidRPr="002D1F09">
        <w:rPr>
          <w:b/>
          <w:lang w:val="en-GB"/>
        </w:rPr>
        <w:t xml:space="preserve">. Association between annual age-standardized mortality rates and government health spending from </w:t>
      </w:r>
      <w:r w:rsidR="00B61D27" w:rsidRPr="002D1F09">
        <w:rPr>
          <w:b/>
          <w:lang w:val="en-GB"/>
        </w:rPr>
        <w:t xml:space="preserve">step-up </w:t>
      </w:r>
      <w:r w:rsidR="00477AD5" w:rsidRPr="002D1F09">
        <w:rPr>
          <w:b/>
          <w:lang w:val="en-GB"/>
        </w:rPr>
        <w:t>regression models using sequential adjustment of covariates by model type and period in four European countries, 2002-2019</w:t>
      </w:r>
      <w:r w:rsidR="00161436" w:rsidRPr="002D1F09">
        <w:rPr>
          <w:b/>
          <w:lang w:val="en-GB"/>
        </w:rPr>
        <w:t>.</w:t>
      </w:r>
    </w:p>
    <w:p w14:paraId="2D516DB6" w14:textId="77777777" w:rsidR="00477AD5" w:rsidRPr="002D1F09" w:rsidRDefault="00477AD5">
      <w:pPr>
        <w:rPr>
          <w:sz w:val="18"/>
          <w:szCs w:val="18"/>
          <w:lang w:val="en-GB"/>
        </w:rPr>
      </w:pPr>
    </w:p>
    <w:tbl>
      <w:tblPr>
        <w:tblW w:w="9128" w:type="dxa"/>
        <w:tblInd w:w="-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53"/>
        <w:gridCol w:w="283"/>
        <w:gridCol w:w="567"/>
        <w:gridCol w:w="160"/>
        <w:gridCol w:w="851"/>
        <w:gridCol w:w="1115"/>
        <w:gridCol w:w="160"/>
        <w:gridCol w:w="850"/>
        <w:gridCol w:w="1289"/>
      </w:tblGrid>
      <w:tr w:rsidR="002D1F09" w:rsidRPr="002D1F09" w14:paraId="4A36DE56" w14:textId="77777777" w:rsidTr="00E37423">
        <w:trPr>
          <w:trHeight w:hRule="exact" w:val="505"/>
        </w:trPr>
        <w:tc>
          <w:tcPr>
            <w:tcW w:w="3853" w:type="dxa"/>
            <w:tcBorders>
              <w:top w:val="single" w:sz="4" w:space="0" w:color="auto"/>
              <w:bottom w:val="nil"/>
            </w:tcBorders>
          </w:tcPr>
          <w:p w14:paraId="27EABC68" w14:textId="77777777" w:rsidR="00971520" w:rsidRPr="002D1F09" w:rsidRDefault="00971520" w:rsidP="002A5B72">
            <w:pPr>
              <w:autoSpaceDE w:val="0"/>
              <w:autoSpaceDN w:val="0"/>
              <w:adjustRightInd w:val="0"/>
              <w:spacing w:after="0" w:line="240" w:lineRule="auto"/>
              <w:rPr>
                <w:rFonts w:cstheme="minorHAnsi"/>
                <w:b/>
                <w:sz w:val="20"/>
                <w:szCs w:val="20"/>
                <w:lang w:val="en-GB"/>
              </w:rPr>
            </w:pPr>
          </w:p>
        </w:tc>
        <w:tc>
          <w:tcPr>
            <w:tcW w:w="283" w:type="dxa"/>
          </w:tcPr>
          <w:p w14:paraId="734A9AB9" w14:textId="77777777" w:rsidR="00971520" w:rsidRPr="002D1F09" w:rsidRDefault="00971520" w:rsidP="00477AD5">
            <w:pPr>
              <w:jc w:val="center"/>
              <w:rPr>
                <w:rFonts w:eastAsia="Times New Roman" w:cstheme="minorHAnsi"/>
                <w:b/>
                <w:bCs/>
                <w:sz w:val="20"/>
                <w:szCs w:val="20"/>
                <w:lang w:val="en-GB" w:eastAsia="en-GB"/>
              </w:rPr>
            </w:pPr>
          </w:p>
        </w:tc>
        <w:tc>
          <w:tcPr>
            <w:tcW w:w="567" w:type="dxa"/>
            <w:tcBorders>
              <w:top w:val="single" w:sz="4" w:space="0" w:color="auto"/>
              <w:bottom w:val="single" w:sz="4" w:space="0" w:color="auto"/>
            </w:tcBorders>
          </w:tcPr>
          <w:p w14:paraId="101EAD36" w14:textId="77777777" w:rsidR="00971520" w:rsidRPr="002D1F09" w:rsidRDefault="00971520" w:rsidP="00477AD5">
            <w:pPr>
              <w:jc w:val="center"/>
              <w:rPr>
                <w:rFonts w:cstheme="minorHAnsi"/>
                <w:b/>
                <w:sz w:val="20"/>
                <w:szCs w:val="20"/>
                <w:lang w:val="en-GB"/>
              </w:rPr>
            </w:pPr>
            <w:r w:rsidRPr="002D1F09">
              <w:rPr>
                <w:rFonts w:eastAsia="Times New Roman" w:cstheme="minorHAnsi"/>
                <w:b/>
                <w:bCs/>
                <w:sz w:val="20"/>
                <w:szCs w:val="20"/>
                <w:lang w:val="en-GB" w:eastAsia="en-GB"/>
              </w:rPr>
              <w:t>N</w:t>
            </w:r>
            <w:r w:rsidRPr="002D1F09">
              <w:rPr>
                <w:rFonts w:eastAsia="Times New Roman" w:cstheme="minorHAnsi"/>
                <w:b/>
                <w:bCs/>
                <w:sz w:val="20"/>
                <w:szCs w:val="20"/>
                <w:vertAlign w:val="superscript"/>
                <w:lang w:val="en-GB" w:eastAsia="en-GB"/>
              </w:rPr>
              <w:t>1</w:t>
            </w:r>
          </w:p>
        </w:tc>
        <w:tc>
          <w:tcPr>
            <w:tcW w:w="160" w:type="dxa"/>
          </w:tcPr>
          <w:p w14:paraId="03E7A9CB" w14:textId="77777777" w:rsidR="00971520" w:rsidRPr="002D1F09" w:rsidRDefault="00971520" w:rsidP="00477AD5">
            <w:pPr>
              <w:ind w:right="-96"/>
              <w:jc w:val="center"/>
              <w:rPr>
                <w:rFonts w:eastAsia="Times New Roman" w:cstheme="minorHAnsi"/>
                <w:b/>
                <w:bCs/>
                <w:sz w:val="20"/>
                <w:szCs w:val="20"/>
                <w:lang w:val="en-GB" w:eastAsia="en-GB"/>
              </w:rPr>
            </w:pPr>
          </w:p>
        </w:tc>
        <w:tc>
          <w:tcPr>
            <w:tcW w:w="1966" w:type="dxa"/>
            <w:gridSpan w:val="2"/>
            <w:tcBorders>
              <w:top w:val="single" w:sz="4" w:space="0" w:color="auto"/>
              <w:bottom w:val="single" w:sz="4" w:space="0" w:color="auto"/>
            </w:tcBorders>
          </w:tcPr>
          <w:p w14:paraId="6969748F" w14:textId="77777777" w:rsidR="00971520" w:rsidRPr="002D1F09" w:rsidRDefault="00971520" w:rsidP="00477AD5">
            <w:pPr>
              <w:ind w:right="-96"/>
              <w:jc w:val="center"/>
              <w:rPr>
                <w:rFonts w:cstheme="minorHAnsi"/>
                <w:sz w:val="20"/>
                <w:szCs w:val="20"/>
                <w:lang w:val="en-GB"/>
              </w:rPr>
            </w:pPr>
            <w:r w:rsidRPr="002D1F09">
              <w:rPr>
                <w:rFonts w:eastAsia="Times New Roman" w:cstheme="minorHAnsi"/>
                <w:b/>
                <w:bCs/>
                <w:sz w:val="20"/>
                <w:szCs w:val="20"/>
                <w:lang w:val="en-GB" w:eastAsia="en-GB"/>
              </w:rPr>
              <w:t>Country-level fixed-effects model</w:t>
            </w:r>
            <w:r w:rsidRPr="002D1F09">
              <w:rPr>
                <w:rFonts w:eastAsia="Times New Roman" w:cstheme="minorHAnsi"/>
                <w:b/>
                <w:bCs/>
                <w:sz w:val="20"/>
                <w:szCs w:val="20"/>
                <w:vertAlign w:val="superscript"/>
                <w:lang w:val="en-GB" w:eastAsia="en-GB"/>
              </w:rPr>
              <w:t>2</w:t>
            </w:r>
          </w:p>
        </w:tc>
        <w:tc>
          <w:tcPr>
            <w:tcW w:w="160" w:type="dxa"/>
          </w:tcPr>
          <w:p w14:paraId="0DA98B69" w14:textId="77777777" w:rsidR="00971520" w:rsidRPr="002D1F09" w:rsidRDefault="00971520" w:rsidP="00477AD5">
            <w:pPr>
              <w:ind w:right="-3"/>
              <w:jc w:val="center"/>
              <w:rPr>
                <w:rFonts w:cstheme="minorHAnsi"/>
                <w:sz w:val="20"/>
                <w:szCs w:val="20"/>
                <w:lang w:val="en-GB"/>
              </w:rPr>
            </w:pPr>
          </w:p>
        </w:tc>
        <w:tc>
          <w:tcPr>
            <w:tcW w:w="2139" w:type="dxa"/>
            <w:gridSpan w:val="2"/>
            <w:tcBorders>
              <w:top w:val="single" w:sz="4" w:space="0" w:color="auto"/>
              <w:bottom w:val="single" w:sz="4" w:space="0" w:color="auto"/>
            </w:tcBorders>
          </w:tcPr>
          <w:p w14:paraId="3C55FF7B" w14:textId="77777777" w:rsidR="00971520" w:rsidRPr="002D1F09" w:rsidRDefault="00971520" w:rsidP="00477AD5">
            <w:pPr>
              <w:ind w:right="-3"/>
              <w:jc w:val="center"/>
              <w:rPr>
                <w:rFonts w:cstheme="minorHAnsi"/>
                <w:sz w:val="20"/>
                <w:szCs w:val="20"/>
                <w:lang w:val="en-GB"/>
              </w:rPr>
            </w:pPr>
            <w:r w:rsidRPr="002D1F09">
              <w:rPr>
                <w:rFonts w:eastAsia="Times New Roman" w:cstheme="minorHAnsi"/>
                <w:b/>
                <w:bCs/>
                <w:sz w:val="20"/>
                <w:szCs w:val="20"/>
                <w:lang w:val="en-GB" w:eastAsia="en-GB"/>
              </w:rPr>
              <w:t>First-differences model</w:t>
            </w:r>
            <w:r w:rsidRPr="002D1F09">
              <w:rPr>
                <w:rFonts w:eastAsia="Times New Roman" w:cstheme="minorHAnsi"/>
                <w:b/>
                <w:bCs/>
                <w:sz w:val="20"/>
                <w:szCs w:val="20"/>
                <w:vertAlign w:val="superscript"/>
                <w:lang w:val="en-GB" w:eastAsia="en-GB"/>
              </w:rPr>
              <w:t>3</w:t>
            </w:r>
          </w:p>
        </w:tc>
      </w:tr>
      <w:tr w:rsidR="002D1F09" w:rsidRPr="002D1F09" w14:paraId="1CFCF12F" w14:textId="77777777" w:rsidTr="00E37423">
        <w:trPr>
          <w:trHeight w:hRule="exact" w:val="289"/>
        </w:trPr>
        <w:tc>
          <w:tcPr>
            <w:tcW w:w="3853" w:type="dxa"/>
            <w:tcBorders>
              <w:top w:val="nil"/>
            </w:tcBorders>
          </w:tcPr>
          <w:p w14:paraId="35FC5C1D" w14:textId="77777777" w:rsidR="00971520" w:rsidRPr="002D1F09" w:rsidRDefault="00E37423">
            <w:pPr>
              <w:autoSpaceDE w:val="0"/>
              <w:autoSpaceDN w:val="0"/>
              <w:adjustRightInd w:val="0"/>
              <w:spacing w:after="0" w:line="240" w:lineRule="auto"/>
              <w:rPr>
                <w:rFonts w:cstheme="minorHAnsi"/>
                <w:b/>
                <w:bCs/>
                <w:sz w:val="20"/>
                <w:szCs w:val="20"/>
              </w:rPr>
            </w:pPr>
            <w:proofErr w:type="spellStart"/>
            <w:r w:rsidRPr="002D1F09">
              <w:rPr>
                <w:rFonts w:ascii="Calibri" w:hAnsi="Calibri" w:cs="Calibri"/>
                <w:b/>
              </w:rPr>
              <w:t>Period</w:t>
            </w:r>
            <w:proofErr w:type="spellEnd"/>
            <w:r w:rsidRPr="002D1F09">
              <w:rPr>
                <w:rFonts w:ascii="Calibri" w:hAnsi="Calibri" w:cs="Calibri"/>
                <w:b/>
              </w:rPr>
              <w:t xml:space="preserve"> and </w:t>
            </w:r>
            <w:proofErr w:type="spellStart"/>
            <w:r w:rsidR="00686F74" w:rsidRPr="002D1F09">
              <w:rPr>
                <w:rFonts w:ascii="Calibri" w:hAnsi="Calibri" w:cs="Calibri"/>
                <w:b/>
              </w:rPr>
              <w:t>adjustment</w:t>
            </w:r>
            <w:proofErr w:type="spellEnd"/>
            <w:r w:rsidR="00686F74" w:rsidRPr="002D1F09">
              <w:rPr>
                <w:rFonts w:ascii="Calibri" w:hAnsi="Calibri" w:cs="Calibri"/>
                <w:b/>
              </w:rPr>
              <w:t xml:space="preserve"> </w:t>
            </w:r>
            <w:proofErr w:type="spellStart"/>
            <w:r w:rsidR="00686F74" w:rsidRPr="002D1F09">
              <w:rPr>
                <w:rFonts w:ascii="Calibri" w:hAnsi="Calibri" w:cs="Calibri"/>
                <w:b/>
              </w:rPr>
              <w:t>covariates</w:t>
            </w:r>
            <w:proofErr w:type="spellEnd"/>
          </w:p>
        </w:tc>
        <w:tc>
          <w:tcPr>
            <w:tcW w:w="283" w:type="dxa"/>
          </w:tcPr>
          <w:p w14:paraId="2D669A54" w14:textId="77777777" w:rsidR="00971520" w:rsidRPr="002D1F09" w:rsidRDefault="00971520">
            <w:pPr>
              <w:autoSpaceDE w:val="0"/>
              <w:autoSpaceDN w:val="0"/>
              <w:adjustRightInd w:val="0"/>
              <w:spacing w:after="0" w:line="240" w:lineRule="auto"/>
              <w:jc w:val="right"/>
              <w:rPr>
                <w:rFonts w:cstheme="minorHAnsi"/>
                <w:sz w:val="20"/>
                <w:szCs w:val="20"/>
              </w:rPr>
            </w:pPr>
          </w:p>
        </w:tc>
        <w:tc>
          <w:tcPr>
            <w:tcW w:w="567" w:type="dxa"/>
            <w:tcBorders>
              <w:top w:val="single" w:sz="4" w:space="0" w:color="auto"/>
            </w:tcBorders>
          </w:tcPr>
          <w:p w14:paraId="543B6188" w14:textId="77777777" w:rsidR="00971520" w:rsidRPr="002D1F09" w:rsidRDefault="00971520">
            <w:pPr>
              <w:autoSpaceDE w:val="0"/>
              <w:autoSpaceDN w:val="0"/>
              <w:adjustRightInd w:val="0"/>
              <w:spacing w:after="0" w:line="240" w:lineRule="auto"/>
              <w:jc w:val="right"/>
              <w:rPr>
                <w:rFonts w:cstheme="minorHAnsi"/>
                <w:sz w:val="20"/>
                <w:szCs w:val="20"/>
              </w:rPr>
            </w:pPr>
          </w:p>
        </w:tc>
        <w:tc>
          <w:tcPr>
            <w:tcW w:w="160" w:type="dxa"/>
          </w:tcPr>
          <w:p w14:paraId="05197028" w14:textId="77777777" w:rsidR="00971520" w:rsidRPr="002D1F09" w:rsidRDefault="00971520">
            <w:pPr>
              <w:autoSpaceDE w:val="0"/>
              <w:autoSpaceDN w:val="0"/>
              <w:adjustRightInd w:val="0"/>
              <w:spacing w:after="0" w:line="240" w:lineRule="auto"/>
              <w:jc w:val="right"/>
              <w:rPr>
                <w:rFonts w:cstheme="minorHAnsi"/>
                <w:sz w:val="20"/>
                <w:szCs w:val="20"/>
              </w:rPr>
            </w:pPr>
          </w:p>
        </w:tc>
        <w:tc>
          <w:tcPr>
            <w:tcW w:w="851" w:type="dxa"/>
            <w:tcBorders>
              <w:top w:val="single" w:sz="4" w:space="0" w:color="auto"/>
            </w:tcBorders>
          </w:tcPr>
          <w:p w14:paraId="3BF06887" w14:textId="77777777" w:rsidR="00971520" w:rsidRPr="002D1F09" w:rsidRDefault="00971520">
            <w:pPr>
              <w:autoSpaceDE w:val="0"/>
              <w:autoSpaceDN w:val="0"/>
              <w:adjustRightInd w:val="0"/>
              <w:spacing w:after="0" w:line="240" w:lineRule="auto"/>
              <w:jc w:val="right"/>
              <w:rPr>
                <w:rFonts w:cstheme="minorHAnsi"/>
                <w:b/>
                <w:sz w:val="20"/>
                <w:szCs w:val="20"/>
              </w:rPr>
            </w:pPr>
            <w:r w:rsidRPr="002D1F09">
              <w:rPr>
                <w:rFonts w:cstheme="minorHAnsi"/>
                <w:b/>
                <w:sz w:val="20"/>
                <w:szCs w:val="20"/>
              </w:rPr>
              <w:t>PC</w:t>
            </w:r>
          </w:p>
        </w:tc>
        <w:tc>
          <w:tcPr>
            <w:tcW w:w="1115" w:type="dxa"/>
            <w:tcBorders>
              <w:top w:val="single" w:sz="4" w:space="0" w:color="auto"/>
            </w:tcBorders>
          </w:tcPr>
          <w:p w14:paraId="10E6CD26" w14:textId="77777777" w:rsidR="00971520" w:rsidRPr="002D1F09" w:rsidRDefault="00C0679E" w:rsidP="00C0679E">
            <w:pPr>
              <w:autoSpaceDE w:val="0"/>
              <w:autoSpaceDN w:val="0"/>
              <w:adjustRightInd w:val="0"/>
              <w:spacing w:after="0" w:line="240" w:lineRule="auto"/>
              <w:jc w:val="right"/>
              <w:rPr>
                <w:rFonts w:cstheme="minorHAnsi"/>
                <w:b/>
                <w:sz w:val="20"/>
                <w:szCs w:val="20"/>
              </w:rPr>
            </w:pPr>
            <w:r w:rsidRPr="002D1F09">
              <w:rPr>
                <w:rFonts w:cstheme="minorHAnsi"/>
                <w:b/>
                <w:sz w:val="20"/>
                <w:szCs w:val="20"/>
              </w:rPr>
              <w:t>95%CI</w:t>
            </w:r>
          </w:p>
        </w:tc>
        <w:tc>
          <w:tcPr>
            <w:tcW w:w="160" w:type="dxa"/>
          </w:tcPr>
          <w:p w14:paraId="0158F6F0" w14:textId="77777777" w:rsidR="00971520" w:rsidRPr="002D1F09" w:rsidRDefault="00971520">
            <w:pPr>
              <w:autoSpaceDE w:val="0"/>
              <w:autoSpaceDN w:val="0"/>
              <w:adjustRightInd w:val="0"/>
              <w:spacing w:after="0" w:line="240" w:lineRule="auto"/>
              <w:jc w:val="right"/>
              <w:rPr>
                <w:rFonts w:cstheme="minorHAnsi"/>
                <w:b/>
                <w:sz w:val="20"/>
                <w:szCs w:val="20"/>
              </w:rPr>
            </w:pPr>
          </w:p>
        </w:tc>
        <w:tc>
          <w:tcPr>
            <w:tcW w:w="850" w:type="dxa"/>
            <w:tcBorders>
              <w:top w:val="single" w:sz="4" w:space="0" w:color="auto"/>
            </w:tcBorders>
          </w:tcPr>
          <w:p w14:paraId="4D05F748" w14:textId="77777777" w:rsidR="00971520" w:rsidRPr="002D1F09" w:rsidRDefault="00971520">
            <w:pPr>
              <w:autoSpaceDE w:val="0"/>
              <w:autoSpaceDN w:val="0"/>
              <w:adjustRightInd w:val="0"/>
              <w:spacing w:after="0" w:line="240" w:lineRule="auto"/>
              <w:jc w:val="right"/>
              <w:rPr>
                <w:rFonts w:cstheme="minorHAnsi"/>
                <w:b/>
                <w:sz w:val="20"/>
                <w:szCs w:val="20"/>
              </w:rPr>
            </w:pPr>
            <w:r w:rsidRPr="002D1F09">
              <w:rPr>
                <w:rFonts w:cstheme="minorHAnsi"/>
                <w:b/>
                <w:sz w:val="20"/>
                <w:szCs w:val="20"/>
              </w:rPr>
              <w:t>PC</w:t>
            </w:r>
          </w:p>
        </w:tc>
        <w:tc>
          <w:tcPr>
            <w:tcW w:w="1289" w:type="dxa"/>
            <w:tcBorders>
              <w:top w:val="single" w:sz="4" w:space="0" w:color="auto"/>
            </w:tcBorders>
          </w:tcPr>
          <w:p w14:paraId="78EC516E" w14:textId="77777777" w:rsidR="00971520" w:rsidRPr="002D1F09" w:rsidRDefault="00C0679E" w:rsidP="00C0679E">
            <w:pPr>
              <w:autoSpaceDE w:val="0"/>
              <w:autoSpaceDN w:val="0"/>
              <w:adjustRightInd w:val="0"/>
              <w:spacing w:after="0" w:line="240" w:lineRule="auto"/>
              <w:jc w:val="right"/>
              <w:rPr>
                <w:rFonts w:cstheme="minorHAnsi"/>
                <w:b/>
                <w:sz w:val="20"/>
                <w:szCs w:val="20"/>
              </w:rPr>
            </w:pPr>
            <w:r w:rsidRPr="002D1F09">
              <w:rPr>
                <w:rFonts w:cstheme="minorHAnsi"/>
                <w:b/>
                <w:sz w:val="20"/>
                <w:szCs w:val="20"/>
              </w:rPr>
              <w:t>95%CI</w:t>
            </w:r>
          </w:p>
        </w:tc>
      </w:tr>
      <w:tr w:rsidR="002D1F09" w:rsidRPr="002D1F09" w14:paraId="6756A5DD" w14:textId="77777777" w:rsidTr="00971520">
        <w:trPr>
          <w:trHeight w:hRule="exact" w:val="289"/>
        </w:trPr>
        <w:tc>
          <w:tcPr>
            <w:tcW w:w="3853" w:type="dxa"/>
          </w:tcPr>
          <w:p w14:paraId="2EBD543E" w14:textId="77777777" w:rsidR="00971520" w:rsidRPr="002D1F09" w:rsidRDefault="00971520">
            <w:pPr>
              <w:autoSpaceDE w:val="0"/>
              <w:autoSpaceDN w:val="0"/>
              <w:adjustRightInd w:val="0"/>
              <w:spacing w:after="0" w:line="240" w:lineRule="auto"/>
              <w:rPr>
                <w:rFonts w:cstheme="minorHAnsi"/>
                <w:b/>
                <w:bCs/>
                <w:sz w:val="20"/>
                <w:szCs w:val="20"/>
              </w:rPr>
            </w:pPr>
            <w:r w:rsidRPr="002D1F09">
              <w:rPr>
                <w:rFonts w:cstheme="minorHAnsi"/>
                <w:b/>
                <w:bCs/>
                <w:sz w:val="20"/>
                <w:szCs w:val="20"/>
              </w:rPr>
              <w:t>2002-2010</w:t>
            </w:r>
          </w:p>
        </w:tc>
        <w:tc>
          <w:tcPr>
            <w:tcW w:w="283" w:type="dxa"/>
          </w:tcPr>
          <w:p w14:paraId="3055A2E5" w14:textId="77777777" w:rsidR="00971520" w:rsidRPr="002D1F09" w:rsidRDefault="00971520" w:rsidP="00477AD5">
            <w:pPr>
              <w:autoSpaceDE w:val="0"/>
              <w:autoSpaceDN w:val="0"/>
              <w:adjustRightInd w:val="0"/>
              <w:spacing w:after="0" w:line="240" w:lineRule="auto"/>
              <w:jc w:val="right"/>
              <w:rPr>
                <w:rFonts w:cstheme="minorHAnsi"/>
                <w:sz w:val="20"/>
                <w:szCs w:val="20"/>
              </w:rPr>
            </w:pPr>
          </w:p>
        </w:tc>
        <w:tc>
          <w:tcPr>
            <w:tcW w:w="567" w:type="dxa"/>
          </w:tcPr>
          <w:p w14:paraId="6056F2E5" w14:textId="77777777" w:rsidR="00971520" w:rsidRPr="002D1F09" w:rsidRDefault="00971520" w:rsidP="00477AD5">
            <w:pPr>
              <w:autoSpaceDE w:val="0"/>
              <w:autoSpaceDN w:val="0"/>
              <w:adjustRightInd w:val="0"/>
              <w:spacing w:after="0" w:line="240" w:lineRule="auto"/>
              <w:jc w:val="right"/>
              <w:rPr>
                <w:rFonts w:cstheme="minorHAnsi"/>
                <w:sz w:val="20"/>
                <w:szCs w:val="20"/>
              </w:rPr>
            </w:pPr>
          </w:p>
        </w:tc>
        <w:tc>
          <w:tcPr>
            <w:tcW w:w="160" w:type="dxa"/>
          </w:tcPr>
          <w:p w14:paraId="02B134E1" w14:textId="77777777" w:rsidR="00971520" w:rsidRPr="002D1F09" w:rsidRDefault="00971520" w:rsidP="00477AD5">
            <w:pPr>
              <w:autoSpaceDE w:val="0"/>
              <w:autoSpaceDN w:val="0"/>
              <w:adjustRightInd w:val="0"/>
              <w:spacing w:after="0" w:line="240" w:lineRule="auto"/>
              <w:jc w:val="right"/>
              <w:rPr>
                <w:rFonts w:cstheme="minorHAnsi"/>
                <w:sz w:val="20"/>
                <w:szCs w:val="20"/>
              </w:rPr>
            </w:pPr>
          </w:p>
        </w:tc>
        <w:tc>
          <w:tcPr>
            <w:tcW w:w="851" w:type="dxa"/>
          </w:tcPr>
          <w:p w14:paraId="63464E9D" w14:textId="77777777" w:rsidR="00971520" w:rsidRPr="002D1F09" w:rsidRDefault="00971520" w:rsidP="00477AD5">
            <w:pPr>
              <w:autoSpaceDE w:val="0"/>
              <w:autoSpaceDN w:val="0"/>
              <w:adjustRightInd w:val="0"/>
              <w:spacing w:after="0" w:line="240" w:lineRule="auto"/>
              <w:jc w:val="right"/>
              <w:rPr>
                <w:rFonts w:cstheme="minorHAnsi"/>
                <w:sz w:val="20"/>
                <w:szCs w:val="20"/>
              </w:rPr>
            </w:pPr>
          </w:p>
        </w:tc>
        <w:tc>
          <w:tcPr>
            <w:tcW w:w="1115" w:type="dxa"/>
          </w:tcPr>
          <w:p w14:paraId="1B42C3B1" w14:textId="77777777" w:rsidR="00971520" w:rsidRPr="002D1F09" w:rsidRDefault="00971520" w:rsidP="00477AD5">
            <w:pPr>
              <w:autoSpaceDE w:val="0"/>
              <w:autoSpaceDN w:val="0"/>
              <w:adjustRightInd w:val="0"/>
              <w:spacing w:after="0" w:line="240" w:lineRule="auto"/>
              <w:jc w:val="right"/>
              <w:rPr>
                <w:rFonts w:cstheme="minorHAnsi"/>
                <w:sz w:val="20"/>
                <w:szCs w:val="20"/>
              </w:rPr>
            </w:pPr>
          </w:p>
        </w:tc>
        <w:tc>
          <w:tcPr>
            <w:tcW w:w="160" w:type="dxa"/>
          </w:tcPr>
          <w:p w14:paraId="6B5A21EF" w14:textId="77777777" w:rsidR="00971520" w:rsidRPr="002D1F09" w:rsidRDefault="00971520" w:rsidP="00477AD5">
            <w:pPr>
              <w:autoSpaceDE w:val="0"/>
              <w:autoSpaceDN w:val="0"/>
              <w:adjustRightInd w:val="0"/>
              <w:spacing w:after="0" w:line="240" w:lineRule="auto"/>
              <w:jc w:val="right"/>
              <w:rPr>
                <w:rFonts w:cstheme="minorHAnsi"/>
                <w:sz w:val="20"/>
                <w:szCs w:val="20"/>
              </w:rPr>
            </w:pPr>
          </w:p>
        </w:tc>
        <w:tc>
          <w:tcPr>
            <w:tcW w:w="850" w:type="dxa"/>
          </w:tcPr>
          <w:p w14:paraId="7BD4B659" w14:textId="77777777" w:rsidR="00971520" w:rsidRPr="002D1F09" w:rsidRDefault="00971520" w:rsidP="00477AD5">
            <w:pPr>
              <w:autoSpaceDE w:val="0"/>
              <w:autoSpaceDN w:val="0"/>
              <w:adjustRightInd w:val="0"/>
              <w:spacing w:after="0" w:line="240" w:lineRule="auto"/>
              <w:jc w:val="right"/>
              <w:rPr>
                <w:rFonts w:cstheme="minorHAnsi"/>
                <w:sz w:val="20"/>
                <w:szCs w:val="20"/>
              </w:rPr>
            </w:pPr>
          </w:p>
        </w:tc>
        <w:tc>
          <w:tcPr>
            <w:tcW w:w="1289" w:type="dxa"/>
          </w:tcPr>
          <w:p w14:paraId="2A645D29" w14:textId="77777777" w:rsidR="00971520" w:rsidRPr="002D1F09" w:rsidRDefault="00971520" w:rsidP="00477AD5">
            <w:pPr>
              <w:autoSpaceDE w:val="0"/>
              <w:autoSpaceDN w:val="0"/>
              <w:adjustRightInd w:val="0"/>
              <w:spacing w:after="0" w:line="240" w:lineRule="auto"/>
              <w:jc w:val="right"/>
              <w:rPr>
                <w:rFonts w:cstheme="minorHAnsi"/>
                <w:sz w:val="20"/>
                <w:szCs w:val="20"/>
              </w:rPr>
            </w:pPr>
          </w:p>
        </w:tc>
      </w:tr>
      <w:tr w:rsidR="002D1F09" w:rsidRPr="002D1F09" w14:paraId="3323028E" w14:textId="77777777" w:rsidTr="00971520">
        <w:trPr>
          <w:trHeight w:hRule="exact" w:val="289"/>
        </w:trPr>
        <w:tc>
          <w:tcPr>
            <w:tcW w:w="3853" w:type="dxa"/>
          </w:tcPr>
          <w:p w14:paraId="0226036E" w14:textId="77777777" w:rsidR="00971520" w:rsidRPr="002D1F09" w:rsidRDefault="00971520" w:rsidP="00971520">
            <w:pPr>
              <w:autoSpaceDE w:val="0"/>
              <w:autoSpaceDN w:val="0"/>
              <w:adjustRightInd w:val="0"/>
              <w:spacing w:after="0" w:line="240" w:lineRule="auto"/>
              <w:ind w:left="95"/>
              <w:rPr>
                <w:rFonts w:cstheme="minorHAnsi"/>
                <w:sz w:val="20"/>
                <w:szCs w:val="20"/>
                <w:lang w:val="en-GB"/>
              </w:rPr>
            </w:pPr>
            <w:r w:rsidRPr="002D1F09">
              <w:rPr>
                <w:rFonts w:cstheme="minorHAnsi"/>
                <w:sz w:val="20"/>
                <w:szCs w:val="20"/>
                <w:lang w:val="en-GB"/>
              </w:rPr>
              <w:t>I.</w:t>
            </w:r>
            <w:r w:rsidR="009324FA" w:rsidRPr="002D1F09">
              <w:rPr>
                <w:rFonts w:cstheme="minorHAnsi"/>
                <w:sz w:val="20"/>
                <w:szCs w:val="20"/>
                <w:lang w:val="en-GB"/>
              </w:rPr>
              <w:t xml:space="preserve"> </w:t>
            </w:r>
            <w:r w:rsidRPr="002D1F09">
              <w:rPr>
                <w:rFonts w:cstheme="minorHAnsi"/>
                <w:sz w:val="20"/>
                <w:szCs w:val="20"/>
                <w:lang w:val="en-GB"/>
              </w:rPr>
              <w:t xml:space="preserve">Health spending </w:t>
            </w:r>
          </w:p>
        </w:tc>
        <w:tc>
          <w:tcPr>
            <w:tcW w:w="283" w:type="dxa"/>
          </w:tcPr>
          <w:p w14:paraId="075E34E8" w14:textId="77777777" w:rsidR="00971520" w:rsidRPr="002D1F09" w:rsidRDefault="00971520" w:rsidP="00731286">
            <w:pPr>
              <w:jc w:val="right"/>
              <w:rPr>
                <w:rFonts w:cstheme="minorHAnsi"/>
                <w:sz w:val="20"/>
                <w:szCs w:val="20"/>
              </w:rPr>
            </w:pPr>
          </w:p>
        </w:tc>
        <w:tc>
          <w:tcPr>
            <w:tcW w:w="567" w:type="dxa"/>
          </w:tcPr>
          <w:p w14:paraId="442066A0" w14:textId="77777777" w:rsidR="00971520" w:rsidRPr="002D1F09" w:rsidRDefault="00971520" w:rsidP="00731286">
            <w:pPr>
              <w:jc w:val="right"/>
              <w:rPr>
                <w:rFonts w:cstheme="minorHAnsi"/>
                <w:sz w:val="20"/>
                <w:szCs w:val="20"/>
              </w:rPr>
            </w:pPr>
            <w:r w:rsidRPr="002D1F09">
              <w:rPr>
                <w:rFonts w:cstheme="minorHAnsi"/>
                <w:sz w:val="20"/>
                <w:szCs w:val="20"/>
              </w:rPr>
              <w:t>36</w:t>
            </w:r>
          </w:p>
        </w:tc>
        <w:tc>
          <w:tcPr>
            <w:tcW w:w="160" w:type="dxa"/>
          </w:tcPr>
          <w:p w14:paraId="2A0DD764" w14:textId="77777777" w:rsidR="00971520" w:rsidRPr="002D1F09" w:rsidRDefault="00971520" w:rsidP="00731286">
            <w:pPr>
              <w:autoSpaceDE w:val="0"/>
              <w:autoSpaceDN w:val="0"/>
              <w:adjustRightInd w:val="0"/>
              <w:spacing w:after="0" w:line="240" w:lineRule="auto"/>
              <w:jc w:val="right"/>
              <w:rPr>
                <w:rFonts w:cstheme="minorHAnsi"/>
                <w:sz w:val="20"/>
                <w:szCs w:val="20"/>
              </w:rPr>
            </w:pPr>
          </w:p>
        </w:tc>
        <w:tc>
          <w:tcPr>
            <w:tcW w:w="851" w:type="dxa"/>
          </w:tcPr>
          <w:p w14:paraId="700CE89F"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-5.4</w:t>
            </w:r>
          </w:p>
        </w:tc>
        <w:tc>
          <w:tcPr>
            <w:tcW w:w="1115" w:type="dxa"/>
          </w:tcPr>
          <w:p w14:paraId="3A451F09"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-10.9, 0.5</w:t>
            </w:r>
          </w:p>
        </w:tc>
        <w:tc>
          <w:tcPr>
            <w:tcW w:w="160" w:type="dxa"/>
          </w:tcPr>
          <w:p w14:paraId="08C47F1B" w14:textId="77777777" w:rsidR="00971520" w:rsidRPr="002D1F09" w:rsidRDefault="00971520" w:rsidP="00731286">
            <w:pPr>
              <w:autoSpaceDE w:val="0"/>
              <w:autoSpaceDN w:val="0"/>
              <w:adjustRightInd w:val="0"/>
              <w:spacing w:after="0" w:line="240" w:lineRule="auto"/>
              <w:jc w:val="right"/>
              <w:rPr>
                <w:rFonts w:cstheme="minorHAnsi"/>
                <w:sz w:val="20"/>
                <w:szCs w:val="20"/>
              </w:rPr>
            </w:pPr>
          </w:p>
        </w:tc>
        <w:tc>
          <w:tcPr>
            <w:tcW w:w="850" w:type="dxa"/>
          </w:tcPr>
          <w:p w14:paraId="754CD252"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-9.9</w:t>
            </w:r>
          </w:p>
        </w:tc>
        <w:tc>
          <w:tcPr>
            <w:tcW w:w="1289" w:type="dxa"/>
          </w:tcPr>
          <w:p w14:paraId="1F2D97BD"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-21.6, 3.6</w:t>
            </w:r>
          </w:p>
        </w:tc>
      </w:tr>
      <w:tr w:rsidR="002D1F09" w:rsidRPr="002D1F09" w14:paraId="7C9FC651" w14:textId="77777777" w:rsidTr="00971520">
        <w:trPr>
          <w:trHeight w:hRule="exact" w:val="289"/>
        </w:trPr>
        <w:tc>
          <w:tcPr>
            <w:tcW w:w="3853" w:type="dxa"/>
          </w:tcPr>
          <w:p w14:paraId="6125D3B5" w14:textId="77777777" w:rsidR="00971520" w:rsidRPr="002D1F09" w:rsidRDefault="00971520" w:rsidP="009324FA">
            <w:pPr>
              <w:autoSpaceDE w:val="0"/>
              <w:autoSpaceDN w:val="0"/>
              <w:adjustRightInd w:val="0"/>
              <w:spacing w:after="0" w:line="240" w:lineRule="auto"/>
              <w:ind w:left="95"/>
              <w:rPr>
                <w:rFonts w:cstheme="minorHAnsi"/>
                <w:sz w:val="20"/>
                <w:szCs w:val="20"/>
                <w:lang w:val="en-GB"/>
              </w:rPr>
            </w:pPr>
            <w:r w:rsidRPr="002D1F09">
              <w:rPr>
                <w:rFonts w:cstheme="minorHAnsi"/>
                <w:sz w:val="20"/>
                <w:szCs w:val="20"/>
                <w:lang w:val="en-GB"/>
              </w:rPr>
              <w:t>II.</w:t>
            </w:r>
            <w:r w:rsidR="00686F74" w:rsidRPr="002D1F09">
              <w:rPr>
                <w:rFonts w:cstheme="minorHAnsi"/>
                <w:sz w:val="20"/>
                <w:szCs w:val="20"/>
                <w:lang w:val="en-GB"/>
              </w:rPr>
              <w:t xml:space="preserve"> </w:t>
            </w:r>
            <w:r w:rsidRPr="002D1F09">
              <w:rPr>
                <w:rFonts w:cstheme="minorHAnsi"/>
                <w:sz w:val="20"/>
                <w:szCs w:val="20"/>
                <w:lang w:val="en-GB"/>
              </w:rPr>
              <w:t xml:space="preserve">I + </w:t>
            </w:r>
            <w:proofErr w:type="spellStart"/>
            <w:r w:rsidRPr="002D1F09">
              <w:rPr>
                <w:rFonts w:cstheme="minorHAnsi"/>
                <w:sz w:val="20"/>
                <w:szCs w:val="20"/>
                <w:lang w:val="en-GB"/>
              </w:rPr>
              <w:t>coldwave</w:t>
            </w:r>
            <w:proofErr w:type="spellEnd"/>
          </w:p>
        </w:tc>
        <w:tc>
          <w:tcPr>
            <w:tcW w:w="283" w:type="dxa"/>
          </w:tcPr>
          <w:p w14:paraId="0337A398" w14:textId="77777777" w:rsidR="00971520" w:rsidRPr="002D1F09" w:rsidRDefault="00971520" w:rsidP="00731286">
            <w:pPr>
              <w:jc w:val="right"/>
              <w:rPr>
                <w:rFonts w:cstheme="minorHAnsi"/>
                <w:sz w:val="20"/>
                <w:szCs w:val="20"/>
                <w:lang w:val="en-GB"/>
              </w:rPr>
            </w:pPr>
          </w:p>
        </w:tc>
        <w:tc>
          <w:tcPr>
            <w:tcW w:w="567" w:type="dxa"/>
          </w:tcPr>
          <w:p w14:paraId="088BB3B9" w14:textId="77777777" w:rsidR="00971520" w:rsidRPr="002D1F09" w:rsidRDefault="00971520" w:rsidP="00731286">
            <w:pPr>
              <w:jc w:val="right"/>
              <w:rPr>
                <w:rFonts w:cstheme="minorHAnsi"/>
                <w:sz w:val="20"/>
                <w:szCs w:val="20"/>
              </w:rPr>
            </w:pPr>
            <w:r w:rsidRPr="002D1F09">
              <w:rPr>
                <w:rFonts w:cstheme="minorHAnsi"/>
                <w:sz w:val="20"/>
                <w:szCs w:val="20"/>
              </w:rPr>
              <w:t>36</w:t>
            </w:r>
          </w:p>
        </w:tc>
        <w:tc>
          <w:tcPr>
            <w:tcW w:w="160" w:type="dxa"/>
          </w:tcPr>
          <w:p w14:paraId="727A67D8" w14:textId="77777777" w:rsidR="00971520" w:rsidRPr="002D1F09" w:rsidRDefault="00971520" w:rsidP="00731286">
            <w:pPr>
              <w:autoSpaceDE w:val="0"/>
              <w:autoSpaceDN w:val="0"/>
              <w:adjustRightInd w:val="0"/>
              <w:spacing w:after="0" w:line="240" w:lineRule="auto"/>
              <w:jc w:val="right"/>
              <w:rPr>
                <w:rFonts w:cstheme="minorHAnsi"/>
                <w:sz w:val="20"/>
                <w:szCs w:val="20"/>
              </w:rPr>
            </w:pPr>
          </w:p>
        </w:tc>
        <w:tc>
          <w:tcPr>
            <w:tcW w:w="851" w:type="dxa"/>
          </w:tcPr>
          <w:p w14:paraId="5CEEBDAC"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-5.6</w:t>
            </w:r>
          </w:p>
        </w:tc>
        <w:tc>
          <w:tcPr>
            <w:tcW w:w="1115" w:type="dxa"/>
          </w:tcPr>
          <w:p w14:paraId="4DEF55E9"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-12.1, 1.5</w:t>
            </w:r>
          </w:p>
        </w:tc>
        <w:tc>
          <w:tcPr>
            <w:tcW w:w="160" w:type="dxa"/>
          </w:tcPr>
          <w:p w14:paraId="71BFB118" w14:textId="77777777" w:rsidR="00971520" w:rsidRPr="002D1F09" w:rsidRDefault="00971520" w:rsidP="00731286">
            <w:pPr>
              <w:autoSpaceDE w:val="0"/>
              <w:autoSpaceDN w:val="0"/>
              <w:adjustRightInd w:val="0"/>
              <w:spacing w:after="0" w:line="240" w:lineRule="auto"/>
              <w:jc w:val="right"/>
              <w:rPr>
                <w:rFonts w:cstheme="minorHAnsi"/>
                <w:sz w:val="20"/>
                <w:szCs w:val="20"/>
              </w:rPr>
            </w:pPr>
          </w:p>
        </w:tc>
        <w:tc>
          <w:tcPr>
            <w:tcW w:w="850" w:type="dxa"/>
          </w:tcPr>
          <w:p w14:paraId="61F9E3AC"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-11.4</w:t>
            </w:r>
          </w:p>
        </w:tc>
        <w:tc>
          <w:tcPr>
            <w:tcW w:w="1289" w:type="dxa"/>
          </w:tcPr>
          <w:p w14:paraId="4AA0245C"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-24.1, 3.4</w:t>
            </w:r>
          </w:p>
        </w:tc>
      </w:tr>
      <w:tr w:rsidR="002D1F09" w:rsidRPr="002D1F09" w14:paraId="2CE1E64C" w14:textId="77777777" w:rsidTr="00971520">
        <w:trPr>
          <w:trHeight w:hRule="exact" w:val="289"/>
        </w:trPr>
        <w:tc>
          <w:tcPr>
            <w:tcW w:w="3853" w:type="dxa"/>
          </w:tcPr>
          <w:p w14:paraId="18881D05" w14:textId="77777777" w:rsidR="00971520" w:rsidRPr="002D1F09" w:rsidRDefault="00971520" w:rsidP="009324FA">
            <w:pPr>
              <w:autoSpaceDE w:val="0"/>
              <w:autoSpaceDN w:val="0"/>
              <w:adjustRightInd w:val="0"/>
              <w:spacing w:after="0" w:line="240" w:lineRule="auto"/>
              <w:ind w:left="95"/>
              <w:rPr>
                <w:rFonts w:cstheme="minorHAnsi"/>
                <w:sz w:val="20"/>
                <w:szCs w:val="20"/>
                <w:lang w:val="en-GB"/>
              </w:rPr>
            </w:pPr>
            <w:r w:rsidRPr="002D1F09">
              <w:rPr>
                <w:rFonts w:cstheme="minorHAnsi"/>
                <w:sz w:val="20"/>
                <w:szCs w:val="20"/>
                <w:lang w:val="en-GB"/>
              </w:rPr>
              <w:t>III. II + influenza</w:t>
            </w:r>
          </w:p>
        </w:tc>
        <w:tc>
          <w:tcPr>
            <w:tcW w:w="283" w:type="dxa"/>
          </w:tcPr>
          <w:p w14:paraId="38CE0B94" w14:textId="77777777" w:rsidR="00971520" w:rsidRPr="002D1F09" w:rsidRDefault="00971520" w:rsidP="00731286">
            <w:pPr>
              <w:jc w:val="right"/>
              <w:rPr>
                <w:rFonts w:cstheme="minorHAnsi"/>
                <w:sz w:val="20"/>
                <w:szCs w:val="20"/>
                <w:lang w:val="en-GB"/>
              </w:rPr>
            </w:pPr>
          </w:p>
        </w:tc>
        <w:tc>
          <w:tcPr>
            <w:tcW w:w="567" w:type="dxa"/>
          </w:tcPr>
          <w:p w14:paraId="539F0089" w14:textId="77777777" w:rsidR="00971520" w:rsidRPr="002D1F09" w:rsidRDefault="00971520" w:rsidP="00731286">
            <w:pPr>
              <w:jc w:val="right"/>
              <w:rPr>
                <w:rFonts w:cstheme="minorHAnsi"/>
                <w:sz w:val="20"/>
                <w:szCs w:val="20"/>
              </w:rPr>
            </w:pPr>
            <w:r w:rsidRPr="002D1F09">
              <w:rPr>
                <w:rFonts w:cstheme="minorHAnsi"/>
                <w:sz w:val="20"/>
                <w:szCs w:val="20"/>
              </w:rPr>
              <w:t>36</w:t>
            </w:r>
          </w:p>
        </w:tc>
        <w:tc>
          <w:tcPr>
            <w:tcW w:w="160" w:type="dxa"/>
          </w:tcPr>
          <w:p w14:paraId="15E46475" w14:textId="77777777" w:rsidR="00971520" w:rsidRPr="002D1F09" w:rsidRDefault="00971520" w:rsidP="00731286">
            <w:pPr>
              <w:autoSpaceDE w:val="0"/>
              <w:autoSpaceDN w:val="0"/>
              <w:adjustRightInd w:val="0"/>
              <w:spacing w:after="0" w:line="240" w:lineRule="auto"/>
              <w:jc w:val="right"/>
              <w:rPr>
                <w:rFonts w:cstheme="minorHAnsi"/>
                <w:sz w:val="20"/>
                <w:szCs w:val="20"/>
              </w:rPr>
            </w:pPr>
          </w:p>
        </w:tc>
        <w:tc>
          <w:tcPr>
            <w:tcW w:w="851" w:type="dxa"/>
          </w:tcPr>
          <w:p w14:paraId="75EEAA6D"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-5.7</w:t>
            </w:r>
          </w:p>
        </w:tc>
        <w:tc>
          <w:tcPr>
            <w:tcW w:w="1115" w:type="dxa"/>
          </w:tcPr>
          <w:p w14:paraId="600D1434"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-12.3, 1.5</w:t>
            </w:r>
          </w:p>
        </w:tc>
        <w:tc>
          <w:tcPr>
            <w:tcW w:w="160" w:type="dxa"/>
          </w:tcPr>
          <w:p w14:paraId="70CCEB6D" w14:textId="77777777" w:rsidR="00971520" w:rsidRPr="002D1F09" w:rsidRDefault="00971520" w:rsidP="00731286">
            <w:pPr>
              <w:autoSpaceDE w:val="0"/>
              <w:autoSpaceDN w:val="0"/>
              <w:adjustRightInd w:val="0"/>
              <w:spacing w:after="0" w:line="240" w:lineRule="auto"/>
              <w:jc w:val="right"/>
              <w:rPr>
                <w:rFonts w:cstheme="minorHAnsi"/>
                <w:sz w:val="20"/>
                <w:szCs w:val="20"/>
              </w:rPr>
            </w:pPr>
          </w:p>
        </w:tc>
        <w:tc>
          <w:tcPr>
            <w:tcW w:w="850" w:type="dxa"/>
          </w:tcPr>
          <w:p w14:paraId="00709AF4"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-10.8</w:t>
            </w:r>
          </w:p>
        </w:tc>
        <w:tc>
          <w:tcPr>
            <w:tcW w:w="1289" w:type="dxa"/>
          </w:tcPr>
          <w:p w14:paraId="7AF53AE9"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-24.1, 4.7</w:t>
            </w:r>
          </w:p>
        </w:tc>
      </w:tr>
      <w:tr w:rsidR="002D1F09" w:rsidRPr="002D1F09" w14:paraId="1926AF0E" w14:textId="77777777" w:rsidTr="00971520">
        <w:trPr>
          <w:trHeight w:hRule="exact" w:val="289"/>
        </w:trPr>
        <w:tc>
          <w:tcPr>
            <w:tcW w:w="3853" w:type="dxa"/>
          </w:tcPr>
          <w:p w14:paraId="714CB4F8" w14:textId="77777777" w:rsidR="00971520" w:rsidRPr="002D1F09" w:rsidRDefault="00971520" w:rsidP="009324FA">
            <w:pPr>
              <w:autoSpaceDE w:val="0"/>
              <w:autoSpaceDN w:val="0"/>
              <w:adjustRightInd w:val="0"/>
              <w:spacing w:after="0" w:line="240" w:lineRule="auto"/>
              <w:ind w:left="95"/>
              <w:rPr>
                <w:rFonts w:cstheme="minorHAnsi"/>
                <w:sz w:val="20"/>
                <w:szCs w:val="20"/>
                <w:lang w:val="en-GB"/>
              </w:rPr>
            </w:pPr>
            <w:r w:rsidRPr="002D1F09">
              <w:rPr>
                <w:rFonts w:cstheme="minorHAnsi"/>
                <w:sz w:val="20"/>
                <w:szCs w:val="20"/>
                <w:lang w:val="en-GB"/>
              </w:rPr>
              <w:t>IV. III + heatwave</w:t>
            </w:r>
          </w:p>
        </w:tc>
        <w:tc>
          <w:tcPr>
            <w:tcW w:w="283" w:type="dxa"/>
          </w:tcPr>
          <w:p w14:paraId="26C77340" w14:textId="77777777" w:rsidR="00971520" w:rsidRPr="002D1F09" w:rsidRDefault="00971520" w:rsidP="00731286">
            <w:pPr>
              <w:jc w:val="right"/>
              <w:rPr>
                <w:rFonts w:cstheme="minorHAnsi"/>
                <w:sz w:val="20"/>
                <w:szCs w:val="20"/>
                <w:lang w:val="en-GB"/>
              </w:rPr>
            </w:pPr>
          </w:p>
        </w:tc>
        <w:tc>
          <w:tcPr>
            <w:tcW w:w="567" w:type="dxa"/>
          </w:tcPr>
          <w:p w14:paraId="4C9D1A1E" w14:textId="77777777" w:rsidR="00971520" w:rsidRPr="002D1F09" w:rsidRDefault="00971520" w:rsidP="00731286">
            <w:pPr>
              <w:jc w:val="right"/>
              <w:rPr>
                <w:rFonts w:cstheme="minorHAnsi"/>
                <w:sz w:val="20"/>
                <w:szCs w:val="20"/>
              </w:rPr>
            </w:pPr>
            <w:r w:rsidRPr="002D1F09">
              <w:rPr>
                <w:rFonts w:cstheme="minorHAnsi"/>
                <w:sz w:val="20"/>
                <w:szCs w:val="20"/>
              </w:rPr>
              <w:t>36</w:t>
            </w:r>
          </w:p>
        </w:tc>
        <w:tc>
          <w:tcPr>
            <w:tcW w:w="160" w:type="dxa"/>
          </w:tcPr>
          <w:p w14:paraId="41FFCFC2" w14:textId="77777777" w:rsidR="00971520" w:rsidRPr="002D1F09" w:rsidRDefault="00971520" w:rsidP="00731286">
            <w:pPr>
              <w:autoSpaceDE w:val="0"/>
              <w:autoSpaceDN w:val="0"/>
              <w:adjustRightInd w:val="0"/>
              <w:spacing w:after="0" w:line="240" w:lineRule="auto"/>
              <w:jc w:val="right"/>
              <w:rPr>
                <w:rFonts w:cstheme="minorHAnsi"/>
                <w:sz w:val="20"/>
                <w:szCs w:val="20"/>
              </w:rPr>
            </w:pPr>
          </w:p>
        </w:tc>
        <w:tc>
          <w:tcPr>
            <w:tcW w:w="851" w:type="dxa"/>
          </w:tcPr>
          <w:p w14:paraId="0DD21DAC"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-6.7</w:t>
            </w:r>
          </w:p>
        </w:tc>
        <w:tc>
          <w:tcPr>
            <w:tcW w:w="1115" w:type="dxa"/>
          </w:tcPr>
          <w:p w14:paraId="50C8FAF1"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-12.8, -0.1</w:t>
            </w:r>
          </w:p>
        </w:tc>
        <w:tc>
          <w:tcPr>
            <w:tcW w:w="160" w:type="dxa"/>
          </w:tcPr>
          <w:p w14:paraId="494FD6E0" w14:textId="77777777" w:rsidR="00971520" w:rsidRPr="002D1F09" w:rsidRDefault="00971520" w:rsidP="00731286">
            <w:pPr>
              <w:autoSpaceDE w:val="0"/>
              <w:autoSpaceDN w:val="0"/>
              <w:adjustRightInd w:val="0"/>
              <w:spacing w:after="0" w:line="240" w:lineRule="auto"/>
              <w:jc w:val="right"/>
              <w:rPr>
                <w:rFonts w:cstheme="minorHAnsi"/>
                <w:sz w:val="20"/>
                <w:szCs w:val="20"/>
              </w:rPr>
            </w:pPr>
          </w:p>
        </w:tc>
        <w:tc>
          <w:tcPr>
            <w:tcW w:w="850" w:type="dxa"/>
          </w:tcPr>
          <w:p w14:paraId="16F33BB9"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-12.4</w:t>
            </w:r>
          </w:p>
        </w:tc>
        <w:tc>
          <w:tcPr>
            <w:tcW w:w="1289" w:type="dxa"/>
          </w:tcPr>
          <w:p w14:paraId="0C46F4B6"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-17.5, -6.9</w:t>
            </w:r>
          </w:p>
        </w:tc>
      </w:tr>
      <w:tr w:rsidR="002D1F09" w:rsidRPr="002D1F09" w14:paraId="6AD3B48C" w14:textId="77777777" w:rsidTr="00971520">
        <w:trPr>
          <w:trHeight w:hRule="exact" w:val="289"/>
        </w:trPr>
        <w:tc>
          <w:tcPr>
            <w:tcW w:w="3853" w:type="dxa"/>
          </w:tcPr>
          <w:p w14:paraId="7C1663C1" w14:textId="77777777" w:rsidR="00971520" w:rsidRPr="002D1F09" w:rsidRDefault="00971520" w:rsidP="009324FA">
            <w:pPr>
              <w:autoSpaceDE w:val="0"/>
              <w:autoSpaceDN w:val="0"/>
              <w:adjustRightInd w:val="0"/>
              <w:spacing w:after="0" w:line="240" w:lineRule="auto"/>
              <w:ind w:left="95"/>
              <w:rPr>
                <w:rFonts w:cstheme="minorHAnsi"/>
                <w:sz w:val="20"/>
                <w:szCs w:val="20"/>
                <w:lang w:val="en-GB"/>
              </w:rPr>
            </w:pPr>
            <w:r w:rsidRPr="002D1F09">
              <w:rPr>
                <w:rFonts w:cstheme="minorHAnsi"/>
                <w:sz w:val="20"/>
                <w:szCs w:val="20"/>
                <w:lang w:val="en-GB"/>
              </w:rPr>
              <w:t xml:space="preserve">V. IV + </w:t>
            </w:r>
            <w:r w:rsidR="009324FA" w:rsidRPr="002D1F09">
              <w:rPr>
                <w:rFonts w:cstheme="minorHAnsi"/>
                <w:sz w:val="20"/>
                <w:szCs w:val="20"/>
                <w:lang w:val="en-GB"/>
              </w:rPr>
              <w:t>s</w:t>
            </w:r>
            <w:r w:rsidRPr="002D1F09">
              <w:rPr>
                <w:rFonts w:cstheme="minorHAnsi"/>
                <w:sz w:val="20"/>
                <w:szCs w:val="20"/>
                <w:lang w:val="en-GB"/>
              </w:rPr>
              <w:t>ocial spending</w:t>
            </w:r>
          </w:p>
        </w:tc>
        <w:tc>
          <w:tcPr>
            <w:tcW w:w="283" w:type="dxa"/>
          </w:tcPr>
          <w:p w14:paraId="01FDE1BF" w14:textId="77777777" w:rsidR="00971520" w:rsidRPr="002D1F09" w:rsidRDefault="00971520" w:rsidP="00731286">
            <w:pPr>
              <w:jc w:val="right"/>
              <w:rPr>
                <w:rFonts w:cstheme="minorHAnsi"/>
                <w:sz w:val="20"/>
                <w:szCs w:val="20"/>
                <w:lang w:val="en-GB"/>
              </w:rPr>
            </w:pPr>
          </w:p>
        </w:tc>
        <w:tc>
          <w:tcPr>
            <w:tcW w:w="567" w:type="dxa"/>
          </w:tcPr>
          <w:p w14:paraId="03CA0EF8" w14:textId="77777777" w:rsidR="00971520" w:rsidRPr="002D1F09" w:rsidRDefault="00971520" w:rsidP="00731286">
            <w:pPr>
              <w:jc w:val="right"/>
              <w:rPr>
                <w:rFonts w:cstheme="minorHAnsi"/>
                <w:sz w:val="20"/>
                <w:szCs w:val="20"/>
              </w:rPr>
            </w:pPr>
            <w:r w:rsidRPr="002D1F09">
              <w:rPr>
                <w:rFonts w:cstheme="minorHAnsi"/>
                <w:sz w:val="20"/>
                <w:szCs w:val="20"/>
              </w:rPr>
              <w:t>36</w:t>
            </w:r>
          </w:p>
        </w:tc>
        <w:tc>
          <w:tcPr>
            <w:tcW w:w="160" w:type="dxa"/>
          </w:tcPr>
          <w:p w14:paraId="79ACE482" w14:textId="77777777" w:rsidR="00971520" w:rsidRPr="002D1F09" w:rsidRDefault="00971520" w:rsidP="00731286">
            <w:pPr>
              <w:autoSpaceDE w:val="0"/>
              <w:autoSpaceDN w:val="0"/>
              <w:adjustRightInd w:val="0"/>
              <w:spacing w:after="0" w:line="240" w:lineRule="auto"/>
              <w:jc w:val="right"/>
              <w:rPr>
                <w:rFonts w:cstheme="minorHAnsi"/>
                <w:sz w:val="20"/>
                <w:szCs w:val="20"/>
              </w:rPr>
            </w:pPr>
          </w:p>
        </w:tc>
        <w:tc>
          <w:tcPr>
            <w:tcW w:w="851" w:type="dxa"/>
          </w:tcPr>
          <w:p w14:paraId="78C74AB2"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-12.0</w:t>
            </w:r>
          </w:p>
        </w:tc>
        <w:tc>
          <w:tcPr>
            <w:tcW w:w="1115" w:type="dxa"/>
          </w:tcPr>
          <w:p w14:paraId="10898CEC"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-15.7, -8.0</w:t>
            </w:r>
          </w:p>
        </w:tc>
        <w:tc>
          <w:tcPr>
            <w:tcW w:w="160" w:type="dxa"/>
          </w:tcPr>
          <w:p w14:paraId="07EFEFC3" w14:textId="77777777" w:rsidR="00971520" w:rsidRPr="002D1F09" w:rsidRDefault="00971520" w:rsidP="00731286">
            <w:pPr>
              <w:autoSpaceDE w:val="0"/>
              <w:autoSpaceDN w:val="0"/>
              <w:adjustRightInd w:val="0"/>
              <w:spacing w:after="0" w:line="240" w:lineRule="auto"/>
              <w:jc w:val="right"/>
              <w:rPr>
                <w:rFonts w:cstheme="minorHAnsi"/>
                <w:sz w:val="20"/>
                <w:szCs w:val="20"/>
              </w:rPr>
            </w:pPr>
          </w:p>
        </w:tc>
        <w:tc>
          <w:tcPr>
            <w:tcW w:w="850" w:type="dxa"/>
          </w:tcPr>
          <w:p w14:paraId="1ACDBDE5"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-12.6</w:t>
            </w:r>
          </w:p>
        </w:tc>
        <w:tc>
          <w:tcPr>
            <w:tcW w:w="1289" w:type="dxa"/>
          </w:tcPr>
          <w:p w14:paraId="61FABA8E"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-17.9, -7.0</w:t>
            </w:r>
          </w:p>
        </w:tc>
      </w:tr>
      <w:tr w:rsidR="002D1F09" w:rsidRPr="002D1F09" w14:paraId="2973CE85" w14:textId="77777777" w:rsidTr="00971520">
        <w:trPr>
          <w:trHeight w:hRule="exact" w:val="289"/>
        </w:trPr>
        <w:tc>
          <w:tcPr>
            <w:tcW w:w="3853" w:type="dxa"/>
          </w:tcPr>
          <w:p w14:paraId="56C24C54" w14:textId="77777777" w:rsidR="00971520" w:rsidRPr="002D1F09" w:rsidRDefault="00971520" w:rsidP="009324FA">
            <w:pPr>
              <w:autoSpaceDE w:val="0"/>
              <w:autoSpaceDN w:val="0"/>
              <w:adjustRightInd w:val="0"/>
              <w:spacing w:after="0" w:line="240" w:lineRule="auto"/>
              <w:ind w:left="95"/>
              <w:rPr>
                <w:rFonts w:cstheme="minorHAnsi"/>
                <w:sz w:val="20"/>
                <w:szCs w:val="20"/>
                <w:lang w:val="en-GB"/>
              </w:rPr>
            </w:pPr>
            <w:r w:rsidRPr="002D1F09">
              <w:rPr>
                <w:rFonts w:cstheme="minorHAnsi"/>
                <w:sz w:val="20"/>
                <w:szCs w:val="20"/>
                <w:lang w:val="en-GB"/>
              </w:rPr>
              <w:t>VI. V + GDP per capita</w:t>
            </w:r>
          </w:p>
        </w:tc>
        <w:tc>
          <w:tcPr>
            <w:tcW w:w="283" w:type="dxa"/>
          </w:tcPr>
          <w:p w14:paraId="76F71AE3" w14:textId="77777777" w:rsidR="00971520" w:rsidRPr="002D1F09" w:rsidRDefault="00971520" w:rsidP="00731286">
            <w:pPr>
              <w:jc w:val="right"/>
              <w:rPr>
                <w:rFonts w:cstheme="minorHAnsi"/>
                <w:sz w:val="20"/>
                <w:szCs w:val="20"/>
                <w:lang w:val="en-GB"/>
              </w:rPr>
            </w:pPr>
          </w:p>
        </w:tc>
        <w:tc>
          <w:tcPr>
            <w:tcW w:w="567" w:type="dxa"/>
          </w:tcPr>
          <w:p w14:paraId="00CF77A5" w14:textId="77777777" w:rsidR="00971520" w:rsidRPr="002D1F09" w:rsidRDefault="00971520" w:rsidP="00731286">
            <w:pPr>
              <w:jc w:val="right"/>
              <w:rPr>
                <w:rFonts w:cstheme="minorHAnsi"/>
                <w:sz w:val="20"/>
                <w:szCs w:val="20"/>
              </w:rPr>
            </w:pPr>
            <w:r w:rsidRPr="002D1F09">
              <w:rPr>
                <w:rFonts w:cstheme="minorHAnsi"/>
                <w:sz w:val="20"/>
                <w:szCs w:val="20"/>
              </w:rPr>
              <w:t>36</w:t>
            </w:r>
          </w:p>
        </w:tc>
        <w:tc>
          <w:tcPr>
            <w:tcW w:w="160" w:type="dxa"/>
          </w:tcPr>
          <w:p w14:paraId="322DAE1D" w14:textId="77777777" w:rsidR="00971520" w:rsidRPr="002D1F09" w:rsidRDefault="00971520" w:rsidP="00731286">
            <w:pPr>
              <w:autoSpaceDE w:val="0"/>
              <w:autoSpaceDN w:val="0"/>
              <w:adjustRightInd w:val="0"/>
              <w:spacing w:after="0" w:line="240" w:lineRule="auto"/>
              <w:jc w:val="right"/>
              <w:rPr>
                <w:rFonts w:cstheme="minorHAnsi"/>
                <w:sz w:val="20"/>
                <w:szCs w:val="20"/>
              </w:rPr>
            </w:pPr>
          </w:p>
        </w:tc>
        <w:tc>
          <w:tcPr>
            <w:tcW w:w="851" w:type="dxa"/>
          </w:tcPr>
          <w:p w14:paraId="1D7D58B8"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-12.0</w:t>
            </w:r>
          </w:p>
        </w:tc>
        <w:tc>
          <w:tcPr>
            <w:tcW w:w="1115" w:type="dxa"/>
          </w:tcPr>
          <w:p w14:paraId="6CC14313"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-15.7, -8.0</w:t>
            </w:r>
          </w:p>
        </w:tc>
        <w:tc>
          <w:tcPr>
            <w:tcW w:w="160" w:type="dxa"/>
          </w:tcPr>
          <w:p w14:paraId="4D372940" w14:textId="77777777" w:rsidR="00971520" w:rsidRPr="002D1F09" w:rsidRDefault="00971520" w:rsidP="00731286">
            <w:pPr>
              <w:autoSpaceDE w:val="0"/>
              <w:autoSpaceDN w:val="0"/>
              <w:adjustRightInd w:val="0"/>
              <w:spacing w:after="0" w:line="240" w:lineRule="auto"/>
              <w:jc w:val="right"/>
              <w:rPr>
                <w:rFonts w:cstheme="minorHAnsi"/>
                <w:sz w:val="20"/>
                <w:szCs w:val="20"/>
              </w:rPr>
            </w:pPr>
          </w:p>
        </w:tc>
        <w:tc>
          <w:tcPr>
            <w:tcW w:w="850" w:type="dxa"/>
          </w:tcPr>
          <w:p w14:paraId="5836495A"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-12.5</w:t>
            </w:r>
          </w:p>
        </w:tc>
        <w:tc>
          <w:tcPr>
            <w:tcW w:w="1289" w:type="dxa"/>
          </w:tcPr>
          <w:p w14:paraId="35A8D803" w14:textId="77777777" w:rsidR="00971520" w:rsidRPr="002D1F09" w:rsidRDefault="00971520" w:rsidP="00731286">
            <w:pPr>
              <w:autoSpaceDE w:val="0"/>
              <w:autoSpaceDN w:val="0"/>
              <w:adjustRightInd w:val="0"/>
              <w:spacing w:after="0" w:line="240" w:lineRule="auto"/>
              <w:jc w:val="right"/>
              <w:rPr>
                <w:rFonts w:cstheme="minorHAnsi"/>
                <w:sz w:val="20"/>
                <w:szCs w:val="20"/>
              </w:rPr>
            </w:pPr>
            <w:r w:rsidRPr="002D1F09">
              <w:rPr>
                <w:rFonts w:cstheme="minorHAnsi"/>
                <w:sz w:val="20"/>
                <w:szCs w:val="20"/>
              </w:rPr>
              <w:t>-17.6, -7.1</w:t>
            </w:r>
          </w:p>
        </w:tc>
      </w:tr>
      <w:tr w:rsidR="002D1F09" w:rsidRPr="002D1F09" w14:paraId="6A097B3D" w14:textId="77777777" w:rsidTr="00971520">
        <w:trPr>
          <w:trHeight w:hRule="exact" w:val="289"/>
        </w:trPr>
        <w:tc>
          <w:tcPr>
            <w:tcW w:w="3853" w:type="dxa"/>
          </w:tcPr>
          <w:p w14:paraId="5AC69F94" w14:textId="77777777" w:rsidR="00971520" w:rsidRPr="002D1F09" w:rsidRDefault="00971520">
            <w:pPr>
              <w:autoSpaceDE w:val="0"/>
              <w:autoSpaceDN w:val="0"/>
              <w:adjustRightInd w:val="0"/>
              <w:spacing w:after="0" w:line="240" w:lineRule="auto"/>
              <w:rPr>
                <w:rFonts w:cstheme="minorHAnsi"/>
                <w:b/>
                <w:bCs/>
                <w:sz w:val="20"/>
                <w:szCs w:val="20"/>
              </w:rPr>
            </w:pPr>
            <w:r w:rsidRPr="002D1F09">
              <w:rPr>
                <w:rFonts w:cstheme="minorHAnsi"/>
                <w:b/>
                <w:bCs/>
                <w:sz w:val="20"/>
                <w:szCs w:val="20"/>
              </w:rPr>
              <w:t>2011-2019</w:t>
            </w:r>
          </w:p>
        </w:tc>
        <w:tc>
          <w:tcPr>
            <w:tcW w:w="283" w:type="dxa"/>
          </w:tcPr>
          <w:p w14:paraId="10E4D3C0" w14:textId="77777777" w:rsidR="00971520" w:rsidRPr="002D1F09" w:rsidRDefault="00971520" w:rsidP="00477AD5">
            <w:pPr>
              <w:autoSpaceDE w:val="0"/>
              <w:autoSpaceDN w:val="0"/>
              <w:adjustRightInd w:val="0"/>
              <w:spacing w:after="0" w:line="240" w:lineRule="auto"/>
              <w:jc w:val="right"/>
              <w:rPr>
                <w:rFonts w:cstheme="minorHAnsi"/>
                <w:sz w:val="20"/>
                <w:szCs w:val="20"/>
              </w:rPr>
            </w:pPr>
          </w:p>
        </w:tc>
        <w:tc>
          <w:tcPr>
            <w:tcW w:w="567" w:type="dxa"/>
          </w:tcPr>
          <w:p w14:paraId="359C1E34" w14:textId="77777777" w:rsidR="00971520" w:rsidRPr="002D1F09" w:rsidRDefault="00971520" w:rsidP="00477AD5">
            <w:pPr>
              <w:autoSpaceDE w:val="0"/>
              <w:autoSpaceDN w:val="0"/>
              <w:adjustRightInd w:val="0"/>
              <w:spacing w:after="0" w:line="240" w:lineRule="auto"/>
              <w:jc w:val="right"/>
              <w:rPr>
                <w:rFonts w:cstheme="minorHAnsi"/>
                <w:sz w:val="20"/>
                <w:szCs w:val="20"/>
              </w:rPr>
            </w:pPr>
          </w:p>
        </w:tc>
        <w:tc>
          <w:tcPr>
            <w:tcW w:w="160" w:type="dxa"/>
          </w:tcPr>
          <w:p w14:paraId="413F863C" w14:textId="77777777" w:rsidR="00971520" w:rsidRPr="002D1F09" w:rsidRDefault="00971520" w:rsidP="00477AD5">
            <w:pPr>
              <w:autoSpaceDE w:val="0"/>
              <w:autoSpaceDN w:val="0"/>
              <w:adjustRightInd w:val="0"/>
              <w:spacing w:after="0" w:line="240" w:lineRule="auto"/>
              <w:jc w:val="right"/>
              <w:rPr>
                <w:rFonts w:cstheme="minorHAnsi"/>
                <w:sz w:val="20"/>
                <w:szCs w:val="20"/>
              </w:rPr>
            </w:pPr>
          </w:p>
        </w:tc>
        <w:tc>
          <w:tcPr>
            <w:tcW w:w="851" w:type="dxa"/>
          </w:tcPr>
          <w:p w14:paraId="3D0D815E" w14:textId="77777777" w:rsidR="00971520" w:rsidRPr="002D1F09" w:rsidRDefault="00971520" w:rsidP="00477AD5">
            <w:pPr>
              <w:autoSpaceDE w:val="0"/>
              <w:autoSpaceDN w:val="0"/>
              <w:adjustRightInd w:val="0"/>
              <w:spacing w:after="0" w:line="240" w:lineRule="auto"/>
              <w:jc w:val="right"/>
              <w:rPr>
                <w:rFonts w:cstheme="minorHAnsi"/>
                <w:sz w:val="20"/>
                <w:szCs w:val="20"/>
              </w:rPr>
            </w:pPr>
          </w:p>
        </w:tc>
        <w:tc>
          <w:tcPr>
            <w:tcW w:w="1115" w:type="dxa"/>
          </w:tcPr>
          <w:p w14:paraId="4A28B742" w14:textId="77777777" w:rsidR="00971520" w:rsidRPr="002D1F09" w:rsidRDefault="00971520" w:rsidP="00477AD5">
            <w:pPr>
              <w:autoSpaceDE w:val="0"/>
              <w:autoSpaceDN w:val="0"/>
              <w:adjustRightInd w:val="0"/>
              <w:spacing w:after="0" w:line="240" w:lineRule="auto"/>
              <w:jc w:val="right"/>
              <w:rPr>
                <w:rFonts w:cstheme="minorHAnsi"/>
                <w:sz w:val="20"/>
                <w:szCs w:val="20"/>
              </w:rPr>
            </w:pPr>
          </w:p>
        </w:tc>
        <w:tc>
          <w:tcPr>
            <w:tcW w:w="160" w:type="dxa"/>
          </w:tcPr>
          <w:p w14:paraId="170B3D17" w14:textId="77777777" w:rsidR="00971520" w:rsidRPr="002D1F09" w:rsidRDefault="00971520" w:rsidP="00477AD5">
            <w:pPr>
              <w:autoSpaceDE w:val="0"/>
              <w:autoSpaceDN w:val="0"/>
              <w:adjustRightInd w:val="0"/>
              <w:spacing w:after="0" w:line="240" w:lineRule="auto"/>
              <w:jc w:val="right"/>
              <w:rPr>
                <w:rFonts w:cstheme="minorHAnsi"/>
                <w:sz w:val="20"/>
                <w:szCs w:val="20"/>
              </w:rPr>
            </w:pPr>
          </w:p>
        </w:tc>
        <w:tc>
          <w:tcPr>
            <w:tcW w:w="850" w:type="dxa"/>
          </w:tcPr>
          <w:p w14:paraId="2533543A" w14:textId="77777777" w:rsidR="00971520" w:rsidRPr="002D1F09" w:rsidRDefault="00971520" w:rsidP="00477AD5">
            <w:pPr>
              <w:autoSpaceDE w:val="0"/>
              <w:autoSpaceDN w:val="0"/>
              <w:adjustRightInd w:val="0"/>
              <w:spacing w:after="0" w:line="240" w:lineRule="auto"/>
              <w:jc w:val="right"/>
              <w:rPr>
                <w:rFonts w:cstheme="minorHAnsi"/>
                <w:sz w:val="20"/>
                <w:szCs w:val="20"/>
              </w:rPr>
            </w:pPr>
          </w:p>
        </w:tc>
        <w:tc>
          <w:tcPr>
            <w:tcW w:w="1289" w:type="dxa"/>
          </w:tcPr>
          <w:p w14:paraId="3D3309BD" w14:textId="77777777" w:rsidR="00971520" w:rsidRPr="002D1F09" w:rsidRDefault="00971520" w:rsidP="00477AD5">
            <w:pPr>
              <w:autoSpaceDE w:val="0"/>
              <w:autoSpaceDN w:val="0"/>
              <w:adjustRightInd w:val="0"/>
              <w:spacing w:after="0" w:line="240" w:lineRule="auto"/>
              <w:jc w:val="right"/>
              <w:rPr>
                <w:rFonts w:cstheme="minorHAnsi"/>
                <w:sz w:val="20"/>
                <w:szCs w:val="20"/>
              </w:rPr>
            </w:pPr>
          </w:p>
        </w:tc>
      </w:tr>
      <w:tr w:rsidR="002D1F09" w:rsidRPr="002D1F09" w14:paraId="1034D16B" w14:textId="77777777" w:rsidTr="00971520">
        <w:trPr>
          <w:trHeight w:hRule="exact" w:val="289"/>
        </w:trPr>
        <w:tc>
          <w:tcPr>
            <w:tcW w:w="3853" w:type="dxa"/>
          </w:tcPr>
          <w:p w14:paraId="08C9BC5D" w14:textId="77777777" w:rsidR="009324FA" w:rsidRPr="002D1F09" w:rsidRDefault="009324FA" w:rsidP="009324FA">
            <w:pPr>
              <w:autoSpaceDE w:val="0"/>
              <w:autoSpaceDN w:val="0"/>
              <w:adjustRightInd w:val="0"/>
              <w:spacing w:after="0" w:line="240" w:lineRule="auto"/>
              <w:ind w:left="95"/>
              <w:rPr>
                <w:rFonts w:cstheme="minorHAnsi"/>
                <w:sz w:val="20"/>
                <w:szCs w:val="20"/>
                <w:lang w:val="en-GB"/>
              </w:rPr>
            </w:pPr>
            <w:r w:rsidRPr="002D1F09">
              <w:rPr>
                <w:rFonts w:cstheme="minorHAnsi"/>
                <w:sz w:val="20"/>
                <w:szCs w:val="20"/>
                <w:lang w:val="en-GB"/>
              </w:rPr>
              <w:t xml:space="preserve">I. Health spending </w:t>
            </w:r>
          </w:p>
        </w:tc>
        <w:tc>
          <w:tcPr>
            <w:tcW w:w="283" w:type="dxa"/>
          </w:tcPr>
          <w:p w14:paraId="3E4BF029" w14:textId="77777777" w:rsidR="009324FA" w:rsidRPr="002D1F09" w:rsidRDefault="009324FA" w:rsidP="009324FA">
            <w:pPr>
              <w:jc w:val="right"/>
              <w:rPr>
                <w:rFonts w:cstheme="minorHAnsi"/>
                <w:sz w:val="20"/>
                <w:szCs w:val="20"/>
              </w:rPr>
            </w:pPr>
          </w:p>
        </w:tc>
        <w:tc>
          <w:tcPr>
            <w:tcW w:w="567" w:type="dxa"/>
          </w:tcPr>
          <w:p w14:paraId="02492D77" w14:textId="77777777" w:rsidR="009324FA" w:rsidRPr="002D1F09" w:rsidRDefault="009324FA" w:rsidP="009324FA">
            <w:pPr>
              <w:jc w:val="right"/>
              <w:rPr>
                <w:rFonts w:cstheme="minorHAnsi"/>
                <w:sz w:val="20"/>
                <w:szCs w:val="20"/>
              </w:rPr>
            </w:pPr>
            <w:r w:rsidRPr="002D1F09">
              <w:rPr>
                <w:rFonts w:cstheme="minorHAnsi"/>
                <w:sz w:val="20"/>
                <w:szCs w:val="20"/>
              </w:rPr>
              <w:t>36</w:t>
            </w:r>
          </w:p>
        </w:tc>
        <w:tc>
          <w:tcPr>
            <w:tcW w:w="160" w:type="dxa"/>
          </w:tcPr>
          <w:p w14:paraId="4C61D62B" w14:textId="77777777" w:rsidR="009324FA" w:rsidRPr="002D1F09" w:rsidRDefault="009324FA" w:rsidP="009324FA">
            <w:pPr>
              <w:autoSpaceDE w:val="0"/>
              <w:autoSpaceDN w:val="0"/>
              <w:adjustRightInd w:val="0"/>
              <w:spacing w:after="0" w:line="240" w:lineRule="auto"/>
              <w:jc w:val="right"/>
              <w:rPr>
                <w:rFonts w:cstheme="minorHAnsi"/>
                <w:sz w:val="20"/>
                <w:szCs w:val="20"/>
              </w:rPr>
            </w:pPr>
          </w:p>
        </w:tc>
        <w:tc>
          <w:tcPr>
            <w:tcW w:w="851" w:type="dxa"/>
          </w:tcPr>
          <w:p w14:paraId="60620258"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7.2</w:t>
            </w:r>
          </w:p>
        </w:tc>
        <w:tc>
          <w:tcPr>
            <w:tcW w:w="1115" w:type="dxa"/>
          </w:tcPr>
          <w:p w14:paraId="2B00C8D4"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2.8, 11.7</w:t>
            </w:r>
          </w:p>
        </w:tc>
        <w:tc>
          <w:tcPr>
            <w:tcW w:w="160" w:type="dxa"/>
          </w:tcPr>
          <w:p w14:paraId="58254534" w14:textId="77777777" w:rsidR="009324FA" w:rsidRPr="002D1F09" w:rsidRDefault="009324FA" w:rsidP="009324FA">
            <w:pPr>
              <w:autoSpaceDE w:val="0"/>
              <w:autoSpaceDN w:val="0"/>
              <w:adjustRightInd w:val="0"/>
              <w:spacing w:after="0" w:line="240" w:lineRule="auto"/>
              <w:jc w:val="right"/>
              <w:rPr>
                <w:rFonts w:cstheme="minorHAnsi"/>
                <w:sz w:val="20"/>
                <w:szCs w:val="20"/>
              </w:rPr>
            </w:pPr>
          </w:p>
        </w:tc>
        <w:tc>
          <w:tcPr>
            <w:tcW w:w="850" w:type="dxa"/>
          </w:tcPr>
          <w:p w14:paraId="28DCD414"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4.5</w:t>
            </w:r>
          </w:p>
        </w:tc>
        <w:tc>
          <w:tcPr>
            <w:tcW w:w="1289" w:type="dxa"/>
          </w:tcPr>
          <w:p w14:paraId="3AC0C43B"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-2.0, 11.5</w:t>
            </w:r>
          </w:p>
        </w:tc>
      </w:tr>
      <w:tr w:rsidR="002D1F09" w:rsidRPr="002D1F09" w14:paraId="4F5FA3EB" w14:textId="77777777" w:rsidTr="00971520">
        <w:trPr>
          <w:trHeight w:hRule="exact" w:val="289"/>
        </w:trPr>
        <w:tc>
          <w:tcPr>
            <w:tcW w:w="3853" w:type="dxa"/>
          </w:tcPr>
          <w:p w14:paraId="5552C25F" w14:textId="77777777" w:rsidR="009324FA" w:rsidRPr="002D1F09" w:rsidRDefault="009324FA" w:rsidP="009324FA">
            <w:pPr>
              <w:autoSpaceDE w:val="0"/>
              <w:autoSpaceDN w:val="0"/>
              <w:adjustRightInd w:val="0"/>
              <w:spacing w:after="0" w:line="240" w:lineRule="auto"/>
              <w:ind w:left="95"/>
              <w:rPr>
                <w:rFonts w:cstheme="minorHAnsi"/>
                <w:sz w:val="20"/>
                <w:szCs w:val="20"/>
                <w:lang w:val="en-GB"/>
              </w:rPr>
            </w:pPr>
            <w:r w:rsidRPr="002D1F09">
              <w:rPr>
                <w:rFonts w:cstheme="minorHAnsi"/>
                <w:sz w:val="20"/>
                <w:szCs w:val="20"/>
                <w:lang w:val="en-GB"/>
              </w:rPr>
              <w:t xml:space="preserve">II. I + </w:t>
            </w:r>
            <w:proofErr w:type="spellStart"/>
            <w:r w:rsidRPr="002D1F09">
              <w:rPr>
                <w:rFonts w:cstheme="minorHAnsi"/>
                <w:sz w:val="20"/>
                <w:szCs w:val="20"/>
                <w:lang w:val="en-GB"/>
              </w:rPr>
              <w:t>coldwave</w:t>
            </w:r>
            <w:proofErr w:type="spellEnd"/>
          </w:p>
        </w:tc>
        <w:tc>
          <w:tcPr>
            <w:tcW w:w="283" w:type="dxa"/>
          </w:tcPr>
          <w:p w14:paraId="62F7A1CF" w14:textId="77777777" w:rsidR="009324FA" w:rsidRPr="002D1F09" w:rsidRDefault="009324FA" w:rsidP="009324FA">
            <w:pPr>
              <w:jc w:val="right"/>
              <w:rPr>
                <w:rFonts w:cstheme="minorHAnsi"/>
                <w:sz w:val="20"/>
                <w:szCs w:val="20"/>
                <w:lang w:val="en-GB"/>
              </w:rPr>
            </w:pPr>
          </w:p>
        </w:tc>
        <w:tc>
          <w:tcPr>
            <w:tcW w:w="567" w:type="dxa"/>
          </w:tcPr>
          <w:p w14:paraId="5107603C" w14:textId="77777777" w:rsidR="009324FA" w:rsidRPr="002D1F09" w:rsidRDefault="009324FA" w:rsidP="009324FA">
            <w:pPr>
              <w:jc w:val="right"/>
              <w:rPr>
                <w:rFonts w:cstheme="minorHAnsi"/>
                <w:sz w:val="20"/>
                <w:szCs w:val="20"/>
              </w:rPr>
            </w:pPr>
            <w:r w:rsidRPr="002D1F09">
              <w:rPr>
                <w:rFonts w:cstheme="minorHAnsi"/>
                <w:sz w:val="20"/>
                <w:szCs w:val="20"/>
              </w:rPr>
              <w:t>36</w:t>
            </w:r>
          </w:p>
        </w:tc>
        <w:tc>
          <w:tcPr>
            <w:tcW w:w="160" w:type="dxa"/>
          </w:tcPr>
          <w:p w14:paraId="2303B611" w14:textId="77777777" w:rsidR="009324FA" w:rsidRPr="002D1F09" w:rsidRDefault="009324FA" w:rsidP="009324FA">
            <w:pPr>
              <w:autoSpaceDE w:val="0"/>
              <w:autoSpaceDN w:val="0"/>
              <w:adjustRightInd w:val="0"/>
              <w:spacing w:after="0" w:line="240" w:lineRule="auto"/>
              <w:jc w:val="right"/>
              <w:rPr>
                <w:rFonts w:cstheme="minorHAnsi"/>
                <w:sz w:val="20"/>
                <w:szCs w:val="20"/>
              </w:rPr>
            </w:pPr>
          </w:p>
        </w:tc>
        <w:tc>
          <w:tcPr>
            <w:tcW w:w="851" w:type="dxa"/>
          </w:tcPr>
          <w:p w14:paraId="606C5C9A"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7.3</w:t>
            </w:r>
          </w:p>
        </w:tc>
        <w:tc>
          <w:tcPr>
            <w:tcW w:w="1115" w:type="dxa"/>
          </w:tcPr>
          <w:p w14:paraId="38296327"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2.6, 12.2</w:t>
            </w:r>
          </w:p>
        </w:tc>
        <w:tc>
          <w:tcPr>
            <w:tcW w:w="160" w:type="dxa"/>
          </w:tcPr>
          <w:p w14:paraId="26CD9587" w14:textId="77777777" w:rsidR="009324FA" w:rsidRPr="002D1F09" w:rsidRDefault="009324FA" w:rsidP="009324FA">
            <w:pPr>
              <w:autoSpaceDE w:val="0"/>
              <w:autoSpaceDN w:val="0"/>
              <w:adjustRightInd w:val="0"/>
              <w:spacing w:after="0" w:line="240" w:lineRule="auto"/>
              <w:jc w:val="right"/>
              <w:rPr>
                <w:rFonts w:cstheme="minorHAnsi"/>
                <w:sz w:val="20"/>
                <w:szCs w:val="20"/>
              </w:rPr>
            </w:pPr>
          </w:p>
        </w:tc>
        <w:tc>
          <w:tcPr>
            <w:tcW w:w="850" w:type="dxa"/>
          </w:tcPr>
          <w:p w14:paraId="37EE2506"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7.0</w:t>
            </w:r>
          </w:p>
        </w:tc>
        <w:tc>
          <w:tcPr>
            <w:tcW w:w="1289" w:type="dxa"/>
          </w:tcPr>
          <w:p w14:paraId="460F2DDF"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4.4, 9.6</w:t>
            </w:r>
          </w:p>
        </w:tc>
      </w:tr>
      <w:tr w:rsidR="002D1F09" w:rsidRPr="002D1F09" w14:paraId="246020C1" w14:textId="77777777" w:rsidTr="00971520">
        <w:trPr>
          <w:trHeight w:hRule="exact" w:val="289"/>
        </w:trPr>
        <w:tc>
          <w:tcPr>
            <w:tcW w:w="3853" w:type="dxa"/>
          </w:tcPr>
          <w:p w14:paraId="23205B65" w14:textId="77777777" w:rsidR="009324FA" w:rsidRPr="002D1F09" w:rsidRDefault="009324FA" w:rsidP="009324FA">
            <w:pPr>
              <w:autoSpaceDE w:val="0"/>
              <w:autoSpaceDN w:val="0"/>
              <w:adjustRightInd w:val="0"/>
              <w:spacing w:after="0" w:line="240" w:lineRule="auto"/>
              <w:ind w:left="95"/>
              <w:rPr>
                <w:rFonts w:cstheme="minorHAnsi"/>
                <w:sz w:val="20"/>
                <w:szCs w:val="20"/>
                <w:lang w:val="en-GB"/>
              </w:rPr>
            </w:pPr>
            <w:r w:rsidRPr="002D1F09">
              <w:rPr>
                <w:rFonts w:cstheme="minorHAnsi"/>
                <w:sz w:val="20"/>
                <w:szCs w:val="20"/>
                <w:lang w:val="en-GB"/>
              </w:rPr>
              <w:t>III. II + influenza</w:t>
            </w:r>
          </w:p>
        </w:tc>
        <w:tc>
          <w:tcPr>
            <w:tcW w:w="283" w:type="dxa"/>
          </w:tcPr>
          <w:p w14:paraId="2B5EF02F" w14:textId="77777777" w:rsidR="009324FA" w:rsidRPr="002D1F09" w:rsidRDefault="009324FA" w:rsidP="009324FA">
            <w:pPr>
              <w:jc w:val="right"/>
              <w:rPr>
                <w:rFonts w:cstheme="minorHAnsi"/>
                <w:sz w:val="20"/>
                <w:szCs w:val="20"/>
              </w:rPr>
            </w:pPr>
          </w:p>
        </w:tc>
        <w:tc>
          <w:tcPr>
            <w:tcW w:w="567" w:type="dxa"/>
          </w:tcPr>
          <w:p w14:paraId="74310147" w14:textId="77777777" w:rsidR="009324FA" w:rsidRPr="002D1F09" w:rsidRDefault="009324FA" w:rsidP="009324FA">
            <w:pPr>
              <w:jc w:val="right"/>
              <w:rPr>
                <w:rFonts w:cstheme="minorHAnsi"/>
                <w:sz w:val="20"/>
                <w:szCs w:val="20"/>
              </w:rPr>
            </w:pPr>
            <w:r w:rsidRPr="002D1F09">
              <w:rPr>
                <w:rFonts w:cstheme="minorHAnsi"/>
                <w:sz w:val="20"/>
                <w:szCs w:val="20"/>
              </w:rPr>
              <w:t>36</w:t>
            </w:r>
          </w:p>
        </w:tc>
        <w:tc>
          <w:tcPr>
            <w:tcW w:w="160" w:type="dxa"/>
          </w:tcPr>
          <w:p w14:paraId="170B0891" w14:textId="77777777" w:rsidR="009324FA" w:rsidRPr="002D1F09" w:rsidRDefault="009324FA" w:rsidP="009324FA">
            <w:pPr>
              <w:autoSpaceDE w:val="0"/>
              <w:autoSpaceDN w:val="0"/>
              <w:adjustRightInd w:val="0"/>
              <w:spacing w:after="0" w:line="240" w:lineRule="auto"/>
              <w:jc w:val="right"/>
              <w:rPr>
                <w:rFonts w:cstheme="minorHAnsi"/>
                <w:sz w:val="20"/>
                <w:szCs w:val="20"/>
              </w:rPr>
            </w:pPr>
          </w:p>
        </w:tc>
        <w:tc>
          <w:tcPr>
            <w:tcW w:w="851" w:type="dxa"/>
          </w:tcPr>
          <w:p w14:paraId="1D545B40"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8.8</w:t>
            </w:r>
          </w:p>
        </w:tc>
        <w:tc>
          <w:tcPr>
            <w:tcW w:w="1115" w:type="dxa"/>
          </w:tcPr>
          <w:p w14:paraId="483D5F0C"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4.6, 13.3</w:t>
            </w:r>
          </w:p>
        </w:tc>
        <w:tc>
          <w:tcPr>
            <w:tcW w:w="160" w:type="dxa"/>
          </w:tcPr>
          <w:p w14:paraId="75741D0F" w14:textId="77777777" w:rsidR="009324FA" w:rsidRPr="002D1F09" w:rsidRDefault="009324FA" w:rsidP="009324FA">
            <w:pPr>
              <w:autoSpaceDE w:val="0"/>
              <w:autoSpaceDN w:val="0"/>
              <w:adjustRightInd w:val="0"/>
              <w:spacing w:after="0" w:line="240" w:lineRule="auto"/>
              <w:jc w:val="right"/>
              <w:rPr>
                <w:rFonts w:cstheme="minorHAnsi"/>
                <w:sz w:val="20"/>
                <w:szCs w:val="20"/>
              </w:rPr>
            </w:pPr>
          </w:p>
        </w:tc>
        <w:tc>
          <w:tcPr>
            <w:tcW w:w="850" w:type="dxa"/>
          </w:tcPr>
          <w:p w14:paraId="028BB027"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8.2</w:t>
            </w:r>
          </w:p>
        </w:tc>
        <w:tc>
          <w:tcPr>
            <w:tcW w:w="1289" w:type="dxa"/>
          </w:tcPr>
          <w:p w14:paraId="43F18AA1"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6.4, 10.0</w:t>
            </w:r>
          </w:p>
        </w:tc>
      </w:tr>
      <w:tr w:rsidR="002D1F09" w:rsidRPr="002D1F09" w14:paraId="32AA6141" w14:textId="77777777" w:rsidTr="00971520">
        <w:trPr>
          <w:trHeight w:hRule="exact" w:val="289"/>
        </w:trPr>
        <w:tc>
          <w:tcPr>
            <w:tcW w:w="3853" w:type="dxa"/>
          </w:tcPr>
          <w:p w14:paraId="16D54390" w14:textId="77777777" w:rsidR="009324FA" w:rsidRPr="002D1F09" w:rsidRDefault="009324FA" w:rsidP="009324FA">
            <w:pPr>
              <w:autoSpaceDE w:val="0"/>
              <w:autoSpaceDN w:val="0"/>
              <w:adjustRightInd w:val="0"/>
              <w:spacing w:after="0" w:line="240" w:lineRule="auto"/>
              <w:ind w:left="95"/>
              <w:rPr>
                <w:rFonts w:cstheme="minorHAnsi"/>
                <w:sz w:val="20"/>
                <w:szCs w:val="20"/>
                <w:lang w:val="en-GB"/>
              </w:rPr>
            </w:pPr>
            <w:r w:rsidRPr="002D1F09">
              <w:rPr>
                <w:rFonts w:cstheme="minorHAnsi"/>
                <w:sz w:val="20"/>
                <w:szCs w:val="20"/>
                <w:lang w:val="en-GB"/>
              </w:rPr>
              <w:t>IV. III + heatwave</w:t>
            </w:r>
          </w:p>
        </w:tc>
        <w:tc>
          <w:tcPr>
            <w:tcW w:w="283" w:type="dxa"/>
          </w:tcPr>
          <w:p w14:paraId="0E8DAEAD" w14:textId="77777777" w:rsidR="009324FA" w:rsidRPr="002D1F09" w:rsidRDefault="009324FA" w:rsidP="009324FA">
            <w:pPr>
              <w:jc w:val="right"/>
              <w:rPr>
                <w:rFonts w:cstheme="minorHAnsi"/>
                <w:sz w:val="20"/>
                <w:szCs w:val="20"/>
                <w:lang w:val="en-GB"/>
              </w:rPr>
            </w:pPr>
          </w:p>
        </w:tc>
        <w:tc>
          <w:tcPr>
            <w:tcW w:w="567" w:type="dxa"/>
          </w:tcPr>
          <w:p w14:paraId="6C72E1A3" w14:textId="77777777" w:rsidR="009324FA" w:rsidRPr="002D1F09" w:rsidRDefault="009324FA" w:rsidP="009324FA">
            <w:pPr>
              <w:jc w:val="right"/>
              <w:rPr>
                <w:rFonts w:cstheme="minorHAnsi"/>
                <w:sz w:val="20"/>
                <w:szCs w:val="20"/>
              </w:rPr>
            </w:pPr>
            <w:r w:rsidRPr="002D1F09">
              <w:rPr>
                <w:rFonts w:cstheme="minorHAnsi"/>
                <w:sz w:val="20"/>
                <w:szCs w:val="20"/>
              </w:rPr>
              <w:t>36</w:t>
            </w:r>
          </w:p>
        </w:tc>
        <w:tc>
          <w:tcPr>
            <w:tcW w:w="160" w:type="dxa"/>
          </w:tcPr>
          <w:p w14:paraId="0E470C4D" w14:textId="77777777" w:rsidR="009324FA" w:rsidRPr="002D1F09" w:rsidRDefault="009324FA" w:rsidP="009324FA">
            <w:pPr>
              <w:autoSpaceDE w:val="0"/>
              <w:autoSpaceDN w:val="0"/>
              <w:adjustRightInd w:val="0"/>
              <w:spacing w:after="0" w:line="240" w:lineRule="auto"/>
              <w:jc w:val="right"/>
              <w:rPr>
                <w:rFonts w:cstheme="minorHAnsi"/>
                <w:sz w:val="20"/>
                <w:szCs w:val="20"/>
              </w:rPr>
            </w:pPr>
          </w:p>
        </w:tc>
        <w:tc>
          <w:tcPr>
            <w:tcW w:w="851" w:type="dxa"/>
          </w:tcPr>
          <w:p w14:paraId="56AF909B"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6.6</w:t>
            </w:r>
          </w:p>
        </w:tc>
        <w:tc>
          <w:tcPr>
            <w:tcW w:w="1115" w:type="dxa"/>
          </w:tcPr>
          <w:p w14:paraId="284B71B6"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0.9, 12.7</w:t>
            </w:r>
          </w:p>
        </w:tc>
        <w:tc>
          <w:tcPr>
            <w:tcW w:w="160" w:type="dxa"/>
          </w:tcPr>
          <w:p w14:paraId="71562011" w14:textId="77777777" w:rsidR="009324FA" w:rsidRPr="002D1F09" w:rsidRDefault="009324FA" w:rsidP="009324FA">
            <w:pPr>
              <w:autoSpaceDE w:val="0"/>
              <w:autoSpaceDN w:val="0"/>
              <w:adjustRightInd w:val="0"/>
              <w:spacing w:after="0" w:line="240" w:lineRule="auto"/>
              <w:jc w:val="right"/>
              <w:rPr>
                <w:rFonts w:cstheme="minorHAnsi"/>
                <w:sz w:val="20"/>
                <w:szCs w:val="20"/>
              </w:rPr>
            </w:pPr>
          </w:p>
        </w:tc>
        <w:tc>
          <w:tcPr>
            <w:tcW w:w="850" w:type="dxa"/>
          </w:tcPr>
          <w:p w14:paraId="10191AEC"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5.2</w:t>
            </w:r>
          </w:p>
        </w:tc>
        <w:tc>
          <w:tcPr>
            <w:tcW w:w="1289" w:type="dxa"/>
          </w:tcPr>
          <w:p w14:paraId="2E2A9532"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3.8, 6.6</w:t>
            </w:r>
          </w:p>
        </w:tc>
      </w:tr>
      <w:tr w:rsidR="002D1F09" w:rsidRPr="002D1F09" w14:paraId="7A6DA84C" w14:textId="77777777" w:rsidTr="00971520">
        <w:trPr>
          <w:trHeight w:hRule="exact" w:val="289"/>
        </w:trPr>
        <w:tc>
          <w:tcPr>
            <w:tcW w:w="3853" w:type="dxa"/>
          </w:tcPr>
          <w:p w14:paraId="4D61B608" w14:textId="77777777" w:rsidR="009324FA" w:rsidRPr="002D1F09" w:rsidRDefault="009324FA" w:rsidP="009324FA">
            <w:pPr>
              <w:autoSpaceDE w:val="0"/>
              <w:autoSpaceDN w:val="0"/>
              <w:adjustRightInd w:val="0"/>
              <w:spacing w:after="0" w:line="240" w:lineRule="auto"/>
              <w:ind w:left="95"/>
              <w:rPr>
                <w:rFonts w:cstheme="minorHAnsi"/>
                <w:sz w:val="20"/>
                <w:szCs w:val="20"/>
                <w:lang w:val="en-GB"/>
              </w:rPr>
            </w:pPr>
            <w:r w:rsidRPr="002D1F09">
              <w:rPr>
                <w:rFonts w:cstheme="minorHAnsi"/>
                <w:sz w:val="20"/>
                <w:szCs w:val="20"/>
                <w:lang w:val="en-GB"/>
              </w:rPr>
              <w:t>V. IV + social spending</w:t>
            </w:r>
          </w:p>
        </w:tc>
        <w:tc>
          <w:tcPr>
            <w:tcW w:w="283" w:type="dxa"/>
          </w:tcPr>
          <w:p w14:paraId="38912C52" w14:textId="77777777" w:rsidR="009324FA" w:rsidRPr="002D1F09" w:rsidRDefault="009324FA" w:rsidP="009324FA">
            <w:pPr>
              <w:jc w:val="right"/>
              <w:rPr>
                <w:rFonts w:cstheme="minorHAnsi"/>
                <w:sz w:val="20"/>
                <w:szCs w:val="20"/>
                <w:lang w:val="en-GB"/>
              </w:rPr>
            </w:pPr>
          </w:p>
        </w:tc>
        <w:tc>
          <w:tcPr>
            <w:tcW w:w="567" w:type="dxa"/>
          </w:tcPr>
          <w:p w14:paraId="345E1058" w14:textId="77777777" w:rsidR="009324FA" w:rsidRPr="002D1F09" w:rsidRDefault="009324FA" w:rsidP="009324FA">
            <w:pPr>
              <w:jc w:val="right"/>
              <w:rPr>
                <w:rFonts w:cstheme="minorHAnsi"/>
                <w:sz w:val="20"/>
                <w:szCs w:val="20"/>
              </w:rPr>
            </w:pPr>
            <w:r w:rsidRPr="002D1F09">
              <w:rPr>
                <w:rFonts w:cstheme="minorHAnsi"/>
                <w:sz w:val="20"/>
                <w:szCs w:val="20"/>
              </w:rPr>
              <w:t>36</w:t>
            </w:r>
          </w:p>
        </w:tc>
        <w:tc>
          <w:tcPr>
            <w:tcW w:w="160" w:type="dxa"/>
          </w:tcPr>
          <w:p w14:paraId="17A5CF8C" w14:textId="77777777" w:rsidR="009324FA" w:rsidRPr="002D1F09" w:rsidRDefault="009324FA" w:rsidP="009324FA">
            <w:pPr>
              <w:autoSpaceDE w:val="0"/>
              <w:autoSpaceDN w:val="0"/>
              <w:adjustRightInd w:val="0"/>
              <w:spacing w:after="0" w:line="240" w:lineRule="auto"/>
              <w:jc w:val="right"/>
              <w:rPr>
                <w:rFonts w:cstheme="minorHAnsi"/>
                <w:sz w:val="20"/>
                <w:szCs w:val="20"/>
              </w:rPr>
            </w:pPr>
          </w:p>
        </w:tc>
        <w:tc>
          <w:tcPr>
            <w:tcW w:w="851" w:type="dxa"/>
          </w:tcPr>
          <w:p w14:paraId="4F17DD97"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6.4</w:t>
            </w:r>
          </w:p>
        </w:tc>
        <w:tc>
          <w:tcPr>
            <w:tcW w:w="1115" w:type="dxa"/>
          </w:tcPr>
          <w:p w14:paraId="619CB861"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1.5, 11.6</w:t>
            </w:r>
          </w:p>
        </w:tc>
        <w:tc>
          <w:tcPr>
            <w:tcW w:w="160" w:type="dxa"/>
          </w:tcPr>
          <w:p w14:paraId="545A48DD" w14:textId="77777777" w:rsidR="009324FA" w:rsidRPr="002D1F09" w:rsidRDefault="009324FA" w:rsidP="009324FA">
            <w:pPr>
              <w:autoSpaceDE w:val="0"/>
              <w:autoSpaceDN w:val="0"/>
              <w:adjustRightInd w:val="0"/>
              <w:spacing w:after="0" w:line="240" w:lineRule="auto"/>
              <w:jc w:val="right"/>
              <w:rPr>
                <w:rFonts w:cstheme="minorHAnsi"/>
                <w:sz w:val="20"/>
                <w:szCs w:val="20"/>
              </w:rPr>
            </w:pPr>
          </w:p>
        </w:tc>
        <w:tc>
          <w:tcPr>
            <w:tcW w:w="850" w:type="dxa"/>
          </w:tcPr>
          <w:p w14:paraId="26AA2825"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4.7</w:t>
            </w:r>
          </w:p>
        </w:tc>
        <w:tc>
          <w:tcPr>
            <w:tcW w:w="1289" w:type="dxa"/>
          </w:tcPr>
          <w:p w14:paraId="68D2CF75"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2.9, 6.6</w:t>
            </w:r>
          </w:p>
        </w:tc>
      </w:tr>
      <w:tr w:rsidR="002D1F09" w:rsidRPr="002D1F09" w14:paraId="78E05075" w14:textId="77777777" w:rsidTr="00971520">
        <w:trPr>
          <w:trHeight w:hRule="exact" w:val="289"/>
        </w:trPr>
        <w:tc>
          <w:tcPr>
            <w:tcW w:w="3853" w:type="dxa"/>
          </w:tcPr>
          <w:p w14:paraId="5BDE61EB" w14:textId="77777777" w:rsidR="009324FA" w:rsidRPr="002D1F09" w:rsidRDefault="009324FA" w:rsidP="009324FA">
            <w:pPr>
              <w:autoSpaceDE w:val="0"/>
              <w:autoSpaceDN w:val="0"/>
              <w:adjustRightInd w:val="0"/>
              <w:spacing w:after="0" w:line="240" w:lineRule="auto"/>
              <w:ind w:left="95"/>
              <w:rPr>
                <w:rFonts w:cstheme="minorHAnsi"/>
                <w:sz w:val="20"/>
                <w:szCs w:val="20"/>
                <w:lang w:val="en-GB"/>
              </w:rPr>
            </w:pPr>
            <w:r w:rsidRPr="002D1F09">
              <w:rPr>
                <w:rFonts w:cstheme="minorHAnsi"/>
                <w:sz w:val="20"/>
                <w:szCs w:val="20"/>
                <w:lang w:val="en-GB"/>
              </w:rPr>
              <w:t>VI. V + GDP per capita</w:t>
            </w:r>
          </w:p>
        </w:tc>
        <w:tc>
          <w:tcPr>
            <w:tcW w:w="283" w:type="dxa"/>
          </w:tcPr>
          <w:p w14:paraId="7D5F6D60" w14:textId="77777777" w:rsidR="009324FA" w:rsidRPr="002D1F09" w:rsidRDefault="009324FA" w:rsidP="009324FA">
            <w:pPr>
              <w:jc w:val="right"/>
              <w:rPr>
                <w:rFonts w:cstheme="minorHAnsi"/>
                <w:sz w:val="20"/>
                <w:szCs w:val="20"/>
                <w:lang w:val="en-GB"/>
              </w:rPr>
            </w:pPr>
          </w:p>
        </w:tc>
        <w:tc>
          <w:tcPr>
            <w:tcW w:w="567" w:type="dxa"/>
          </w:tcPr>
          <w:p w14:paraId="50F4097D" w14:textId="77777777" w:rsidR="009324FA" w:rsidRPr="002D1F09" w:rsidRDefault="009324FA" w:rsidP="009324FA">
            <w:pPr>
              <w:jc w:val="right"/>
              <w:rPr>
                <w:rFonts w:cstheme="minorHAnsi"/>
                <w:sz w:val="20"/>
                <w:szCs w:val="20"/>
              </w:rPr>
            </w:pPr>
            <w:r w:rsidRPr="002D1F09">
              <w:rPr>
                <w:rFonts w:cstheme="minorHAnsi"/>
                <w:sz w:val="20"/>
                <w:szCs w:val="20"/>
              </w:rPr>
              <w:t>36</w:t>
            </w:r>
          </w:p>
        </w:tc>
        <w:tc>
          <w:tcPr>
            <w:tcW w:w="160" w:type="dxa"/>
          </w:tcPr>
          <w:p w14:paraId="3D1CE5F0" w14:textId="77777777" w:rsidR="009324FA" w:rsidRPr="002D1F09" w:rsidRDefault="009324FA" w:rsidP="009324FA">
            <w:pPr>
              <w:autoSpaceDE w:val="0"/>
              <w:autoSpaceDN w:val="0"/>
              <w:adjustRightInd w:val="0"/>
              <w:spacing w:after="0" w:line="240" w:lineRule="auto"/>
              <w:jc w:val="right"/>
              <w:rPr>
                <w:rFonts w:cstheme="minorHAnsi"/>
                <w:sz w:val="20"/>
                <w:szCs w:val="20"/>
              </w:rPr>
            </w:pPr>
          </w:p>
        </w:tc>
        <w:tc>
          <w:tcPr>
            <w:tcW w:w="851" w:type="dxa"/>
          </w:tcPr>
          <w:p w14:paraId="18AE06C0"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8.8</w:t>
            </w:r>
          </w:p>
        </w:tc>
        <w:tc>
          <w:tcPr>
            <w:tcW w:w="1115" w:type="dxa"/>
          </w:tcPr>
          <w:p w14:paraId="6745B011"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4.4, 13.3</w:t>
            </w:r>
          </w:p>
        </w:tc>
        <w:tc>
          <w:tcPr>
            <w:tcW w:w="160" w:type="dxa"/>
          </w:tcPr>
          <w:p w14:paraId="77805E7B" w14:textId="77777777" w:rsidR="009324FA" w:rsidRPr="002D1F09" w:rsidRDefault="009324FA" w:rsidP="009324FA">
            <w:pPr>
              <w:autoSpaceDE w:val="0"/>
              <w:autoSpaceDN w:val="0"/>
              <w:adjustRightInd w:val="0"/>
              <w:spacing w:after="0" w:line="240" w:lineRule="auto"/>
              <w:jc w:val="right"/>
              <w:rPr>
                <w:rFonts w:cstheme="minorHAnsi"/>
                <w:sz w:val="20"/>
                <w:szCs w:val="20"/>
              </w:rPr>
            </w:pPr>
          </w:p>
        </w:tc>
        <w:tc>
          <w:tcPr>
            <w:tcW w:w="850" w:type="dxa"/>
          </w:tcPr>
          <w:p w14:paraId="12B57A84"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5.5</w:t>
            </w:r>
          </w:p>
        </w:tc>
        <w:tc>
          <w:tcPr>
            <w:tcW w:w="1289" w:type="dxa"/>
          </w:tcPr>
          <w:p w14:paraId="5729C7BC"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1.9, 9.2</w:t>
            </w:r>
          </w:p>
        </w:tc>
      </w:tr>
      <w:tr w:rsidR="002D1F09" w:rsidRPr="002D1F09" w14:paraId="1D5B4319" w14:textId="77777777" w:rsidTr="00971520">
        <w:trPr>
          <w:trHeight w:hRule="exact" w:val="289"/>
        </w:trPr>
        <w:tc>
          <w:tcPr>
            <w:tcW w:w="3853" w:type="dxa"/>
          </w:tcPr>
          <w:p w14:paraId="507B9E8D" w14:textId="77777777" w:rsidR="00971520" w:rsidRPr="002D1F09" w:rsidRDefault="00971520" w:rsidP="00477AD5">
            <w:pPr>
              <w:autoSpaceDE w:val="0"/>
              <w:autoSpaceDN w:val="0"/>
              <w:adjustRightInd w:val="0"/>
              <w:spacing w:after="0" w:line="240" w:lineRule="auto"/>
              <w:rPr>
                <w:rFonts w:cstheme="minorHAnsi"/>
                <w:b/>
                <w:sz w:val="20"/>
                <w:szCs w:val="20"/>
              </w:rPr>
            </w:pPr>
            <w:r w:rsidRPr="002D1F09">
              <w:rPr>
                <w:rFonts w:cstheme="minorHAnsi"/>
                <w:b/>
                <w:sz w:val="20"/>
                <w:szCs w:val="20"/>
              </w:rPr>
              <w:t>Total</w:t>
            </w:r>
          </w:p>
        </w:tc>
        <w:tc>
          <w:tcPr>
            <w:tcW w:w="283" w:type="dxa"/>
          </w:tcPr>
          <w:p w14:paraId="317E5F6A" w14:textId="77777777" w:rsidR="00971520" w:rsidRPr="002D1F09" w:rsidRDefault="00971520" w:rsidP="00477AD5">
            <w:pPr>
              <w:jc w:val="right"/>
              <w:rPr>
                <w:rFonts w:cstheme="minorHAnsi"/>
                <w:sz w:val="20"/>
                <w:szCs w:val="20"/>
              </w:rPr>
            </w:pPr>
          </w:p>
        </w:tc>
        <w:tc>
          <w:tcPr>
            <w:tcW w:w="567" w:type="dxa"/>
          </w:tcPr>
          <w:p w14:paraId="581F3754" w14:textId="77777777" w:rsidR="00971520" w:rsidRPr="002D1F09" w:rsidRDefault="00971520" w:rsidP="00477AD5">
            <w:pPr>
              <w:jc w:val="right"/>
              <w:rPr>
                <w:rFonts w:cstheme="minorHAnsi"/>
                <w:sz w:val="20"/>
                <w:szCs w:val="20"/>
              </w:rPr>
            </w:pPr>
          </w:p>
        </w:tc>
        <w:tc>
          <w:tcPr>
            <w:tcW w:w="160" w:type="dxa"/>
          </w:tcPr>
          <w:p w14:paraId="409A78D8" w14:textId="77777777" w:rsidR="00971520" w:rsidRPr="002D1F09" w:rsidRDefault="00971520" w:rsidP="00477AD5">
            <w:pPr>
              <w:autoSpaceDE w:val="0"/>
              <w:autoSpaceDN w:val="0"/>
              <w:adjustRightInd w:val="0"/>
              <w:spacing w:after="0" w:line="240" w:lineRule="auto"/>
              <w:jc w:val="right"/>
              <w:rPr>
                <w:rFonts w:cstheme="minorHAnsi"/>
                <w:sz w:val="20"/>
                <w:szCs w:val="20"/>
              </w:rPr>
            </w:pPr>
          </w:p>
        </w:tc>
        <w:tc>
          <w:tcPr>
            <w:tcW w:w="851" w:type="dxa"/>
          </w:tcPr>
          <w:p w14:paraId="011ABC75" w14:textId="77777777" w:rsidR="00971520" w:rsidRPr="002D1F09" w:rsidRDefault="00971520" w:rsidP="00477AD5">
            <w:pPr>
              <w:autoSpaceDE w:val="0"/>
              <w:autoSpaceDN w:val="0"/>
              <w:adjustRightInd w:val="0"/>
              <w:spacing w:after="0" w:line="240" w:lineRule="auto"/>
              <w:jc w:val="right"/>
              <w:rPr>
                <w:rFonts w:cstheme="minorHAnsi"/>
                <w:sz w:val="20"/>
                <w:szCs w:val="20"/>
              </w:rPr>
            </w:pPr>
          </w:p>
        </w:tc>
        <w:tc>
          <w:tcPr>
            <w:tcW w:w="1115" w:type="dxa"/>
          </w:tcPr>
          <w:p w14:paraId="79BC7AA4" w14:textId="77777777" w:rsidR="00971520" w:rsidRPr="002D1F09" w:rsidRDefault="00971520" w:rsidP="00477AD5">
            <w:pPr>
              <w:autoSpaceDE w:val="0"/>
              <w:autoSpaceDN w:val="0"/>
              <w:adjustRightInd w:val="0"/>
              <w:spacing w:after="0" w:line="240" w:lineRule="auto"/>
              <w:jc w:val="right"/>
              <w:rPr>
                <w:rFonts w:cstheme="minorHAnsi"/>
                <w:sz w:val="20"/>
                <w:szCs w:val="20"/>
              </w:rPr>
            </w:pPr>
          </w:p>
        </w:tc>
        <w:tc>
          <w:tcPr>
            <w:tcW w:w="160" w:type="dxa"/>
          </w:tcPr>
          <w:p w14:paraId="4EB9D0E0" w14:textId="77777777" w:rsidR="00971520" w:rsidRPr="002D1F09" w:rsidRDefault="00971520" w:rsidP="00477AD5">
            <w:pPr>
              <w:autoSpaceDE w:val="0"/>
              <w:autoSpaceDN w:val="0"/>
              <w:adjustRightInd w:val="0"/>
              <w:spacing w:after="0" w:line="240" w:lineRule="auto"/>
              <w:jc w:val="right"/>
              <w:rPr>
                <w:rFonts w:cstheme="minorHAnsi"/>
                <w:sz w:val="20"/>
                <w:szCs w:val="20"/>
              </w:rPr>
            </w:pPr>
          </w:p>
        </w:tc>
        <w:tc>
          <w:tcPr>
            <w:tcW w:w="850" w:type="dxa"/>
          </w:tcPr>
          <w:p w14:paraId="498F0AF3" w14:textId="77777777" w:rsidR="00971520" w:rsidRPr="002D1F09" w:rsidRDefault="00971520" w:rsidP="00477AD5">
            <w:pPr>
              <w:autoSpaceDE w:val="0"/>
              <w:autoSpaceDN w:val="0"/>
              <w:adjustRightInd w:val="0"/>
              <w:spacing w:after="0" w:line="240" w:lineRule="auto"/>
              <w:jc w:val="right"/>
              <w:rPr>
                <w:rFonts w:cstheme="minorHAnsi"/>
                <w:sz w:val="20"/>
                <w:szCs w:val="20"/>
              </w:rPr>
            </w:pPr>
          </w:p>
        </w:tc>
        <w:tc>
          <w:tcPr>
            <w:tcW w:w="1289" w:type="dxa"/>
          </w:tcPr>
          <w:p w14:paraId="0FA3E37F" w14:textId="77777777" w:rsidR="00971520" w:rsidRPr="002D1F09" w:rsidRDefault="00971520" w:rsidP="00477AD5">
            <w:pPr>
              <w:autoSpaceDE w:val="0"/>
              <w:autoSpaceDN w:val="0"/>
              <w:adjustRightInd w:val="0"/>
              <w:spacing w:after="0" w:line="240" w:lineRule="auto"/>
              <w:jc w:val="right"/>
              <w:rPr>
                <w:rFonts w:cstheme="minorHAnsi"/>
                <w:sz w:val="20"/>
                <w:szCs w:val="20"/>
              </w:rPr>
            </w:pPr>
          </w:p>
        </w:tc>
      </w:tr>
      <w:tr w:rsidR="002D1F09" w:rsidRPr="002D1F09" w14:paraId="73BAE1C8" w14:textId="77777777" w:rsidTr="00971520">
        <w:trPr>
          <w:trHeight w:hRule="exact" w:val="289"/>
        </w:trPr>
        <w:tc>
          <w:tcPr>
            <w:tcW w:w="3853" w:type="dxa"/>
          </w:tcPr>
          <w:p w14:paraId="5129E641" w14:textId="77777777" w:rsidR="009324FA" w:rsidRPr="002D1F09" w:rsidRDefault="009324FA" w:rsidP="009324FA">
            <w:pPr>
              <w:autoSpaceDE w:val="0"/>
              <w:autoSpaceDN w:val="0"/>
              <w:adjustRightInd w:val="0"/>
              <w:spacing w:after="0" w:line="240" w:lineRule="auto"/>
              <w:ind w:left="95"/>
              <w:rPr>
                <w:rFonts w:cstheme="minorHAnsi"/>
                <w:sz w:val="20"/>
                <w:szCs w:val="20"/>
                <w:lang w:val="en-GB"/>
              </w:rPr>
            </w:pPr>
            <w:r w:rsidRPr="002D1F09">
              <w:rPr>
                <w:rFonts w:cstheme="minorHAnsi"/>
                <w:sz w:val="20"/>
                <w:szCs w:val="20"/>
                <w:lang w:val="en-GB"/>
              </w:rPr>
              <w:t xml:space="preserve">I. Health spending </w:t>
            </w:r>
          </w:p>
        </w:tc>
        <w:tc>
          <w:tcPr>
            <w:tcW w:w="283" w:type="dxa"/>
          </w:tcPr>
          <w:p w14:paraId="4F733317" w14:textId="77777777" w:rsidR="009324FA" w:rsidRPr="002D1F09" w:rsidRDefault="009324FA" w:rsidP="009324FA">
            <w:pPr>
              <w:autoSpaceDE w:val="0"/>
              <w:autoSpaceDN w:val="0"/>
              <w:adjustRightInd w:val="0"/>
              <w:spacing w:after="0" w:line="240" w:lineRule="auto"/>
              <w:jc w:val="right"/>
              <w:rPr>
                <w:rFonts w:cstheme="minorHAnsi"/>
                <w:sz w:val="20"/>
                <w:szCs w:val="20"/>
              </w:rPr>
            </w:pPr>
          </w:p>
        </w:tc>
        <w:tc>
          <w:tcPr>
            <w:tcW w:w="567" w:type="dxa"/>
          </w:tcPr>
          <w:p w14:paraId="117BCD47"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72</w:t>
            </w:r>
          </w:p>
        </w:tc>
        <w:tc>
          <w:tcPr>
            <w:tcW w:w="160" w:type="dxa"/>
          </w:tcPr>
          <w:p w14:paraId="557EE10D" w14:textId="77777777" w:rsidR="009324FA" w:rsidRPr="002D1F09" w:rsidRDefault="009324FA" w:rsidP="009324FA">
            <w:pPr>
              <w:autoSpaceDE w:val="0"/>
              <w:autoSpaceDN w:val="0"/>
              <w:adjustRightInd w:val="0"/>
              <w:spacing w:after="0" w:line="240" w:lineRule="auto"/>
              <w:jc w:val="right"/>
              <w:rPr>
                <w:rFonts w:cstheme="minorHAnsi"/>
                <w:sz w:val="20"/>
                <w:szCs w:val="20"/>
              </w:rPr>
            </w:pPr>
          </w:p>
        </w:tc>
        <w:tc>
          <w:tcPr>
            <w:tcW w:w="851" w:type="dxa"/>
          </w:tcPr>
          <w:p w14:paraId="7F8C9BC4"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-2.7</w:t>
            </w:r>
          </w:p>
        </w:tc>
        <w:tc>
          <w:tcPr>
            <w:tcW w:w="1115" w:type="dxa"/>
          </w:tcPr>
          <w:p w14:paraId="5040AB8F"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-5.8, 0.5</w:t>
            </w:r>
          </w:p>
        </w:tc>
        <w:tc>
          <w:tcPr>
            <w:tcW w:w="160" w:type="dxa"/>
          </w:tcPr>
          <w:p w14:paraId="5C026271" w14:textId="77777777" w:rsidR="009324FA" w:rsidRPr="002D1F09" w:rsidRDefault="009324FA" w:rsidP="009324FA">
            <w:pPr>
              <w:autoSpaceDE w:val="0"/>
              <w:autoSpaceDN w:val="0"/>
              <w:adjustRightInd w:val="0"/>
              <w:spacing w:after="0" w:line="240" w:lineRule="auto"/>
              <w:jc w:val="right"/>
              <w:rPr>
                <w:rFonts w:cstheme="minorHAnsi"/>
                <w:sz w:val="20"/>
                <w:szCs w:val="20"/>
              </w:rPr>
            </w:pPr>
          </w:p>
        </w:tc>
        <w:tc>
          <w:tcPr>
            <w:tcW w:w="850" w:type="dxa"/>
          </w:tcPr>
          <w:p w14:paraId="62876C8E"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-3.7</w:t>
            </w:r>
          </w:p>
        </w:tc>
        <w:tc>
          <w:tcPr>
            <w:tcW w:w="1289" w:type="dxa"/>
          </w:tcPr>
          <w:p w14:paraId="005C65D2"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-11.5, 4.8</w:t>
            </w:r>
          </w:p>
        </w:tc>
      </w:tr>
      <w:tr w:rsidR="002D1F09" w:rsidRPr="002D1F09" w14:paraId="07FBD4D2" w14:textId="77777777" w:rsidTr="00971520">
        <w:trPr>
          <w:trHeight w:hRule="exact" w:val="289"/>
        </w:trPr>
        <w:tc>
          <w:tcPr>
            <w:tcW w:w="3853" w:type="dxa"/>
          </w:tcPr>
          <w:p w14:paraId="6374B436" w14:textId="77777777" w:rsidR="009324FA" w:rsidRPr="002D1F09" w:rsidRDefault="009324FA" w:rsidP="009324FA">
            <w:pPr>
              <w:autoSpaceDE w:val="0"/>
              <w:autoSpaceDN w:val="0"/>
              <w:adjustRightInd w:val="0"/>
              <w:spacing w:after="0" w:line="240" w:lineRule="auto"/>
              <w:ind w:left="95"/>
              <w:rPr>
                <w:rFonts w:cstheme="minorHAnsi"/>
                <w:sz w:val="20"/>
                <w:szCs w:val="20"/>
                <w:lang w:val="en-GB"/>
              </w:rPr>
            </w:pPr>
            <w:r w:rsidRPr="002D1F09">
              <w:rPr>
                <w:rFonts w:cstheme="minorHAnsi"/>
                <w:sz w:val="20"/>
                <w:szCs w:val="20"/>
                <w:lang w:val="en-GB"/>
              </w:rPr>
              <w:t xml:space="preserve">II. I + </w:t>
            </w:r>
            <w:proofErr w:type="spellStart"/>
            <w:r w:rsidRPr="002D1F09">
              <w:rPr>
                <w:rFonts w:cstheme="minorHAnsi"/>
                <w:sz w:val="20"/>
                <w:szCs w:val="20"/>
                <w:lang w:val="en-GB"/>
              </w:rPr>
              <w:t>coldwave</w:t>
            </w:r>
            <w:proofErr w:type="spellEnd"/>
          </w:p>
        </w:tc>
        <w:tc>
          <w:tcPr>
            <w:tcW w:w="283" w:type="dxa"/>
          </w:tcPr>
          <w:p w14:paraId="0F325BE7" w14:textId="77777777" w:rsidR="009324FA" w:rsidRPr="002D1F09" w:rsidRDefault="009324FA" w:rsidP="009324FA">
            <w:pPr>
              <w:jc w:val="right"/>
              <w:rPr>
                <w:rFonts w:cstheme="minorHAnsi"/>
                <w:sz w:val="20"/>
                <w:szCs w:val="20"/>
                <w:lang w:val="en-GB"/>
              </w:rPr>
            </w:pPr>
          </w:p>
        </w:tc>
        <w:tc>
          <w:tcPr>
            <w:tcW w:w="567" w:type="dxa"/>
          </w:tcPr>
          <w:p w14:paraId="19FC700E" w14:textId="77777777" w:rsidR="009324FA" w:rsidRPr="002D1F09" w:rsidRDefault="009324FA" w:rsidP="009324FA">
            <w:pPr>
              <w:jc w:val="right"/>
              <w:rPr>
                <w:rFonts w:cstheme="minorHAnsi"/>
                <w:sz w:val="20"/>
                <w:szCs w:val="20"/>
              </w:rPr>
            </w:pPr>
            <w:r w:rsidRPr="002D1F09">
              <w:rPr>
                <w:rFonts w:cstheme="minorHAnsi"/>
                <w:sz w:val="20"/>
                <w:szCs w:val="20"/>
              </w:rPr>
              <w:t>72</w:t>
            </w:r>
          </w:p>
        </w:tc>
        <w:tc>
          <w:tcPr>
            <w:tcW w:w="160" w:type="dxa"/>
          </w:tcPr>
          <w:p w14:paraId="04639957" w14:textId="77777777" w:rsidR="009324FA" w:rsidRPr="002D1F09" w:rsidRDefault="009324FA" w:rsidP="009324FA">
            <w:pPr>
              <w:autoSpaceDE w:val="0"/>
              <w:autoSpaceDN w:val="0"/>
              <w:adjustRightInd w:val="0"/>
              <w:spacing w:after="0" w:line="240" w:lineRule="auto"/>
              <w:jc w:val="right"/>
              <w:rPr>
                <w:rFonts w:cstheme="minorHAnsi"/>
                <w:sz w:val="20"/>
                <w:szCs w:val="20"/>
              </w:rPr>
            </w:pPr>
          </w:p>
        </w:tc>
        <w:tc>
          <w:tcPr>
            <w:tcW w:w="851" w:type="dxa"/>
          </w:tcPr>
          <w:p w14:paraId="7BFE4052"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-2.8</w:t>
            </w:r>
          </w:p>
        </w:tc>
        <w:tc>
          <w:tcPr>
            <w:tcW w:w="1115" w:type="dxa"/>
          </w:tcPr>
          <w:p w14:paraId="63F67FF3"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-5.3, -0.2</w:t>
            </w:r>
          </w:p>
        </w:tc>
        <w:tc>
          <w:tcPr>
            <w:tcW w:w="160" w:type="dxa"/>
          </w:tcPr>
          <w:p w14:paraId="0297785B" w14:textId="77777777" w:rsidR="009324FA" w:rsidRPr="002D1F09" w:rsidRDefault="009324FA" w:rsidP="009324FA">
            <w:pPr>
              <w:autoSpaceDE w:val="0"/>
              <w:autoSpaceDN w:val="0"/>
              <w:adjustRightInd w:val="0"/>
              <w:spacing w:after="0" w:line="240" w:lineRule="auto"/>
              <w:jc w:val="right"/>
              <w:rPr>
                <w:rFonts w:cstheme="minorHAnsi"/>
                <w:sz w:val="20"/>
                <w:szCs w:val="20"/>
              </w:rPr>
            </w:pPr>
          </w:p>
        </w:tc>
        <w:tc>
          <w:tcPr>
            <w:tcW w:w="850" w:type="dxa"/>
          </w:tcPr>
          <w:p w14:paraId="07F0DDD4"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-4.1</w:t>
            </w:r>
          </w:p>
        </w:tc>
        <w:tc>
          <w:tcPr>
            <w:tcW w:w="1289" w:type="dxa"/>
          </w:tcPr>
          <w:p w14:paraId="3E7ACC49"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-11.2, 3.7</w:t>
            </w:r>
          </w:p>
        </w:tc>
      </w:tr>
      <w:tr w:rsidR="002D1F09" w:rsidRPr="002D1F09" w14:paraId="3A5C2A3D" w14:textId="77777777" w:rsidTr="00971520">
        <w:trPr>
          <w:trHeight w:hRule="exact" w:val="289"/>
        </w:trPr>
        <w:tc>
          <w:tcPr>
            <w:tcW w:w="3853" w:type="dxa"/>
          </w:tcPr>
          <w:p w14:paraId="63202B58" w14:textId="77777777" w:rsidR="009324FA" w:rsidRPr="002D1F09" w:rsidRDefault="009324FA" w:rsidP="009324FA">
            <w:pPr>
              <w:autoSpaceDE w:val="0"/>
              <w:autoSpaceDN w:val="0"/>
              <w:adjustRightInd w:val="0"/>
              <w:spacing w:after="0" w:line="240" w:lineRule="auto"/>
              <w:ind w:left="95"/>
              <w:rPr>
                <w:rFonts w:cstheme="minorHAnsi"/>
                <w:sz w:val="20"/>
                <w:szCs w:val="20"/>
                <w:lang w:val="en-GB"/>
              </w:rPr>
            </w:pPr>
            <w:r w:rsidRPr="002D1F09">
              <w:rPr>
                <w:rFonts w:cstheme="minorHAnsi"/>
                <w:sz w:val="20"/>
                <w:szCs w:val="20"/>
                <w:lang w:val="en-GB"/>
              </w:rPr>
              <w:t>III. II + influenza</w:t>
            </w:r>
          </w:p>
        </w:tc>
        <w:tc>
          <w:tcPr>
            <w:tcW w:w="283" w:type="dxa"/>
          </w:tcPr>
          <w:p w14:paraId="642BAB81" w14:textId="77777777" w:rsidR="009324FA" w:rsidRPr="002D1F09" w:rsidRDefault="009324FA" w:rsidP="009324FA">
            <w:pPr>
              <w:jc w:val="right"/>
              <w:rPr>
                <w:rFonts w:cstheme="minorHAnsi"/>
                <w:sz w:val="20"/>
                <w:szCs w:val="20"/>
              </w:rPr>
            </w:pPr>
          </w:p>
        </w:tc>
        <w:tc>
          <w:tcPr>
            <w:tcW w:w="567" w:type="dxa"/>
          </w:tcPr>
          <w:p w14:paraId="7A5F5A36" w14:textId="77777777" w:rsidR="009324FA" w:rsidRPr="002D1F09" w:rsidRDefault="009324FA" w:rsidP="009324FA">
            <w:pPr>
              <w:jc w:val="right"/>
              <w:rPr>
                <w:rFonts w:cstheme="minorHAnsi"/>
                <w:sz w:val="20"/>
                <w:szCs w:val="20"/>
              </w:rPr>
            </w:pPr>
            <w:r w:rsidRPr="002D1F09">
              <w:rPr>
                <w:rFonts w:cstheme="minorHAnsi"/>
                <w:sz w:val="20"/>
                <w:szCs w:val="20"/>
              </w:rPr>
              <w:t>72</w:t>
            </w:r>
          </w:p>
        </w:tc>
        <w:tc>
          <w:tcPr>
            <w:tcW w:w="160" w:type="dxa"/>
          </w:tcPr>
          <w:p w14:paraId="3714CE77" w14:textId="77777777" w:rsidR="009324FA" w:rsidRPr="002D1F09" w:rsidRDefault="009324FA" w:rsidP="009324FA">
            <w:pPr>
              <w:autoSpaceDE w:val="0"/>
              <w:autoSpaceDN w:val="0"/>
              <w:adjustRightInd w:val="0"/>
              <w:spacing w:after="0" w:line="240" w:lineRule="auto"/>
              <w:jc w:val="right"/>
              <w:rPr>
                <w:rFonts w:cstheme="minorHAnsi"/>
                <w:sz w:val="20"/>
                <w:szCs w:val="20"/>
              </w:rPr>
            </w:pPr>
          </w:p>
        </w:tc>
        <w:tc>
          <w:tcPr>
            <w:tcW w:w="851" w:type="dxa"/>
          </w:tcPr>
          <w:p w14:paraId="34418705"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-2.1</w:t>
            </w:r>
          </w:p>
        </w:tc>
        <w:tc>
          <w:tcPr>
            <w:tcW w:w="1115" w:type="dxa"/>
          </w:tcPr>
          <w:p w14:paraId="50E591D9"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-3.3, -1.0</w:t>
            </w:r>
          </w:p>
        </w:tc>
        <w:tc>
          <w:tcPr>
            <w:tcW w:w="160" w:type="dxa"/>
          </w:tcPr>
          <w:p w14:paraId="1219132B" w14:textId="77777777" w:rsidR="009324FA" w:rsidRPr="002D1F09" w:rsidRDefault="009324FA" w:rsidP="009324FA">
            <w:pPr>
              <w:autoSpaceDE w:val="0"/>
              <w:autoSpaceDN w:val="0"/>
              <w:adjustRightInd w:val="0"/>
              <w:spacing w:after="0" w:line="240" w:lineRule="auto"/>
              <w:jc w:val="right"/>
              <w:rPr>
                <w:rFonts w:cstheme="minorHAnsi"/>
                <w:sz w:val="20"/>
                <w:szCs w:val="20"/>
              </w:rPr>
            </w:pPr>
          </w:p>
        </w:tc>
        <w:tc>
          <w:tcPr>
            <w:tcW w:w="850" w:type="dxa"/>
          </w:tcPr>
          <w:p w14:paraId="67010A39"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-2.8</w:t>
            </w:r>
          </w:p>
        </w:tc>
        <w:tc>
          <w:tcPr>
            <w:tcW w:w="1289" w:type="dxa"/>
          </w:tcPr>
          <w:p w14:paraId="2DF20FFD"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-9.6, 4.5</w:t>
            </w:r>
          </w:p>
        </w:tc>
      </w:tr>
      <w:tr w:rsidR="002D1F09" w:rsidRPr="002D1F09" w14:paraId="1921391D" w14:textId="77777777" w:rsidTr="00971520">
        <w:trPr>
          <w:trHeight w:hRule="exact" w:val="289"/>
        </w:trPr>
        <w:tc>
          <w:tcPr>
            <w:tcW w:w="3853" w:type="dxa"/>
          </w:tcPr>
          <w:p w14:paraId="7CCD2B04" w14:textId="77777777" w:rsidR="009324FA" w:rsidRPr="002D1F09" w:rsidRDefault="009324FA" w:rsidP="009324FA">
            <w:pPr>
              <w:autoSpaceDE w:val="0"/>
              <w:autoSpaceDN w:val="0"/>
              <w:adjustRightInd w:val="0"/>
              <w:spacing w:after="0" w:line="240" w:lineRule="auto"/>
              <w:ind w:left="95"/>
              <w:rPr>
                <w:rFonts w:cstheme="minorHAnsi"/>
                <w:sz w:val="20"/>
                <w:szCs w:val="20"/>
                <w:lang w:val="en-GB"/>
              </w:rPr>
            </w:pPr>
            <w:r w:rsidRPr="002D1F09">
              <w:rPr>
                <w:rFonts w:cstheme="minorHAnsi"/>
                <w:sz w:val="20"/>
                <w:szCs w:val="20"/>
                <w:lang w:val="en-GB"/>
              </w:rPr>
              <w:t>IV. III + heatwave</w:t>
            </w:r>
          </w:p>
        </w:tc>
        <w:tc>
          <w:tcPr>
            <w:tcW w:w="283" w:type="dxa"/>
          </w:tcPr>
          <w:p w14:paraId="65F835E2" w14:textId="77777777" w:rsidR="009324FA" w:rsidRPr="002D1F09" w:rsidRDefault="009324FA" w:rsidP="009324FA">
            <w:pPr>
              <w:jc w:val="right"/>
              <w:rPr>
                <w:rFonts w:cstheme="minorHAnsi"/>
                <w:sz w:val="20"/>
                <w:szCs w:val="20"/>
                <w:lang w:val="en-GB"/>
              </w:rPr>
            </w:pPr>
          </w:p>
        </w:tc>
        <w:tc>
          <w:tcPr>
            <w:tcW w:w="567" w:type="dxa"/>
          </w:tcPr>
          <w:p w14:paraId="7E37FBA2" w14:textId="77777777" w:rsidR="009324FA" w:rsidRPr="002D1F09" w:rsidRDefault="009324FA" w:rsidP="009324FA">
            <w:pPr>
              <w:jc w:val="right"/>
              <w:rPr>
                <w:rFonts w:cstheme="minorHAnsi"/>
                <w:sz w:val="20"/>
                <w:szCs w:val="20"/>
                <w:lang w:val="en-GB"/>
              </w:rPr>
            </w:pPr>
            <w:r w:rsidRPr="002D1F09">
              <w:rPr>
                <w:rFonts w:cstheme="minorHAnsi"/>
                <w:sz w:val="20"/>
                <w:szCs w:val="20"/>
                <w:lang w:val="en-GB"/>
              </w:rPr>
              <w:t>72</w:t>
            </w:r>
          </w:p>
        </w:tc>
        <w:tc>
          <w:tcPr>
            <w:tcW w:w="160" w:type="dxa"/>
          </w:tcPr>
          <w:p w14:paraId="44BD8291" w14:textId="77777777" w:rsidR="009324FA" w:rsidRPr="002D1F09" w:rsidRDefault="009324FA" w:rsidP="009324FA">
            <w:pPr>
              <w:autoSpaceDE w:val="0"/>
              <w:autoSpaceDN w:val="0"/>
              <w:adjustRightInd w:val="0"/>
              <w:spacing w:after="0" w:line="240" w:lineRule="auto"/>
              <w:jc w:val="right"/>
              <w:rPr>
                <w:rFonts w:cstheme="minorHAnsi"/>
                <w:sz w:val="20"/>
                <w:szCs w:val="20"/>
                <w:lang w:val="en-GB"/>
              </w:rPr>
            </w:pPr>
          </w:p>
        </w:tc>
        <w:tc>
          <w:tcPr>
            <w:tcW w:w="851" w:type="dxa"/>
          </w:tcPr>
          <w:p w14:paraId="3546D350" w14:textId="77777777" w:rsidR="009324FA" w:rsidRPr="002D1F09" w:rsidRDefault="009324FA" w:rsidP="009324FA">
            <w:pPr>
              <w:autoSpaceDE w:val="0"/>
              <w:autoSpaceDN w:val="0"/>
              <w:adjustRightInd w:val="0"/>
              <w:spacing w:after="0" w:line="240" w:lineRule="auto"/>
              <w:jc w:val="right"/>
              <w:rPr>
                <w:rFonts w:cstheme="minorHAnsi"/>
                <w:sz w:val="20"/>
                <w:szCs w:val="20"/>
                <w:lang w:val="en-GB"/>
              </w:rPr>
            </w:pPr>
            <w:r w:rsidRPr="002D1F09">
              <w:rPr>
                <w:rFonts w:cstheme="minorHAnsi"/>
                <w:sz w:val="20"/>
                <w:szCs w:val="20"/>
                <w:lang w:val="en-GB"/>
              </w:rPr>
              <w:t>-2.1</w:t>
            </w:r>
          </w:p>
        </w:tc>
        <w:tc>
          <w:tcPr>
            <w:tcW w:w="1115" w:type="dxa"/>
          </w:tcPr>
          <w:p w14:paraId="79256758" w14:textId="77777777" w:rsidR="009324FA" w:rsidRPr="002D1F09" w:rsidRDefault="009324FA" w:rsidP="009324FA">
            <w:pPr>
              <w:autoSpaceDE w:val="0"/>
              <w:autoSpaceDN w:val="0"/>
              <w:adjustRightInd w:val="0"/>
              <w:spacing w:after="0" w:line="240" w:lineRule="auto"/>
              <w:jc w:val="right"/>
              <w:rPr>
                <w:rFonts w:cstheme="minorHAnsi"/>
                <w:sz w:val="20"/>
                <w:szCs w:val="20"/>
                <w:lang w:val="en-GB"/>
              </w:rPr>
            </w:pPr>
            <w:r w:rsidRPr="002D1F09">
              <w:rPr>
                <w:rFonts w:cstheme="minorHAnsi"/>
                <w:sz w:val="20"/>
                <w:szCs w:val="20"/>
                <w:lang w:val="en-GB"/>
              </w:rPr>
              <w:t>-4.1, -0.1</w:t>
            </w:r>
          </w:p>
        </w:tc>
        <w:tc>
          <w:tcPr>
            <w:tcW w:w="160" w:type="dxa"/>
          </w:tcPr>
          <w:p w14:paraId="2AFA9F85" w14:textId="77777777" w:rsidR="009324FA" w:rsidRPr="002D1F09" w:rsidRDefault="009324FA" w:rsidP="009324FA">
            <w:pPr>
              <w:autoSpaceDE w:val="0"/>
              <w:autoSpaceDN w:val="0"/>
              <w:adjustRightInd w:val="0"/>
              <w:spacing w:after="0" w:line="240" w:lineRule="auto"/>
              <w:jc w:val="right"/>
              <w:rPr>
                <w:rFonts w:cstheme="minorHAnsi"/>
                <w:sz w:val="20"/>
                <w:szCs w:val="20"/>
                <w:lang w:val="en-GB"/>
              </w:rPr>
            </w:pPr>
          </w:p>
        </w:tc>
        <w:tc>
          <w:tcPr>
            <w:tcW w:w="850" w:type="dxa"/>
          </w:tcPr>
          <w:p w14:paraId="6BC6713A" w14:textId="77777777" w:rsidR="009324FA" w:rsidRPr="002D1F09" w:rsidRDefault="009324FA" w:rsidP="009324FA">
            <w:pPr>
              <w:autoSpaceDE w:val="0"/>
              <w:autoSpaceDN w:val="0"/>
              <w:adjustRightInd w:val="0"/>
              <w:spacing w:after="0" w:line="240" w:lineRule="auto"/>
              <w:jc w:val="right"/>
              <w:rPr>
                <w:rFonts w:cstheme="minorHAnsi"/>
                <w:sz w:val="20"/>
                <w:szCs w:val="20"/>
                <w:lang w:val="en-GB"/>
              </w:rPr>
            </w:pPr>
            <w:r w:rsidRPr="002D1F09">
              <w:rPr>
                <w:rFonts w:cstheme="minorHAnsi"/>
                <w:sz w:val="20"/>
                <w:szCs w:val="20"/>
                <w:lang w:val="en-GB"/>
              </w:rPr>
              <w:t>-4.3</w:t>
            </w:r>
          </w:p>
        </w:tc>
        <w:tc>
          <w:tcPr>
            <w:tcW w:w="1289" w:type="dxa"/>
          </w:tcPr>
          <w:p w14:paraId="36F2BBF3" w14:textId="77777777" w:rsidR="009324FA" w:rsidRPr="002D1F09" w:rsidRDefault="009324FA" w:rsidP="009324FA">
            <w:pPr>
              <w:autoSpaceDE w:val="0"/>
              <w:autoSpaceDN w:val="0"/>
              <w:adjustRightInd w:val="0"/>
              <w:spacing w:after="0" w:line="240" w:lineRule="auto"/>
              <w:jc w:val="right"/>
              <w:rPr>
                <w:rFonts w:cstheme="minorHAnsi"/>
                <w:sz w:val="20"/>
                <w:szCs w:val="20"/>
                <w:lang w:val="en-GB"/>
              </w:rPr>
            </w:pPr>
            <w:r w:rsidRPr="002D1F09">
              <w:rPr>
                <w:rFonts w:cstheme="minorHAnsi"/>
                <w:sz w:val="20"/>
                <w:szCs w:val="20"/>
                <w:lang w:val="en-GB"/>
              </w:rPr>
              <w:t>-8.5. 0.0</w:t>
            </w:r>
          </w:p>
        </w:tc>
      </w:tr>
      <w:tr w:rsidR="002D1F09" w:rsidRPr="002D1F09" w14:paraId="3DEEDCD6" w14:textId="77777777" w:rsidTr="00971520">
        <w:trPr>
          <w:trHeight w:hRule="exact" w:val="289"/>
        </w:trPr>
        <w:tc>
          <w:tcPr>
            <w:tcW w:w="3853" w:type="dxa"/>
          </w:tcPr>
          <w:p w14:paraId="2A98CD3A" w14:textId="77777777" w:rsidR="009324FA" w:rsidRPr="002D1F09" w:rsidRDefault="009324FA" w:rsidP="009324FA">
            <w:pPr>
              <w:autoSpaceDE w:val="0"/>
              <w:autoSpaceDN w:val="0"/>
              <w:adjustRightInd w:val="0"/>
              <w:spacing w:after="0" w:line="240" w:lineRule="auto"/>
              <w:ind w:left="95"/>
              <w:rPr>
                <w:rFonts w:cstheme="minorHAnsi"/>
                <w:sz w:val="20"/>
                <w:szCs w:val="20"/>
                <w:lang w:val="en-GB"/>
              </w:rPr>
            </w:pPr>
            <w:r w:rsidRPr="002D1F09">
              <w:rPr>
                <w:rFonts w:cstheme="minorHAnsi"/>
                <w:sz w:val="20"/>
                <w:szCs w:val="20"/>
                <w:lang w:val="en-GB"/>
              </w:rPr>
              <w:t>V. IV + social spending</w:t>
            </w:r>
          </w:p>
        </w:tc>
        <w:tc>
          <w:tcPr>
            <w:tcW w:w="283" w:type="dxa"/>
          </w:tcPr>
          <w:p w14:paraId="4305ECAF" w14:textId="77777777" w:rsidR="009324FA" w:rsidRPr="002D1F09" w:rsidRDefault="009324FA" w:rsidP="009324FA">
            <w:pPr>
              <w:jc w:val="right"/>
              <w:rPr>
                <w:rFonts w:cstheme="minorHAnsi"/>
                <w:sz w:val="20"/>
                <w:szCs w:val="20"/>
                <w:lang w:val="en-GB"/>
              </w:rPr>
            </w:pPr>
          </w:p>
        </w:tc>
        <w:tc>
          <w:tcPr>
            <w:tcW w:w="567" w:type="dxa"/>
          </w:tcPr>
          <w:p w14:paraId="5555BB68" w14:textId="77777777" w:rsidR="009324FA" w:rsidRPr="002D1F09" w:rsidRDefault="009324FA" w:rsidP="009324FA">
            <w:pPr>
              <w:jc w:val="right"/>
              <w:rPr>
                <w:rFonts w:cstheme="minorHAnsi"/>
                <w:sz w:val="20"/>
                <w:szCs w:val="20"/>
                <w:lang w:val="en-GB"/>
              </w:rPr>
            </w:pPr>
            <w:r w:rsidRPr="002D1F09">
              <w:rPr>
                <w:rFonts w:cstheme="minorHAnsi"/>
                <w:sz w:val="20"/>
                <w:szCs w:val="20"/>
                <w:lang w:val="en-GB"/>
              </w:rPr>
              <w:t>72</w:t>
            </w:r>
          </w:p>
        </w:tc>
        <w:tc>
          <w:tcPr>
            <w:tcW w:w="160" w:type="dxa"/>
          </w:tcPr>
          <w:p w14:paraId="550369B5" w14:textId="77777777" w:rsidR="009324FA" w:rsidRPr="002D1F09" w:rsidRDefault="009324FA" w:rsidP="009324FA">
            <w:pPr>
              <w:autoSpaceDE w:val="0"/>
              <w:autoSpaceDN w:val="0"/>
              <w:adjustRightInd w:val="0"/>
              <w:spacing w:after="0" w:line="240" w:lineRule="auto"/>
              <w:jc w:val="right"/>
              <w:rPr>
                <w:rFonts w:cstheme="minorHAnsi"/>
                <w:sz w:val="20"/>
                <w:szCs w:val="20"/>
                <w:lang w:val="en-GB"/>
              </w:rPr>
            </w:pPr>
          </w:p>
        </w:tc>
        <w:tc>
          <w:tcPr>
            <w:tcW w:w="851" w:type="dxa"/>
          </w:tcPr>
          <w:p w14:paraId="7EFB384A" w14:textId="77777777" w:rsidR="009324FA" w:rsidRPr="002D1F09" w:rsidRDefault="009324FA" w:rsidP="009324FA">
            <w:pPr>
              <w:autoSpaceDE w:val="0"/>
              <w:autoSpaceDN w:val="0"/>
              <w:adjustRightInd w:val="0"/>
              <w:spacing w:after="0" w:line="240" w:lineRule="auto"/>
              <w:jc w:val="right"/>
              <w:rPr>
                <w:rFonts w:cstheme="minorHAnsi"/>
                <w:sz w:val="20"/>
                <w:szCs w:val="20"/>
                <w:lang w:val="en-GB"/>
              </w:rPr>
            </w:pPr>
            <w:r w:rsidRPr="002D1F09">
              <w:rPr>
                <w:rFonts w:cstheme="minorHAnsi"/>
                <w:sz w:val="20"/>
                <w:szCs w:val="20"/>
                <w:lang w:val="en-GB"/>
              </w:rPr>
              <w:t>-2,0</w:t>
            </w:r>
          </w:p>
        </w:tc>
        <w:tc>
          <w:tcPr>
            <w:tcW w:w="1115" w:type="dxa"/>
          </w:tcPr>
          <w:p w14:paraId="06AB7289" w14:textId="77777777" w:rsidR="009324FA" w:rsidRPr="002D1F09" w:rsidRDefault="009324FA" w:rsidP="009324FA">
            <w:pPr>
              <w:autoSpaceDE w:val="0"/>
              <w:autoSpaceDN w:val="0"/>
              <w:adjustRightInd w:val="0"/>
              <w:spacing w:after="0" w:line="240" w:lineRule="auto"/>
              <w:jc w:val="right"/>
              <w:rPr>
                <w:rFonts w:cstheme="minorHAnsi"/>
                <w:sz w:val="20"/>
                <w:szCs w:val="20"/>
                <w:lang w:val="en-GB"/>
              </w:rPr>
            </w:pPr>
            <w:r w:rsidRPr="002D1F09">
              <w:rPr>
                <w:rFonts w:cstheme="minorHAnsi"/>
                <w:sz w:val="20"/>
                <w:szCs w:val="20"/>
                <w:lang w:val="en-GB"/>
              </w:rPr>
              <w:t>-3.3, -0.6</w:t>
            </w:r>
          </w:p>
        </w:tc>
        <w:tc>
          <w:tcPr>
            <w:tcW w:w="160" w:type="dxa"/>
          </w:tcPr>
          <w:p w14:paraId="7A55AAC9" w14:textId="77777777" w:rsidR="009324FA" w:rsidRPr="002D1F09" w:rsidRDefault="009324FA" w:rsidP="009324FA">
            <w:pPr>
              <w:autoSpaceDE w:val="0"/>
              <w:autoSpaceDN w:val="0"/>
              <w:adjustRightInd w:val="0"/>
              <w:spacing w:after="0" w:line="240" w:lineRule="auto"/>
              <w:jc w:val="right"/>
              <w:rPr>
                <w:rFonts w:cstheme="minorHAnsi"/>
                <w:sz w:val="20"/>
                <w:szCs w:val="20"/>
                <w:lang w:val="en-GB"/>
              </w:rPr>
            </w:pPr>
          </w:p>
        </w:tc>
        <w:tc>
          <w:tcPr>
            <w:tcW w:w="850" w:type="dxa"/>
          </w:tcPr>
          <w:p w14:paraId="4385E9FD" w14:textId="77777777" w:rsidR="009324FA" w:rsidRPr="002D1F09" w:rsidRDefault="009324FA" w:rsidP="009324FA">
            <w:pPr>
              <w:autoSpaceDE w:val="0"/>
              <w:autoSpaceDN w:val="0"/>
              <w:adjustRightInd w:val="0"/>
              <w:spacing w:after="0" w:line="240" w:lineRule="auto"/>
              <w:jc w:val="right"/>
              <w:rPr>
                <w:rFonts w:cstheme="minorHAnsi"/>
                <w:sz w:val="20"/>
                <w:szCs w:val="20"/>
                <w:lang w:val="en-GB"/>
              </w:rPr>
            </w:pPr>
            <w:r w:rsidRPr="002D1F09">
              <w:rPr>
                <w:rFonts w:cstheme="minorHAnsi"/>
                <w:sz w:val="20"/>
                <w:szCs w:val="20"/>
                <w:lang w:val="en-GB"/>
              </w:rPr>
              <w:t>-4.7</w:t>
            </w:r>
          </w:p>
        </w:tc>
        <w:tc>
          <w:tcPr>
            <w:tcW w:w="1289" w:type="dxa"/>
          </w:tcPr>
          <w:p w14:paraId="036E6A40" w14:textId="77777777" w:rsidR="009324FA" w:rsidRPr="002D1F09" w:rsidRDefault="009324FA" w:rsidP="009324FA">
            <w:pPr>
              <w:autoSpaceDE w:val="0"/>
              <w:autoSpaceDN w:val="0"/>
              <w:adjustRightInd w:val="0"/>
              <w:spacing w:after="0" w:line="240" w:lineRule="auto"/>
              <w:jc w:val="right"/>
              <w:rPr>
                <w:rFonts w:cstheme="minorHAnsi"/>
                <w:sz w:val="20"/>
                <w:szCs w:val="20"/>
                <w:lang w:val="en-GB"/>
              </w:rPr>
            </w:pPr>
            <w:r w:rsidRPr="002D1F09">
              <w:rPr>
                <w:rFonts w:cstheme="minorHAnsi"/>
                <w:sz w:val="20"/>
                <w:szCs w:val="20"/>
                <w:lang w:val="en-GB"/>
              </w:rPr>
              <w:t>-7.9, -1.4</w:t>
            </w:r>
          </w:p>
        </w:tc>
      </w:tr>
      <w:tr w:rsidR="002D1F09" w:rsidRPr="002D1F09" w14:paraId="60799172" w14:textId="77777777" w:rsidTr="00971520">
        <w:trPr>
          <w:trHeight w:hRule="exact" w:val="289"/>
        </w:trPr>
        <w:tc>
          <w:tcPr>
            <w:tcW w:w="3853" w:type="dxa"/>
          </w:tcPr>
          <w:p w14:paraId="0F9AD171" w14:textId="77777777" w:rsidR="009324FA" w:rsidRPr="002D1F09" w:rsidRDefault="009324FA" w:rsidP="009324FA">
            <w:pPr>
              <w:autoSpaceDE w:val="0"/>
              <w:autoSpaceDN w:val="0"/>
              <w:adjustRightInd w:val="0"/>
              <w:spacing w:after="0" w:line="240" w:lineRule="auto"/>
              <w:ind w:left="95"/>
              <w:rPr>
                <w:rFonts w:cstheme="minorHAnsi"/>
                <w:sz w:val="20"/>
                <w:szCs w:val="20"/>
                <w:lang w:val="en-GB"/>
              </w:rPr>
            </w:pPr>
            <w:r w:rsidRPr="002D1F09">
              <w:rPr>
                <w:rFonts w:cstheme="minorHAnsi"/>
                <w:sz w:val="20"/>
                <w:szCs w:val="20"/>
                <w:lang w:val="en-GB"/>
              </w:rPr>
              <w:t>VI. V + GDP per capita</w:t>
            </w:r>
          </w:p>
        </w:tc>
        <w:tc>
          <w:tcPr>
            <w:tcW w:w="283" w:type="dxa"/>
          </w:tcPr>
          <w:p w14:paraId="41618B68" w14:textId="77777777" w:rsidR="009324FA" w:rsidRPr="002D1F09" w:rsidRDefault="009324FA" w:rsidP="009324FA">
            <w:pPr>
              <w:jc w:val="right"/>
              <w:rPr>
                <w:rFonts w:cstheme="minorHAnsi"/>
                <w:sz w:val="20"/>
                <w:szCs w:val="20"/>
                <w:lang w:val="en-GB"/>
              </w:rPr>
            </w:pPr>
          </w:p>
        </w:tc>
        <w:tc>
          <w:tcPr>
            <w:tcW w:w="567" w:type="dxa"/>
          </w:tcPr>
          <w:p w14:paraId="562DE6D4" w14:textId="77777777" w:rsidR="009324FA" w:rsidRPr="002D1F09" w:rsidRDefault="009324FA" w:rsidP="009324FA">
            <w:pPr>
              <w:jc w:val="right"/>
              <w:rPr>
                <w:rFonts w:cstheme="minorHAnsi"/>
                <w:sz w:val="20"/>
                <w:szCs w:val="20"/>
                <w:lang w:val="en-GB"/>
              </w:rPr>
            </w:pPr>
            <w:r w:rsidRPr="002D1F09">
              <w:rPr>
                <w:rFonts w:cstheme="minorHAnsi"/>
                <w:sz w:val="20"/>
                <w:szCs w:val="20"/>
                <w:lang w:val="en-GB"/>
              </w:rPr>
              <w:t>72</w:t>
            </w:r>
          </w:p>
        </w:tc>
        <w:tc>
          <w:tcPr>
            <w:tcW w:w="160" w:type="dxa"/>
          </w:tcPr>
          <w:p w14:paraId="39FD28E2" w14:textId="77777777" w:rsidR="009324FA" w:rsidRPr="002D1F09" w:rsidRDefault="009324FA" w:rsidP="009324FA">
            <w:pPr>
              <w:autoSpaceDE w:val="0"/>
              <w:autoSpaceDN w:val="0"/>
              <w:adjustRightInd w:val="0"/>
              <w:spacing w:after="0" w:line="240" w:lineRule="auto"/>
              <w:jc w:val="right"/>
              <w:rPr>
                <w:rFonts w:cstheme="minorHAnsi"/>
                <w:sz w:val="20"/>
                <w:szCs w:val="20"/>
                <w:lang w:val="en-GB"/>
              </w:rPr>
            </w:pPr>
          </w:p>
        </w:tc>
        <w:tc>
          <w:tcPr>
            <w:tcW w:w="851" w:type="dxa"/>
          </w:tcPr>
          <w:p w14:paraId="40164616" w14:textId="77777777" w:rsidR="009324FA" w:rsidRPr="002D1F09" w:rsidRDefault="009324FA" w:rsidP="009324FA">
            <w:pPr>
              <w:autoSpaceDE w:val="0"/>
              <w:autoSpaceDN w:val="0"/>
              <w:adjustRightInd w:val="0"/>
              <w:spacing w:after="0" w:line="240" w:lineRule="auto"/>
              <w:jc w:val="right"/>
              <w:rPr>
                <w:rFonts w:cstheme="minorHAnsi"/>
                <w:sz w:val="20"/>
                <w:szCs w:val="20"/>
                <w:lang w:val="en-GB"/>
              </w:rPr>
            </w:pPr>
            <w:r w:rsidRPr="002D1F09">
              <w:rPr>
                <w:rFonts w:cstheme="minorHAnsi"/>
                <w:sz w:val="20"/>
                <w:szCs w:val="20"/>
                <w:lang w:val="en-GB"/>
              </w:rPr>
              <w:t>-5.0</w:t>
            </w:r>
          </w:p>
        </w:tc>
        <w:tc>
          <w:tcPr>
            <w:tcW w:w="1115" w:type="dxa"/>
          </w:tcPr>
          <w:p w14:paraId="318B879E" w14:textId="77777777" w:rsidR="009324FA" w:rsidRPr="002D1F09" w:rsidRDefault="009324FA" w:rsidP="009324FA">
            <w:pPr>
              <w:autoSpaceDE w:val="0"/>
              <w:autoSpaceDN w:val="0"/>
              <w:adjustRightInd w:val="0"/>
              <w:spacing w:after="0" w:line="240" w:lineRule="auto"/>
              <w:jc w:val="right"/>
              <w:rPr>
                <w:rFonts w:cstheme="minorHAnsi"/>
                <w:sz w:val="20"/>
                <w:szCs w:val="20"/>
                <w:lang w:val="en-GB"/>
              </w:rPr>
            </w:pPr>
            <w:r w:rsidRPr="002D1F09">
              <w:rPr>
                <w:rFonts w:cstheme="minorHAnsi"/>
                <w:sz w:val="20"/>
                <w:szCs w:val="20"/>
                <w:lang w:val="en-GB"/>
              </w:rPr>
              <w:t>-8.0, -2.0</w:t>
            </w:r>
          </w:p>
        </w:tc>
        <w:tc>
          <w:tcPr>
            <w:tcW w:w="160" w:type="dxa"/>
          </w:tcPr>
          <w:p w14:paraId="50DE9921" w14:textId="77777777" w:rsidR="009324FA" w:rsidRPr="002D1F09" w:rsidRDefault="009324FA" w:rsidP="009324FA">
            <w:pPr>
              <w:autoSpaceDE w:val="0"/>
              <w:autoSpaceDN w:val="0"/>
              <w:adjustRightInd w:val="0"/>
              <w:spacing w:after="0" w:line="240" w:lineRule="auto"/>
              <w:jc w:val="right"/>
              <w:rPr>
                <w:rFonts w:cstheme="minorHAnsi"/>
                <w:sz w:val="20"/>
                <w:szCs w:val="20"/>
                <w:lang w:val="en-GB"/>
              </w:rPr>
            </w:pPr>
          </w:p>
        </w:tc>
        <w:tc>
          <w:tcPr>
            <w:tcW w:w="850" w:type="dxa"/>
          </w:tcPr>
          <w:p w14:paraId="06A573F0"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lang w:val="en-GB"/>
              </w:rPr>
              <w:t>-</w:t>
            </w:r>
            <w:r w:rsidRPr="002D1F09">
              <w:rPr>
                <w:rFonts w:cstheme="minorHAnsi"/>
                <w:sz w:val="20"/>
                <w:szCs w:val="20"/>
              </w:rPr>
              <w:t>5.6</w:t>
            </w:r>
          </w:p>
        </w:tc>
        <w:tc>
          <w:tcPr>
            <w:tcW w:w="1289" w:type="dxa"/>
          </w:tcPr>
          <w:p w14:paraId="145D75B6" w14:textId="77777777" w:rsidR="009324FA" w:rsidRPr="002D1F09" w:rsidRDefault="009324FA" w:rsidP="009324FA">
            <w:pPr>
              <w:autoSpaceDE w:val="0"/>
              <w:autoSpaceDN w:val="0"/>
              <w:adjustRightInd w:val="0"/>
              <w:spacing w:after="0" w:line="240" w:lineRule="auto"/>
              <w:jc w:val="right"/>
              <w:rPr>
                <w:rFonts w:cstheme="minorHAnsi"/>
                <w:sz w:val="20"/>
                <w:szCs w:val="20"/>
              </w:rPr>
            </w:pPr>
            <w:r w:rsidRPr="002D1F09">
              <w:rPr>
                <w:rFonts w:cstheme="minorHAnsi"/>
                <w:sz w:val="20"/>
                <w:szCs w:val="20"/>
              </w:rPr>
              <w:t>-9.3, -1.8</w:t>
            </w:r>
          </w:p>
        </w:tc>
      </w:tr>
    </w:tbl>
    <w:p w14:paraId="32CDA373" w14:textId="77777777" w:rsidR="00477AD5" w:rsidRPr="002D1F09" w:rsidRDefault="009C247B" w:rsidP="00971520">
      <w:pPr>
        <w:spacing w:after="0" w:line="200" w:lineRule="exact"/>
        <w:ind w:right="142"/>
        <w:jc w:val="both"/>
        <w:rPr>
          <w:sz w:val="16"/>
          <w:szCs w:val="16"/>
          <w:lang w:val="en-GB"/>
        </w:rPr>
      </w:pPr>
      <w:r w:rsidRPr="002D1F09">
        <w:rPr>
          <w:b/>
          <w:sz w:val="16"/>
          <w:szCs w:val="16"/>
          <w:lang w:val="en-GB"/>
        </w:rPr>
        <w:t>PC</w:t>
      </w:r>
      <w:r w:rsidRPr="002D1F09">
        <w:rPr>
          <w:sz w:val="16"/>
          <w:szCs w:val="16"/>
          <w:lang w:val="en-GB"/>
        </w:rPr>
        <w:t>: Percent change in annual mortality rate</w:t>
      </w:r>
      <w:r w:rsidRPr="002D1F09">
        <w:rPr>
          <w:rFonts w:cstheme="minorHAnsi"/>
          <w:sz w:val="16"/>
          <w:szCs w:val="16"/>
          <w:lang w:val="en-GB"/>
        </w:rPr>
        <w:t xml:space="preserve"> (FE model) or ratio of interannual mortality rates (FD model) per one thousand US dollars increase in annual health spending (FE model) or interannual difference in health spending (FD model)</w:t>
      </w:r>
      <w:r w:rsidRPr="002D1F09">
        <w:rPr>
          <w:b/>
          <w:sz w:val="16"/>
          <w:szCs w:val="16"/>
          <w:lang w:val="en-GB"/>
        </w:rPr>
        <w:t>. 95%CI</w:t>
      </w:r>
      <w:r w:rsidRPr="002D1F09">
        <w:rPr>
          <w:sz w:val="16"/>
          <w:szCs w:val="16"/>
          <w:lang w:val="en-GB"/>
        </w:rPr>
        <w:t>: 95% confidence interval of PC.</w:t>
      </w:r>
      <w:r w:rsidRPr="002D1F09">
        <w:rPr>
          <w:b/>
          <w:sz w:val="16"/>
          <w:szCs w:val="16"/>
          <w:vertAlign w:val="superscript"/>
          <w:lang w:val="en-GB"/>
        </w:rPr>
        <w:t xml:space="preserve"> 1</w:t>
      </w:r>
      <w:r w:rsidRPr="002D1F09">
        <w:rPr>
          <w:sz w:val="16"/>
          <w:szCs w:val="16"/>
          <w:lang w:val="en-GB"/>
        </w:rPr>
        <w:t xml:space="preserve"> It refers to the number of points in the regression models.</w:t>
      </w:r>
      <w:r w:rsidRPr="002D1F09">
        <w:rPr>
          <w:b/>
          <w:sz w:val="16"/>
          <w:szCs w:val="16"/>
          <w:vertAlign w:val="superscript"/>
          <w:lang w:val="en-GB"/>
        </w:rPr>
        <w:t xml:space="preserve"> 2 </w:t>
      </w:r>
      <w:r w:rsidRPr="002D1F09">
        <w:rPr>
          <w:sz w:val="16"/>
          <w:szCs w:val="16"/>
          <w:lang w:val="en-GB"/>
        </w:rPr>
        <w:t xml:space="preserve">Multiple linear regression of logarithm of age-standardized mortality rates on government health spending in </w:t>
      </w:r>
      <w:proofErr w:type="gramStart"/>
      <w:r w:rsidRPr="002D1F09">
        <w:rPr>
          <w:sz w:val="16"/>
          <w:szCs w:val="16"/>
          <w:lang w:val="en-GB"/>
        </w:rPr>
        <w:t>thousands</w:t>
      </w:r>
      <w:proofErr w:type="gramEnd"/>
      <w:r w:rsidRPr="002D1F09">
        <w:rPr>
          <w:sz w:val="16"/>
          <w:szCs w:val="16"/>
          <w:lang w:val="en-GB"/>
        </w:rPr>
        <w:t xml:space="preserve"> of 2015 US dollars per capita</w:t>
      </w:r>
      <w:r w:rsidRPr="002D1F09">
        <w:rPr>
          <w:rFonts w:cstheme="minorHAnsi"/>
          <w:sz w:val="16"/>
          <w:szCs w:val="16"/>
          <w:lang w:val="en-GB"/>
        </w:rPr>
        <w:t xml:space="preserve">, adjusting for country, year as a restricted cubic spline and in models II, III, IV, V and VI other covariates. </w:t>
      </w:r>
      <w:r w:rsidR="00477AD5" w:rsidRPr="002D1F09">
        <w:rPr>
          <w:b/>
          <w:sz w:val="16"/>
          <w:szCs w:val="16"/>
          <w:vertAlign w:val="superscript"/>
          <w:lang w:val="en-GB"/>
        </w:rPr>
        <w:t>3</w:t>
      </w:r>
      <w:r w:rsidR="00477AD5" w:rsidRPr="002D1F09">
        <w:rPr>
          <w:sz w:val="16"/>
          <w:szCs w:val="16"/>
          <w:lang w:val="en-GB"/>
        </w:rPr>
        <w:t xml:space="preserve"> </w:t>
      </w:r>
      <w:r w:rsidRPr="002D1F09">
        <w:rPr>
          <w:sz w:val="16"/>
          <w:szCs w:val="16"/>
          <w:lang w:val="en-GB"/>
        </w:rPr>
        <w:t xml:space="preserve">Multiple linear regression of first differences between the logarithm of age-standardized mortality rate in a given year and country and its logarithm in the previous year, on first differences of health spending, adjusting for first-differences in year as a restricted cubic spline, and </w:t>
      </w:r>
      <w:r w:rsidRPr="002D1F09">
        <w:rPr>
          <w:rFonts w:cstheme="minorHAnsi"/>
          <w:sz w:val="16"/>
          <w:szCs w:val="16"/>
          <w:lang w:val="en-GB"/>
        </w:rPr>
        <w:t>in models II, III, IV, V and VI other covariates</w:t>
      </w:r>
      <w:r w:rsidR="00477AD5" w:rsidRPr="002D1F09">
        <w:rPr>
          <w:sz w:val="16"/>
          <w:szCs w:val="16"/>
          <w:lang w:val="en-GB"/>
        </w:rPr>
        <w:t>.</w:t>
      </w:r>
    </w:p>
    <w:p w14:paraId="16042EDF" w14:textId="77777777" w:rsidR="00477AD5" w:rsidRPr="002D1F09" w:rsidRDefault="00477AD5" w:rsidP="00477AD5">
      <w:pPr>
        <w:rPr>
          <w:sz w:val="18"/>
          <w:szCs w:val="18"/>
          <w:lang w:val="en-GB"/>
        </w:rPr>
      </w:pPr>
      <w:r w:rsidRPr="002D1F09">
        <w:rPr>
          <w:sz w:val="18"/>
          <w:szCs w:val="18"/>
          <w:lang w:val="en-GB"/>
        </w:rPr>
        <w:br w:type="page"/>
      </w:r>
    </w:p>
    <w:p w14:paraId="3986EE6A" w14:textId="77777777" w:rsidR="0007210E" w:rsidRPr="002D1F09" w:rsidRDefault="0007210E" w:rsidP="0007210E">
      <w:pPr>
        <w:ind w:right="-285"/>
        <w:jc w:val="both"/>
        <w:rPr>
          <w:rFonts w:cstheme="minorHAnsi"/>
          <w:b/>
          <w:sz w:val="20"/>
          <w:szCs w:val="20"/>
          <w:lang w:val="en-GB"/>
        </w:rPr>
      </w:pPr>
      <w:proofErr w:type="spellStart"/>
      <w:r w:rsidRPr="002D1F09">
        <w:rPr>
          <w:rFonts w:cstheme="minorHAnsi"/>
          <w:b/>
          <w:sz w:val="20"/>
          <w:szCs w:val="20"/>
          <w:lang w:val="en-GB"/>
        </w:rPr>
        <w:lastRenderedPageBreak/>
        <w:t>eFigure</w:t>
      </w:r>
      <w:proofErr w:type="spellEnd"/>
      <w:r w:rsidRPr="002D1F09">
        <w:rPr>
          <w:rFonts w:cstheme="minorHAnsi"/>
          <w:b/>
          <w:sz w:val="20"/>
          <w:szCs w:val="20"/>
          <w:lang w:val="en-GB"/>
        </w:rPr>
        <w:t xml:space="preserve"> 1. Hypothesized relationships between health spending, mortality, and </w:t>
      </w:r>
      <w:r w:rsidR="00013C01" w:rsidRPr="002D1F09">
        <w:rPr>
          <w:rFonts w:cstheme="minorHAnsi"/>
          <w:b/>
          <w:sz w:val="20"/>
          <w:szCs w:val="20"/>
          <w:lang w:val="en-GB"/>
        </w:rPr>
        <w:t>adjustment covariates</w:t>
      </w:r>
    </w:p>
    <w:p w14:paraId="08752457" w14:textId="77777777" w:rsidR="0007210E" w:rsidRPr="002D1F09" w:rsidRDefault="0007210E" w:rsidP="0007210E">
      <w:pPr>
        <w:rPr>
          <w:lang w:val="en-GB"/>
        </w:rPr>
      </w:pPr>
    </w:p>
    <w:p w14:paraId="10FFCA31" w14:textId="77777777" w:rsidR="0007210E" w:rsidRPr="002D1F09" w:rsidRDefault="0007210E" w:rsidP="0007210E">
      <w:pPr>
        <w:rPr>
          <w:lang w:val="en-GB"/>
        </w:rPr>
      </w:pPr>
    </w:p>
    <w:p w14:paraId="3FFC7033" w14:textId="7A64386C" w:rsidR="0007210E" w:rsidRPr="002D1F09" w:rsidRDefault="0007210E" w:rsidP="0007210E">
      <w:pPr>
        <w:rPr>
          <w:lang w:val="en-GB"/>
        </w:rPr>
      </w:pPr>
    </w:p>
    <w:p w14:paraId="5269296C" w14:textId="3255E843" w:rsidR="0007210E" w:rsidRPr="002D1F09" w:rsidRDefault="00A21311" w:rsidP="0007210E">
      <w:pPr>
        <w:rPr>
          <w:lang w:val="en-GB"/>
        </w:rPr>
      </w:pPr>
      <w:r w:rsidRPr="002D1F09">
        <w:rPr>
          <w:noProof/>
          <w:lang w:eastAsia="es-ES"/>
        </w:rPr>
        <mc:AlternateContent>
          <mc:Choice Requires="wpg">
            <w:drawing>
              <wp:anchor distT="0" distB="0" distL="114300" distR="114300" simplePos="0" relativeHeight="251681792" behindDoc="0" locked="0" layoutInCell="1" allowOverlap="1" wp14:anchorId="53DE4EAE" wp14:editId="60A481A4">
                <wp:simplePos x="0" y="0"/>
                <wp:positionH relativeFrom="column">
                  <wp:posOffset>78622</wp:posOffset>
                </wp:positionH>
                <wp:positionV relativeFrom="paragraph">
                  <wp:posOffset>32149</wp:posOffset>
                </wp:positionV>
                <wp:extent cx="4796155" cy="3252752"/>
                <wp:effectExtent l="0" t="0" r="23495" b="24130"/>
                <wp:wrapNone/>
                <wp:docPr id="53" name="Grupo 53"/>
                <wp:cNvGraphicFramePr/>
                <a:graphic xmlns:a="http://schemas.openxmlformats.org/drawingml/2006/main">
                  <a:graphicData uri="http://schemas.microsoft.com/office/word/2010/wordprocessingGroup">
                    <wpg:wgp>
                      <wpg:cNvGrpSpPr/>
                      <wpg:grpSpPr>
                        <a:xfrm>
                          <a:off x="0" y="0"/>
                          <a:ext cx="4796155" cy="3252752"/>
                          <a:chOff x="0" y="241771"/>
                          <a:chExt cx="4796155" cy="3252752"/>
                        </a:xfrm>
                      </wpg:grpSpPr>
                      <wpg:grpSp>
                        <wpg:cNvPr id="31" name="Grupo 31"/>
                        <wpg:cNvGrpSpPr/>
                        <wpg:grpSpPr>
                          <a:xfrm>
                            <a:off x="0" y="241771"/>
                            <a:ext cx="4796155" cy="3252752"/>
                            <a:chOff x="0" y="436896"/>
                            <a:chExt cx="4796174" cy="3255975"/>
                          </a:xfrm>
                        </wpg:grpSpPr>
                        <wpg:grpSp>
                          <wpg:cNvPr id="4" name="Grupo 4"/>
                          <wpg:cNvGrpSpPr/>
                          <wpg:grpSpPr>
                            <a:xfrm>
                              <a:off x="0" y="436896"/>
                              <a:ext cx="4796174" cy="3255975"/>
                              <a:chOff x="-363179" y="436918"/>
                              <a:chExt cx="4708409" cy="3256136"/>
                            </a:xfrm>
                          </wpg:grpSpPr>
                          <wps:wsp>
                            <wps:cNvPr id="5" name="Rectángulo redondeado 5"/>
                            <wps:cNvSpPr/>
                            <wps:spPr>
                              <a:xfrm>
                                <a:off x="-363179" y="1470254"/>
                                <a:ext cx="1211077" cy="324993"/>
                              </a:xfrm>
                              <a:prstGeom prst="roundRect">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7DB82082" w14:textId="77777777" w:rsidR="006E5BB9" w:rsidRPr="008D4E30" w:rsidRDefault="006E5BB9" w:rsidP="0007210E">
                                  <w:pPr>
                                    <w:pStyle w:val="NormalWeb"/>
                                    <w:spacing w:before="0" w:beforeAutospacing="0" w:after="0" w:afterAutospacing="0"/>
                                    <w:jc w:val="center"/>
                                    <w:rPr>
                                      <w:rFonts w:asciiTheme="minorHAnsi" w:eastAsia="Times New Roman" w:hAnsi="Calibri" w:cstheme="minorBidi"/>
                                      <w:b/>
                                      <w:bCs/>
                                      <w:color w:val="FF0000"/>
                                      <w:kern w:val="24"/>
                                      <w:sz w:val="20"/>
                                      <w:szCs w:val="20"/>
                                    </w:rPr>
                                  </w:pPr>
                                  <w:r w:rsidRPr="008D4E30">
                                    <w:rPr>
                                      <w:rFonts w:asciiTheme="minorHAnsi" w:eastAsia="Times New Roman" w:hAnsi="Calibri" w:cstheme="minorBidi"/>
                                      <w:b/>
                                      <w:bCs/>
                                      <w:color w:val="FF0000"/>
                                      <w:kern w:val="24"/>
                                      <w:sz w:val="20"/>
                                      <w:szCs w:val="20"/>
                                    </w:rPr>
                                    <w:t>HEALTH SPENDING</w:t>
                                  </w:r>
                                </w:p>
                                <w:p w14:paraId="1BC4247F" w14:textId="77777777" w:rsidR="006E5BB9" w:rsidRDefault="006E5BB9" w:rsidP="0007210E">
                                  <w:pPr>
                                    <w:pStyle w:val="NormalWeb"/>
                                    <w:spacing w:before="0" w:beforeAutospacing="0" w:after="0" w:afterAutospacing="0"/>
                                    <w:jc w:val="center"/>
                                  </w:pPr>
                                </w:p>
                              </w:txbxContent>
                            </wps:txbx>
                            <wps:bodyPr rtlCol="0" anchor="ctr"/>
                          </wps:wsp>
                          <wps:wsp>
                            <wps:cNvPr id="7" name="Rectángulo redondeado 7"/>
                            <wps:cNvSpPr/>
                            <wps:spPr>
                              <a:xfrm>
                                <a:off x="1791218" y="436918"/>
                                <a:ext cx="805008" cy="667409"/>
                              </a:xfrm>
                              <a:prstGeom prst="roundRect">
                                <a:avLst/>
                              </a:prstGeom>
                              <a:solidFill>
                                <a:sysClr val="window" lastClr="FFFFFF">
                                  <a:lumMod val="95000"/>
                                </a:sysClr>
                              </a:solidFill>
                              <a:ln w="6350" cap="flat" cmpd="sng" algn="ctr">
                                <a:solidFill>
                                  <a:sysClr val="windowText" lastClr="000000"/>
                                </a:solidFill>
                                <a:prstDash val="solid"/>
                                <a:miter lim="800000"/>
                              </a:ln>
                              <a:effectLst/>
                            </wps:spPr>
                            <wps:txbx>
                              <w:txbxContent>
                                <w:p w14:paraId="27685903" w14:textId="77777777" w:rsidR="006E5BB9" w:rsidRDefault="006E5BB9" w:rsidP="0007210E">
                                  <w:pPr>
                                    <w:pStyle w:val="NormalWeb"/>
                                    <w:spacing w:before="0" w:beforeAutospacing="0" w:after="0" w:afterAutospacing="0"/>
                                    <w:jc w:val="center"/>
                                    <w:rPr>
                                      <w:rFonts w:asciiTheme="minorHAnsi" w:eastAsia="Times New Roman" w:hAnsi="Calibri" w:cstheme="minorBidi"/>
                                      <w:b/>
                                      <w:bCs/>
                                      <w:color w:val="FF0000"/>
                                      <w:kern w:val="24"/>
                                      <w:sz w:val="20"/>
                                      <w:szCs w:val="20"/>
                                    </w:rPr>
                                  </w:pPr>
                                  <w:r>
                                    <w:rPr>
                                      <w:rFonts w:asciiTheme="minorHAnsi" w:eastAsia="Times New Roman" w:hAnsi="Calibri" w:cstheme="minorBidi"/>
                                      <w:b/>
                                      <w:bCs/>
                                      <w:color w:val="FF0000"/>
                                      <w:kern w:val="24"/>
                                      <w:sz w:val="20"/>
                                      <w:szCs w:val="20"/>
                                    </w:rPr>
                                    <w:t>Influenza</w:t>
                                  </w:r>
                                </w:p>
                                <w:p w14:paraId="692B9D48" w14:textId="77777777" w:rsidR="006E5BB9" w:rsidRDefault="006E5BB9" w:rsidP="0007210E">
                                  <w:pPr>
                                    <w:pStyle w:val="NormalWeb"/>
                                    <w:spacing w:before="0" w:beforeAutospacing="0" w:after="0" w:afterAutospacing="0"/>
                                    <w:jc w:val="center"/>
                                    <w:rPr>
                                      <w:rFonts w:asciiTheme="minorHAnsi" w:eastAsia="Times New Roman" w:hAnsi="Calibri" w:cstheme="minorBidi"/>
                                      <w:b/>
                                      <w:bCs/>
                                      <w:color w:val="FF0000"/>
                                      <w:kern w:val="24"/>
                                      <w:sz w:val="20"/>
                                      <w:szCs w:val="20"/>
                                    </w:rPr>
                                  </w:pPr>
                                  <w:r w:rsidRPr="0097069C">
                                    <w:rPr>
                                      <w:rFonts w:asciiTheme="minorHAnsi" w:eastAsia="Times New Roman" w:hAnsi="Calibri" w:cstheme="minorBidi"/>
                                      <w:b/>
                                      <w:bCs/>
                                      <w:color w:val="FF0000"/>
                                      <w:kern w:val="24"/>
                                      <w:sz w:val="20"/>
                                      <w:szCs w:val="20"/>
                                    </w:rPr>
                                    <w:t>Heatwave</w:t>
                                  </w:r>
                                </w:p>
                                <w:p w14:paraId="493DC127" w14:textId="77777777" w:rsidR="006E5BB9" w:rsidRPr="0097069C" w:rsidRDefault="006E5BB9" w:rsidP="0007210E">
                                  <w:pPr>
                                    <w:pStyle w:val="NormalWeb"/>
                                    <w:spacing w:before="0" w:beforeAutospacing="0" w:after="0" w:afterAutospacing="0"/>
                                    <w:jc w:val="center"/>
                                    <w:rPr>
                                      <w:color w:val="FF0000"/>
                                      <w:sz w:val="20"/>
                                      <w:szCs w:val="20"/>
                                    </w:rPr>
                                  </w:pPr>
                                  <w:proofErr w:type="spellStart"/>
                                  <w:r w:rsidRPr="0097069C">
                                    <w:rPr>
                                      <w:rFonts w:asciiTheme="minorHAnsi" w:eastAsia="Times New Roman" w:hAnsi="Calibri" w:cstheme="minorBidi"/>
                                      <w:b/>
                                      <w:bCs/>
                                      <w:color w:val="FF0000"/>
                                      <w:kern w:val="24"/>
                                      <w:sz w:val="20"/>
                                      <w:szCs w:val="20"/>
                                    </w:rPr>
                                    <w:t>Coldwave</w:t>
                                  </w:r>
                                  <w:proofErr w:type="spellEnd"/>
                                </w:p>
                              </w:txbxContent>
                            </wps:txbx>
                            <wps:bodyPr rtlCol="0" anchor="ctr"/>
                          </wps:wsp>
                          <wps:wsp>
                            <wps:cNvPr id="8" name="Rectángulo redondeado 8"/>
                            <wps:cNvSpPr/>
                            <wps:spPr>
                              <a:xfrm>
                                <a:off x="-363179" y="3050164"/>
                                <a:ext cx="1109890" cy="642890"/>
                              </a:xfrm>
                              <a:prstGeom prst="roundRect">
                                <a:avLst/>
                              </a:prstGeom>
                              <a:solidFill>
                                <a:sysClr val="window" lastClr="FFFFFF">
                                  <a:lumMod val="95000"/>
                                </a:sysClr>
                              </a:solidFill>
                              <a:ln w="6350" cap="flat" cmpd="sng" algn="ctr">
                                <a:solidFill>
                                  <a:sysClr val="windowText" lastClr="000000"/>
                                </a:solidFill>
                                <a:prstDash val="solid"/>
                                <a:miter lim="800000"/>
                              </a:ln>
                              <a:effectLst/>
                            </wps:spPr>
                            <wps:txbx>
                              <w:txbxContent>
                                <w:p w14:paraId="4D37E8AD" w14:textId="77777777" w:rsidR="006E5BB9" w:rsidRPr="0097069C" w:rsidRDefault="006E5BB9" w:rsidP="0007210E">
                                  <w:pPr>
                                    <w:pStyle w:val="NormalWeb"/>
                                    <w:spacing w:before="0" w:beforeAutospacing="0" w:after="0" w:afterAutospacing="0"/>
                                    <w:jc w:val="center"/>
                                    <w:rPr>
                                      <w:color w:val="FF0000"/>
                                      <w:sz w:val="20"/>
                                      <w:szCs w:val="20"/>
                                    </w:rPr>
                                  </w:pPr>
                                  <w:r w:rsidRPr="0097069C">
                                    <w:rPr>
                                      <w:rFonts w:asciiTheme="minorHAnsi" w:eastAsia="Times New Roman" w:hAnsi="Calibri" w:cstheme="minorBidi"/>
                                      <w:b/>
                                      <w:bCs/>
                                      <w:color w:val="FF0000"/>
                                      <w:kern w:val="24"/>
                                      <w:sz w:val="20"/>
                                      <w:szCs w:val="20"/>
                                    </w:rPr>
                                    <w:t>GDP per capita / Economic growth</w:t>
                                  </w:r>
                                </w:p>
                              </w:txbxContent>
                            </wps:txbx>
                            <wps:bodyPr rtlCol="0" anchor="ctr"/>
                          </wps:wsp>
                          <wps:wsp>
                            <wps:cNvPr id="9" name="Rectángulo redondeado 9"/>
                            <wps:cNvSpPr/>
                            <wps:spPr>
                              <a:xfrm>
                                <a:off x="3447573" y="1541287"/>
                                <a:ext cx="897657" cy="401702"/>
                              </a:xfrm>
                              <a:prstGeom prst="roundRect">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3AAB7224" w14:textId="77777777" w:rsidR="006E5BB9" w:rsidRPr="008D4E30" w:rsidRDefault="006E5BB9" w:rsidP="0007210E">
                                  <w:pPr>
                                    <w:pStyle w:val="NormalWeb"/>
                                    <w:spacing w:before="0" w:beforeAutospacing="0" w:after="0" w:afterAutospacing="0"/>
                                    <w:rPr>
                                      <w:color w:val="FF0000"/>
                                    </w:rPr>
                                  </w:pPr>
                                  <w:r w:rsidRPr="008D4E30">
                                    <w:rPr>
                                      <w:rFonts w:asciiTheme="minorHAnsi" w:eastAsia="Times New Roman" w:hAnsi="Calibri" w:cstheme="minorBidi"/>
                                      <w:b/>
                                      <w:bCs/>
                                      <w:color w:val="FF0000"/>
                                      <w:kern w:val="24"/>
                                      <w:sz w:val="20"/>
                                      <w:szCs w:val="20"/>
                                    </w:rPr>
                                    <w:t>MORTALITY</w:t>
                                  </w:r>
                                </w:p>
                              </w:txbxContent>
                            </wps:txbx>
                            <wps:bodyPr rtlCol="0" anchor="ctr"/>
                          </wps:wsp>
                          <wps:wsp>
                            <wps:cNvPr id="16" name="Rectángulo redondeado 16"/>
                            <wps:cNvSpPr/>
                            <wps:spPr>
                              <a:xfrm>
                                <a:off x="1350755" y="1828857"/>
                                <a:ext cx="730048" cy="485605"/>
                              </a:xfrm>
                              <a:prstGeom prst="roundRect">
                                <a:avLst/>
                              </a:prstGeom>
                              <a:solidFill>
                                <a:sysClr val="window" lastClr="FFFFFF">
                                  <a:lumMod val="95000"/>
                                </a:sysClr>
                              </a:solidFill>
                              <a:ln w="6350" cap="flat" cmpd="sng" algn="ctr">
                                <a:solidFill>
                                  <a:sysClr val="windowText" lastClr="000000"/>
                                </a:solidFill>
                                <a:prstDash val="solid"/>
                                <a:miter lim="800000"/>
                              </a:ln>
                              <a:effectLst/>
                            </wps:spPr>
                            <wps:txbx>
                              <w:txbxContent>
                                <w:p w14:paraId="58B106B2" w14:textId="77777777" w:rsidR="006E5BB9" w:rsidRPr="0097069C" w:rsidRDefault="006E5BB9" w:rsidP="0007210E">
                                  <w:pPr>
                                    <w:pStyle w:val="NormalWeb"/>
                                    <w:spacing w:before="0" w:beforeAutospacing="0" w:after="0" w:afterAutospacing="0"/>
                                    <w:jc w:val="center"/>
                                    <w:rPr>
                                      <w:rFonts w:asciiTheme="minorHAnsi" w:hAnsiTheme="minorHAnsi" w:cstheme="minorHAnsi"/>
                                      <w:color w:val="FF0000"/>
                                      <w:sz w:val="20"/>
                                      <w:szCs w:val="20"/>
                                    </w:rPr>
                                  </w:pPr>
                                  <w:r w:rsidRPr="0097069C">
                                    <w:rPr>
                                      <w:rFonts w:asciiTheme="minorHAnsi" w:eastAsia="Times New Roman" w:hAnsiTheme="minorHAnsi" w:cstheme="minorHAnsi"/>
                                      <w:b/>
                                      <w:bCs/>
                                      <w:color w:val="FF0000"/>
                                      <w:kern w:val="24"/>
                                      <w:sz w:val="20"/>
                                      <w:szCs w:val="20"/>
                                    </w:rPr>
                                    <w:t>Social spending</w:t>
                                  </w:r>
                                </w:p>
                              </w:txbxContent>
                            </wps:txbx>
                            <wps:bodyPr rtlCol="0" anchor="ctr"/>
                          </wps:wsp>
                        </wpg:grpSp>
                        <wps:wsp>
                          <wps:cNvPr id="24" name="Conector recto de flecha 24"/>
                          <wps:cNvCnPr/>
                          <wps:spPr>
                            <a:xfrm flipV="1">
                              <a:off x="1130578" y="2361000"/>
                              <a:ext cx="808807" cy="68833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Conector recto de flecha 25"/>
                          <wps:cNvCnPr/>
                          <wps:spPr>
                            <a:xfrm flipV="1">
                              <a:off x="507345" y="1893618"/>
                              <a:ext cx="1" cy="110187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Conector recto de flecha 26"/>
                          <wps:cNvCnPr/>
                          <wps:spPr>
                            <a:xfrm flipV="1">
                              <a:off x="2548530" y="1854127"/>
                              <a:ext cx="1209374" cy="21236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Conector recto de flecha 30"/>
                          <wps:cNvCnPr/>
                          <wps:spPr>
                            <a:xfrm flipV="1">
                              <a:off x="1207863" y="2019353"/>
                              <a:ext cx="2744720" cy="115920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45" name="Conector recto de flecha 45"/>
                        <wps:cNvCnPr/>
                        <wps:spPr>
                          <a:xfrm>
                            <a:off x="1345053" y="1445342"/>
                            <a:ext cx="2412836" cy="6848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 name="Conector recto de flecha 52"/>
                        <wps:cNvCnPr/>
                        <wps:spPr>
                          <a:xfrm flipH="1" flipV="1">
                            <a:off x="1288965" y="1657596"/>
                            <a:ext cx="416497" cy="21733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3DE4EAE" id="Grupo 53" o:spid="_x0000_s1026" style="position:absolute;margin-left:6.2pt;margin-top:2.55pt;width:377.65pt;height:256.1pt;z-index:251681792;mso-height-relative:margin" coordorigin=",2417" coordsize="47961,3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">
                <v:group id="Grupo 31" o:spid="_x0000_s1027" style="position:absolute;top:2417;width:47961;height:32528" coordorigin=",4368" coordsize="47961,3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upo 4" o:spid="_x0000_s1028" style="position:absolute;top:4368;width:47961;height:32560" coordorigin="-3631,4369" coordsize="47084,3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oundrect id="Rectángulo redondeado 5" o:spid="_x0000_s1029" style="position:absolute;left:-3631;top:14702;width:12109;height:32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" fillcolor="#f2f2f2" strokecolor="windowText" strokeweight="1pt">
                      <v:stroke joinstyle="miter"/>
                      <v:textbox>
                        <w:txbxContent>
                          <w:p w14:paraId="7DB82082" w14:textId="77777777" w:rsidR="006E5BB9" w:rsidRPr="008D4E30" w:rsidRDefault="006E5BB9" w:rsidP="0007210E">
                            <w:pPr>
                              <w:pStyle w:val="NormalWeb"/>
                              <w:spacing w:before="0" w:beforeAutospacing="0" w:after="0" w:afterAutospacing="0"/>
                              <w:jc w:val="center"/>
                              <w:rPr>
                                <w:rFonts w:asciiTheme="minorHAnsi" w:eastAsia="Times New Roman" w:hAnsi="Calibri" w:cstheme="minorBidi"/>
                                <w:b/>
                                <w:bCs/>
                                <w:color w:val="FF0000"/>
                                <w:kern w:val="24"/>
                                <w:sz w:val="20"/>
                                <w:szCs w:val="20"/>
                              </w:rPr>
                            </w:pPr>
                            <w:r w:rsidRPr="008D4E30">
                              <w:rPr>
                                <w:rFonts w:asciiTheme="minorHAnsi" w:eastAsia="Times New Roman" w:hAnsi="Calibri" w:cstheme="minorBidi"/>
                                <w:b/>
                                <w:bCs/>
                                <w:color w:val="FF0000"/>
                                <w:kern w:val="24"/>
                                <w:sz w:val="20"/>
                                <w:szCs w:val="20"/>
                              </w:rPr>
                              <w:t>HEALTH SPENDING</w:t>
                            </w:r>
                          </w:p>
                          <w:p w14:paraId="1BC4247F" w14:textId="77777777" w:rsidR="006E5BB9" w:rsidRDefault="006E5BB9" w:rsidP="0007210E">
                            <w:pPr>
                              <w:pStyle w:val="NormalWeb"/>
                              <w:spacing w:before="0" w:beforeAutospacing="0" w:after="0" w:afterAutospacing="0"/>
                              <w:jc w:val="center"/>
                            </w:pPr>
                          </w:p>
                        </w:txbxContent>
                      </v:textbox>
                    </v:roundrect>
                    <v:roundrect id="Rectángulo redondeado 7" o:spid="_x0000_s1030" style="position:absolute;left:17912;top:4369;width:8050;height:66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" fillcolor="#f2f2f2" strokecolor="windowText" strokeweight=".5pt">
                      <v:stroke joinstyle="miter"/>
                      <v:textbox>
                        <w:txbxContent>
                          <w:p w14:paraId="27685903" w14:textId="77777777" w:rsidR="006E5BB9" w:rsidRDefault="006E5BB9" w:rsidP="0007210E">
                            <w:pPr>
                              <w:pStyle w:val="NormalWeb"/>
                              <w:spacing w:before="0" w:beforeAutospacing="0" w:after="0" w:afterAutospacing="0"/>
                              <w:jc w:val="center"/>
                              <w:rPr>
                                <w:rFonts w:asciiTheme="minorHAnsi" w:eastAsia="Times New Roman" w:hAnsi="Calibri" w:cstheme="minorBidi"/>
                                <w:b/>
                                <w:bCs/>
                                <w:color w:val="FF0000"/>
                                <w:kern w:val="24"/>
                                <w:sz w:val="20"/>
                                <w:szCs w:val="20"/>
                              </w:rPr>
                            </w:pPr>
                            <w:r>
                              <w:rPr>
                                <w:rFonts w:asciiTheme="minorHAnsi" w:eastAsia="Times New Roman" w:hAnsi="Calibri" w:cstheme="minorBidi"/>
                                <w:b/>
                                <w:bCs/>
                                <w:color w:val="FF0000"/>
                                <w:kern w:val="24"/>
                                <w:sz w:val="20"/>
                                <w:szCs w:val="20"/>
                              </w:rPr>
                              <w:t>Influenza</w:t>
                            </w:r>
                          </w:p>
                          <w:p w14:paraId="692B9D48" w14:textId="77777777" w:rsidR="006E5BB9" w:rsidRDefault="006E5BB9" w:rsidP="0007210E">
                            <w:pPr>
                              <w:pStyle w:val="NormalWeb"/>
                              <w:spacing w:before="0" w:beforeAutospacing="0" w:after="0" w:afterAutospacing="0"/>
                              <w:jc w:val="center"/>
                              <w:rPr>
                                <w:rFonts w:asciiTheme="minorHAnsi" w:eastAsia="Times New Roman" w:hAnsi="Calibri" w:cstheme="minorBidi"/>
                                <w:b/>
                                <w:bCs/>
                                <w:color w:val="FF0000"/>
                                <w:kern w:val="24"/>
                                <w:sz w:val="20"/>
                                <w:szCs w:val="20"/>
                              </w:rPr>
                            </w:pPr>
                            <w:r w:rsidRPr="0097069C">
                              <w:rPr>
                                <w:rFonts w:asciiTheme="minorHAnsi" w:eastAsia="Times New Roman" w:hAnsi="Calibri" w:cstheme="minorBidi"/>
                                <w:b/>
                                <w:bCs/>
                                <w:color w:val="FF0000"/>
                                <w:kern w:val="24"/>
                                <w:sz w:val="20"/>
                                <w:szCs w:val="20"/>
                              </w:rPr>
                              <w:t>Heatwave</w:t>
                            </w:r>
                          </w:p>
                          <w:p w14:paraId="493DC127" w14:textId="77777777" w:rsidR="006E5BB9" w:rsidRPr="0097069C" w:rsidRDefault="006E5BB9" w:rsidP="0007210E">
                            <w:pPr>
                              <w:pStyle w:val="NormalWeb"/>
                              <w:spacing w:before="0" w:beforeAutospacing="0" w:after="0" w:afterAutospacing="0"/>
                              <w:jc w:val="center"/>
                              <w:rPr>
                                <w:color w:val="FF0000"/>
                                <w:sz w:val="20"/>
                                <w:szCs w:val="20"/>
                              </w:rPr>
                            </w:pPr>
                            <w:proofErr w:type="spellStart"/>
                            <w:r w:rsidRPr="0097069C">
                              <w:rPr>
                                <w:rFonts w:asciiTheme="minorHAnsi" w:eastAsia="Times New Roman" w:hAnsi="Calibri" w:cstheme="minorBidi"/>
                                <w:b/>
                                <w:bCs/>
                                <w:color w:val="FF0000"/>
                                <w:kern w:val="24"/>
                                <w:sz w:val="20"/>
                                <w:szCs w:val="20"/>
                              </w:rPr>
                              <w:t>Coldwave</w:t>
                            </w:r>
                            <w:proofErr w:type="spellEnd"/>
                          </w:p>
                        </w:txbxContent>
                      </v:textbox>
                    </v:roundrect>
                    <v:roundrect id="Rectángulo redondeado 8" o:spid="_x0000_s1031" style="position:absolute;left:-3631;top:30501;width:11098;height:6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" fillcolor="#f2f2f2" strokecolor="windowText" strokeweight=".5pt">
                      <v:stroke joinstyle="miter"/>
                      <v:textbox>
                        <w:txbxContent>
                          <w:p w14:paraId="4D37E8AD" w14:textId="77777777" w:rsidR="006E5BB9" w:rsidRPr="0097069C" w:rsidRDefault="006E5BB9" w:rsidP="0007210E">
                            <w:pPr>
                              <w:pStyle w:val="NormalWeb"/>
                              <w:spacing w:before="0" w:beforeAutospacing="0" w:after="0" w:afterAutospacing="0"/>
                              <w:jc w:val="center"/>
                              <w:rPr>
                                <w:color w:val="FF0000"/>
                                <w:sz w:val="20"/>
                                <w:szCs w:val="20"/>
                              </w:rPr>
                            </w:pPr>
                            <w:r w:rsidRPr="0097069C">
                              <w:rPr>
                                <w:rFonts w:asciiTheme="minorHAnsi" w:eastAsia="Times New Roman" w:hAnsi="Calibri" w:cstheme="minorBidi"/>
                                <w:b/>
                                <w:bCs/>
                                <w:color w:val="FF0000"/>
                                <w:kern w:val="24"/>
                                <w:sz w:val="20"/>
                                <w:szCs w:val="20"/>
                              </w:rPr>
                              <w:t>GDP per capita / Economic growth</w:t>
                            </w:r>
                          </w:p>
                        </w:txbxContent>
                      </v:textbox>
                    </v:roundrect>
                    <v:roundrect id="Rectángulo redondeado 9" o:spid="_x0000_s1032" style="position:absolute;left:34475;top:15412;width:8977;height:40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" fillcolor="#f2f2f2" strokecolor="windowText" strokeweight="1pt">
                      <v:stroke joinstyle="miter"/>
                      <v:textbox>
                        <w:txbxContent>
                          <w:p w14:paraId="3AAB7224" w14:textId="77777777" w:rsidR="006E5BB9" w:rsidRPr="008D4E30" w:rsidRDefault="006E5BB9" w:rsidP="0007210E">
                            <w:pPr>
                              <w:pStyle w:val="NormalWeb"/>
                              <w:spacing w:before="0" w:beforeAutospacing="0" w:after="0" w:afterAutospacing="0"/>
                              <w:rPr>
                                <w:color w:val="FF0000"/>
                              </w:rPr>
                            </w:pPr>
                            <w:r w:rsidRPr="008D4E30">
                              <w:rPr>
                                <w:rFonts w:asciiTheme="minorHAnsi" w:eastAsia="Times New Roman" w:hAnsi="Calibri" w:cstheme="minorBidi"/>
                                <w:b/>
                                <w:bCs/>
                                <w:color w:val="FF0000"/>
                                <w:kern w:val="24"/>
                                <w:sz w:val="20"/>
                                <w:szCs w:val="20"/>
                              </w:rPr>
                              <w:t>MORTALITY</w:t>
                            </w:r>
                          </w:p>
                        </w:txbxContent>
                      </v:textbox>
                    </v:roundrect>
                    <v:roundrect id="Rectángulo redondeado 16" o:spid="_x0000_s1033" style="position:absolute;left:13507;top:18288;width:7301;height:48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" fillcolor="#f2f2f2" strokecolor="windowText" strokeweight=".5pt">
                      <v:stroke joinstyle="miter"/>
                      <v:textbox>
                        <w:txbxContent>
                          <w:p w14:paraId="58B106B2" w14:textId="77777777" w:rsidR="006E5BB9" w:rsidRPr="0097069C" w:rsidRDefault="006E5BB9" w:rsidP="0007210E">
                            <w:pPr>
                              <w:pStyle w:val="NormalWeb"/>
                              <w:spacing w:before="0" w:beforeAutospacing="0" w:after="0" w:afterAutospacing="0"/>
                              <w:jc w:val="center"/>
                              <w:rPr>
                                <w:rFonts w:asciiTheme="minorHAnsi" w:hAnsiTheme="minorHAnsi" w:cstheme="minorHAnsi"/>
                                <w:color w:val="FF0000"/>
                                <w:sz w:val="20"/>
                                <w:szCs w:val="20"/>
                              </w:rPr>
                            </w:pPr>
                            <w:r w:rsidRPr="0097069C">
                              <w:rPr>
                                <w:rFonts w:asciiTheme="minorHAnsi" w:eastAsia="Times New Roman" w:hAnsiTheme="minorHAnsi" w:cstheme="minorHAnsi"/>
                                <w:b/>
                                <w:bCs/>
                                <w:color w:val="FF0000"/>
                                <w:kern w:val="24"/>
                                <w:sz w:val="20"/>
                                <w:szCs w:val="20"/>
                              </w:rPr>
                              <w:t>Social spending</w:t>
                            </w:r>
                          </w:p>
                        </w:txbxContent>
                      </v:textbox>
                    </v:roundrect>
                  </v:group>
                  <v:shapetype id="_x0000_t32" coordsize="21600,21600" o:spt="32" o:oned="t" path="m,l21600,21600e" filled="f">
                    <v:path arrowok="t" fillok="f" o:connecttype="none"/>
                    <o:lock v:ext="edit" shapetype="t"/>
                  </v:shapetype>
                  <v:shape id="Conector recto de flecha 24" o:spid="_x0000_s1034" type="#_x0000_t32" style="position:absolute;left:11305;top:23610;width:8088;height:68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" strokecolor="black [3213]" strokeweight="1pt">
                    <v:stroke endarrow="block" joinstyle="miter"/>
                  </v:shape>
                  <v:shape id="Conector recto de flecha 25" o:spid="_x0000_s1035" type="#_x0000_t32" style="position:absolute;left:5073;top:18936;width:0;height:110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" strokecolor="black [3213]" strokeweight="1pt">
                    <v:stroke endarrow="block" joinstyle="miter"/>
                  </v:shape>
                  <v:shape id="Conector recto de flecha 26" o:spid="_x0000_s1036" type="#_x0000_t32" style="position:absolute;left:25485;top:18541;width:12094;height:2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" strokecolor="black [3213]" strokeweight="1pt">
                    <v:stroke endarrow="block" joinstyle="miter"/>
                  </v:shape>
                  <v:shape id="Conector recto de flecha 30" o:spid="_x0000_s1037" type="#_x0000_t32" style="position:absolute;left:12078;top:20193;width:27447;height:115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" strokecolor="black [3213]" strokeweight="1pt">
                    <v:stroke endarrow="block" joinstyle="miter"/>
                  </v:shape>
                </v:group>
                <v:shape id="Conector recto de flecha 45" o:spid="_x0000_s1038" type="#_x0000_t32" style="position:absolute;left:13450;top:14453;width:24128;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" strokecolor="black [3213]" strokeweight="1pt">
                  <v:stroke endarrow="block" joinstyle="miter"/>
                </v:shape>
                <v:shape id="Conector recto de flecha 52" o:spid="_x0000_s1039" type="#_x0000_t32" style="position:absolute;left:12889;top:16575;width:4165;height:217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" strokecolor="black [3213]" strokeweight="1pt">
                  <v:stroke endarrow="block" joinstyle="miter"/>
                </v:shape>
              </v:group>
            </w:pict>
          </mc:Fallback>
        </mc:AlternateContent>
      </w:r>
    </w:p>
    <w:p w14:paraId="2766E65C" w14:textId="5001E303" w:rsidR="0007210E" w:rsidRPr="002D1F09" w:rsidRDefault="0007210E" w:rsidP="0007210E">
      <w:pPr>
        <w:spacing w:before="120" w:after="0" w:line="200" w:lineRule="exact"/>
        <w:ind w:right="-425"/>
        <w:jc w:val="both"/>
        <w:rPr>
          <w:rFonts w:ascii="Times New Roman" w:hAnsi="Times New Roman" w:cs="Times New Roman"/>
          <w:b/>
          <w:sz w:val="20"/>
          <w:szCs w:val="20"/>
          <w:vertAlign w:val="superscript"/>
          <w:lang w:val="en-GB"/>
        </w:rPr>
      </w:pPr>
    </w:p>
    <w:p w14:paraId="31A00DE5" w14:textId="42144DA1" w:rsidR="0007210E" w:rsidRPr="002D1F09" w:rsidRDefault="00A21311" w:rsidP="0007210E">
      <w:pPr>
        <w:spacing w:before="120" w:after="0" w:line="200" w:lineRule="exact"/>
        <w:ind w:right="-425"/>
        <w:jc w:val="both"/>
        <w:rPr>
          <w:rFonts w:ascii="Times New Roman" w:hAnsi="Times New Roman" w:cs="Times New Roman"/>
          <w:b/>
          <w:sz w:val="20"/>
          <w:szCs w:val="20"/>
          <w:vertAlign w:val="superscript"/>
          <w:lang w:val="en-GB"/>
        </w:rPr>
      </w:pPr>
      <w:r w:rsidRPr="002D1F09">
        <w:rPr>
          <w:rFonts w:ascii="Times New Roman" w:hAnsi="Times New Roman" w:cs="Times New Roman"/>
          <w:b/>
          <w:noProof/>
          <w:sz w:val="20"/>
          <w:szCs w:val="20"/>
          <w:vertAlign w:val="superscript"/>
          <w:lang w:eastAsia="es-ES"/>
        </w:rPr>
        <mc:AlternateContent>
          <mc:Choice Requires="wps">
            <w:drawing>
              <wp:anchor distT="0" distB="0" distL="114300" distR="114300" simplePos="0" relativeHeight="251682816" behindDoc="0" locked="0" layoutInCell="1" allowOverlap="1" wp14:anchorId="695FC874" wp14:editId="1A9A0420">
                <wp:simplePos x="0" y="0"/>
                <wp:positionH relativeFrom="column">
                  <wp:posOffset>3148207</wp:posOffset>
                </wp:positionH>
                <wp:positionV relativeFrom="paragraph">
                  <wp:posOffset>30296</wp:posOffset>
                </wp:positionV>
                <wp:extent cx="719168" cy="690081"/>
                <wp:effectExtent l="0" t="0" r="62230" b="53340"/>
                <wp:wrapNone/>
                <wp:docPr id="54" name="Conector recto de flecha 54"/>
                <wp:cNvGraphicFramePr/>
                <a:graphic xmlns:a="http://schemas.openxmlformats.org/drawingml/2006/main">
                  <a:graphicData uri="http://schemas.microsoft.com/office/word/2010/wordprocessingShape">
                    <wps:wsp>
                      <wps:cNvCnPr/>
                      <wps:spPr>
                        <a:xfrm>
                          <a:off x="0" y="0"/>
                          <a:ext cx="719168" cy="69008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DDA32B6" id="Conector recto de flecha 54" o:spid="_x0000_s1026" type="#_x0000_t32" style="position:absolute;margin-left:247.9pt;margin-top:2.4pt;width:56.65pt;height:5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" strokecolor="black [3213]" strokeweight="1pt">
                <v:stroke endarrow="block" joinstyle="miter"/>
              </v:shape>
            </w:pict>
          </mc:Fallback>
        </mc:AlternateContent>
      </w:r>
    </w:p>
    <w:p w14:paraId="6441E60D" w14:textId="2E00BFC2" w:rsidR="0007210E" w:rsidRPr="002D1F09" w:rsidRDefault="0007210E" w:rsidP="0007210E">
      <w:pPr>
        <w:spacing w:before="120" w:after="0" w:line="200" w:lineRule="exact"/>
        <w:ind w:right="-425"/>
        <w:jc w:val="both"/>
        <w:rPr>
          <w:rFonts w:ascii="Times New Roman" w:hAnsi="Times New Roman" w:cs="Times New Roman"/>
          <w:b/>
          <w:sz w:val="20"/>
          <w:szCs w:val="20"/>
          <w:vertAlign w:val="superscript"/>
          <w:lang w:val="en-GB"/>
        </w:rPr>
      </w:pPr>
    </w:p>
    <w:p w14:paraId="4F237516" w14:textId="53CBDFAA" w:rsidR="0007210E" w:rsidRPr="002D1F09" w:rsidRDefault="0007210E" w:rsidP="0007210E">
      <w:pPr>
        <w:spacing w:before="120" w:after="0" w:line="200" w:lineRule="exact"/>
        <w:ind w:right="-425"/>
        <w:jc w:val="both"/>
        <w:rPr>
          <w:rFonts w:ascii="Times New Roman" w:hAnsi="Times New Roman" w:cs="Times New Roman"/>
          <w:b/>
          <w:sz w:val="20"/>
          <w:szCs w:val="20"/>
          <w:vertAlign w:val="superscript"/>
          <w:lang w:val="en-GB"/>
        </w:rPr>
      </w:pPr>
    </w:p>
    <w:p w14:paraId="1E4FAA35" w14:textId="20CA385E" w:rsidR="0007210E" w:rsidRPr="002D1F09" w:rsidRDefault="0007210E" w:rsidP="0007210E">
      <w:pPr>
        <w:spacing w:before="120" w:after="0" w:line="200" w:lineRule="exact"/>
        <w:ind w:right="-425"/>
        <w:jc w:val="both"/>
        <w:rPr>
          <w:rFonts w:ascii="Times New Roman" w:hAnsi="Times New Roman" w:cs="Times New Roman"/>
          <w:b/>
          <w:sz w:val="20"/>
          <w:szCs w:val="20"/>
          <w:vertAlign w:val="superscript"/>
          <w:lang w:val="en-GB"/>
        </w:rPr>
      </w:pPr>
    </w:p>
    <w:p w14:paraId="7141653A" w14:textId="3758B525" w:rsidR="0007210E" w:rsidRPr="002D1F09" w:rsidRDefault="0007210E" w:rsidP="0007210E">
      <w:pPr>
        <w:spacing w:before="120" w:after="0" w:line="200" w:lineRule="exact"/>
        <w:ind w:right="-425"/>
        <w:jc w:val="both"/>
        <w:rPr>
          <w:rFonts w:ascii="Times New Roman" w:hAnsi="Times New Roman" w:cs="Times New Roman"/>
          <w:b/>
          <w:sz w:val="20"/>
          <w:szCs w:val="20"/>
          <w:vertAlign w:val="superscript"/>
          <w:lang w:val="en-GB"/>
        </w:rPr>
      </w:pPr>
    </w:p>
    <w:p w14:paraId="74D56830" w14:textId="77777777" w:rsidR="0007210E" w:rsidRPr="002D1F09" w:rsidRDefault="0007210E" w:rsidP="0007210E">
      <w:pPr>
        <w:spacing w:before="120" w:after="0" w:line="200" w:lineRule="exact"/>
        <w:ind w:right="-425"/>
        <w:jc w:val="both"/>
        <w:rPr>
          <w:rFonts w:ascii="Times New Roman" w:hAnsi="Times New Roman" w:cs="Times New Roman"/>
          <w:b/>
          <w:sz w:val="20"/>
          <w:szCs w:val="20"/>
          <w:vertAlign w:val="superscript"/>
          <w:lang w:val="en-GB"/>
        </w:rPr>
      </w:pPr>
    </w:p>
    <w:p w14:paraId="3A0AFF09" w14:textId="77777777" w:rsidR="0007210E" w:rsidRPr="002D1F09" w:rsidRDefault="0007210E" w:rsidP="0007210E">
      <w:pPr>
        <w:spacing w:before="120" w:after="0" w:line="200" w:lineRule="exact"/>
        <w:ind w:right="-425"/>
        <w:jc w:val="both"/>
        <w:rPr>
          <w:rFonts w:ascii="Times New Roman" w:hAnsi="Times New Roman" w:cs="Times New Roman"/>
          <w:b/>
          <w:sz w:val="20"/>
          <w:szCs w:val="20"/>
          <w:vertAlign w:val="superscript"/>
          <w:lang w:val="en-GB"/>
        </w:rPr>
      </w:pPr>
    </w:p>
    <w:p w14:paraId="52E6D103" w14:textId="1F5D69AA" w:rsidR="0007210E" w:rsidRPr="002D1F09" w:rsidRDefault="0007210E" w:rsidP="0007210E">
      <w:pPr>
        <w:spacing w:before="120" w:after="0" w:line="200" w:lineRule="exact"/>
        <w:ind w:right="-425"/>
        <w:jc w:val="both"/>
        <w:rPr>
          <w:rFonts w:ascii="Times New Roman" w:hAnsi="Times New Roman" w:cs="Times New Roman"/>
          <w:b/>
          <w:sz w:val="20"/>
          <w:szCs w:val="20"/>
          <w:vertAlign w:val="superscript"/>
          <w:lang w:val="en-GB"/>
        </w:rPr>
      </w:pPr>
    </w:p>
    <w:p w14:paraId="7BED4AA2" w14:textId="77777777" w:rsidR="0007210E" w:rsidRPr="002D1F09" w:rsidRDefault="0007210E" w:rsidP="0007210E">
      <w:pPr>
        <w:spacing w:before="120" w:after="0" w:line="200" w:lineRule="exact"/>
        <w:ind w:right="-425"/>
        <w:jc w:val="both"/>
        <w:rPr>
          <w:rFonts w:ascii="Times New Roman" w:hAnsi="Times New Roman" w:cs="Times New Roman"/>
          <w:b/>
          <w:sz w:val="20"/>
          <w:szCs w:val="20"/>
          <w:vertAlign w:val="superscript"/>
          <w:lang w:val="en-GB"/>
        </w:rPr>
      </w:pPr>
    </w:p>
    <w:p w14:paraId="5955344B" w14:textId="77777777" w:rsidR="0007210E" w:rsidRPr="002D1F09" w:rsidRDefault="0007210E" w:rsidP="0007210E">
      <w:pPr>
        <w:spacing w:before="120" w:after="0" w:line="200" w:lineRule="exact"/>
        <w:ind w:right="-425"/>
        <w:jc w:val="both"/>
        <w:rPr>
          <w:rFonts w:ascii="Times New Roman" w:hAnsi="Times New Roman" w:cs="Times New Roman"/>
          <w:b/>
          <w:sz w:val="20"/>
          <w:szCs w:val="20"/>
          <w:vertAlign w:val="superscript"/>
          <w:lang w:val="en-GB"/>
        </w:rPr>
      </w:pPr>
    </w:p>
    <w:p w14:paraId="34C3FC6F" w14:textId="28D16ABE" w:rsidR="0007210E" w:rsidRPr="002D1F09" w:rsidRDefault="0007210E" w:rsidP="0007210E">
      <w:pPr>
        <w:spacing w:before="120" w:after="0" w:line="200" w:lineRule="exact"/>
        <w:ind w:right="-425"/>
        <w:jc w:val="both"/>
        <w:rPr>
          <w:rFonts w:ascii="Times New Roman" w:hAnsi="Times New Roman" w:cs="Times New Roman"/>
          <w:b/>
          <w:sz w:val="20"/>
          <w:szCs w:val="20"/>
          <w:vertAlign w:val="superscript"/>
          <w:lang w:val="en-GB"/>
        </w:rPr>
      </w:pPr>
    </w:p>
    <w:p w14:paraId="5DB80A56" w14:textId="77777777" w:rsidR="0007210E" w:rsidRPr="002D1F09" w:rsidRDefault="0007210E" w:rsidP="0007210E">
      <w:pPr>
        <w:spacing w:before="120" w:after="0" w:line="200" w:lineRule="exact"/>
        <w:ind w:right="-425"/>
        <w:jc w:val="both"/>
        <w:rPr>
          <w:rFonts w:ascii="Times New Roman" w:hAnsi="Times New Roman" w:cs="Times New Roman"/>
          <w:b/>
          <w:sz w:val="20"/>
          <w:szCs w:val="20"/>
          <w:vertAlign w:val="superscript"/>
          <w:lang w:val="en-GB"/>
        </w:rPr>
      </w:pPr>
    </w:p>
    <w:p w14:paraId="7871612D" w14:textId="77777777" w:rsidR="0007210E" w:rsidRPr="002D1F09" w:rsidRDefault="0007210E" w:rsidP="0007210E">
      <w:pPr>
        <w:spacing w:before="120" w:after="0" w:line="200" w:lineRule="exact"/>
        <w:ind w:right="-425"/>
        <w:jc w:val="both"/>
        <w:rPr>
          <w:rFonts w:ascii="Times New Roman" w:hAnsi="Times New Roman" w:cs="Times New Roman"/>
          <w:b/>
          <w:sz w:val="20"/>
          <w:szCs w:val="20"/>
          <w:vertAlign w:val="superscript"/>
          <w:lang w:val="en-GB"/>
        </w:rPr>
      </w:pPr>
    </w:p>
    <w:p w14:paraId="30A9F6AE" w14:textId="77777777" w:rsidR="0007210E" w:rsidRPr="002D1F09" w:rsidRDefault="0007210E" w:rsidP="0007210E">
      <w:pPr>
        <w:spacing w:before="120" w:after="0" w:line="200" w:lineRule="exact"/>
        <w:ind w:right="-425"/>
        <w:jc w:val="both"/>
        <w:rPr>
          <w:rFonts w:ascii="Times New Roman" w:hAnsi="Times New Roman" w:cs="Times New Roman"/>
          <w:b/>
          <w:sz w:val="20"/>
          <w:szCs w:val="20"/>
          <w:vertAlign w:val="superscript"/>
          <w:lang w:val="en-GB"/>
        </w:rPr>
      </w:pPr>
    </w:p>
    <w:p w14:paraId="03694A74" w14:textId="77777777" w:rsidR="0007210E" w:rsidRPr="002D1F09" w:rsidRDefault="0007210E" w:rsidP="0007210E">
      <w:pPr>
        <w:rPr>
          <w:rFonts w:ascii="Times New Roman" w:hAnsi="Times New Roman" w:cs="Times New Roman"/>
          <w:sz w:val="20"/>
          <w:szCs w:val="20"/>
          <w:vertAlign w:val="superscript"/>
          <w:lang w:val="en-GB"/>
        </w:rPr>
      </w:pPr>
    </w:p>
    <w:p w14:paraId="0D68C3F5" w14:textId="320A8291" w:rsidR="00C55793" w:rsidRPr="002D1F09" w:rsidRDefault="00170CD3" w:rsidP="00170CD3">
      <w:pPr>
        <w:spacing w:before="120" w:after="0" w:line="240" w:lineRule="auto"/>
        <w:ind w:right="-426"/>
        <w:jc w:val="both"/>
        <w:rPr>
          <w:rFonts w:ascii="Times New Roman" w:hAnsi="Times New Roman" w:cs="Times New Roman"/>
          <w:bCs/>
          <w:vertAlign w:val="superscript"/>
          <w:lang w:val="en-GB"/>
        </w:rPr>
      </w:pPr>
      <w:r w:rsidRPr="002D1F09">
        <w:rPr>
          <w:rFonts w:cstheme="minorHAnsi"/>
          <w:bCs/>
          <w:vertAlign w:val="superscript"/>
          <w:lang w:val="en-GB"/>
        </w:rPr>
        <w:t xml:space="preserve">Note: This is a simplified diagram that only considers the exposure </w:t>
      </w:r>
      <w:r w:rsidR="00657252" w:rsidRPr="002D1F09">
        <w:rPr>
          <w:rFonts w:cstheme="minorHAnsi"/>
          <w:bCs/>
          <w:vertAlign w:val="superscript"/>
          <w:lang w:val="en-GB"/>
        </w:rPr>
        <w:t xml:space="preserve">(health spending) </w:t>
      </w:r>
      <w:r w:rsidRPr="002D1F09">
        <w:rPr>
          <w:rFonts w:cstheme="minorHAnsi"/>
          <w:bCs/>
          <w:vertAlign w:val="superscript"/>
          <w:lang w:val="en-GB"/>
        </w:rPr>
        <w:t xml:space="preserve">and outcome </w:t>
      </w:r>
      <w:r w:rsidR="00657252" w:rsidRPr="002D1F09">
        <w:rPr>
          <w:rFonts w:cstheme="minorHAnsi"/>
          <w:bCs/>
          <w:vertAlign w:val="superscript"/>
          <w:lang w:val="en-GB"/>
        </w:rPr>
        <w:t xml:space="preserve">(mortality) </w:t>
      </w:r>
      <w:r w:rsidRPr="002D1F09">
        <w:rPr>
          <w:rFonts w:cstheme="minorHAnsi"/>
          <w:bCs/>
          <w:vertAlign w:val="superscript"/>
          <w:lang w:val="en-GB"/>
        </w:rPr>
        <w:t xml:space="preserve">of interest, along with the adjustment covariates. The regression models have been adjusted for GDP per capita and government social spending because the available evidence suggests that they are confounding factors in the association </w:t>
      </w:r>
      <w:r w:rsidR="00657252" w:rsidRPr="002D1F09">
        <w:rPr>
          <w:rFonts w:cstheme="minorHAnsi"/>
          <w:bCs/>
          <w:vertAlign w:val="superscript"/>
          <w:lang w:val="en-GB"/>
        </w:rPr>
        <w:t>exposure-outcome</w:t>
      </w:r>
      <w:r w:rsidRPr="002D1F09">
        <w:rPr>
          <w:rFonts w:cstheme="minorHAnsi"/>
          <w:bCs/>
          <w:vertAlign w:val="superscript"/>
          <w:lang w:val="en-GB"/>
        </w:rPr>
        <w:t xml:space="preserve">. Regarding influenza activity, heatwaves, and </w:t>
      </w:r>
      <w:proofErr w:type="spellStart"/>
      <w:r w:rsidRPr="002D1F09">
        <w:rPr>
          <w:rFonts w:cstheme="minorHAnsi"/>
          <w:bCs/>
          <w:vertAlign w:val="superscript"/>
          <w:lang w:val="en-GB"/>
        </w:rPr>
        <w:t>coldwaves</w:t>
      </w:r>
      <w:proofErr w:type="spellEnd"/>
      <w:r w:rsidRPr="002D1F09">
        <w:rPr>
          <w:rFonts w:cstheme="minorHAnsi"/>
          <w:bCs/>
          <w:vertAlign w:val="superscript"/>
          <w:lang w:val="en-GB"/>
        </w:rPr>
        <w:t xml:space="preserve">, their occurrence is apparently not closely related to health spending, but it is difficult to believe that they are not indirectly related through other omitted </w:t>
      </w:r>
      <w:r w:rsidR="006E5BB9" w:rsidRPr="002D1F09">
        <w:rPr>
          <w:rFonts w:cstheme="minorHAnsi"/>
          <w:bCs/>
          <w:vertAlign w:val="superscript"/>
          <w:lang w:val="en-GB"/>
        </w:rPr>
        <w:t xml:space="preserve">or unmeasured </w:t>
      </w:r>
      <w:r w:rsidRPr="002D1F09">
        <w:rPr>
          <w:rFonts w:cstheme="minorHAnsi"/>
          <w:bCs/>
          <w:vertAlign w:val="superscript"/>
          <w:lang w:val="en-GB"/>
        </w:rPr>
        <w:t xml:space="preserve">covariates. </w:t>
      </w:r>
      <w:bookmarkStart w:id="1" w:name="_Hlk200698997"/>
      <w:r w:rsidRPr="002D1F09">
        <w:rPr>
          <w:rFonts w:cstheme="minorHAnsi"/>
          <w:bCs/>
          <w:vertAlign w:val="superscript"/>
          <w:lang w:val="en-GB"/>
        </w:rPr>
        <w:t xml:space="preserve">Thus, greater investment or spending in certain health or social infrastructures, or in preventive interventions (e.g., influenza vaccination) can mitigate the effects of heatwaves, </w:t>
      </w:r>
      <w:proofErr w:type="spellStart"/>
      <w:r w:rsidRPr="002D1F09">
        <w:rPr>
          <w:rFonts w:cstheme="minorHAnsi"/>
          <w:bCs/>
          <w:vertAlign w:val="superscript"/>
          <w:lang w:val="en-GB"/>
        </w:rPr>
        <w:t>coldwaves</w:t>
      </w:r>
      <w:proofErr w:type="spellEnd"/>
      <w:r w:rsidRPr="002D1F09">
        <w:rPr>
          <w:rFonts w:cstheme="minorHAnsi"/>
          <w:bCs/>
          <w:vertAlign w:val="superscript"/>
          <w:lang w:val="en-GB"/>
        </w:rPr>
        <w:t xml:space="preserve">, or influenza epidemics on mortality. </w:t>
      </w:r>
      <w:bookmarkEnd w:id="1"/>
      <w:r w:rsidRPr="002D1F09">
        <w:rPr>
          <w:rFonts w:cstheme="minorHAnsi"/>
          <w:bCs/>
          <w:vertAlign w:val="superscript"/>
          <w:lang w:val="en-GB"/>
        </w:rPr>
        <w:t xml:space="preserve">Furthermore, </w:t>
      </w:r>
      <w:r w:rsidR="00657252" w:rsidRPr="002D1F09">
        <w:rPr>
          <w:rFonts w:cstheme="minorHAnsi"/>
          <w:bCs/>
          <w:vertAlign w:val="superscript"/>
          <w:lang w:val="en-GB"/>
        </w:rPr>
        <w:t>these phenomena</w:t>
      </w:r>
      <w:r w:rsidRPr="002D1F09">
        <w:rPr>
          <w:rFonts w:cstheme="minorHAnsi"/>
          <w:bCs/>
          <w:vertAlign w:val="superscript"/>
          <w:lang w:val="en-GB"/>
        </w:rPr>
        <w:t xml:space="preserve"> cause significant short-term variations in mortality, and adjusting for them allows us to reduce the residual variance of the model and obtain a more precise estimate of the association.</w:t>
      </w:r>
      <w:r w:rsidR="006E5BB9" w:rsidRPr="002D1F09">
        <w:rPr>
          <w:rFonts w:cstheme="minorHAnsi"/>
          <w:bCs/>
          <w:vertAlign w:val="superscript"/>
          <w:lang w:val="en-GB"/>
        </w:rPr>
        <w:t xml:space="preserve"> </w:t>
      </w:r>
      <w:r w:rsidR="001A7CB5" w:rsidRPr="002D1F09">
        <w:rPr>
          <w:rFonts w:cstheme="minorHAnsi"/>
          <w:bCs/>
          <w:vertAlign w:val="superscript"/>
          <w:lang w:val="en-GB"/>
        </w:rPr>
        <w:t xml:space="preserve">On the other hand, in some cases, the relationships between the variables considered could be bidirectional (direct and reverse causality), and this has not been represented. For example, an unexpected increase in mortality from an identified cause (e.g., heatwave, influenza, etc.) could trigger an increase in health spending to mitigate </w:t>
      </w:r>
      <w:r w:rsidR="00CB50F9" w:rsidRPr="002D1F09">
        <w:rPr>
          <w:rFonts w:cstheme="minorHAnsi"/>
          <w:bCs/>
          <w:vertAlign w:val="superscript"/>
          <w:lang w:val="en-GB"/>
        </w:rPr>
        <w:t xml:space="preserve">health </w:t>
      </w:r>
      <w:r w:rsidR="001A7CB5" w:rsidRPr="002D1F09">
        <w:rPr>
          <w:rFonts w:cstheme="minorHAnsi"/>
          <w:bCs/>
          <w:vertAlign w:val="superscript"/>
          <w:lang w:val="en-GB"/>
        </w:rPr>
        <w:t>associated problems in the present or in the future.</w:t>
      </w:r>
    </w:p>
    <w:p w14:paraId="07325950" w14:textId="77777777" w:rsidR="00C55793" w:rsidRPr="002D1F09" w:rsidRDefault="00C55793" w:rsidP="00C55793">
      <w:pPr>
        <w:rPr>
          <w:lang w:val="en-GB"/>
        </w:rPr>
      </w:pPr>
    </w:p>
    <w:bookmarkEnd w:id="0"/>
    <w:p w14:paraId="3198F43B" w14:textId="77777777" w:rsidR="00823D53" w:rsidRPr="002D1F09" w:rsidRDefault="00823D53" w:rsidP="00C2438A">
      <w:pPr>
        <w:rPr>
          <w:b/>
          <w:sz w:val="16"/>
          <w:szCs w:val="16"/>
          <w:lang w:val="en-GB"/>
        </w:rPr>
      </w:pPr>
    </w:p>
    <w:sectPr w:rsidR="00823D53" w:rsidRPr="002D1F09" w:rsidSect="008838A2">
      <w:headerReference w:type="even" r:id="rId28"/>
      <w:headerReference w:type="default" r:id="rId29"/>
      <w:footerReference w:type="even" r:id="rId30"/>
      <w:footerReference w:type="default" r:id="rId31"/>
      <w:headerReference w:type="first" r:id="rId32"/>
      <w:footerReference w:type="first" r:id="rId33"/>
      <w:pgSz w:w="11906" w:h="16838"/>
      <w:pgMar w:top="709"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E5496" w14:textId="77777777" w:rsidR="001B34A4" w:rsidRDefault="001B34A4" w:rsidP="007178EF">
      <w:pPr>
        <w:spacing w:after="0" w:line="240" w:lineRule="auto"/>
      </w:pPr>
      <w:r>
        <w:separator/>
      </w:r>
    </w:p>
  </w:endnote>
  <w:endnote w:type="continuationSeparator" w:id="0">
    <w:p w14:paraId="28E19FD8" w14:textId="77777777" w:rsidR="001B34A4" w:rsidRDefault="001B34A4" w:rsidP="00717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A9940" w14:textId="77777777" w:rsidR="006E5BB9" w:rsidRDefault="006E5B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428131"/>
      <w:docPartObj>
        <w:docPartGallery w:val="Page Numbers (Bottom of Page)"/>
        <w:docPartUnique/>
      </w:docPartObj>
    </w:sdtPr>
    <w:sdtEndPr/>
    <w:sdtContent>
      <w:p w14:paraId="69D5B766" w14:textId="77777777" w:rsidR="006E5BB9" w:rsidRDefault="006E5BB9">
        <w:pPr>
          <w:pStyle w:val="Piedepgina"/>
          <w:jc w:val="right"/>
        </w:pPr>
        <w:r>
          <w:fldChar w:fldCharType="begin"/>
        </w:r>
        <w:r>
          <w:instrText>PAGE   \* MERGEFORMAT</w:instrText>
        </w:r>
        <w:r>
          <w:fldChar w:fldCharType="separate"/>
        </w:r>
        <w:r>
          <w:rPr>
            <w:noProof/>
          </w:rPr>
          <w:t>7</w:t>
        </w:r>
        <w:r>
          <w:fldChar w:fldCharType="end"/>
        </w:r>
      </w:p>
    </w:sdtContent>
  </w:sdt>
  <w:p w14:paraId="46E9C588" w14:textId="77777777" w:rsidR="006E5BB9" w:rsidRDefault="006E5BB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263DA" w14:textId="77777777" w:rsidR="006E5BB9" w:rsidRDefault="006E5B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E4789" w14:textId="77777777" w:rsidR="001B34A4" w:rsidRDefault="001B34A4" w:rsidP="007178EF">
      <w:pPr>
        <w:spacing w:after="0" w:line="240" w:lineRule="auto"/>
      </w:pPr>
      <w:r>
        <w:separator/>
      </w:r>
    </w:p>
  </w:footnote>
  <w:footnote w:type="continuationSeparator" w:id="0">
    <w:p w14:paraId="62180801" w14:textId="77777777" w:rsidR="001B34A4" w:rsidRDefault="001B34A4" w:rsidP="00717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D357F" w14:textId="77777777" w:rsidR="006E5BB9" w:rsidRDefault="006E5B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4D7D" w14:textId="77777777" w:rsidR="006E5BB9" w:rsidRDefault="006E5BB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F66D6" w14:textId="77777777" w:rsidR="006E5BB9" w:rsidRDefault="006E5B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0CAB"/>
    <w:multiLevelType w:val="hybridMultilevel"/>
    <w:tmpl w:val="51D4A2C0"/>
    <w:lvl w:ilvl="0" w:tplc="2C121C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3337DB"/>
    <w:multiLevelType w:val="hybridMultilevel"/>
    <w:tmpl w:val="30745838"/>
    <w:lvl w:ilvl="0" w:tplc="0C0A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2" w15:restartNumberingAfterBreak="0">
    <w:nsid w:val="30114094"/>
    <w:multiLevelType w:val="hybridMultilevel"/>
    <w:tmpl w:val="AF6C4582"/>
    <w:lvl w:ilvl="0" w:tplc="04090001">
      <w:start w:val="1"/>
      <w:numFmt w:val="bullet"/>
      <w:lvlText w:val=""/>
      <w:lvlJc w:val="left"/>
      <w:pPr>
        <w:ind w:left="710" w:hanging="360"/>
      </w:pPr>
      <w:rPr>
        <w:rFonts w:ascii="Symbol" w:hAnsi="Symbol" w:hint="default"/>
      </w:rPr>
    </w:lvl>
    <w:lvl w:ilvl="1" w:tplc="04090003">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3" w15:restartNumberingAfterBreak="0">
    <w:nsid w:val="342C2C95"/>
    <w:multiLevelType w:val="hybridMultilevel"/>
    <w:tmpl w:val="2DCEA224"/>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3E6F53"/>
    <w:multiLevelType w:val="hybridMultilevel"/>
    <w:tmpl w:val="16B2F830"/>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E1011"/>
    <w:multiLevelType w:val="multilevel"/>
    <w:tmpl w:val="F830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CE7AE8"/>
    <w:multiLevelType w:val="hybridMultilevel"/>
    <w:tmpl w:val="B08EB7D6"/>
    <w:lvl w:ilvl="0" w:tplc="0C0A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582011A1"/>
    <w:multiLevelType w:val="hybridMultilevel"/>
    <w:tmpl w:val="0F8E23B2"/>
    <w:lvl w:ilvl="0" w:tplc="0C0A0001">
      <w:start w:val="1"/>
      <w:numFmt w:val="bullet"/>
      <w:lvlText w:val=""/>
      <w:lvlJc w:val="left"/>
      <w:pPr>
        <w:ind w:left="7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A065D5"/>
    <w:multiLevelType w:val="hybridMultilevel"/>
    <w:tmpl w:val="C09E0FDA"/>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B778E8"/>
    <w:multiLevelType w:val="hybridMultilevel"/>
    <w:tmpl w:val="F40E5E54"/>
    <w:lvl w:ilvl="0" w:tplc="6E5E7690">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0" w15:restartNumberingAfterBreak="0">
    <w:nsid w:val="72D06EBF"/>
    <w:multiLevelType w:val="hybridMultilevel"/>
    <w:tmpl w:val="DF16E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10"/>
  </w:num>
  <w:num w:numId="4">
    <w:abstractNumId w:val="4"/>
  </w:num>
  <w:num w:numId="5">
    <w:abstractNumId w:val="3"/>
  </w:num>
  <w:num w:numId="6">
    <w:abstractNumId w:val="1"/>
  </w:num>
  <w:num w:numId="7">
    <w:abstractNumId w:val="6"/>
  </w:num>
  <w:num w:numId="8">
    <w:abstractNumId w:val="8"/>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F5"/>
    <w:rsid w:val="0000304D"/>
    <w:rsid w:val="00013C01"/>
    <w:rsid w:val="00014E31"/>
    <w:rsid w:val="000151F8"/>
    <w:rsid w:val="00015272"/>
    <w:rsid w:val="00016E95"/>
    <w:rsid w:val="000216FC"/>
    <w:rsid w:val="000217C5"/>
    <w:rsid w:val="00027F55"/>
    <w:rsid w:val="0003460B"/>
    <w:rsid w:val="00041DD4"/>
    <w:rsid w:val="00043929"/>
    <w:rsid w:val="00044E6F"/>
    <w:rsid w:val="00045ECE"/>
    <w:rsid w:val="00047188"/>
    <w:rsid w:val="000475D1"/>
    <w:rsid w:val="00050C9A"/>
    <w:rsid w:val="00054BCA"/>
    <w:rsid w:val="0006121D"/>
    <w:rsid w:val="00063BC7"/>
    <w:rsid w:val="00063D52"/>
    <w:rsid w:val="00064C77"/>
    <w:rsid w:val="0006792E"/>
    <w:rsid w:val="0007210E"/>
    <w:rsid w:val="0007289F"/>
    <w:rsid w:val="00074B63"/>
    <w:rsid w:val="00084203"/>
    <w:rsid w:val="00084426"/>
    <w:rsid w:val="00086F87"/>
    <w:rsid w:val="000948C2"/>
    <w:rsid w:val="00094D99"/>
    <w:rsid w:val="00094DCC"/>
    <w:rsid w:val="000B27B3"/>
    <w:rsid w:val="000B4252"/>
    <w:rsid w:val="000B7CE0"/>
    <w:rsid w:val="000C2C46"/>
    <w:rsid w:val="000C6347"/>
    <w:rsid w:val="000D6478"/>
    <w:rsid w:val="000D70B8"/>
    <w:rsid w:val="000E11EA"/>
    <w:rsid w:val="000E1275"/>
    <w:rsid w:val="000E3A0A"/>
    <w:rsid w:val="000E48F1"/>
    <w:rsid w:val="000E6032"/>
    <w:rsid w:val="000F052D"/>
    <w:rsid w:val="000F3F5A"/>
    <w:rsid w:val="000F6727"/>
    <w:rsid w:val="00105A11"/>
    <w:rsid w:val="00106B64"/>
    <w:rsid w:val="00106C4E"/>
    <w:rsid w:val="001106EF"/>
    <w:rsid w:val="00113C73"/>
    <w:rsid w:val="001148BC"/>
    <w:rsid w:val="00117055"/>
    <w:rsid w:val="0011710F"/>
    <w:rsid w:val="00131F6F"/>
    <w:rsid w:val="001332F7"/>
    <w:rsid w:val="001360E1"/>
    <w:rsid w:val="001372E2"/>
    <w:rsid w:val="0015084F"/>
    <w:rsid w:val="001546A4"/>
    <w:rsid w:val="00154D24"/>
    <w:rsid w:val="00156EAE"/>
    <w:rsid w:val="00161436"/>
    <w:rsid w:val="00163752"/>
    <w:rsid w:val="00170CD3"/>
    <w:rsid w:val="001738A7"/>
    <w:rsid w:val="0017478E"/>
    <w:rsid w:val="00180828"/>
    <w:rsid w:val="00181E6A"/>
    <w:rsid w:val="00184831"/>
    <w:rsid w:val="001A7CB5"/>
    <w:rsid w:val="001B1863"/>
    <w:rsid w:val="001B34A4"/>
    <w:rsid w:val="001B4A6C"/>
    <w:rsid w:val="001B4C6D"/>
    <w:rsid w:val="001B55E0"/>
    <w:rsid w:val="001C0FAD"/>
    <w:rsid w:val="001C1743"/>
    <w:rsid w:val="001C4182"/>
    <w:rsid w:val="001C4679"/>
    <w:rsid w:val="001D1BFB"/>
    <w:rsid w:val="001D74B7"/>
    <w:rsid w:val="001E12A5"/>
    <w:rsid w:val="001E2EB9"/>
    <w:rsid w:val="001E6663"/>
    <w:rsid w:val="001F0454"/>
    <w:rsid w:val="001F1D67"/>
    <w:rsid w:val="001F2340"/>
    <w:rsid w:val="001F29C8"/>
    <w:rsid w:val="001F7CA5"/>
    <w:rsid w:val="00200A5E"/>
    <w:rsid w:val="00201C7A"/>
    <w:rsid w:val="00202109"/>
    <w:rsid w:val="00205B86"/>
    <w:rsid w:val="00212217"/>
    <w:rsid w:val="0021264F"/>
    <w:rsid w:val="002133F0"/>
    <w:rsid w:val="0021393D"/>
    <w:rsid w:val="00215D76"/>
    <w:rsid w:val="00222414"/>
    <w:rsid w:val="00223CC7"/>
    <w:rsid w:val="00225964"/>
    <w:rsid w:val="00227805"/>
    <w:rsid w:val="002304A3"/>
    <w:rsid w:val="00230D89"/>
    <w:rsid w:val="002352F0"/>
    <w:rsid w:val="0024332E"/>
    <w:rsid w:val="002443DE"/>
    <w:rsid w:val="002443F1"/>
    <w:rsid w:val="002508BE"/>
    <w:rsid w:val="00257164"/>
    <w:rsid w:val="0026054A"/>
    <w:rsid w:val="00270D09"/>
    <w:rsid w:val="00272E35"/>
    <w:rsid w:val="0028340A"/>
    <w:rsid w:val="00292856"/>
    <w:rsid w:val="0029352D"/>
    <w:rsid w:val="002953B9"/>
    <w:rsid w:val="002956F1"/>
    <w:rsid w:val="002A5B72"/>
    <w:rsid w:val="002B4D36"/>
    <w:rsid w:val="002B503C"/>
    <w:rsid w:val="002C30BC"/>
    <w:rsid w:val="002C4734"/>
    <w:rsid w:val="002D027F"/>
    <w:rsid w:val="002D182B"/>
    <w:rsid w:val="002D1F09"/>
    <w:rsid w:val="002D39E2"/>
    <w:rsid w:val="002E562B"/>
    <w:rsid w:val="002F1CF0"/>
    <w:rsid w:val="002F5F3F"/>
    <w:rsid w:val="002F7E9B"/>
    <w:rsid w:val="00304C84"/>
    <w:rsid w:val="003079D7"/>
    <w:rsid w:val="00335E40"/>
    <w:rsid w:val="0034006C"/>
    <w:rsid w:val="003452ED"/>
    <w:rsid w:val="003453D5"/>
    <w:rsid w:val="0035428F"/>
    <w:rsid w:val="00365EB7"/>
    <w:rsid w:val="00375D44"/>
    <w:rsid w:val="003847B3"/>
    <w:rsid w:val="00384C80"/>
    <w:rsid w:val="00384D7F"/>
    <w:rsid w:val="003876FE"/>
    <w:rsid w:val="003909B1"/>
    <w:rsid w:val="00397D21"/>
    <w:rsid w:val="003A5C29"/>
    <w:rsid w:val="003C57E7"/>
    <w:rsid w:val="003C632C"/>
    <w:rsid w:val="003C6A74"/>
    <w:rsid w:val="003E303A"/>
    <w:rsid w:val="003F58CD"/>
    <w:rsid w:val="00400E42"/>
    <w:rsid w:val="00402DE9"/>
    <w:rsid w:val="00404ECB"/>
    <w:rsid w:val="00411766"/>
    <w:rsid w:val="00415B69"/>
    <w:rsid w:val="00424F66"/>
    <w:rsid w:val="004269A0"/>
    <w:rsid w:val="00430803"/>
    <w:rsid w:val="004312A3"/>
    <w:rsid w:val="004318D6"/>
    <w:rsid w:val="00432B17"/>
    <w:rsid w:val="00432ECE"/>
    <w:rsid w:val="00451AE4"/>
    <w:rsid w:val="0046487D"/>
    <w:rsid w:val="00465406"/>
    <w:rsid w:val="00475C34"/>
    <w:rsid w:val="0047664B"/>
    <w:rsid w:val="00476DA5"/>
    <w:rsid w:val="00477AD5"/>
    <w:rsid w:val="00480436"/>
    <w:rsid w:val="004862FC"/>
    <w:rsid w:val="0048657E"/>
    <w:rsid w:val="0048742C"/>
    <w:rsid w:val="004A0C9B"/>
    <w:rsid w:val="004A6541"/>
    <w:rsid w:val="004C5417"/>
    <w:rsid w:val="004C60EC"/>
    <w:rsid w:val="004D254F"/>
    <w:rsid w:val="004D2F48"/>
    <w:rsid w:val="004D33E6"/>
    <w:rsid w:val="004D5901"/>
    <w:rsid w:val="004E27F4"/>
    <w:rsid w:val="004E4FFB"/>
    <w:rsid w:val="004E52AE"/>
    <w:rsid w:val="004E66E4"/>
    <w:rsid w:val="004F3F5C"/>
    <w:rsid w:val="005028A0"/>
    <w:rsid w:val="00505D7E"/>
    <w:rsid w:val="005105C0"/>
    <w:rsid w:val="005113CD"/>
    <w:rsid w:val="00526C2A"/>
    <w:rsid w:val="00530EA9"/>
    <w:rsid w:val="00532348"/>
    <w:rsid w:val="0053521E"/>
    <w:rsid w:val="005358DB"/>
    <w:rsid w:val="00546463"/>
    <w:rsid w:val="00551DEC"/>
    <w:rsid w:val="005567FF"/>
    <w:rsid w:val="00560157"/>
    <w:rsid w:val="00560DD8"/>
    <w:rsid w:val="00561EB6"/>
    <w:rsid w:val="00575DBC"/>
    <w:rsid w:val="00576715"/>
    <w:rsid w:val="00577DE1"/>
    <w:rsid w:val="00581569"/>
    <w:rsid w:val="0058269C"/>
    <w:rsid w:val="00583C7B"/>
    <w:rsid w:val="00587947"/>
    <w:rsid w:val="0059459D"/>
    <w:rsid w:val="00595C33"/>
    <w:rsid w:val="00597DD4"/>
    <w:rsid w:val="005A09B6"/>
    <w:rsid w:val="005B2EBD"/>
    <w:rsid w:val="005B7EE6"/>
    <w:rsid w:val="005C632B"/>
    <w:rsid w:val="005D1A5E"/>
    <w:rsid w:val="005D28A6"/>
    <w:rsid w:val="005D3A6C"/>
    <w:rsid w:val="005D428F"/>
    <w:rsid w:val="005E1858"/>
    <w:rsid w:val="005E51DC"/>
    <w:rsid w:val="005F0E6C"/>
    <w:rsid w:val="005F2BCA"/>
    <w:rsid w:val="00601208"/>
    <w:rsid w:val="006020D0"/>
    <w:rsid w:val="006033E0"/>
    <w:rsid w:val="00603BF9"/>
    <w:rsid w:val="0060474A"/>
    <w:rsid w:val="006050D5"/>
    <w:rsid w:val="00605132"/>
    <w:rsid w:val="0061451E"/>
    <w:rsid w:val="00614897"/>
    <w:rsid w:val="0061572B"/>
    <w:rsid w:val="00622D82"/>
    <w:rsid w:val="00625766"/>
    <w:rsid w:val="00630DFD"/>
    <w:rsid w:val="00632535"/>
    <w:rsid w:val="006339AF"/>
    <w:rsid w:val="00633E77"/>
    <w:rsid w:val="006403C1"/>
    <w:rsid w:val="00640AE7"/>
    <w:rsid w:val="006412D2"/>
    <w:rsid w:val="00641968"/>
    <w:rsid w:val="006465C1"/>
    <w:rsid w:val="006516BC"/>
    <w:rsid w:val="00651F12"/>
    <w:rsid w:val="006557EB"/>
    <w:rsid w:val="00657252"/>
    <w:rsid w:val="006579FB"/>
    <w:rsid w:val="00657DD4"/>
    <w:rsid w:val="0066185F"/>
    <w:rsid w:val="006665C9"/>
    <w:rsid w:val="0066690C"/>
    <w:rsid w:val="00671C1E"/>
    <w:rsid w:val="006742A4"/>
    <w:rsid w:val="0067458B"/>
    <w:rsid w:val="006776D5"/>
    <w:rsid w:val="00680BF0"/>
    <w:rsid w:val="00683862"/>
    <w:rsid w:val="00683FC8"/>
    <w:rsid w:val="00686F74"/>
    <w:rsid w:val="006A0492"/>
    <w:rsid w:val="006A5A5A"/>
    <w:rsid w:val="006B2CA7"/>
    <w:rsid w:val="006B3DE8"/>
    <w:rsid w:val="006B6709"/>
    <w:rsid w:val="006C11CD"/>
    <w:rsid w:val="006C5DC4"/>
    <w:rsid w:val="006C7EF6"/>
    <w:rsid w:val="006D22F0"/>
    <w:rsid w:val="006D3970"/>
    <w:rsid w:val="006E1D25"/>
    <w:rsid w:val="006E271B"/>
    <w:rsid w:val="006E5BB9"/>
    <w:rsid w:val="006F4015"/>
    <w:rsid w:val="006F44AB"/>
    <w:rsid w:val="00700248"/>
    <w:rsid w:val="00701F7B"/>
    <w:rsid w:val="00706C9E"/>
    <w:rsid w:val="007108D1"/>
    <w:rsid w:val="007178EF"/>
    <w:rsid w:val="00721D4C"/>
    <w:rsid w:val="00722533"/>
    <w:rsid w:val="00723513"/>
    <w:rsid w:val="00727747"/>
    <w:rsid w:val="00730011"/>
    <w:rsid w:val="00731286"/>
    <w:rsid w:val="007352F5"/>
    <w:rsid w:val="00735799"/>
    <w:rsid w:val="007409CA"/>
    <w:rsid w:val="007412FA"/>
    <w:rsid w:val="007456E0"/>
    <w:rsid w:val="00750EAF"/>
    <w:rsid w:val="00752121"/>
    <w:rsid w:val="00757E45"/>
    <w:rsid w:val="007636DD"/>
    <w:rsid w:val="00770781"/>
    <w:rsid w:val="007836D0"/>
    <w:rsid w:val="00787152"/>
    <w:rsid w:val="00787E92"/>
    <w:rsid w:val="00791FCF"/>
    <w:rsid w:val="00792DF0"/>
    <w:rsid w:val="0079340E"/>
    <w:rsid w:val="00794BC7"/>
    <w:rsid w:val="00796E79"/>
    <w:rsid w:val="00797675"/>
    <w:rsid w:val="0079778D"/>
    <w:rsid w:val="007A2BEB"/>
    <w:rsid w:val="007A2C8C"/>
    <w:rsid w:val="007A3BB6"/>
    <w:rsid w:val="007A42A7"/>
    <w:rsid w:val="007A435C"/>
    <w:rsid w:val="007B1D2B"/>
    <w:rsid w:val="007B5EB1"/>
    <w:rsid w:val="007C31EB"/>
    <w:rsid w:val="007C367D"/>
    <w:rsid w:val="007D0037"/>
    <w:rsid w:val="007D2017"/>
    <w:rsid w:val="007E017D"/>
    <w:rsid w:val="007E0D03"/>
    <w:rsid w:val="007E183C"/>
    <w:rsid w:val="007E2F9F"/>
    <w:rsid w:val="007E6E29"/>
    <w:rsid w:val="007E750F"/>
    <w:rsid w:val="007F0AF9"/>
    <w:rsid w:val="007F1B20"/>
    <w:rsid w:val="007F3ECB"/>
    <w:rsid w:val="007F4CBD"/>
    <w:rsid w:val="00810972"/>
    <w:rsid w:val="00811DA8"/>
    <w:rsid w:val="008141D4"/>
    <w:rsid w:val="00814545"/>
    <w:rsid w:val="00821ECA"/>
    <w:rsid w:val="00822EDA"/>
    <w:rsid w:val="00823D53"/>
    <w:rsid w:val="00824162"/>
    <w:rsid w:val="0083316D"/>
    <w:rsid w:val="00836610"/>
    <w:rsid w:val="008368F5"/>
    <w:rsid w:val="00840623"/>
    <w:rsid w:val="00841D17"/>
    <w:rsid w:val="00845525"/>
    <w:rsid w:val="008472E0"/>
    <w:rsid w:val="008477F1"/>
    <w:rsid w:val="00852BC6"/>
    <w:rsid w:val="008624A4"/>
    <w:rsid w:val="00864083"/>
    <w:rsid w:val="00864FF0"/>
    <w:rsid w:val="00867952"/>
    <w:rsid w:val="00870DE7"/>
    <w:rsid w:val="00873644"/>
    <w:rsid w:val="008838A2"/>
    <w:rsid w:val="00885CE1"/>
    <w:rsid w:val="008A1DAA"/>
    <w:rsid w:val="008A4C25"/>
    <w:rsid w:val="008A5628"/>
    <w:rsid w:val="008B28B7"/>
    <w:rsid w:val="008B2DC6"/>
    <w:rsid w:val="008B40F6"/>
    <w:rsid w:val="008C1520"/>
    <w:rsid w:val="008C498D"/>
    <w:rsid w:val="008D0067"/>
    <w:rsid w:val="008D2104"/>
    <w:rsid w:val="008D2CDF"/>
    <w:rsid w:val="008D4E30"/>
    <w:rsid w:val="008F3F7D"/>
    <w:rsid w:val="008F69FE"/>
    <w:rsid w:val="008F6E66"/>
    <w:rsid w:val="00902F98"/>
    <w:rsid w:val="00903018"/>
    <w:rsid w:val="00910EB1"/>
    <w:rsid w:val="00915CF5"/>
    <w:rsid w:val="009202A0"/>
    <w:rsid w:val="00920900"/>
    <w:rsid w:val="00924604"/>
    <w:rsid w:val="0092664B"/>
    <w:rsid w:val="00927CEB"/>
    <w:rsid w:val="00927EF4"/>
    <w:rsid w:val="00930989"/>
    <w:rsid w:val="009324FA"/>
    <w:rsid w:val="00933996"/>
    <w:rsid w:val="00936DF4"/>
    <w:rsid w:val="00946D71"/>
    <w:rsid w:val="00956291"/>
    <w:rsid w:val="009635FF"/>
    <w:rsid w:val="009678EB"/>
    <w:rsid w:val="0097069C"/>
    <w:rsid w:val="00970F37"/>
    <w:rsid w:val="00971520"/>
    <w:rsid w:val="00982DDC"/>
    <w:rsid w:val="0099500C"/>
    <w:rsid w:val="009A0548"/>
    <w:rsid w:val="009A13B5"/>
    <w:rsid w:val="009A5968"/>
    <w:rsid w:val="009A7007"/>
    <w:rsid w:val="009B2B71"/>
    <w:rsid w:val="009B3728"/>
    <w:rsid w:val="009C247B"/>
    <w:rsid w:val="009C261B"/>
    <w:rsid w:val="009C3AA8"/>
    <w:rsid w:val="009C3FF5"/>
    <w:rsid w:val="009C591A"/>
    <w:rsid w:val="009D24D9"/>
    <w:rsid w:val="009D2C72"/>
    <w:rsid w:val="009D4CCD"/>
    <w:rsid w:val="009D5403"/>
    <w:rsid w:val="009E6743"/>
    <w:rsid w:val="009E6B9A"/>
    <w:rsid w:val="009E6BFF"/>
    <w:rsid w:val="009F1F40"/>
    <w:rsid w:val="009F51B1"/>
    <w:rsid w:val="009F5C48"/>
    <w:rsid w:val="00A01B62"/>
    <w:rsid w:val="00A0242C"/>
    <w:rsid w:val="00A05E7F"/>
    <w:rsid w:val="00A07FA8"/>
    <w:rsid w:val="00A1081F"/>
    <w:rsid w:val="00A1475B"/>
    <w:rsid w:val="00A21311"/>
    <w:rsid w:val="00A3059B"/>
    <w:rsid w:val="00A331FF"/>
    <w:rsid w:val="00A35524"/>
    <w:rsid w:val="00A35632"/>
    <w:rsid w:val="00A455A2"/>
    <w:rsid w:val="00A46732"/>
    <w:rsid w:val="00A559BC"/>
    <w:rsid w:val="00A60B9C"/>
    <w:rsid w:val="00A61C46"/>
    <w:rsid w:val="00A62663"/>
    <w:rsid w:val="00A63683"/>
    <w:rsid w:val="00A65E70"/>
    <w:rsid w:val="00A70B33"/>
    <w:rsid w:val="00A7589C"/>
    <w:rsid w:val="00A75FC4"/>
    <w:rsid w:val="00A80AE4"/>
    <w:rsid w:val="00A8141A"/>
    <w:rsid w:val="00A84194"/>
    <w:rsid w:val="00A920AD"/>
    <w:rsid w:val="00A95598"/>
    <w:rsid w:val="00A97433"/>
    <w:rsid w:val="00AA0279"/>
    <w:rsid w:val="00AA345F"/>
    <w:rsid w:val="00AB40C3"/>
    <w:rsid w:val="00AB6766"/>
    <w:rsid w:val="00AD1C29"/>
    <w:rsid w:val="00AD31E2"/>
    <w:rsid w:val="00AD7540"/>
    <w:rsid w:val="00AE485B"/>
    <w:rsid w:val="00AF5EFB"/>
    <w:rsid w:val="00AF626A"/>
    <w:rsid w:val="00B07E68"/>
    <w:rsid w:val="00B11182"/>
    <w:rsid w:val="00B20145"/>
    <w:rsid w:val="00B34450"/>
    <w:rsid w:val="00B36087"/>
    <w:rsid w:val="00B36190"/>
    <w:rsid w:val="00B41A73"/>
    <w:rsid w:val="00B43CCD"/>
    <w:rsid w:val="00B453F8"/>
    <w:rsid w:val="00B477A7"/>
    <w:rsid w:val="00B51F92"/>
    <w:rsid w:val="00B53A9E"/>
    <w:rsid w:val="00B54C1F"/>
    <w:rsid w:val="00B54C48"/>
    <w:rsid w:val="00B616BF"/>
    <w:rsid w:val="00B61D27"/>
    <w:rsid w:val="00B635BE"/>
    <w:rsid w:val="00B654CF"/>
    <w:rsid w:val="00B67271"/>
    <w:rsid w:val="00B67616"/>
    <w:rsid w:val="00B6771E"/>
    <w:rsid w:val="00B74437"/>
    <w:rsid w:val="00B82535"/>
    <w:rsid w:val="00B85C28"/>
    <w:rsid w:val="00B91210"/>
    <w:rsid w:val="00B978C7"/>
    <w:rsid w:val="00BA0C82"/>
    <w:rsid w:val="00BA1161"/>
    <w:rsid w:val="00BA278F"/>
    <w:rsid w:val="00BA45A7"/>
    <w:rsid w:val="00BA70E9"/>
    <w:rsid w:val="00BA7A22"/>
    <w:rsid w:val="00BB1826"/>
    <w:rsid w:val="00BB2AAB"/>
    <w:rsid w:val="00BC20D1"/>
    <w:rsid w:val="00BC3A8F"/>
    <w:rsid w:val="00BC671E"/>
    <w:rsid w:val="00BD249B"/>
    <w:rsid w:val="00BD50F9"/>
    <w:rsid w:val="00BE01C6"/>
    <w:rsid w:val="00BE035E"/>
    <w:rsid w:val="00BE0587"/>
    <w:rsid w:val="00BE2129"/>
    <w:rsid w:val="00BF12F0"/>
    <w:rsid w:val="00C023C1"/>
    <w:rsid w:val="00C02477"/>
    <w:rsid w:val="00C0679E"/>
    <w:rsid w:val="00C107F4"/>
    <w:rsid w:val="00C1193C"/>
    <w:rsid w:val="00C1403D"/>
    <w:rsid w:val="00C15B2A"/>
    <w:rsid w:val="00C2438A"/>
    <w:rsid w:val="00C25A07"/>
    <w:rsid w:val="00C265F6"/>
    <w:rsid w:val="00C30A87"/>
    <w:rsid w:val="00C33C01"/>
    <w:rsid w:val="00C45B6A"/>
    <w:rsid w:val="00C51A5A"/>
    <w:rsid w:val="00C53A1C"/>
    <w:rsid w:val="00C55793"/>
    <w:rsid w:val="00C5722F"/>
    <w:rsid w:val="00C63BAC"/>
    <w:rsid w:val="00C725CF"/>
    <w:rsid w:val="00C831CB"/>
    <w:rsid w:val="00C85DD0"/>
    <w:rsid w:val="00C861C9"/>
    <w:rsid w:val="00C8678F"/>
    <w:rsid w:val="00CA535E"/>
    <w:rsid w:val="00CA64E9"/>
    <w:rsid w:val="00CA6A07"/>
    <w:rsid w:val="00CB1682"/>
    <w:rsid w:val="00CB2743"/>
    <w:rsid w:val="00CB50F9"/>
    <w:rsid w:val="00CB651B"/>
    <w:rsid w:val="00CB79B5"/>
    <w:rsid w:val="00CC090C"/>
    <w:rsid w:val="00CC5309"/>
    <w:rsid w:val="00CD5E3E"/>
    <w:rsid w:val="00CD7923"/>
    <w:rsid w:val="00CE2279"/>
    <w:rsid w:val="00CE2F1E"/>
    <w:rsid w:val="00CE41FF"/>
    <w:rsid w:val="00CE57EC"/>
    <w:rsid w:val="00CE59B6"/>
    <w:rsid w:val="00CE60A2"/>
    <w:rsid w:val="00CE7253"/>
    <w:rsid w:val="00CE78D2"/>
    <w:rsid w:val="00CF129C"/>
    <w:rsid w:val="00CF40B3"/>
    <w:rsid w:val="00CF7816"/>
    <w:rsid w:val="00D01866"/>
    <w:rsid w:val="00D01B22"/>
    <w:rsid w:val="00D02DBC"/>
    <w:rsid w:val="00D16554"/>
    <w:rsid w:val="00D258F7"/>
    <w:rsid w:val="00D2649E"/>
    <w:rsid w:val="00D307C5"/>
    <w:rsid w:val="00D31C6B"/>
    <w:rsid w:val="00D345E3"/>
    <w:rsid w:val="00D6029A"/>
    <w:rsid w:val="00D60559"/>
    <w:rsid w:val="00D63955"/>
    <w:rsid w:val="00D64263"/>
    <w:rsid w:val="00D65D0C"/>
    <w:rsid w:val="00D72870"/>
    <w:rsid w:val="00D7370E"/>
    <w:rsid w:val="00D764A7"/>
    <w:rsid w:val="00D82165"/>
    <w:rsid w:val="00D84CC1"/>
    <w:rsid w:val="00D90A30"/>
    <w:rsid w:val="00D90BB0"/>
    <w:rsid w:val="00D90E57"/>
    <w:rsid w:val="00D91FAF"/>
    <w:rsid w:val="00D955CE"/>
    <w:rsid w:val="00D9729B"/>
    <w:rsid w:val="00DA288C"/>
    <w:rsid w:val="00DA737C"/>
    <w:rsid w:val="00DB5356"/>
    <w:rsid w:val="00DB7F2F"/>
    <w:rsid w:val="00DC0514"/>
    <w:rsid w:val="00DC24E5"/>
    <w:rsid w:val="00DC3175"/>
    <w:rsid w:val="00DC656C"/>
    <w:rsid w:val="00DD6017"/>
    <w:rsid w:val="00DD7C53"/>
    <w:rsid w:val="00DE777A"/>
    <w:rsid w:val="00DF4E0E"/>
    <w:rsid w:val="00DF6843"/>
    <w:rsid w:val="00DF6EC8"/>
    <w:rsid w:val="00E049F2"/>
    <w:rsid w:val="00E056DE"/>
    <w:rsid w:val="00E06CFB"/>
    <w:rsid w:val="00E136A5"/>
    <w:rsid w:val="00E20E6C"/>
    <w:rsid w:val="00E25C2B"/>
    <w:rsid w:val="00E30414"/>
    <w:rsid w:val="00E365F6"/>
    <w:rsid w:val="00E37423"/>
    <w:rsid w:val="00E4042D"/>
    <w:rsid w:val="00E44A00"/>
    <w:rsid w:val="00E50CD8"/>
    <w:rsid w:val="00E51DD3"/>
    <w:rsid w:val="00E5216B"/>
    <w:rsid w:val="00E62AC3"/>
    <w:rsid w:val="00E6359E"/>
    <w:rsid w:val="00E65BAE"/>
    <w:rsid w:val="00E6734D"/>
    <w:rsid w:val="00E677B5"/>
    <w:rsid w:val="00E712BF"/>
    <w:rsid w:val="00E721BC"/>
    <w:rsid w:val="00E84BD6"/>
    <w:rsid w:val="00E90C90"/>
    <w:rsid w:val="00E92B66"/>
    <w:rsid w:val="00E96374"/>
    <w:rsid w:val="00EA527E"/>
    <w:rsid w:val="00EA7841"/>
    <w:rsid w:val="00EB0CE0"/>
    <w:rsid w:val="00EB1884"/>
    <w:rsid w:val="00EB5E31"/>
    <w:rsid w:val="00EB6701"/>
    <w:rsid w:val="00EC2D4C"/>
    <w:rsid w:val="00EC3729"/>
    <w:rsid w:val="00EC73BB"/>
    <w:rsid w:val="00ED13F0"/>
    <w:rsid w:val="00ED7FA0"/>
    <w:rsid w:val="00EE1269"/>
    <w:rsid w:val="00EE1DE8"/>
    <w:rsid w:val="00EE78B7"/>
    <w:rsid w:val="00EF131E"/>
    <w:rsid w:val="00EF6605"/>
    <w:rsid w:val="00EF6BF9"/>
    <w:rsid w:val="00F11F71"/>
    <w:rsid w:val="00F12523"/>
    <w:rsid w:val="00F17ED0"/>
    <w:rsid w:val="00F2245F"/>
    <w:rsid w:val="00F234C6"/>
    <w:rsid w:val="00F24598"/>
    <w:rsid w:val="00F24C50"/>
    <w:rsid w:val="00F2636A"/>
    <w:rsid w:val="00F30DDB"/>
    <w:rsid w:val="00F36E8E"/>
    <w:rsid w:val="00F43ACF"/>
    <w:rsid w:val="00F45758"/>
    <w:rsid w:val="00F52171"/>
    <w:rsid w:val="00F567E9"/>
    <w:rsid w:val="00F607C3"/>
    <w:rsid w:val="00F64430"/>
    <w:rsid w:val="00F71D53"/>
    <w:rsid w:val="00F7266D"/>
    <w:rsid w:val="00F746AD"/>
    <w:rsid w:val="00F751AD"/>
    <w:rsid w:val="00F773F7"/>
    <w:rsid w:val="00F84CEC"/>
    <w:rsid w:val="00F85186"/>
    <w:rsid w:val="00F85398"/>
    <w:rsid w:val="00F866E2"/>
    <w:rsid w:val="00F908C5"/>
    <w:rsid w:val="00F92786"/>
    <w:rsid w:val="00F9306C"/>
    <w:rsid w:val="00F93A0B"/>
    <w:rsid w:val="00F93ED4"/>
    <w:rsid w:val="00FA390B"/>
    <w:rsid w:val="00FA568A"/>
    <w:rsid w:val="00FA646E"/>
    <w:rsid w:val="00FA70B0"/>
    <w:rsid w:val="00FB110F"/>
    <w:rsid w:val="00FB1759"/>
    <w:rsid w:val="00FB41EA"/>
    <w:rsid w:val="00FB489D"/>
    <w:rsid w:val="00FC11B8"/>
    <w:rsid w:val="00FC6B8F"/>
    <w:rsid w:val="00FC6BAB"/>
    <w:rsid w:val="00FC7D57"/>
    <w:rsid w:val="00FE5E59"/>
    <w:rsid w:val="00FF342A"/>
    <w:rsid w:val="00FF3E9D"/>
    <w:rsid w:val="00FF47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D315"/>
  <w15:chartTrackingRefBased/>
  <w15:docId w15:val="{5FA40571-F4E2-4210-B9DD-DE2687D3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8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24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402D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02D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02DE9"/>
    <w:rPr>
      <w:color w:val="0563C1" w:themeColor="hyperlink"/>
      <w:u w:val="single"/>
    </w:rPr>
  </w:style>
  <w:style w:type="character" w:customStyle="1" w:styleId="tlid-translation">
    <w:name w:val="tlid-translation"/>
    <w:basedOn w:val="Fuentedeprrafopredeter"/>
    <w:rsid w:val="00402DE9"/>
  </w:style>
  <w:style w:type="character" w:styleId="Hipervnculovisitado">
    <w:name w:val="FollowedHyperlink"/>
    <w:basedOn w:val="Fuentedeprrafopredeter"/>
    <w:uiPriority w:val="99"/>
    <w:semiHidden/>
    <w:unhideWhenUsed/>
    <w:rsid w:val="00451AE4"/>
    <w:rPr>
      <w:color w:val="954F72" w:themeColor="followedHyperlink"/>
      <w:u w:val="single"/>
    </w:rPr>
  </w:style>
  <w:style w:type="paragraph" w:styleId="Prrafodelista">
    <w:name w:val="List Paragraph"/>
    <w:basedOn w:val="Normal"/>
    <w:uiPriority w:val="34"/>
    <w:qFormat/>
    <w:rsid w:val="0079778D"/>
    <w:pPr>
      <w:ind w:left="720"/>
      <w:contextualSpacing/>
    </w:pPr>
  </w:style>
  <w:style w:type="paragraph" w:styleId="Encabezado">
    <w:name w:val="header"/>
    <w:basedOn w:val="Normal"/>
    <w:link w:val="EncabezadoCar"/>
    <w:uiPriority w:val="99"/>
    <w:unhideWhenUsed/>
    <w:rsid w:val="007178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78EF"/>
  </w:style>
  <w:style w:type="paragraph" w:styleId="Piedepgina">
    <w:name w:val="footer"/>
    <w:basedOn w:val="Normal"/>
    <w:link w:val="PiedepginaCar"/>
    <w:uiPriority w:val="99"/>
    <w:unhideWhenUsed/>
    <w:rsid w:val="007178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78EF"/>
  </w:style>
  <w:style w:type="paragraph" w:customStyle="1" w:styleId="Default">
    <w:name w:val="Default"/>
    <w:rsid w:val="00F234C6"/>
    <w:pPr>
      <w:autoSpaceDE w:val="0"/>
      <w:autoSpaceDN w:val="0"/>
      <w:adjustRightInd w:val="0"/>
      <w:spacing w:after="0" w:line="240" w:lineRule="auto"/>
    </w:pPr>
    <w:rPr>
      <w:rFonts w:ascii="Tahoma" w:hAnsi="Tahoma" w:cs="Tahoma"/>
      <w:color w:val="000000"/>
      <w:sz w:val="24"/>
      <w:szCs w:val="24"/>
      <w:lang w:val="en-GB"/>
    </w:rPr>
  </w:style>
  <w:style w:type="character" w:styleId="Refdecomentario">
    <w:name w:val="annotation reference"/>
    <w:basedOn w:val="Fuentedeprrafopredeter"/>
    <w:uiPriority w:val="99"/>
    <w:semiHidden/>
    <w:unhideWhenUsed/>
    <w:rsid w:val="00605132"/>
    <w:rPr>
      <w:sz w:val="16"/>
      <w:szCs w:val="16"/>
    </w:rPr>
  </w:style>
  <w:style w:type="paragraph" w:styleId="Textocomentario">
    <w:name w:val="annotation text"/>
    <w:basedOn w:val="Normal"/>
    <w:link w:val="TextocomentarioCar"/>
    <w:uiPriority w:val="99"/>
    <w:unhideWhenUsed/>
    <w:rsid w:val="00605132"/>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605132"/>
    <w:rPr>
      <w:sz w:val="20"/>
      <w:szCs w:val="20"/>
      <w:lang w:val="en-US"/>
    </w:rPr>
  </w:style>
  <w:style w:type="table" w:customStyle="1" w:styleId="Tablaconcuadrcula3">
    <w:name w:val="Tabla con cuadrícula3"/>
    <w:basedOn w:val="Tablanormal"/>
    <w:next w:val="Tablaconcuadrcula"/>
    <w:uiPriority w:val="39"/>
    <w:rsid w:val="00535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7E6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55793"/>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76545">
      <w:bodyDiv w:val="1"/>
      <w:marLeft w:val="0"/>
      <w:marRight w:val="0"/>
      <w:marTop w:val="0"/>
      <w:marBottom w:val="0"/>
      <w:divBdr>
        <w:top w:val="none" w:sz="0" w:space="0" w:color="auto"/>
        <w:left w:val="none" w:sz="0" w:space="0" w:color="auto"/>
        <w:bottom w:val="none" w:sz="0" w:space="0" w:color="auto"/>
        <w:right w:val="none" w:sz="0" w:space="0" w:color="auto"/>
      </w:divBdr>
    </w:div>
    <w:div w:id="268393471">
      <w:bodyDiv w:val="1"/>
      <w:marLeft w:val="0"/>
      <w:marRight w:val="0"/>
      <w:marTop w:val="0"/>
      <w:marBottom w:val="0"/>
      <w:divBdr>
        <w:top w:val="none" w:sz="0" w:space="0" w:color="auto"/>
        <w:left w:val="none" w:sz="0" w:space="0" w:color="auto"/>
        <w:bottom w:val="none" w:sz="0" w:space="0" w:color="auto"/>
        <w:right w:val="none" w:sz="0" w:space="0" w:color="auto"/>
      </w:divBdr>
      <w:divsChild>
        <w:div w:id="698163216">
          <w:marLeft w:val="0"/>
          <w:marRight w:val="0"/>
          <w:marTop w:val="0"/>
          <w:marBottom w:val="360"/>
          <w:divBdr>
            <w:top w:val="none" w:sz="0" w:space="0" w:color="auto"/>
            <w:left w:val="none" w:sz="0" w:space="0" w:color="auto"/>
            <w:bottom w:val="none" w:sz="0" w:space="0" w:color="auto"/>
            <w:right w:val="none" w:sz="0" w:space="0" w:color="auto"/>
          </w:divBdr>
        </w:div>
        <w:div w:id="1484856079">
          <w:marLeft w:val="0"/>
          <w:marRight w:val="0"/>
          <w:marTop w:val="0"/>
          <w:marBottom w:val="360"/>
          <w:divBdr>
            <w:top w:val="none" w:sz="0" w:space="0" w:color="auto"/>
            <w:left w:val="none" w:sz="0" w:space="0" w:color="auto"/>
            <w:bottom w:val="none" w:sz="0" w:space="0" w:color="auto"/>
            <w:right w:val="none" w:sz="0" w:space="0" w:color="auto"/>
          </w:divBdr>
          <w:divsChild>
            <w:div w:id="137823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31553">
      <w:bodyDiv w:val="1"/>
      <w:marLeft w:val="0"/>
      <w:marRight w:val="0"/>
      <w:marTop w:val="0"/>
      <w:marBottom w:val="0"/>
      <w:divBdr>
        <w:top w:val="none" w:sz="0" w:space="0" w:color="auto"/>
        <w:left w:val="none" w:sz="0" w:space="0" w:color="auto"/>
        <w:bottom w:val="none" w:sz="0" w:space="0" w:color="auto"/>
        <w:right w:val="none" w:sz="0" w:space="0" w:color="auto"/>
      </w:divBdr>
    </w:div>
    <w:div w:id="308944972">
      <w:bodyDiv w:val="1"/>
      <w:marLeft w:val="0"/>
      <w:marRight w:val="0"/>
      <w:marTop w:val="0"/>
      <w:marBottom w:val="0"/>
      <w:divBdr>
        <w:top w:val="none" w:sz="0" w:space="0" w:color="auto"/>
        <w:left w:val="none" w:sz="0" w:space="0" w:color="auto"/>
        <w:bottom w:val="none" w:sz="0" w:space="0" w:color="auto"/>
        <w:right w:val="none" w:sz="0" w:space="0" w:color="auto"/>
      </w:divBdr>
    </w:div>
    <w:div w:id="441731020">
      <w:bodyDiv w:val="1"/>
      <w:marLeft w:val="0"/>
      <w:marRight w:val="0"/>
      <w:marTop w:val="0"/>
      <w:marBottom w:val="0"/>
      <w:divBdr>
        <w:top w:val="none" w:sz="0" w:space="0" w:color="auto"/>
        <w:left w:val="none" w:sz="0" w:space="0" w:color="auto"/>
        <w:bottom w:val="none" w:sz="0" w:space="0" w:color="auto"/>
        <w:right w:val="none" w:sz="0" w:space="0" w:color="auto"/>
      </w:divBdr>
    </w:div>
    <w:div w:id="471557977">
      <w:bodyDiv w:val="1"/>
      <w:marLeft w:val="0"/>
      <w:marRight w:val="0"/>
      <w:marTop w:val="0"/>
      <w:marBottom w:val="0"/>
      <w:divBdr>
        <w:top w:val="none" w:sz="0" w:space="0" w:color="auto"/>
        <w:left w:val="none" w:sz="0" w:space="0" w:color="auto"/>
        <w:bottom w:val="none" w:sz="0" w:space="0" w:color="auto"/>
        <w:right w:val="none" w:sz="0" w:space="0" w:color="auto"/>
      </w:divBdr>
    </w:div>
    <w:div w:id="479230762">
      <w:bodyDiv w:val="1"/>
      <w:marLeft w:val="0"/>
      <w:marRight w:val="0"/>
      <w:marTop w:val="0"/>
      <w:marBottom w:val="0"/>
      <w:divBdr>
        <w:top w:val="none" w:sz="0" w:space="0" w:color="auto"/>
        <w:left w:val="none" w:sz="0" w:space="0" w:color="auto"/>
        <w:bottom w:val="none" w:sz="0" w:space="0" w:color="auto"/>
        <w:right w:val="none" w:sz="0" w:space="0" w:color="auto"/>
      </w:divBdr>
    </w:div>
    <w:div w:id="507450801">
      <w:bodyDiv w:val="1"/>
      <w:marLeft w:val="0"/>
      <w:marRight w:val="0"/>
      <w:marTop w:val="0"/>
      <w:marBottom w:val="0"/>
      <w:divBdr>
        <w:top w:val="none" w:sz="0" w:space="0" w:color="auto"/>
        <w:left w:val="none" w:sz="0" w:space="0" w:color="auto"/>
        <w:bottom w:val="none" w:sz="0" w:space="0" w:color="auto"/>
        <w:right w:val="none" w:sz="0" w:space="0" w:color="auto"/>
      </w:divBdr>
    </w:div>
    <w:div w:id="516388719">
      <w:bodyDiv w:val="1"/>
      <w:marLeft w:val="0"/>
      <w:marRight w:val="0"/>
      <w:marTop w:val="0"/>
      <w:marBottom w:val="0"/>
      <w:divBdr>
        <w:top w:val="none" w:sz="0" w:space="0" w:color="auto"/>
        <w:left w:val="none" w:sz="0" w:space="0" w:color="auto"/>
        <w:bottom w:val="none" w:sz="0" w:space="0" w:color="auto"/>
        <w:right w:val="none" w:sz="0" w:space="0" w:color="auto"/>
      </w:divBdr>
    </w:div>
    <w:div w:id="530611101">
      <w:bodyDiv w:val="1"/>
      <w:marLeft w:val="0"/>
      <w:marRight w:val="0"/>
      <w:marTop w:val="0"/>
      <w:marBottom w:val="0"/>
      <w:divBdr>
        <w:top w:val="none" w:sz="0" w:space="0" w:color="auto"/>
        <w:left w:val="none" w:sz="0" w:space="0" w:color="auto"/>
        <w:bottom w:val="none" w:sz="0" w:space="0" w:color="auto"/>
        <w:right w:val="none" w:sz="0" w:space="0" w:color="auto"/>
      </w:divBdr>
    </w:div>
    <w:div w:id="650057624">
      <w:bodyDiv w:val="1"/>
      <w:marLeft w:val="0"/>
      <w:marRight w:val="0"/>
      <w:marTop w:val="0"/>
      <w:marBottom w:val="0"/>
      <w:divBdr>
        <w:top w:val="none" w:sz="0" w:space="0" w:color="auto"/>
        <w:left w:val="none" w:sz="0" w:space="0" w:color="auto"/>
        <w:bottom w:val="none" w:sz="0" w:space="0" w:color="auto"/>
        <w:right w:val="none" w:sz="0" w:space="0" w:color="auto"/>
      </w:divBdr>
    </w:div>
    <w:div w:id="687875270">
      <w:bodyDiv w:val="1"/>
      <w:marLeft w:val="0"/>
      <w:marRight w:val="0"/>
      <w:marTop w:val="0"/>
      <w:marBottom w:val="0"/>
      <w:divBdr>
        <w:top w:val="none" w:sz="0" w:space="0" w:color="auto"/>
        <w:left w:val="none" w:sz="0" w:space="0" w:color="auto"/>
        <w:bottom w:val="none" w:sz="0" w:space="0" w:color="auto"/>
        <w:right w:val="none" w:sz="0" w:space="0" w:color="auto"/>
      </w:divBdr>
    </w:div>
    <w:div w:id="758872178">
      <w:bodyDiv w:val="1"/>
      <w:marLeft w:val="0"/>
      <w:marRight w:val="0"/>
      <w:marTop w:val="0"/>
      <w:marBottom w:val="0"/>
      <w:divBdr>
        <w:top w:val="none" w:sz="0" w:space="0" w:color="auto"/>
        <w:left w:val="none" w:sz="0" w:space="0" w:color="auto"/>
        <w:bottom w:val="none" w:sz="0" w:space="0" w:color="auto"/>
        <w:right w:val="none" w:sz="0" w:space="0" w:color="auto"/>
      </w:divBdr>
    </w:div>
    <w:div w:id="1010109368">
      <w:bodyDiv w:val="1"/>
      <w:marLeft w:val="0"/>
      <w:marRight w:val="0"/>
      <w:marTop w:val="0"/>
      <w:marBottom w:val="0"/>
      <w:divBdr>
        <w:top w:val="none" w:sz="0" w:space="0" w:color="auto"/>
        <w:left w:val="none" w:sz="0" w:space="0" w:color="auto"/>
        <w:bottom w:val="none" w:sz="0" w:space="0" w:color="auto"/>
        <w:right w:val="none" w:sz="0" w:space="0" w:color="auto"/>
      </w:divBdr>
    </w:div>
    <w:div w:id="1081175394">
      <w:bodyDiv w:val="1"/>
      <w:marLeft w:val="0"/>
      <w:marRight w:val="0"/>
      <w:marTop w:val="0"/>
      <w:marBottom w:val="0"/>
      <w:divBdr>
        <w:top w:val="none" w:sz="0" w:space="0" w:color="auto"/>
        <w:left w:val="none" w:sz="0" w:space="0" w:color="auto"/>
        <w:bottom w:val="none" w:sz="0" w:space="0" w:color="auto"/>
        <w:right w:val="none" w:sz="0" w:space="0" w:color="auto"/>
      </w:divBdr>
    </w:div>
    <w:div w:id="1376587672">
      <w:bodyDiv w:val="1"/>
      <w:marLeft w:val="0"/>
      <w:marRight w:val="0"/>
      <w:marTop w:val="0"/>
      <w:marBottom w:val="0"/>
      <w:divBdr>
        <w:top w:val="none" w:sz="0" w:space="0" w:color="auto"/>
        <w:left w:val="none" w:sz="0" w:space="0" w:color="auto"/>
        <w:bottom w:val="none" w:sz="0" w:space="0" w:color="auto"/>
        <w:right w:val="none" w:sz="0" w:space="0" w:color="auto"/>
      </w:divBdr>
    </w:div>
    <w:div w:id="1387410782">
      <w:bodyDiv w:val="1"/>
      <w:marLeft w:val="0"/>
      <w:marRight w:val="0"/>
      <w:marTop w:val="0"/>
      <w:marBottom w:val="0"/>
      <w:divBdr>
        <w:top w:val="none" w:sz="0" w:space="0" w:color="auto"/>
        <w:left w:val="none" w:sz="0" w:space="0" w:color="auto"/>
        <w:bottom w:val="none" w:sz="0" w:space="0" w:color="auto"/>
        <w:right w:val="none" w:sz="0" w:space="0" w:color="auto"/>
      </w:divBdr>
    </w:div>
    <w:div w:id="1417552259">
      <w:bodyDiv w:val="1"/>
      <w:marLeft w:val="0"/>
      <w:marRight w:val="0"/>
      <w:marTop w:val="0"/>
      <w:marBottom w:val="0"/>
      <w:divBdr>
        <w:top w:val="none" w:sz="0" w:space="0" w:color="auto"/>
        <w:left w:val="none" w:sz="0" w:space="0" w:color="auto"/>
        <w:bottom w:val="none" w:sz="0" w:space="0" w:color="auto"/>
        <w:right w:val="none" w:sz="0" w:space="0" w:color="auto"/>
      </w:divBdr>
    </w:div>
    <w:div w:id="1441952187">
      <w:bodyDiv w:val="1"/>
      <w:marLeft w:val="0"/>
      <w:marRight w:val="0"/>
      <w:marTop w:val="0"/>
      <w:marBottom w:val="0"/>
      <w:divBdr>
        <w:top w:val="none" w:sz="0" w:space="0" w:color="auto"/>
        <w:left w:val="none" w:sz="0" w:space="0" w:color="auto"/>
        <w:bottom w:val="none" w:sz="0" w:space="0" w:color="auto"/>
        <w:right w:val="none" w:sz="0" w:space="0" w:color="auto"/>
      </w:divBdr>
    </w:div>
    <w:div w:id="1495336855">
      <w:bodyDiv w:val="1"/>
      <w:marLeft w:val="0"/>
      <w:marRight w:val="0"/>
      <w:marTop w:val="0"/>
      <w:marBottom w:val="0"/>
      <w:divBdr>
        <w:top w:val="none" w:sz="0" w:space="0" w:color="auto"/>
        <w:left w:val="none" w:sz="0" w:space="0" w:color="auto"/>
        <w:bottom w:val="none" w:sz="0" w:space="0" w:color="auto"/>
        <w:right w:val="none" w:sz="0" w:space="0" w:color="auto"/>
      </w:divBdr>
    </w:div>
    <w:div w:id="1603370670">
      <w:bodyDiv w:val="1"/>
      <w:marLeft w:val="0"/>
      <w:marRight w:val="0"/>
      <w:marTop w:val="0"/>
      <w:marBottom w:val="0"/>
      <w:divBdr>
        <w:top w:val="none" w:sz="0" w:space="0" w:color="auto"/>
        <w:left w:val="none" w:sz="0" w:space="0" w:color="auto"/>
        <w:bottom w:val="none" w:sz="0" w:space="0" w:color="auto"/>
        <w:right w:val="none" w:sz="0" w:space="0" w:color="auto"/>
      </w:divBdr>
    </w:div>
    <w:div w:id="1610429043">
      <w:bodyDiv w:val="1"/>
      <w:marLeft w:val="0"/>
      <w:marRight w:val="0"/>
      <w:marTop w:val="0"/>
      <w:marBottom w:val="0"/>
      <w:divBdr>
        <w:top w:val="none" w:sz="0" w:space="0" w:color="auto"/>
        <w:left w:val="none" w:sz="0" w:space="0" w:color="auto"/>
        <w:bottom w:val="none" w:sz="0" w:space="0" w:color="auto"/>
        <w:right w:val="none" w:sz="0" w:space="0" w:color="auto"/>
      </w:divBdr>
    </w:div>
    <w:div w:id="1722628639">
      <w:bodyDiv w:val="1"/>
      <w:marLeft w:val="0"/>
      <w:marRight w:val="0"/>
      <w:marTop w:val="0"/>
      <w:marBottom w:val="0"/>
      <w:divBdr>
        <w:top w:val="none" w:sz="0" w:space="0" w:color="auto"/>
        <w:left w:val="none" w:sz="0" w:space="0" w:color="auto"/>
        <w:bottom w:val="none" w:sz="0" w:space="0" w:color="auto"/>
        <w:right w:val="none" w:sz="0" w:space="0" w:color="auto"/>
      </w:divBdr>
    </w:div>
    <w:div w:id="1754234604">
      <w:bodyDiv w:val="1"/>
      <w:marLeft w:val="0"/>
      <w:marRight w:val="0"/>
      <w:marTop w:val="0"/>
      <w:marBottom w:val="0"/>
      <w:divBdr>
        <w:top w:val="none" w:sz="0" w:space="0" w:color="auto"/>
        <w:left w:val="none" w:sz="0" w:space="0" w:color="auto"/>
        <w:bottom w:val="none" w:sz="0" w:space="0" w:color="auto"/>
        <w:right w:val="none" w:sz="0" w:space="0" w:color="auto"/>
      </w:divBdr>
    </w:div>
    <w:div w:id="1840541178">
      <w:bodyDiv w:val="1"/>
      <w:marLeft w:val="0"/>
      <w:marRight w:val="0"/>
      <w:marTop w:val="0"/>
      <w:marBottom w:val="0"/>
      <w:divBdr>
        <w:top w:val="none" w:sz="0" w:space="0" w:color="auto"/>
        <w:left w:val="none" w:sz="0" w:space="0" w:color="auto"/>
        <w:bottom w:val="none" w:sz="0" w:space="0" w:color="auto"/>
        <w:right w:val="none" w:sz="0" w:space="0" w:color="auto"/>
      </w:divBdr>
    </w:div>
    <w:div w:id="1841969734">
      <w:bodyDiv w:val="1"/>
      <w:marLeft w:val="0"/>
      <w:marRight w:val="0"/>
      <w:marTop w:val="0"/>
      <w:marBottom w:val="0"/>
      <w:divBdr>
        <w:top w:val="none" w:sz="0" w:space="0" w:color="auto"/>
        <w:left w:val="none" w:sz="0" w:space="0" w:color="auto"/>
        <w:bottom w:val="none" w:sz="0" w:space="0" w:color="auto"/>
        <w:right w:val="none" w:sz="0" w:space="0" w:color="auto"/>
      </w:divBdr>
    </w:div>
    <w:div w:id="1864785939">
      <w:bodyDiv w:val="1"/>
      <w:marLeft w:val="0"/>
      <w:marRight w:val="0"/>
      <w:marTop w:val="0"/>
      <w:marBottom w:val="0"/>
      <w:divBdr>
        <w:top w:val="none" w:sz="0" w:space="0" w:color="auto"/>
        <w:left w:val="none" w:sz="0" w:space="0" w:color="auto"/>
        <w:bottom w:val="none" w:sz="0" w:space="0" w:color="auto"/>
        <w:right w:val="none" w:sz="0" w:space="0" w:color="auto"/>
      </w:divBdr>
    </w:div>
    <w:div w:id="1941454188">
      <w:bodyDiv w:val="1"/>
      <w:marLeft w:val="0"/>
      <w:marRight w:val="0"/>
      <w:marTop w:val="0"/>
      <w:marBottom w:val="0"/>
      <w:divBdr>
        <w:top w:val="none" w:sz="0" w:space="0" w:color="auto"/>
        <w:left w:val="none" w:sz="0" w:space="0" w:color="auto"/>
        <w:bottom w:val="none" w:sz="0" w:space="0" w:color="auto"/>
        <w:right w:val="none" w:sz="0" w:space="0" w:color="auto"/>
      </w:divBdr>
    </w:div>
    <w:div w:id="21427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e.es/dynt3/inebase/es/index.htm?padre=1894&amp;capsel=1895" TargetMode="External"/><Relationship Id="rId18" Type="http://schemas.openxmlformats.org/officeDocument/2006/relationships/hyperlink" Target="http://www.oecd.org/social/soc/SOCX_Manuel_2019.pdf" TargetMode="External"/><Relationship Id="rId26" Type="http://schemas.openxmlformats.org/officeDocument/2006/relationships/hyperlink" Target="https://www.metoffice.gov.uk/climate/uk/interesting/july2015" TargetMode="External"/><Relationship Id="rId3" Type="http://schemas.openxmlformats.org/officeDocument/2006/relationships/settings" Target="settings.xml"/><Relationship Id="rId21" Type="http://schemas.openxmlformats.org/officeDocument/2006/relationships/hyperlink" Target="http://atlas.ecdc.europa.eu/public/index.aspx" TargetMode="External"/><Relationship Id="rId34" Type="http://schemas.openxmlformats.org/officeDocument/2006/relationships/fontTable" Target="fontTable.xml"/><Relationship Id="rId7" Type="http://schemas.openxmlformats.org/officeDocument/2006/relationships/hyperlink" Target="https://www.ons.gov.uk/peoplepopulationandcommunity/birthsdeathsandmarriages/deaths/adhocs/006478deathsoccurringbysingleyearofagebysexyearandmonthofdeathforusualresidentsofenglandandwales1993to2014" TargetMode="External"/><Relationship Id="rId12" Type="http://schemas.openxmlformats.org/officeDocument/2006/relationships/hyperlink" Target="https://www.ine.es/dyngs/INEbase/en/operacion.htm?c=Estadistica_C&amp;cid=1254736177008&amp;menu=resultados&amp;idp=1254735573002" TargetMode="External"/><Relationship Id="rId17" Type="http://schemas.openxmlformats.org/officeDocument/2006/relationships/hyperlink" Target="https://stats.oecd.org/Index.aspx?datasetcode=SOCX_AGG" TargetMode="External"/><Relationship Id="rId25" Type="http://schemas.openxmlformats.org/officeDocument/2006/relationships/hyperlink" Target="https://www.metoffice.gov.uk/research/climate/maps-and-data/about/state-of-climate"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oecd.org/social/soc/SOCX_Manuel_2019.pdf" TargetMode="External"/><Relationship Id="rId20" Type="http://schemas.openxmlformats.org/officeDocument/2006/relationships/hyperlink" Target="https://www.ecdc.europa.eu/en/publications-data/monitoring/all-annual-epidemiological-reports"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ti.istat.it/Index.aspx?QueryId=26434&amp;lang=en" TargetMode="External"/><Relationship Id="rId24" Type="http://schemas.openxmlformats.org/officeDocument/2006/relationships/hyperlink" Target="https://www.metoffice.gov.uk/climate/uk/about/state-of-climate"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tats.oecd.org/Index.aspx?datasetcode=SOCX_AGG" TargetMode="External"/><Relationship Id="rId23" Type="http://schemas.openxmlformats.org/officeDocument/2006/relationships/hyperlink" Target="https://doi.org/10.1002/joc.5798" TargetMode="External"/><Relationship Id="rId28" Type="http://schemas.openxmlformats.org/officeDocument/2006/relationships/header" Target="header1.xml"/><Relationship Id="rId10" Type="http://schemas.openxmlformats.org/officeDocument/2006/relationships/hyperlink" Target="https://www.nrscotland.gov.uk/statistics-and-data/statistics/statistics-by-theme/vital-events" TargetMode="External"/><Relationship Id="rId19" Type="http://schemas.openxmlformats.org/officeDocument/2006/relationships/hyperlink" Target="https://www.nivel.nl/en/dossiers-clustered-information/dossier-epidemiology-respiratory-viruses"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nrscotland.gov.uk/statistics-and-data/statistics/statistics-by-theme/vital-events" TargetMode="External"/><Relationship Id="rId14" Type="http://schemas.openxmlformats.org/officeDocument/2006/relationships/hyperlink" Target="http://www.statistics.gr/statistics/-/publication/SPO18/2014" TargetMode="External"/><Relationship Id="rId22" Type="http://schemas.openxmlformats.org/officeDocument/2006/relationships/hyperlink" Target="https://www.metoffice.gov.uk/climate/uk/about/state-of-climate" TargetMode="External"/><Relationship Id="rId27" Type="http://schemas.openxmlformats.org/officeDocument/2006/relationships/hyperlink" Target="https://doi.org/10.3390/cli7010009"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ons.gov.uk/peoplepopulationandcommunity/populationandmigration/populationestimates/datasets/populationestimatesforukenglandandwalesscotlandandnorthernirelan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4211</Words>
  <Characters>24008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Gregorio Barrio Anta</dc:creator>
  <cp:keywords/>
  <dc:description/>
  <cp:lastModifiedBy>Marta Asuncion Donat Lopez</cp:lastModifiedBy>
  <cp:revision>2</cp:revision>
  <cp:lastPrinted>2024-04-25T08:02:00Z</cp:lastPrinted>
  <dcterms:created xsi:type="dcterms:W3CDTF">2025-10-03T08:56:00Z</dcterms:created>
  <dcterms:modified xsi:type="dcterms:W3CDTF">2025-10-03T08:56:00Z</dcterms:modified>
</cp:coreProperties>
</file>