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0007AB" w14:textId="0317EA42" w:rsidR="00B90326" w:rsidRDefault="00F22406" w:rsidP="00F22406">
      <w:pPr>
        <w:pStyle w:val="Ttulo1"/>
      </w:pPr>
      <w:r>
        <w:t>Supplementary material</w:t>
      </w:r>
    </w:p>
    <w:p w14:paraId="09330F61" w14:textId="77777777" w:rsidR="00B90326" w:rsidRPr="004F6813" w:rsidRDefault="00B90326" w:rsidP="00B90326">
      <w:pPr>
        <w:pStyle w:val="Ttulo3"/>
        <w:numPr>
          <w:ilvl w:val="2"/>
          <w:numId w:val="23"/>
        </w:numPr>
        <w:spacing w:before="120" w:after="240" w:line="276" w:lineRule="auto"/>
        <w:jc w:val="both"/>
      </w:pPr>
      <w:r w:rsidRPr="00EF7D88">
        <w:t>Power Analysis</w:t>
      </w:r>
    </w:p>
    <w:p w14:paraId="06E1B111" w14:textId="6381F200" w:rsidR="00B90326" w:rsidRPr="006A0C99" w:rsidRDefault="00B90326" w:rsidP="00B90326">
      <w:pPr>
        <w:spacing w:before="0" w:after="120" w:line="360" w:lineRule="auto"/>
        <w:ind w:firstLine="567"/>
        <w:jc w:val="both"/>
      </w:pPr>
      <w:r w:rsidRPr="006A0C99">
        <w:t xml:space="preserve">Relative and absolute power are computed for different EEG frequency bands. Absolute band power reflects the total activity within a specific frequency range, while relative band power represents the power in a specific band as a percentage of the total signal power </w:t>
      </w:r>
      <w:r w:rsidRPr="006A0C99">
        <w:fldChar w:fldCharType="begin"/>
      </w:r>
      <w:r w:rsidR="00515808">
        <w:instrText xml:space="preserve"> ADDIN ZOTERO_ITEM CSL_CITATION {"citationID":"ylelEE3c","properties":{"formattedCitation":"(1)","plainCitation":"(1)","noteIndex":0},"citationItems":[{"id":1461,"uris":["http://zotero.org/users/7269506/items/VE9PTZ3N"],"itemData":{"id":1461,"type":"article-journal","abstract":"Electroencephalography (EEG) is a non-invasive method to identify markers of treatment response in major depressive disorder (MDD). In this review, existing literature was assessed to determine how EEG markers change with different modalities of MDD treatments, and to synthesize the breadth of EEG markers used in conjunction with MDD treatments. PubMed and EMBASE were searched from 2000 to 2021 for studies reporting resting EEG (rEEG) and transcranial magnetic stimulation combined with EEG (TMS-EEG) measures in patients undergoing MDD treatments. The search yielded 966 articles, 204 underwent full-text screening, and 51 studies were included for a narrative synthesis of findings along with confidence in the evidence. In rEEG studies, non-linear quantitative algorithms such as theta cordance and theta current density show higher predictive value than traditional linear metrics. Although less abundant, TMS-EEG measures show promise for predictive markers of brain stimulation treatment response. Future focus on TMS-EEG measures may prove fruitful, given its ability to target cortical regions of interest related to MDD.","container-title":"Frontiers in Human Neuroscience","DOI":"10.3389/fnhum.2022.940759","ISSN":"1662-5161","journalAbbreviation":"Front Hum Neurosci","note":"PMID: 35992942\nPMCID: PMC9387384","page":"940759","source":"PubMed Central","title":"Resting and TMS-EEG markers of treatment response in major depressive disorder: A systematic review","title-short":"Resting and TMS-EEG markers of treatment response in major depressive disorder","volume":"16","author":[{"family":"Strafella","given":"Rebecca"},{"family":"Chen","given":"Robert"},{"family":"Rajji","given":"Tarek K."},{"family":"Blumberger","given":"Daniel M."},{"family":"Voineskos","given":"Daphne"}],"issued":{"date-parts":[["2022",8,4]]}}}],"schema":"https://github.com/citation-style-language/schema/raw/master/csl-citation.json"} </w:instrText>
      </w:r>
      <w:r w:rsidRPr="006A0C99">
        <w:fldChar w:fldCharType="separate"/>
      </w:r>
      <w:r w:rsidR="00515808" w:rsidRPr="00515808">
        <w:rPr>
          <w:rFonts w:cs="Times New Roman"/>
        </w:rPr>
        <w:t>(1)</w:t>
      </w:r>
      <w:r w:rsidRPr="006A0C99">
        <w:fldChar w:fldCharType="end"/>
      </w:r>
      <w:r w:rsidRPr="006A0C99">
        <w:t xml:space="preserve">. </w:t>
      </w:r>
      <w:r w:rsidRPr="00DC4C0A">
        <w:rPr>
          <w:bCs/>
        </w:rPr>
        <w:t>Individual Alpha Frequency (IAF)</w:t>
      </w:r>
      <w:r w:rsidRPr="006A0C99">
        <w:t xml:space="preserve"> quantifies the peak frequency within the alpha range for an individual, rather than the average alpha power across electrodes </w:t>
      </w:r>
      <w:r w:rsidRPr="006A0C99">
        <w:fldChar w:fldCharType="begin"/>
      </w:r>
      <w:r w:rsidR="00515808">
        <w:instrText xml:space="preserve"> ADDIN ZOTERO_ITEM CSL_CITATION {"citationID":"WSs1aOZg","properties":{"formattedCitation":"(2)","plainCitation":"(2)","noteIndex":0},"citationItems":[{"id":1903,"uris":["http://zotero.org/users/7269506/items/SBB5VHYV"],"itemData":{"id":1903,"type":"article-journal","abstract":"Converging electrophysiological evidence suggests that the alpha rhythm plays an important and active role in cognitive processing. Here, we systematically studied variability in posterior alpha peak frequency both between and within subjects. We recorded brain activity using MEG in 51 healthy human subjects under three experimental conditions — rest, passive visual stimulation and an N-back working memory paradigm, using source reconstruction methods to separate alpha activity from parietal and occipital sources. We asked how alpha peak frequency differed within subjects across cognitive conditions and regions of interest, and looked at the distribution of alpha peak frequency between subjects. In both regions we observed an increase of alpha peak frequency from resting state and passive visual stimulation conditions to the N-back paradigm, with a significantly higher alpha peak frequency in the 2-back compared to the 0-back condition. There was a trend for a greater increase in alpha peak frequency during the N-back task in the occipital vs. parietal cortex. The average alpha peak frequency across all subjects, conditions, and regions of interest was 10.3Hz with a within-subject SD of 0.9Hz and a between-subject SD of 2.8Hz. We also measured beta peak frequencies, and except in the parietal cortex during rest, found no indication of a strictly harmonic relationship with alpha peak frequencies. We conclude that alpha peak frequency in posterior regions increases with increasing cognitive demands, and that the alpha rhythm operates across a wider frequency range than the 8–12Hz band many studies tend to include in their analysis. Thus, using a fixed and limited alpha frequency band might bias results against certain subjects and conditions.","container-title":"NeuroImage","DOI":"10.1016/j.neuroimage.2014.01.049","ISSN":"1053-8119","journalAbbreviation":"NeuroImage","page":"46-55","source":"ScienceDirect","title":"Inter- and intra-individual variability in alpha peak frequency","volume":"92","author":[{"family":"Haegens","given":"Saskia"},{"family":"Cousijn","given":"Helena"},{"family":"Wallis","given":"George"},{"family":"Harrison","given":"Paul J."},{"family":"Nobre","given":"Anna C."}],"issued":{"date-parts":[["2014",5,15]]}}}],"schema":"https://github.com/citation-style-language/schema/raw/master/csl-citation.json"} </w:instrText>
      </w:r>
      <w:r w:rsidRPr="006A0C99">
        <w:fldChar w:fldCharType="separate"/>
      </w:r>
      <w:r w:rsidR="00515808" w:rsidRPr="00515808">
        <w:rPr>
          <w:rFonts w:cs="Times New Roman"/>
        </w:rPr>
        <w:t>(2)</w:t>
      </w:r>
      <w:r w:rsidRPr="006A0C99">
        <w:fldChar w:fldCharType="end"/>
      </w:r>
      <w:r w:rsidRPr="006A0C99">
        <w:t xml:space="preserve">. </w:t>
      </w:r>
      <w:r w:rsidRPr="00DC4C0A">
        <w:t>Frontal Alpha Asymmetry (FAA)</w:t>
      </w:r>
      <w:r w:rsidRPr="006A0C99">
        <w:t xml:space="preserve"> is used to examine the balance of alpha power between the left and right frontal cortices, which is associated with emotional and cognitive processing </w:t>
      </w:r>
      <w:r w:rsidRPr="006A0C99">
        <w:fldChar w:fldCharType="begin"/>
      </w:r>
      <w:r w:rsidR="00515808">
        <w:instrText xml:space="preserve"> ADDIN ZOTERO_ITEM CSL_CITATION {"citationID":"a2gw7FGe","properties":{"formattedCitation":"(3)","plainCitation":"(3)","noteIndex":0},"citationItems":[{"id":1906,"uris":["http://zotero.org/users/7269506/items/HCDHJ83C"],"itemData":{"id":1906,"type":"article-journal","abstract":"•\n              The validity of FAA as diagnostic biomarker for depression should be questioned.\n            \n            \n              •\n              A reversed direction of FAA is found in older-aged severely depressed men and women.\n            \n            \n              •\n              Caution is advised regarding EEG recording and processing characteristics.","container-title":"NeuroImage : Clinical","DOI":"10.1016/j.nicl.2017.07.006","ISSN":"2213-1582","journalAbbreviation":"Neuroimage Clin","note":"PMID: 28761811\nPMCID: PMC5524421","page":"79-87","source":"PubMed Central","title":"Frontal alpha asymmetry as a diagnostic marker in depression: Fact or fiction? A meta-analysis","title-short":"Frontal alpha asymmetry as a diagnostic marker in depression","volume":"16","author":[{"family":"Vinne","given":"Nikita","non-dropping-particle":"van der"},{"family":"Vollebregt","given":"Madelon A."},{"family":"Putten","given":"Michel J.A.M.","non-dropping-particle":"van"},{"family":"Arns","given":"Martijn"}],"issued":{"date-parts":[["2017",7,15]]}}}],"schema":"https://github.com/citation-style-language/schema/raw/master/csl-citation.json"} </w:instrText>
      </w:r>
      <w:r w:rsidRPr="006A0C99">
        <w:fldChar w:fldCharType="separate"/>
      </w:r>
      <w:r w:rsidR="00515808" w:rsidRPr="00515808">
        <w:rPr>
          <w:rFonts w:cs="Times New Roman"/>
        </w:rPr>
        <w:t>(3)</w:t>
      </w:r>
      <w:r w:rsidRPr="006A0C99">
        <w:fldChar w:fldCharType="end"/>
      </w:r>
      <w:r w:rsidRPr="006A0C99">
        <w:t xml:space="preserve">. </w:t>
      </w:r>
    </w:p>
    <w:p w14:paraId="1B528ED4" w14:textId="77777777" w:rsidR="00B90326" w:rsidRPr="00D4021E" w:rsidRDefault="00B90326" w:rsidP="00B90326">
      <w:pPr>
        <w:pStyle w:val="Ttulo3"/>
        <w:numPr>
          <w:ilvl w:val="2"/>
          <w:numId w:val="23"/>
        </w:numPr>
        <w:spacing w:before="120" w:after="240" w:line="276" w:lineRule="auto"/>
        <w:jc w:val="both"/>
        <w:rPr>
          <w:bCs/>
        </w:rPr>
      </w:pPr>
      <w:r>
        <w:rPr>
          <w:bCs/>
        </w:rPr>
        <w:t>Cordance</w:t>
      </w:r>
    </w:p>
    <w:p w14:paraId="493E1097" w14:textId="539A6F28" w:rsidR="00B90326" w:rsidRPr="006A0C99" w:rsidRDefault="00B90326" w:rsidP="00B90326">
      <w:pPr>
        <w:spacing w:before="0" w:after="120" w:line="360" w:lineRule="auto"/>
        <w:ind w:firstLine="567"/>
        <w:jc w:val="both"/>
      </w:pPr>
      <w:r w:rsidRPr="006A0C99">
        <w:t xml:space="preserve">Cordance is a measure combining absolute and relative power to estimate regional brain activity </w:t>
      </w:r>
      <w:r w:rsidRPr="006A0C99">
        <w:fldChar w:fldCharType="begin"/>
      </w:r>
      <w:r w:rsidR="00515808">
        <w:instrText xml:space="preserve"> ADDIN ZOTERO_ITEM CSL_CITATION {"citationID":"YLdXzpRx","properties":{"formattedCitation":"(4)","plainCitation":"(4)","noteIndex":0},"citationItems":[{"id":1915,"uris":["http://zotero.org/users/7269506/items/VZIPXPGZ"],"itemData":{"id":1915,"type":"article-journal","abstract":"Increased slow-wave and decreased fast-wave activity on the electroencephalogram is common in brain dysfunction and may be caused by partial cortical deafferentation. No measure that is specific or sensitive for this deafferentation, however, has yet been reported. We studied a series of subjects with white-matter lesions undercutting the cortex and developed a method for analyzing electrical activity called \"cordance\" that has face validity as a measure of cortical deafferentation. Cordance is measured along a continuum of values: positive values denote \"concordance,\" an indicator associated with normally functioning brain tissue; negative values denote \"discordance,\" an indicator associated with undercutting lesions, low perfusion, and low metabolism. We present a series of subjects studied with magnetic resonance imaging, positron emission tomography, and single-photon emission computed tomography that demonstrate strong associations between cordance and other measures of brain structure and function.","container-title":"NeuroImage","DOI":"10.1006/nimg.1994.1006","ISSN":"1053-8119","issue":"3","journalAbbreviation":"Neuroimage","language":"eng","note":"PMID: 9343572","page":"208-219","source":"PubMed","title":"Cordance: a new method for assessment of cerebral perfusion and metabolism using quantitative electroencephalography","title-short":"Cordance","volume":"1","author":[{"family":"Leuchter","given":"A. F."},{"family":"Cook","given":"I. A."},{"family":"Lufkin","given":"R. B."},{"family":"Dunkin","given":"J."},{"family":"Newton","given":"T. F."},{"family":"Cummings","given":"J. L."},{"family":"Mackey","given":"J. K."},{"family":"Walter","given":"D. O."}],"issued":{"date-parts":[["1994",6]]}}}],"schema":"https://github.com/citation-style-language/schema/raw/master/csl-citation.json"} </w:instrText>
      </w:r>
      <w:r w:rsidRPr="006A0C99">
        <w:fldChar w:fldCharType="separate"/>
      </w:r>
      <w:r w:rsidR="00515808" w:rsidRPr="00515808">
        <w:rPr>
          <w:rFonts w:cs="Times New Roman"/>
        </w:rPr>
        <w:t>(4)</w:t>
      </w:r>
      <w:r w:rsidRPr="006A0C99">
        <w:fldChar w:fldCharType="end"/>
      </w:r>
      <w:r w:rsidRPr="006A0C99">
        <w:t xml:space="preserve">. It is primarily used in the theta band and reflects cerebral blood flow and metabolism </w:t>
      </w:r>
      <w:r w:rsidRPr="006A0C99">
        <w:fldChar w:fldCharType="begin"/>
      </w:r>
      <w:r w:rsidR="00515808">
        <w:instrText xml:space="preserve"> ADDIN ZOTERO_ITEM CSL_CITATION {"citationID":"crc1DhCh","properties":{"formattedCitation":"(5)","plainCitation":"(5)","noteIndex":0},"citationItems":[{"id":1919,"uris":["http://zotero.org/users/7269506/items/A85WVP84"],"itemData":{"id":1919,"type":"article-journal","abstract":"Cerebral glucose uptake and perfusion are accepted as tightly coupled measures of energy utilization in both normal and diseased brain. The coupling of brain electrical activity to perfusion has been demonstrated, however, only in the presence of chronic brain disease. Very few studies have examined the relationship between cerebral electrical activity and energy utilization in normal brain tissue. To clarify this relationship, we performed 33 H2(15)O-positron emission tomography (PET) scans in six normal subjects both at rest and during a simple motor task, and acquired surface-recorded quantitative electroencephalogram (QEEG) data simultaneously with isotope injection. We examined the associations between cerebral perfusion directly underlying each recording electrode and three QEEG measures (absolute power, relative power, and cordance). All EEG measures had moderately strong coupling with perfusion at most frequency bands, although the directions of the associations differed from those previously reported in subjects with stroke or dementia. Of the three QEEG measures examined, cordance had the strongest relationship with perfusion (multiple R2 = 0.58). Cordance and PET were equally effective in detecting lateralized activation associated with the motor task, while EEG power did not detect this activation. Electrodes in the concordant state had a significantly higher mean perfusion than those in the discordant state. These results indicate that normal brain electrical activity has a moderately strong association with cerebral perfusion. Cordance may be the most useful QEEG measure for monitoring cerebral perfusion in subjects without chronic brain disease.","container-title":"Psychiatry Research","DOI":"10.1016/s0925-4927(99)00006-2","ISSN":"0165-1781","issue":"2","journalAbbreviation":"Psychiatry Res","language":"eng","note":"PMID: 10482384","page":"125-140","source":"PubMed","title":"Relationship between brain electrical activity and cortical perfusion in normal subjects","volume":"90","author":[{"family":"Leuchter","given":"A. F."},{"family":"Uijtdehaage","given":"S. H."},{"family":"Cook","given":"I. A."},{"family":"O'Hara","given":"R."},{"family":"Mandelkern","given":"M."}],"issued":{"date-parts":[["1999",4,26]]}}}],"schema":"https://github.com/citation-style-language/schema/raw/master/csl-citation.json"} </w:instrText>
      </w:r>
      <w:r w:rsidRPr="006A0C99">
        <w:fldChar w:fldCharType="separate"/>
      </w:r>
      <w:r w:rsidR="00515808" w:rsidRPr="00515808">
        <w:rPr>
          <w:rFonts w:cs="Times New Roman"/>
        </w:rPr>
        <w:t>(5)</w:t>
      </w:r>
      <w:r w:rsidRPr="006A0C99">
        <w:fldChar w:fldCharType="end"/>
      </w:r>
      <w:r w:rsidRPr="006A0C99">
        <w:t xml:space="preserve"> and has been implicated in predicting response to various antidepressant interventions, including rTMS </w:t>
      </w:r>
      <w:r w:rsidRPr="006A0C99">
        <w:fldChar w:fldCharType="begin"/>
      </w:r>
      <w:r w:rsidR="00515808">
        <w:instrText xml:space="preserve"> ADDIN ZOTERO_ITEM CSL_CITATION {"citationID":"YTQpxz6D","properties":{"formattedCitation":"(6)","plainCitation":"(6)","noteIndex":0},"citationItems":[{"id":1927,"uris":["http://zotero.org/users/7269506/items/9XM86FV8"],"itemData":{"id":1927,"type":"article-journal","abstract":"Repetitive transcranial magnetic stimulation (rTMS) has demonstrated efficacy in major depressive disorder (MDD), although clinical outcome is variable. Change in the resting-state quantitative electroencephalogram (qEEG), particularly in theta cordance early in the course of treatment, has been linked to antidepressant medication outcomes but has not been examined extensively in clinical rTMS. This study examined change in theta cordance over the first week of clinical rTMS and sought to identify a biomarker that would predict outcome at the end of 6 weeks of treatment. Clinically stable outpatients (n = 18) received nonblinded rTMS treatment administered to the dorsolateral prefrontal cortex (DLPFC). Treatment parameters (site, intensity, number of pulses) were adjusted on an ongoing basis guided by changes in symptom severity rating scale scores. qEEGs were recorded at pretreatment baseline and after 1 week of left DLPFC (L-DLPFC) rTMS using a 21-channel dry-electrode headset. Analyses examined the association between week 1 regional changes in theta band (4-8 Hz) cordance, and week 6 patient- and physician-rated outcomes. Theta cordance change in the central brain region predicted percent change in Inventory of Depressive Symptomology–Self-Report (IDS-SR) score, and improvement versus nonimprovement on the Clinical Global Impression–Improvement Inventory (CGI-I) (R2 = .38, P = .007; and Nagelkerke R2 = .78, P = .0001, respectively). The cordance biomarker remained significant when controlling for age, gender, and baseline severity. Treatment-emergent change in EEG theta cordance in the first week of rTMS may predict acute (6-week) treatment outcome in MDD. This oscillatory synchrony biomarker merits further study in independent samples.","container-title":"Clinical EEG and Neuroscience","DOI":"10.1177/1550059417746212","ISSN":"1550-0594, 2169-5202","issue":"5","journalAbbreviation":"Clin EEG Neurosci","language":"en","page":"306-315","source":"DOI.org (Crossref)","title":"Change in Quantitative EEG Theta Cordance as a Potential Predictor of Repetitive Transcranial Magnetic Stimulation Clinical Outcome in Major Depressive Disorder","volume":"49","author":[{"family":"Hunter","given":"Aimee M."},{"family":"Nghiem","given":"Thien X."},{"family":"Cook","given":"Ian A."},{"family":"Krantz","given":"David E."},{"family":"Minzenberg","given":"Michael J."},{"family":"Leuchter","given":"Andrew F."}],"issued":{"date-parts":[["2018",9]]}}}],"schema":"https://github.com/citation-style-language/schema/raw/master/csl-citation.json"} </w:instrText>
      </w:r>
      <w:r w:rsidRPr="006A0C99">
        <w:fldChar w:fldCharType="separate"/>
      </w:r>
      <w:r w:rsidR="00515808" w:rsidRPr="00515808">
        <w:rPr>
          <w:rFonts w:cs="Times New Roman"/>
        </w:rPr>
        <w:t>(6)</w:t>
      </w:r>
      <w:r w:rsidRPr="006A0C99">
        <w:fldChar w:fldCharType="end"/>
      </w:r>
      <w:r w:rsidRPr="006A0C99">
        <w:t xml:space="preserve">, </w:t>
      </w:r>
      <w:r w:rsidRPr="00DC4C0A">
        <w:rPr>
          <w:bCs/>
        </w:rPr>
        <w:t>deep brain stimulation (DBT)</w:t>
      </w:r>
      <w:r w:rsidRPr="006A0C99">
        <w:t xml:space="preserve">, and pharmacotherapies in patients with MDD </w:t>
      </w:r>
      <w:r w:rsidRPr="006A0C99">
        <w:fldChar w:fldCharType="begin"/>
      </w:r>
      <w:r w:rsidR="00515808">
        <w:instrText xml:space="preserve"> ADDIN ZOTERO_ITEM CSL_CITATION {"citationID":"dLqaOCIp","properties":{"formattedCitation":"(7)","plainCitation":"(7)","noteIndex":0},"citationItems":[{"id":1912,"uris":["http://zotero.org/users/7269506/items/DU7TYSUZ"],"itemData":{"id":1912,"type":"article-journal","abstract":"There is a growing need for optimizing treatment selection and response prediction in individuals with major depressive disorder (MDD). Prior investigations have shown that changes in electroencephalographic (EEG)-based measures precede symptom improvement and could serve as biomarkers of treatment outcome. One such method is cordance, a computation of regional brain activity based on a combination of absolute and relative resting EEG activity. Specifically, early reduction in prefrontal (PF) and midline right frontal (MRF) theta (4–8Hz) cordance has been shown to predict response to various antidepressants, though replication is required. Thus, this study examined early changes (baseline to week 1) in PF and MRF cordance in 47 MDD patients undergoing antidepressant treatment. Early changes in cordance and in Montgomery Åsberg Depression Rating Scale (MADRS) scores were assessed alone, and in combination, to predict eventual (by week 12) treatment response and remission. Models combining early changes in theta cordance (PF and MRF) and depressive symptoms were most predictive of response to treatment at week 12; remission models (cordance, MADRS, and their combination) were weaker, though provided modest prediction values. These results suggest that antidepressant response may be optimally predicted by combining both EEG and symptom-based measures after one week of treatment.","container-title":"Psychiatry research. Neuroimaging","DOI":"10.1016/j.pscychresns.2020.111109","ISSN":"0925-4927","journalAbbreviation":"Psychiatry Res Neuroimaging","note":"PMID: 32480044\nPMCID: PMC10773969","page":"111109","source":"PubMed Central","title":"Using Prefrontal and Midline Right Frontal EEG-Derived Theta Cordance and Depressive Symptoms to Predict the Differential Response or Remission to Antidepressant Treatment in Major Depressive Disorder","volume":"302","author":[{"family":"Salle","given":"Sara","non-dropping-particle":"de la"},{"family":"Jaworska","given":"Natalia"},{"family":"Blier","given":"Pierre"},{"family":"Smith","given":"Dylan"},{"family":"Knott","given":"Verner"}],"issued":{"date-parts":[["2020",8,30]]}}}],"schema":"https://github.com/citation-style-language/schema/raw/master/csl-citation.json"} </w:instrText>
      </w:r>
      <w:r w:rsidRPr="006A0C99">
        <w:fldChar w:fldCharType="separate"/>
      </w:r>
      <w:r w:rsidR="00515808" w:rsidRPr="00515808">
        <w:rPr>
          <w:rFonts w:cs="Times New Roman"/>
        </w:rPr>
        <w:t>(7)</w:t>
      </w:r>
      <w:r w:rsidRPr="006A0C99">
        <w:fldChar w:fldCharType="end"/>
      </w:r>
      <w:r w:rsidRPr="006A0C99">
        <w:t>.</w:t>
      </w:r>
    </w:p>
    <w:p w14:paraId="6D0F45D2" w14:textId="77777777" w:rsidR="00B90326" w:rsidRPr="00D4021E" w:rsidRDefault="00B90326" w:rsidP="00B90326">
      <w:pPr>
        <w:pStyle w:val="Ttulo3"/>
        <w:numPr>
          <w:ilvl w:val="2"/>
          <w:numId w:val="23"/>
        </w:numPr>
        <w:spacing w:before="120" w:after="240" w:line="276" w:lineRule="auto"/>
        <w:jc w:val="both"/>
        <w:rPr>
          <w:bCs/>
        </w:rPr>
      </w:pPr>
      <w:r>
        <w:rPr>
          <w:bCs/>
        </w:rPr>
        <w:t>Microstates</w:t>
      </w:r>
    </w:p>
    <w:p w14:paraId="7DF688BD" w14:textId="0D1026A2" w:rsidR="00B90326" w:rsidRDefault="00B90326" w:rsidP="00B90326">
      <w:pPr>
        <w:spacing w:before="0" w:after="120" w:line="360" w:lineRule="auto"/>
        <w:ind w:firstLine="567"/>
        <w:jc w:val="both"/>
        <w:rPr>
          <w:szCs w:val="24"/>
        </w:rPr>
      </w:pPr>
      <w:r w:rsidRPr="00DE455C">
        <w:t xml:space="preserve">Microstates are transient, global patterns of scalp potential topographies that dynamically change over time in a highly organized manner </w:t>
      </w:r>
      <w:r>
        <w:fldChar w:fldCharType="begin"/>
      </w:r>
      <w:r w:rsidR="00515808">
        <w:instrText xml:space="preserve"> ADDIN ZOTERO_ITEM CSL_CITATION {"citationID":"f3lC2ZU8","properties":{"formattedCitation":"(8)","plainCitation":"(8)","noteIndex":0},"citationItems":[{"id":1935,"uris":["http://zotero.org/users/7269506/items/UL564MRU"],"itemData":{"id":1935,"type":"article-journal","abstract":"The spontaneous EEG, viewed as a series of momentary scalp field maps, shows stable map configurations (of periodically reversed polarity) for varying durations, and discontinuous changes of the configurations. For adaptive segmentation of map series into spatially stationary epochs, the maps at the times of maximal map relief are selected and spatially described by the two locations of maximal and minimal (extreme) potentials; a segment ends if over time an extreme leaves its pre-set spatial window. Over 6 subjects, the resting alpha EEG showed 210 msec mean segment duration; segments longer than 323 msec covered 50% of the total time; the most prominent segment class (1.5% of all classes) covered 20% of total time (prominence varied strongly over classes; not all possible classes occurred). Spectral power and phase of averages of adaptive and pre-determined segments demonstrated the adequacy of the strategy, and the homogeneity of adaptive segment classes by their reduced within-class variance. It is suggested that different segment classes manifest different brain functional states exerting different effects on information processing. The spatially stationary segments might be basic building blocks of brain information processing, possibly operationalizing consciousness time and offering a common phenomenology for spontaneous activity and event-related potentials. The functional significance of segments might be modes or steps of information processing or performance, tested, e.g., as reaction time.","container-title":"Electroencephalography and Clinical Neurophysiology","DOI":"10.1016/0013-4694(87)90025-3","ISSN":"0013-4694","issue":"3","journalAbbreviation":"Electroencephalogr Clin Neurophysiol","language":"eng","note":"PMID: 2441961","page":"271-288","source":"PubMed","title":"EEG alpha map series: brain micro-states by space-oriented adaptive segmentation","title-short":"EEG alpha map series","volume":"67","author":[{"family":"Lehmann","given":"D."},{"family":"Ozaki","given":"H."},{"family":"Pal","given":"I."}],"issued":{"date-parts":[["1987",9]]}}}],"schema":"https://github.com/citation-style-language/schema/raw/master/csl-citation.json"} </w:instrText>
      </w:r>
      <w:r>
        <w:fldChar w:fldCharType="separate"/>
      </w:r>
      <w:r w:rsidR="00515808" w:rsidRPr="00515808">
        <w:rPr>
          <w:rFonts w:cs="Times New Roman"/>
        </w:rPr>
        <w:t>(8)</w:t>
      </w:r>
      <w:r>
        <w:fldChar w:fldCharType="end"/>
      </w:r>
      <w:r w:rsidRPr="00DE455C">
        <w:t xml:space="preserve">, each lasting between 60 and 120 milliseconds. They represent distinct configurations of global neural activity during which the spatial distribution of the brain's electrical field remains stable. Microstates are believed to reflect the activation of large-scale neural networks, serving as fundamental components of spontaneous brain activity. Alterations in microstate dynamics—such as duration, occurrence, and transition probabilities—are linked to cognitive processes and psychiatric disorders, making them valuable for studying brain function in both healthy and clinical populations </w:t>
      </w:r>
      <w:r>
        <w:fldChar w:fldCharType="begin"/>
      </w:r>
      <w:r w:rsidR="00515808">
        <w:instrText xml:space="preserve"> ADDIN ZOTERO_ITEM CSL_CITATION {"citationID":"gDhvL8zG","properties":{"formattedCitation":"(9)","plainCitation":"(9)","noteIndex":0},"citationItems":[{"id":1928,"uris":["http://zotero.org/users/7269506/items/64RLULK4"],"itemData":{"id":1928,"type":"article-journal","abstract":"The present review discusses a well-established method for characterizing resting-state activity of the human brain using multichannel electroencephalography (EEG). This method involves the examination of electrical microstates in the brain, which are defined as successive short time periods during which the configuration of the scalp potential field remains semi-stable, suggesting quasi-simultaneity of activity among the nodes of large-scale networks. A few prototypic microstates, which occur in a repetitive sequence across time, can be reliably identified across participants. Researchers have proposed that these microstates represent the basic building blocks of the chain of spontaneous conscious mental processes, and that their occurrence and temporal dynamics determine the quality of mentation. Several studies have further demonstrated that disturbances of mental processes associated with neurological and psychiatric conditions manifest as changes in the temporal dynamics of specific microstates. Combined EEG-fMRI studies and EEG source imaging studies have indicated that EEG microstates are closely associated with resting-state networks as identified using fMRI. The scale-free properties of the time series of EEG microstates explain why similar networks can be observed at such different time scales. The present review will provide an overview of these EEG microstates, available methods for analysis, the functional interpretations of findings regarding these microstates, and their behavioral and clinical correlates.","collection-title":"Brain Connectivity Dynamics","container-title":"NeuroImage","DOI":"10.1016/j.neuroimage.2017.11.062","ISSN":"1053-8119","journalAbbreviation":"NeuroImage","page":"577-593","source":"ScienceDirect","title":"EEG microstates as a tool for studying the temporal dynamics of whole-brain neuronal networks: A review","title-short":"EEG microstates as a tool for studying the temporal dynamics of whole-brain neuronal networks","volume":"180","author":[{"family":"Michel","given":"Christoph M."},{"family":"Koenig","given":"Thomas"}],"issued":{"date-parts":[["2018",10,15]]}}}],"schema":"https://github.com/citation-style-language/schema/raw/master/csl-citation.json"} </w:instrText>
      </w:r>
      <w:r>
        <w:fldChar w:fldCharType="separate"/>
      </w:r>
      <w:r w:rsidR="00515808" w:rsidRPr="00515808">
        <w:rPr>
          <w:rFonts w:cs="Times New Roman"/>
        </w:rPr>
        <w:t>(9)</w:t>
      </w:r>
      <w:r>
        <w:fldChar w:fldCharType="end"/>
      </w:r>
      <w:r>
        <w:t>.</w:t>
      </w:r>
    </w:p>
    <w:p w14:paraId="75E8B9CF" w14:textId="77777777" w:rsidR="00B90326" w:rsidRPr="000E786B" w:rsidRDefault="00B90326" w:rsidP="00B90326">
      <w:pPr>
        <w:pStyle w:val="Ttulo3"/>
        <w:numPr>
          <w:ilvl w:val="2"/>
          <w:numId w:val="23"/>
        </w:numPr>
        <w:spacing w:before="120" w:after="240" w:line="276" w:lineRule="auto"/>
        <w:jc w:val="both"/>
        <w:rPr>
          <w:bCs/>
        </w:rPr>
      </w:pPr>
      <w:r>
        <w:rPr>
          <w:bCs/>
        </w:rPr>
        <w:t>Connectivity</w:t>
      </w:r>
    </w:p>
    <w:p w14:paraId="7C2D43D7" w14:textId="6E6783ED" w:rsidR="00B90326" w:rsidRPr="006A0C99" w:rsidRDefault="00B90326" w:rsidP="00B90326">
      <w:pPr>
        <w:spacing w:before="0" w:after="120" w:line="360" w:lineRule="auto"/>
        <w:ind w:firstLine="567"/>
        <w:jc w:val="both"/>
        <w:rPr>
          <w:szCs w:val="24"/>
        </w:rPr>
      </w:pPr>
      <w:r w:rsidRPr="006A0C99">
        <w:t xml:space="preserve">Connectivity analysis studies the statistical dependencies between EEG signals to infer interactions within and across brain regions </w:t>
      </w:r>
      <w:r w:rsidRPr="006A0C99">
        <w:fldChar w:fldCharType="begin"/>
      </w:r>
      <w:r w:rsidR="00515808">
        <w:instrText xml:space="preserve"> ADDIN ZOTERO_ITEM CSL_CITATION {"citationID":"KJxAYcRV","properties":{"formattedCitation":"(10)","plainCitation":"(10)","noteIndex":0},"citationItems":[{"id":1946,"uris":["http://zotero.org/users/7269506/items/2JCINIUG"],"itemData":{"id":1946,"type":"article-journal","abstract":"Understanding how different areas of the human brain communicate with each other is a crucial issue in neuroscience. The concepts of structural, functional and effective connectivity have been widely exploited to describe the human connectome, ...","container-title":"Bioengineering","DOI":"10.3390/bioengineering10030372","issue":"3","language":"en","note":"PMID: 36978763","page":"372","source":"pmc.ncbi.nlm.nih.gov","title":"Connectivity Analysis in EEG Data: A Tutorial Review of the State of the Art and Emerging Trends","title-short":"Connectivity Analysis in EEG Data","volume":"10","author":[{"family":"Chiarion","given":"Giovanni"},{"family":"Sparacino","given":"Laura"},{"family":"Antonacci","given":"Yuri"},{"family":"Faes","given":"Luca"},{"family":"Mesin","given":"Luca"}],"issued":{"date-parts":[["2023",3,17]]}}}],"schema":"https://github.com/citation-style-language/schema/raw/master/csl-citation.json"} </w:instrText>
      </w:r>
      <w:r w:rsidRPr="006A0C99">
        <w:fldChar w:fldCharType="separate"/>
      </w:r>
      <w:r w:rsidR="00515808" w:rsidRPr="00515808">
        <w:rPr>
          <w:rFonts w:cs="Times New Roman"/>
        </w:rPr>
        <w:t>(10)</w:t>
      </w:r>
      <w:r w:rsidRPr="006A0C99">
        <w:fldChar w:fldCharType="end"/>
      </w:r>
      <w:r w:rsidRPr="006A0C99">
        <w:t xml:space="preserve">. It can be categorized into structural, functional, and effective connectivity. </w:t>
      </w:r>
      <w:r w:rsidRPr="00DC4C0A">
        <w:rPr>
          <w:bCs/>
        </w:rPr>
        <w:t>Structural connectivity (SC)</w:t>
      </w:r>
      <w:r w:rsidRPr="006A0C99">
        <w:t xml:space="preserve"> reflects the physical pathways of brain fibers </w:t>
      </w:r>
      <w:r w:rsidRPr="006A0C99">
        <w:fldChar w:fldCharType="begin"/>
      </w:r>
      <w:r w:rsidR="00515808">
        <w:instrText xml:space="preserve"> ADDIN ZOTERO_ITEM CSL_CITATION {"citationID":"EYvRIY9A","properties":{"formattedCitation":"(11)","plainCitation":"(11)","noteIndex":0},"citationItems":[{"id":1949,"uris":["http://zotero.org/users/7269506/items/IQFTD59N"],"itemData":{"id":1949,"type":"article-journal","abstract":"This article examines functional and anatomical connectivity in healthy human subjects measured with magnetic resonance imaging methods. Anatomical connectivity in white matter is obtained from measurements of the diffusion tensor. A Monte-Carlo simulation determines the probability that a particle diffuses between two points, with the probability of a jump in a particular direction from a given voxel being based on the local value of the diffusion tensor components. Functional connectivity between grey matter pixels is assessed without recourse to a specific activation paradigm, by calculating the correlation coefficient between random fluctuations in the blood oxygenation level-dependent signal time course in different pixels. The methods are used to examine the anatomical and functional connectivities between crowns of adjacent gyri. A high functional connectivity was found between grey matter pixels, with white matter displaying only very low correlation. A comparison of the measurements of anatomical and functional connectivity found that there is no simple correlation between these measures, except that low values of functional connectivity were not found together with high values of anatomical connectivity. Furthermore pairs of regions situated around the central sulcus indicated a dependence of the two connectivity measures on each other. These results are in accordance with an interpretation that regions which are clearly directly linked by white matter fiber tracts should show high functional connectivity, but that the inverse need not be true as functional connectivity may also be indirectly mediated via more distant grey matter regions.","container-title":"NeuroImage","DOI":"10.1006/nimg.2001.1052","ISSN":"1053-8119","issue":"1","journalAbbreviation":"NeuroImage","page":"241-250","source":"ScienceDirect","title":"An Investigation of Functional and Anatomical Connectivity Using Magnetic Resonance Imaging","volume":"16","author":[{"family":"Koch","given":"Martin A."},{"family":"Norris","given":"David G."},{"family":"Hund-Georgiadis","given":"Margret"}],"issued":{"date-parts":[["2002",5,1]]}}}],"schema":"https://github.com/citation-style-language/schema/raw/master/csl-citation.json"} </w:instrText>
      </w:r>
      <w:r w:rsidRPr="006A0C99">
        <w:fldChar w:fldCharType="separate"/>
      </w:r>
      <w:r w:rsidR="00515808" w:rsidRPr="00515808">
        <w:rPr>
          <w:rFonts w:cs="Times New Roman"/>
        </w:rPr>
        <w:t>(11)</w:t>
      </w:r>
      <w:r w:rsidRPr="006A0C99">
        <w:fldChar w:fldCharType="end"/>
      </w:r>
      <w:r w:rsidRPr="006A0C99">
        <w:t xml:space="preserve">, while </w:t>
      </w:r>
      <w:r w:rsidRPr="00DC4C0A">
        <w:rPr>
          <w:bCs/>
        </w:rPr>
        <w:t>functional connectivity (FC)</w:t>
      </w:r>
      <w:r w:rsidRPr="006A0C99">
        <w:t xml:space="preserve"> captures statistical relationships between brain areas </w:t>
      </w:r>
      <w:r w:rsidRPr="006A0C99">
        <w:fldChar w:fldCharType="begin"/>
      </w:r>
      <w:r w:rsidR="00515808">
        <w:instrText xml:space="preserve"> ADDIN ZOTERO_ITEM CSL_CITATION {"citationID":"t8OPAhZe","properties":{"formattedCitation":"(12)","plainCitation":"(12)","noteIndex":0},"citationItems":[{"id":1951,"uris":["http://zotero.org/users/7269506/items/ZJ87ZAWA"],"itemData":{"id":1951,"type":"article-journal","abstract":"The brain appears to adhere to two principles of functional organization; functional segregation and functional integration. The integration within and between functionally specialized areas is mediated by functional or effective connectivity. The characterization of this sort of connectivity is an important theme in many areas of neuroscience. This article presents one approach that has been used in functional imaging. This article reviews the basic distinction between functional and effective connectivity (as the terms are used in neuroimaging) and their role in addressing several aspects of functional organization (e.g. the topography of distributed system, integration between cortical areas, time-dependent changes in connectivity and nonlinear interactions). Emphasis is placed on the points of contact between the apparently diverse applications of these concepts and in particular the central role of eigenimages or spatial modes. Although the framework that has been developed is inherently linear, it has been extended to assess nonlinear interactions among cortical areas. ©1994 Wiley-Liss, Inc.","container-title":"Human Brain Mapping","DOI":"10.1002/hbm.460020107","ISSN":"1097-0193","issue":"1-2","language":"en","license":"Copyright © 1994 Wiley-Liss, Inc.","note":"_eprint: https://onlinelibrary.wiley.com/doi/pdf/10.1002/hbm.460020107","page":"56-78","source":"Wiley Online Library","title":"Functional and effective connectivity in neuroimaging: A synthesis","title-short":"Functional and effective connectivity in neuroimaging","volume":"2","author":[{"family":"Friston","given":"Karl J."}],"issued":{"date-parts":[["1994"]]}}}],"schema":"https://github.com/citation-style-language/schema/raw/master/csl-citation.json"} </w:instrText>
      </w:r>
      <w:r w:rsidRPr="006A0C99">
        <w:fldChar w:fldCharType="separate"/>
      </w:r>
      <w:r w:rsidR="00515808" w:rsidRPr="00515808">
        <w:rPr>
          <w:rFonts w:cs="Times New Roman"/>
        </w:rPr>
        <w:t>(12)</w:t>
      </w:r>
      <w:r w:rsidRPr="006A0C99">
        <w:fldChar w:fldCharType="end"/>
      </w:r>
      <w:r w:rsidRPr="006A0C99">
        <w:t xml:space="preserve">, and </w:t>
      </w:r>
      <w:r w:rsidRPr="00DC4C0A">
        <w:rPr>
          <w:bCs/>
        </w:rPr>
        <w:t>effective connectivity (EC)</w:t>
      </w:r>
      <w:r w:rsidRPr="006A0C99">
        <w:t xml:space="preserve"> focuses on causal interactions between neural elements </w:t>
      </w:r>
      <w:r w:rsidRPr="006A0C99">
        <w:fldChar w:fldCharType="begin"/>
      </w:r>
      <w:r w:rsidR="00515808">
        <w:instrText xml:space="preserve"> ADDIN ZOTERO_ITEM CSL_CITATION {"citationID":"NSecP1cW","properties":{"formattedCitation":"(10)","plainCitation":"(10)","noteIndex":0},"citationItems":[{"id":1946,"uris":["http://zotero.org/users/7269506/items/2JCINIUG"],"itemData":{"id":1946,"type":"article-journal","abstract":"Understanding how different areas of the human brain communicate with each other is a crucial issue in neuroscience. The concepts of structural, functional and effective connectivity have been widely exploited to describe the human connectome, ...","container-title":"Bioengineering","DOI":"10.3390/bioengineering10030372","issue":"3","language":"en","note":"PMID: 36978763","page":"372","source":"pmc.ncbi.nlm.nih.gov","title":"Connectivity Analysis in EEG Data: A Tutorial Review of the State of the Art and Emerging Trends","title-short":"Connectivity Analysis in EEG Data","volume":"10","author":[{"family":"Chiarion","given":"Giovanni"},{"family":"Sparacino","given":"Laura"},{"family":"Antonacci","given":"Yuri"},{"family":"Faes","given":"Luca"},{"family":"Mesin","given":"Luca"}],"issued":{"date-parts":[["2023",3,17]]}}}],"schema":"https://github.com/citation-style-language/schema/raw/master/csl-citation.json"} </w:instrText>
      </w:r>
      <w:r w:rsidRPr="006A0C99">
        <w:fldChar w:fldCharType="separate"/>
      </w:r>
      <w:r w:rsidR="00515808" w:rsidRPr="00515808">
        <w:rPr>
          <w:rFonts w:cs="Times New Roman"/>
        </w:rPr>
        <w:t>(10)</w:t>
      </w:r>
      <w:r w:rsidRPr="006A0C99">
        <w:fldChar w:fldCharType="end"/>
      </w:r>
      <w:r w:rsidRPr="006A0C99">
        <w:t xml:space="preserve">. In FC analysis, we further differentiate between directed and non-directed approaches </w:t>
      </w:r>
      <w:r w:rsidRPr="006A0C99">
        <w:fldChar w:fldCharType="begin"/>
      </w:r>
      <w:r w:rsidR="00515808">
        <w:instrText xml:space="preserve"> ADDIN ZOTERO_ITEM CSL_CITATION {"citationID":"GXUaJhca","properties":{"formattedCitation":"(13)","plainCitation":"(13)","noteIndex":0},"citationItems":[{"id":1953,"uris":["http://zotero.org/users/7269506/items/SYYCLU7M"],"itemData":{"id":1953,"type":"article-journal","abstract":"This review considers state-of-the-art analyses of functional integration in neuronal macrocircuits. We focus on detecting and estimating directed connectivity in neuronal networks using Granger causality (GC) and dynamic causal modelling (DCM). These approaches are considered in the context of functional segregation and integration and—within functional integration—the distinction between functional and effective connectivity. We review recent developments that have enjoyed a rapid uptake in the discovery and quantification of functional brain architectures. GC and DCM have distinct and complementary ambitions that are usefully considered in relation to the detection of functional connectivity and the identification of models of effective connectivity. We highlight the basic ideas upon which they are grounded, provide a comparative evaluation and point to some outstanding issues.","collection-title":"Macrocircuits","container-title":"Current Opinion in Neurobiology","DOI":"10.1016/j.conb.2012.11.010","ISSN":"0959-4388","issue":"2","journalAbbreviation":"Current Opinion in Neurobiology","page":"172-178","source":"ScienceDirect","title":"Analysing connectivity with Granger causality and dynamic causal modelling","volume":"23","author":[{"family":"Friston","given":"Karl J."},{"family":"Moran","given":"Rosalyn"},{"family":"Seth","given":"Anil K"}],"issued":{"date-parts":[["2013",4,1]]}}}],"schema":"https://github.com/citation-style-language/schema/raw/master/csl-citation.json"} </w:instrText>
      </w:r>
      <w:r w:rsidRPr="006A0C99">
        <w:fldChar w:fldCharType="separate"/>
      </w:r>
      <w:r w:rsidR="00515808" w:rsidRPr="00515808">
        <w:rPr>
          <w:rFonts w:cs="Times New Roman"/>
        </w:rPr>
        <w:t>(13)</w:t>
      </w:r>
      <w:r w:rsidRPr="006A0C99">
        <w:fldChar w:fldCharType="end"/>
      </w:r>
      <w:r w:rsidRPr="006A0C99">
        <w:t xml:space="preserve">. </w:t>
      </w:r>
      <w:r w:rsidRPr="00DC4C0A">
        <w:rPr>
          <w:bCs/>
        </w:rPr>
        <w:t>Directed FC</w:t>
      </w:r>
      <w:r w:rsidRPr="006A0C99">
        <w:t xml:space="preserve"> </w:t>
      </w:r>
      <w:r w:rsidRPr="006A0C99">
        <w:lastRenderedPageBreak/>
        <w:t xml:space="preserve">assesses cause-effect interactions, typically using methods like Granger Causality </w:t>
      </w:r>
      <w:r w:rsidRPr="006A0C99">
        <w:fldChar w:fldCharType="begin"/>
      </w:r>
      <w:r w:rsidR="00515808">
        <w:instrText xml:space="preserve"> ADDIN ZOTERO_ITEM CSL_CITATION {"citationID":"gvObESFW","properties":{"formattedCitation":"(14)","plainCitation":"(14)","noteIndex":0},"citationItems":[{"id":1955,"uris":["http://zotero.org/users/7269506/items/E6BCLRFG"],"itemData":{"id":1955,"type":"article-journal","abstract":"Measures of linear dependence and feedback for two multiple time series conditional on a third are defined. The measure of conditional linear dependence is the sum of linear feedback from the first to the second conditional on the third, linear feedback from the second to the first conditional on the third, and instantaneous linear feedback between the first and second series conditional on the third. The measures are non-negative and may be expressed in terms of measures of unconditional feedback between various combinations of the three series. The measures of conditional linear feedback can be additively decomposed by frequency. Estimates of these measures are straightforward to compute, and their distribution can be routinely approximated by bootstrap methods. An empirical example involving real output, money, and interest rates is presented.","container-title":"Journal of the American Statistical Association","DOI":"10.1080/01621459.1984.10477110","ISSN":"0162-1459","issue":"388","note":"publisher: ASA Website\n_eprint: https://www.tandfonline.com/doi/pdf/10.1080/01621459.1984.10477110","page":"907-915","source":"Taylor and Francis+NEJM","title":"Measures of Conditional Linear Dependence and Feedback between Time Series","volume":"79","author":[{"family":"Geweke","given":"John F."}],"issued":{"date-parts":[["1984",12,1]]}}}],"schema":"https://github.com/citation-style-language/schema/raw/master/csl-citation.json"} </w:instrText>
      </w:r>
      <w:r w:rsidRPr="006A0C99">
        <w:fldChar w:fldCharType="separate"/>
      </w:r>
      <w:r w:rsidR="00515808" w:rsidRPr="00515808">
        <w:rPr>
          <w:rFonts w:cs="Times New Roman"/>
        </w:rPr>
        <w:t>(14)</w:t>
      </w:r>
      <w:r w:rsidRPr="006A0C99">
        <w:fldChar w:fldCharType="end"/>
      </w:r>
      <w:r w:rsidRPr="006A0C99">
        <w:t xml:space="preserve"> or Directed Transfer Function (DTF) </w:t>
      </w:r>
      <w:r w:rsidRPr="006A0C99">
        <w:fldChar w:fldCharType="begin"/>
      </w:r>
      <w:r w:rsidR="00515808">
        <w:instrText xml:space="preserve"> ADDIN ZOTERO_ITEM CSL_CITATION {"citationID":"Bm5Jj4ws","properties":{"formattedCitation":"(15)","plainCitation":"(15)","noteIndex":0},"citationItems":[{"id":1956,"uris":["http://zotero.org/users/7269506/items/L3R3C74Z"],"itemData":{"id":1956,"type":"article-journal","abstract":"The paper describes the method of determining direction and frequency content of the brain activity flow. The method was formulated in the framework of the AR model. The transfer function matrix was found for multichannel EEG process. Elements of this matrix, properly normalized, appeared to be good estimators of the propagation direction and spectral properties of the investigated signals. Simulation experiments have shown that the estimator proposed by us unequivocally reveals the direction of the signal flow and is able to distinguish between direct and indirect transfer of information. The method was applied to the signals recorded in the brain structures of the experimental animals and also to the human normal and epileptic EEG. The sensitivity of the method and its usefulness in the neurological and clinical applications was demonstrated.","container-title":"Biological Cybernetics","DOI":"10.1007/BF00198091","ISSN":"1432-0770","issue":"3","journalAbbreviation":"Biol. Cybern.","language":"en","page":"203-210","source":"Springer Link","title":"A new method of the description of the information flow in the brain structures","volume":"65","author":[{"family":"Kaminski","given":"M. J."},{"family":"Blinowska","given":"K. J."}],"issued":{"date-parts":[["1991",7,1]]}}}],"schema":"https://github.com/citation-style-language/schema/raw/master/csl-citation.json"} </w:instrText>
      </w:r>
      <w:r w:rsidRPr="006A0C99">
        <w:fldChar w:fldCharType="separate"/>
      </w:r>
      <w:r w:rsidR="00515808" w:rsidRPr="00515808">
        <w:rPr>
          <w:rFonts w:cs="Times New Roman"/>
        </w:rPr>
        <w:t>(15)</w:t>
      </w:r>
      <w:r w:rsidRPr="006A0C99">
        <w:fldChar w:fldCharType="end"/>
      </w:r>
      <w:r w:rsidRPr="006A0C99">
        <w:t xml:space="preserve">. In contrast, </w:t>
      </w:r>
      <w:r w:rsidRPr="00DC4C0A">
        <w:rPr>
          <w:bCs/>
        </w:rPr>
        <w:t>non-directed FC</w:t>
      </w:r>
      <w:r w:rsidRPr="006A0C99">
        <w:t xml:space="preserve"> captures symmetrical, simultaneous dependencies, such as </w:t>
      </w:r>
      <w:r w:rsidRPr="00DC4C0A">
        <w:rPr>
          <w:bCs/>
        </w:rPr>
        <w:t>correlation</w:t>
      </w:r>
      <w:r w:rsidRPr="006A0C99">
        <w:t xml:space="preserve"> </w:t>
      </w:r>
      <w:r w:rsidRPr="006A0C99">
        <w:fldChar w:fldCharType="begin"/>
      </w:r>
      <w:r w:rsidR="00515808">
        <w:instrText xml:space="preserve"> ADDIN ZOTERO_ITEM CSL_CITATION {"citationID":"uwQQXDVS","properties":{"formattedCitation":"(16)","plainCitation":"(16)","noteIndex":0},"citationItems":[{"id":1957,"uris":["http://zotero.org/users/7269506/items/PI6SW2PX"],"itemData":{"id":1957,"type":"article-journal","abstract":"This tutorial paper introduces a common framework for the evaluation of widely used frequency-domain measures of coupling (coherence, partial coherence) and causality (directed coherence, partial directed coherence) from the parametric representation of linear multivariate (MV) processes. After providing a comprehensive time-domain definition of the various forms of connectivity observed in MV processes, we particularize them to MV autoregressive (MVAR) processes and derive the corresponding frequency-domain measures. Then, we discuss the theoretical interpretation of these MVAR-based connectivity measures, showing that each of them reflects a specific time-domain connectivity definition and how this results in the description of peculiar aspects of the information transfer in MV processes. Furthermore, issues related to the practical utilization of these measures on real-time series are pointed out, including MVAR model estimation and significance assessment. Finally, limitations and pitfalls arising from model mis-specification are discussed, indicating possible solutions and providing practical recommendations for a safe computation of the connectivity measures. An example of estimation of the presented measures from multiple EEG signals recorded during a combined visuomotor task is also reported, showing how evaluation of coupling and causality in the frequency domain may help describing specific neurophysiological mechanisms.","container-title":"Computational and Mathematical Methods in Medicine","DOI":"10.1155/2012/140513","ISSN":"1748-6718","issue":"1","language":"en","license":"Copyright © 2012 Luca Faes et al.","note":"_eprint: https://onlinelibrary.wiley.com/doi/pdf/10.1155/2012/140513","page":"140513","source":"Wiley Online Library","title":"Measuring Connectivity in Linear Multivariate Processes: Definitions, Interpretation, and Practical Analysis","title-short":"Measuring Connectivity in Linear Multivariate Processes","volume":"2012","author":[{"family":"Faes","given":"Luca"},{"family":"Erla","given":"Silvia"},{"family":"Nollo","given":"Giandomenico"}],"issued":{"date-parts":[["2012"]]}}}],"schema":"https://github.com/citation-style-language/schema/raw/master/csl-citation.json"} </w:instrText>
      </w:r>
      <w:r w:rsidRPr="006A0C99">
        <w:fldChar w:fldCharType="separate"/>
      </w:r>
      <w:r w:rsidR="00515808" w:rsidRPr="00515808">
        <w:rPr>
          <w:rFonts w:cs="Times New Roman"/>
        </w:rPr>
        <w:t>(16)</w:t>
      </w:r>
      <w:r w:rsidRPr="006A0C99">
        <w:fldChar w:fldCharType="end"/>
      </w:r>
      <w:r w:rsidRPr="006A0C99">
        <w:t xml:space="preserve"> or coherence </w:t>
      </w:r>
      <w:r w:rsidRPr="006A0C99">
        <w:fldChar w:fldCharType="begin"/>
      </w:r>
      <w:r w:rsidR="00515808">
        <w:instrText xml:space="preserve"> ADDIN ZOTERO_ITEM CSL_CITATION {"citationID":"eTjFRTN1","properties":{"formattedCitation":"(17)","plainCitation":"(17)","noteIndex":0},"citationItems":[{"id":1944,"uris":["http://zotero.org/users/7269506/items/FX4YWQJ3"],"itemData":{"id":1944,"type":"article-journal","abstract":"Background/Purpose: Slowing of average electroencephalography (EEG) frequency in Alzheimer’s disease (AD) is well established, but whether EEG changes are able to reﬂect the severity of AD is uncertain. We attempt to establish quantitative EEG parameters that are suitable for evaluating AD in clinical practice.\nMethods: Ninety-ﬁve patients with newly diagnosed AD at different stages from four neurologic institutes were enrolled for the study. Standard scalp resting EEG data were collected for quantitative analysis. Global band power ratio and interhemispheric alpha band coherence were calculated.\nResults: Patients with advanced AD had a greater slow-to-fast wave power ratio. Among several power ratio parameters, global theta and delta to alpha and beta band power ratio showed the best correlation with stages of AD (p &lt; 0.05 between any two patient groups). Patients with advanced AD had decreased coherence in multiple brain regions. The phenomenon was most prominent in the centroparietal region (p &lt; 0.05 between any two patient groups).\nConclusion: Increased global slow-to-fast power ratio and decreased centroparietal interhemispheric alpha band coherence are strongly correlated with disease progress in AD","container-title":"Journal of the Formosan Medical Association","DOI":"10.1016/j.jfma.2013.07.008","ISSN":"09296646","issue":"8","journalAbbreviation":"Journal of the Formosan Medical Association","language":"en","page":"729-735","source":"DOI.org (Crossref)","title":"Frequency power and coherence of electroencephalography are correlated with the severity of Alzheimer's disease: A multicenter analysis in Taiwan","title-short":"Frequency power and coherence of electroencephalography are correlated with the severity of Alzheimer's disease","volume":"114","author":[{"family":"Chen","given":"Chih-Chung"},{"family":"Hsu","given":"Chien-Yeh"},{"family":"Chiu","given":"Hung-Wen"},{"family":"Hu","given":"Chaur-Jong"},{"family":"Lee","given":"Tsung-Chieh"}],"issued":{"date-parts":[["2015",8]]}}}],"schema":"https://github.com/citation-style-language/schema/raw/master/csl-citation.json"} </w:instrText>
      </w:r>
      <w:r w:rsidRPr="006A0C99">
        <w:fldChar w:fldCharType="separate"/>
      </w:r>
      <w:r w:rsidR="00515808" w:rsidRPr="00515808">
        <w:rPr>
          <w:rFonts w:cs="Times New Roman"/>
        </w:rPr>
        <w:t>(17)</w:t>
      </w:r>
      <w:r w:rsidRPr="006A0C99">
        <w:fldChar w:fldCharType="end"/>
      </w:r>
      <w:r w:rsidRPr="006A0C99">
        <w:t xml:space="preserve">. </w:t>
      </w:r>
      <w:r w:rsidRPr="00DC4C0A">
        <w:rPr>
          <w:bCs/>
        </w:rPr>
        <w:t>Coherence</w:t>
      </w:r>
      <w:r w:rsidRPr="006A0C99">
        <w:t xml:space="preserve"> measures the degree of synchronization between the electrical activity recorded from two different brain regions sites of the scalp </w:t>
      </w:r>
      <w:r w:rsidRPr="006A0C99">
        <w:fldChar w:fldCharType="begin"/>
      </w:r>
      <w:r w:rsidR="00515808">
        <w:instrText xml:space="preserve"> ADDIN ZOTERO_ITEM CSL_CITATION {"citationID":"NfYbL5ZP","properties":{"formattedCitation":"(17)","plainCitation":"(17)","noteIndex":0},"citationItems":[{"id":1944,"uris":["http://zotero.org/users/7269506/items/FX4YWQJ3"],"itemData":{"id":1944,"type":"article-journal","abstract":"Background/Purpose: Slowing of average electroencephalography (EEG) frequency in Alzheimer’s disease (AD) is well established, but whether EEG changes are able to reﬂect the severity of AD is uncertain. We attempt to establish quantitative EEG parameters that are suitable for evaluating AD in clinical practice.\nMethods: Ninety-ﬁve patients with newly diagnosed AD at different stages from four neurologic institutes were enrolled for the study. Standard scalp resting EEG data were collected for quantitative analysis. Global band power ratio and interhemispheric alpha band coherence were calculated.\nResults: Patients with advanced AD had a greater slow-to-fast wave power ratio. Among several power ratio parameters, global theta and delta to alpha and beta band power ratio showed the best correlation with stages of AD (p &lt; 0.05 between any two patient groups). Patients with advanced AD had decreased coherence in multiple brain regions. The phenomenon was most prominent in the centroparietal region (p &lt; 0.05 between any two patient groups).\nConclusion: Increased global slow-to-fast power ratio and decreased centroparietal interhemispheric alpha band coherence are strongly correlated with disease progress in AD","container-title":"Journal of the Formosan Medical Association","DOI":"10.1016/j.jfma.2013.07.008","ISSN":"09296646","issue":"8","journalAbbreviation":"Journal of the Formosan Medical Association","language":"en","page":"729-735","source":"DOI.org (Crossref)","title":"Frequency power and coherence of electroencephalography are correlated with the severity of Alzheimer's disease: A multicenter analysis in Taiwan","title-short":"Frequency power and coherence of electroencephalography are correlated with the severity of Alzheimer's disease","volume":"114","author":[{"family":"Chen","given":"Chih-Chung"},{"family":"Hsu","given":"Chien-Yeh"},{"family":"Chiu","given":"Hung-Wen"},{"family":"Hu","given":"Chaur-Jong"},{"family":"Lee","given":"Tsung-Chieh"}],"issued":{"date-parts":[["2015",8]]}}}],"schema":"https://github.com/citation-style-language/schema/raw/master/csl-citation.json"} </w:instrText>
      </w:r>
      <w:r w:rsidRPr="006A0C99">
        <w:fldChar w:fldCharType="separate"/>
      </w:r>
      <w:r w:rsidR="00515808" w:rsidRPr="00515808">
        <w:rPr>
          <w:rFonts w:cs="Times New Roman"/>
        </w:rPr>
        <w:t>(17)</w:t>
      </w:r>
      <w:r w:rsidRPr="006A0C99">
        <w:fldChar w:fldCharType="end"/>
      </w:r>
      <w:r w:rsidRPr="006A0C99">
        <w:t xml:space="preserve">. It reflects how well the oscillatory patterns of these regions align with each other over time, often at specific frequencies </w:t>
      </w:r>
      <w:r w:rsidRPr="006A0C99">
        <w:fldChar w:fldCharType="begin"/>
      </w:r>
      <w:r w:rsidR="00515808">
        <w:instrText xml:space="preserve"> ADDIN ZOTERO_ITEM CSL_CITATION {"citationID":"9ZluZX4p","properties":{"formattedCitation":"(18)","plainCitation":"(18)","noteIndex":0},"citationItems":[{"id":1940,"uris":["http://zotero.org/users/7269506/items/UULYMRZR"],"itemData":{"id":1940,"type":"article-journal","container-title":"International Journal of Psychophysiology","DOI":"10.1016/j.ijpsycho.2005.04.001","ISSN":"01678760","issue":"2","journalAbbreviation":"International Journal of Psychophysiology","language":"en","license":"https://www.elsevier.com/tdm/userlicense/1.0/","page":"83-85","source":"DOI.org (Crossref)","title":"EEG coherence","volume":"57","author":[{"family":"Ruchkin","given":"D"}],"issued":{"date-parts":[["2005",8]]}}}],"schema":"https://github.com/citation-style-language/schema/raw/master/csl-citation.json"} </w:instrText>
      </w:r>
      <w:r w:rsidRPr="006A0C99">
        <w:fldChar w:fldCharType="separate"/>
      </w:r>
      <w:r w:rsidR="00515808" w:rsidRPr="00515808">
        <w:rPr>
          <w:rFonts w:cs="Times New Roman"/>
        </w:rPr>
        <w:t>(18)</w:t>
      </w:r>
      <w:r w:rsidRPr="006A0C99">
        <w:fldChar w:fldCharType="end"/>
      </w:r>
      <w:r w:rsidRPr="006A0C99">
        <w:t xml:space="preserve">. Coherence values range from 0 to 1 </w:t>
      </w:r>
      <w:r w:rsidRPr="006A0C99">
        <w:fldChar w:fldCharType="begin"/>
      </w:r>
      <w:r w:rsidR="00515808">
        <w:instrText xml:space="preserve"> ADDIN ZOTERO_ITEM CSL_CITATION {"citationID":"1oLB9NSL","properties":{"formattedCitation":"(19)","plainCitation":"(19)","noteIndex":0},"citationItems":[{"id":1767,"uris":["http://zotero.org/users/7269506/items/L4BNNFMK"],"itemData":{"id":1767,"type":"article-journal","abstract":"BACKGROUND: Synchronized transcranial magnetic stimulation (sTMS) imparts low-amplitude magnetic stimulation matched to each patient's individual alpha frequency. It may act through entrainment of brain oscillations.\nOBJECTIVES: To explore sTMS effects on neurophysiology with electroencephalography (EEG) in adults with major depressive disorder.\nMETHODS: As an ancillary study to a clinical trial of sTMS, EEGs were recorded at baseline and at one and six weeks of treatment. Associations between EEG measures and clinical symptoms were examined.\nRESULTS: Absolute and relative power measures did not differ significantly between active and sham groups and did not change significantly over time. Changes occurring over six weeks in alpha current source density at anterior and central midline voxels were significantly correlated with changes in symptoms in subjects treated with active but not sham sTMS.\nCONCLUSION: Neurophysiologic measures suggest that active but not sham sTMS engages brain targets, and that target engagement is related to treatment outcome.","container-title":"Neuromodulation: Journal of the International Neuromodulation Society","DOI":"10.1111/ner.12914","ISSN":"1525-1403","issue":"8","journalAbbreviation":"Neuromodulation","language":"eng","note":"PMID: 30637862","page":"894-897","source":"PubMed","title":"Brain Activity and Clinical Outcomes in Adults With Depression Treated With Synchronized Transcranial Magnetic Stimulation: An Exploratory Study","title-short":"Brain Activity and Clinical Outcomes in Adults With Depression Treated With Synchronized Transcranial Magnetic Stimulation","volume":"22","author":[{"family":"Cook","given":"Ian A."},{"family":"Wilson","given":"Andrew C."},{"family":"Corlier","given":"Juliana"},{"family":"Leuchter","given":"Andrew F."}],"issued":{"date-parts":[["2019",12]]}}}],"schema":"https://github.com/citation-style-language/schema/raw/master/csl-citation.json"} </w:instrText>
      </w:r>
      <w:r w:rsidRPr="006A0C99">
        <w:fldChar w:fldCharType="separate"/>
      </w:r>
      <w:r w:rsidR="00515808" w:rsidRPr="00515808">
        <w:rPr>
          <w:rFonts w:cs="Times New Roman"/>
        </w:rPr>
        <w:t>(19)</w:t>
      </w:r>
      <w:r w:rsidRPr="006A0C99">
        <w:fldChar w:fldCharType="end"/>
      </w:r>
      <w:r w:rsidRPr="006A0C99">
        <w:t xml:space="preserve">, where higher values indicate stronger connectivity, or coherence, between brain areas. Is a sensitive method for assessing the integrity of structural connection between brain areas </w:t>
      </w:r>
      <w:r w:rsidRPr="006A0C99">
        <w:fldChar w:fldCharType="begin"/>
      </w:r>
      <w:r w:rsidR="00515808">
        <w:instrText xml:space="preserve"> ADDIN ZOTERO_ITEM CSL_CITATION {"citationID":"KUvJIano","properties":{"formattedCitation":"(20)","plainCitation":"(20)","noteIndex":0},"citationItems":[{"id":1945,"uris":["http://zotero.org/users/7269506/items/PLWTBDJH"],"itemData":{"id":1945,"type":"article-journal","abstract":"Evidence suggests that anomalies of functional organization in the brain may be present in some psychiatric disorders and that EEG differences between psychiatric patients and appropriate control groups may depend on them. It is therefore of practical importance to develop further ways of examining the association between the EEG and such organization. The change in inter-hemisphere coherence (a measure of EEG synchronicity) in the alpha frequency band when carrying out a task is shown to discriminate a group of 11 right from 11 left preferent normal individuals. Since right and left preference is associated with differences in cerebral functional organization, the coherence measure may be a useful way of studying this feature of psychiatric illness.","container-title":"The British Journal of Psychiatry","DOI":"10.1192/bjp.130.3.260","ISSN":"0007-1250, 1472-1465","issue":"3","language":"en","page":"260-264","source":"Cambridge University Press","title":"The EEG as a Measure of Cerebral Functional Organization","volume":"130","author":[{"family":"Shaw","given":"J. C."},{"family":"O'Connor","given":"K. P."},{"family":"Ongley","given":"C."}],"issued":{"date-parts":[["1977",3]]}}}],"schema":"https://github.com/citation-style-language/schema/raw/master/csl-citation.json"} </w:instrText>
      </w:r>
      <w:r w:rsidRPr="006A0C99">
        <w:fldChar w:fldCharType="separate"/>
      </w:r>
      <w:r w:rsidR="00515808" w:rsidRPr="00515808">
        <w:rPr>
          <w:rFonts w:cs="Times New Roman"/>
        </w:rPr>
        <w:t>(20)</w:t>
      </w:r>
      <w:r w:rsidRPr="006A0C99">
        <w:fldChar w:fldCharType="end"/>
      </w:r>
      <w:r w:rsidRPr="006A0C99">
        <w:t xml:space="preserve">. More recently, </w:t>
      </w:r>
      <w:r w:rsidRPr="00DC4C0A">
        <w:rPr>
          <w:bCs/>
        </w:rPr>
        <w:t>envelope correlation</w:t>
      </w:r>
      <w:r w:rsidRPr="006A0C99">
        <w:t xml:space="preserve">, which measures the synchronization of the amplitude (envelope) of oscillations in specific frequency bands between different brain regions, has also been explored </w:t>
      </w:r>
      <w:r w:rsidRPr="006A0C99">
        <w:fldChar w:fldCharType="begin"/>
      </w:r>
      <w:r w:rsidR="00515808">
        <w:instrText xml:space="preserve"> ADDIN ZOTERO_ITEM CSL_CITATION {"citationID":"7axtFMz8","properties":{"formattedCitation":"(21)","plainCitation":"(21)","noteIndex":0},"citationItems":[{"id":1879,"uris":["http://zotero.org/users/7269506/items/NW9VIUWK"],"itemData":{"id":1879,"type":"article-journal","abstract":"Repetitive transcranial magnetic stimulation (rTMS) treatment of major depressive disorder (MDD) is associated with changes in brain functional connectivity (FC). These changes may be related to the mechanism of action of rTMS and explain the variability in clinical outcome. We examined changes in electroencephalographic FC during the first rTMS treatment in 109 subjects treated with 10 Hz stimulation to left dorsolateral prefrontal cortex. All subjects subsequently received 30 treatments and clinical response was defined as ≥40% improvement in the inventory of depressive symptomatology-30 SR score at treatment 30. Connectivity change was assessed with coherence, envelope correlation, and a novel measure, alpha spectral correlation (αSC). Machine learning was used to develop predictive models of outcome for each connectivity measure, which were compared with prediction based upon early clinical improvement. Significant connectivity changes were associated with clinical outcome (P &lt; 0.001). Machine learning models based on αSC yielded the most accurate prediction (area under the curve, AUC = 0.83), and performance improved when combined with early clinical improvement measures (AUC = 0.91). The initial rTMS treatment session produced robust changes in FC, which were significant predictors of clinical outcome of a full course of treatment for MDD.","container-title":"Cerebral Cortex (New York, NY)","DOI":"10.1093/cercor/bhz035","ISSN":"1047-3211","issue":"12","journalAbbreviation":"Cereb Cortex","note":"PMID: 30953441\nPMCID: PMC7305800","page":"4958-4967","source":"PubMed Central","title":"Changes in Functional Connectivity Predict Outcome of Repetitive Transcranial Magnetic Stimulation Treatment of Major Depressive Disorder","volume":"29","author":[{"family":"Corlier","given":"Juliana"},{"family":"Wilson","given":"Andrew"},{"family":"Hunter","given":"Aimee M"},{"family":"Vince-Cruz","given":"Nikita"},{"family":"Krantz","given":"David"},{"family":"Levitt","given":"Jennifer"},{"family":"Minzenberg","given":"Michael J"},{"family":"Ginder","given":"Nathaniel"},{"family":"Cook","given":"Ian A"},{"family":"Leuchter","given":"Andrew F"}],"issued":{"date-parts":[["2019",12]]}}}],"schema":"https://github.com/citation-style-language/schema/raw/master/csl-citation.json"} </w:instrText>
      </w:r>
      <w:r w:rsidRPr="006A0C99">
        <w:fldChar w:fldCharType="separate"/>
      </w:r>
      <w:r w:rsidR="00515808" w:rsidRPr="00515808">
        <w:rPr>
          <w:rFonts w:cs="Times New Roman"/>
        </w:rPr>
        <w:t>(21)</w:t>
      </w:r>
      <w:r w:rsidRPr="006A0C99">
        <w:fldChar w:fldCharType="end"/>
      </w:r>
      <w:r w:rsidRPr="006A0C99">
        <w:t xml:space="preserve">. Another approach, </w:t>
      </w:r>
      <w:r w:rsidRPr="00DC4C0A">
        <w:rPr>
          <w:bCs/>
        </w:rPr>
        <w:t>Alpha Spectral Correlation (αSC)</w:t>
      </w:r>
      <w:r w:rsidRPr="006A0C99">
        <w:t xml:space="preserve">, evaluates how aligned the oscillations in the alpha frequency band are between different brain regions, measuring the correlation between alpha oscillations in terms of frequency and amplitude across various brain areas </w:t>
      </w:r>
      <w:r w:rsidRPr="006A0C99">
        <w:fldChar w:fldCharType="begin"/>
      </w:r>
      <w:r w:rsidR="00515808">
        <w:instrText xml:space="preserve"> ADDIN ZOTERO_ITEM CSL_CITATION {"citationID":"3QX8t3su","properties":{"formattedCitation":"(21)","plainCitation":"(21)","noteIndex":0},"citationItems":[{"id":1879,"uris":["http://zotero.org/users/7269506/items/NW9VIUWK"],"itemData":{"id":1879,"type":"article-journal","abstract":"Repetitive transcranial magnetic stimulation (rTMS) treatment of major depressive disorder (MDD) is associated with changes in brain functional connectivity (FC). These changes may be related to the mechanism of action of rTMS and explain the variability in clinical outcome. We examined changes in electroencephalographic FC during the first rTMS treatment in 109 subjects treated with 10 Hz stimulation to left dorsolateral prefrontal cortex. All subjects subsequently received 30 treatments and clinical response was defined as ≥40% improvement in the inventory of depressive symptomatology-30 SR score at treatment 30. Connectivity change was assessed with coherence, envelope correlation, and a novel measure, alpha spectral correlation (αSC). Machine learning was used to develop predictive models of outcome for each connectivity measure, which were compared with prediction based upon early clinical improvement. Significant connectivity changes were associated with clinical outcome (P &lt; 0.001). Machine learning models based on αSC yielded the most accurate prediction (area under the curve, AUC = 0.83), and performance improved when combined with early clinical improvement measures (AUC = 0.91). The initial rTMS treatment session produced robust changes in FC, which were significant predictors of clinical outcome of a full course of treatment for MDD.","container-title":"Cerebral Cortex (New York, NY)","DOI":"10.1093/cercor/bhz035","ISSN":"1047-3211","issue":"12","journalAbbreviation":"Cereb Cortex","note":"PMID: 30953441\nPMCID: PMC7305800","page":"4958-4967","source":"PubMed Central","title":"Changes in Functional Connectivity Predict Outcome of Repetitive Transcranial Magnetic Stimulation Treatment of Major Depressive Disorder","volume":"29","author":[{"family":"Corlier","given":"Juliana"},{"family":"Wilson","given":"Andrew"},{"family":"Hunter","given":"Aimee M"},{"family":"Vince-Cruz","given":"Nikita"},{"family":"Krantz","given":"David"},{"family":"Levitt","given":"Jennifer"},{"family":"Minzenberg","given":"Michael J"},{"family":"Ginder","given":"Nathaniel"},{"family":"Cook","given":"Ian A"},{"family":"Leuchter","given":"Andrew F"}],"issued":{"date-parts":[["2019",12]]}}}],"schema":"https://github.com/citation-style-language/schema/raw/master/csl-citation.json"} </w:instrText>
      </w:r>
      <w:r w:rsidRPr="006A0C99">
        <w:fldChar w:fldCharType="separate"/>
      </w:r>
      <w:r w:rsidR="00515808" w:rsidRPr="00515808">
        <w:rPr>
          <w:rFonts w:cs="Times New Roman"/>
        </w:rPr>
        <w:t>(21)</w:t>
      </w:r>
      <w:r w:rsidRPr="006A0C99">
        <w:fldChar w:fldCharType="end"/>
      </w:r>
      <w:r w:rsidRPr="006A0C99">
        <w:t>.</w:t>
      </w:r>
    </w:p>
    <w:p w14:paraId="6F9082DE" w14:textId="77777777" w:rsidR="00B90326" w:rsidRPr="00B80A63" w:rsidRDefault="00B90326" w:rsidP="00B90326">
      <w:pPr>
        <w:pStyle w:val="Ttulo3"/>
        <w:numPr>
          <w:ilvl w:val="2"/>
          <w:numId w:val="23"/>
        </w:numPr>
        <w:spacing w:before="120" w:after="240" w:line="276" w:lineRule="auto"/>
        <w:jc w:val="both"/>
        <w:rPr>
          <w:bCs/>
        </w:rPr>
      </w:pPr>
      <w:r w:rsidRPr="00B80A63">
        <w:rPr>
          <w:bCs/>
        </w:rPr>
        <w:t>Non-Linear Features</w:t>
      </w:r>
    </w:p>
    <w:p w14:paraId="15F970EB" w14:textId="6998224B" w:rsidR="00B90326" w:rsidRPr="006A0C99" w:rsidRDefault="00B90326" w:rsidP="00B90326">
      <w:pPr>
        <w:spacing w:line="360" w:lineRule="auto"/>
        <w:jc w:val="both"/>
      </w:pPr>
      <w:r w:rsidRPr="006A0C99">
        <w:t xml:space="preserve">         Non-linear methods are effective for capturing EEG's dynamic complexity and chaotic behavior, quantifying the unpredictability and abrupt changes in brain activity caused by physiological phenomena </w:t>
      </w:r>
      <w:r w:rsidRPr="006A0C99">
        <w:fldChar w:fldCharType="begin"/>
      </w:r>
      <w:r w:rsidR="00515808">
        <w:instrText xml:space="preserve"> ADDIN ZOTERO_ITEM CSL_CITATION {"citationID":"teqH8uLE","properties":{"formattedCitation":"(22,23)","plainCitation":"(22,23)","noteIndex":0},"citationItems":[{"id":1972,"uris":["http://zotero.org/users/7269506/items/9FYTLQY9"],"itemData":{"id":1972,"type":"article-journal","abstract":"EEG signals are non-stationary, complex and non-linear signals. During major depressive disorder (MDD) or depression, any deterioration in the brain function is reflected in the EEG signals. In this paper, linear features (band power, inter hemispheric asymmetry) and non-linear features [relative wavelet energy (RWE) and wavelet entropy (WE)] and combination of linear and non-linear features were used to classify depression patients and healthy individuals. In this analysis the data set used is publicly available data set contributed by Mumtaz et al. (Biomed Signal Process Control 31:108–115, 2017b). The dataset consisted of 34 MDD patients and 30 healthy individuals. The classifiers used were multi layered perceptron neural network (MLPNN), radial basis function network (RBFN), linear discriminant analysis (LDA) and quadratic discriminant analysis. When linear feature was used, highest classification accuracy of 91.67% was obtained by alpha power with MLPNN classifier. When non-linear feature was used, both RWE and WE provided highest classification accuracy of 90% with RBFN and LDA classifier, respectively. The highest classification of 93.33% was achieved when combining linear and non-linear feature, i.e., combination alpha power and RWE with MLPNN as well as RBFN classifier. This paper also showed that the combination of non-linear features, i.e., RWE and WE also performed the best with highest classification accuracy of 93.33%. The study compared the accuracy, sensitivity and specificity of different classifiers along with linear and non-linear features and combination of both. The results indicated that combination alpha power and RWE showed the highest classification 93.33% accuracy in all the applied classifiers.","container-title":"Microsystem Technologies","DOI":"10.1007/s00542-018-4075-z","ISSN":"1432-1858","issue":"3","journalAbbreviation":"Microsyst Technol","language":"en","page":"1065-1076","source":"Springer Link","title":"Detection of major depressive disorder using linear and non-linear features from EEG signals","volume":"25","author":[{"family":"Mahato","given":"Shalini"},{"family":"Paul","given":"Sanchita"}],"issued":{"date-parts":[["2019",3,1]]}}},{"id":1978,"uris":["http://zotero.org/users/7269506/items/LDL6YTAW"],"itemData":{"id":1978,"type":"article-journal","container-title":"Applied Mathematics &amp; Information Sciences","DOI":"10.12785/amis/090512","page":"1-13","title":"Analysis of EEG signals using nonlinear dynamics and chaos: A review","volume":"9","author":[{"family":"Rodríguez-Bermúdez","given":"Germán"},{"family":"García Laencina","given":"Pedro"}],"issued":{"date-parts":[["2015",1]]}}}],"schema":"https://github.com/citation-style-language/schema/raw/master/csl-citation.json"} </w:instrText>
      </w:r>
      <w:r w:rsidRPr="006A0C99">
        <w:fldChar w:fldCharType="separate"/>
      </w:r>
      <w:r w:rsidR="00515808" w:rsidRPr="00515808">
        <w:rPr>
          <w:rFonts w:cs="Times New Roman"/>
        </w:rPr>
        <w:t>(22,23)</w:t>
      </w:r>
      <w:r w:rsidRPr="006A0C99">
        <w:fldChar w:fldCharType="end"/>
      </w:r>
      <w:r w:rsidRPr="006A0C99">
        <w:t xml:space="preserve">. Several non-linear methods are relevant to this review, including </w:t>
      </w:r>
      <w:r w:rsidRPr="00DC4C0A">
        <w:rPr>
          <w:bCs/>
        </w:rPr>
        <w:t>Permutation Entropy (PE)</w:t>
      </w:r>
      <w:r w:rsidRPr="006A0C99">
        <w:t xml:space="preserve">, which converts an EEG time series into a sequence of ordinal patterns, representing the order relationships between current and equidistant past values. For normalization, PE values are divided by log(m!) and are dimensionless, ranging from 0 to 1 </w:t>
      </w:r>
      <w:r w:rsidRPr="006A0C99">
        <w:fldChar w:fldCharType="begin"/>
      </w:r>
      <w:r w:rsidR="00515808">
        <w:instrText xml:space="preserve"> ADDIN ZOTERO_ITEM CSL_CITATION {"citationID":"PCQ3Ikqq","properties":{"formattedCitation":"(24)","plainCitation":"(24)","noteIndex":0},"citationItems":[{"id":1872,"uris":["http://zotero.org/users/7269506/items/J9TBDNLY"],"itemData":{"id":1872,"type":"article-journal","abstract":"Predicting the therapeutic result of repetitive transcranial magnetic stimulation (rTMS) treatment could save time and costs as ineffective treatment can be avoided. To this end, we presented a machine-learning-based strategy for classifying patients with major depression disorder (MDD) into responders (R) and nonresponders (NR) to rTMS treatment. Resting state EEG data were recorded using 32 electrodes from 88 MDD patients before treatment. Then, patients underwent 7 weeks of rTMS, and 46 of them responded to treatment. By applying Independent Component Analysis (ICA) on EEG, we identified the relevant brain sources as possible indicators of neural activity in the dorsolateral prefrontal cortex (DLPFC). This was served through estimating the generators of activity in the sensor domain. Subsequently, we added physiological information and placed certain terms and conditions to offer a far more realistic estimation than the classic EEG. Ultimately, those components mapped in accordance with the region of the DLPFC in the sensor domain were chosen. Features extracted from the relevant ICs time series included permutation entropy (PE), fractal dimension (FD), Lempel-Ziv Complexity (LZC), power spectral density, correlation dimension (CD), features based on bispectrum, frontal and prefrontal cordance, and a combination of them. The most relevant features were selected by a Genetic Algorithm (GA). For classifying two groups of R and NR, K-Nearest Neighbor (KNN), Support Vector Machine (SVM), and Multilayer Perceptron (MLP) were applied to predict rTMS treatment response. To evaluate the performance of classifiers, a 10-fold cross-validation method was employed. A statistical test was used to assess the capability of features in differentiating R and NR for further research. EEG characteristics that can predict rTMS treatment response were discovered. The strongest discriminative indicators were EEG beta power, the sum of bispectrum diagonal elements in delta and beta bands, and CD. The Combined feature vector classified R and NR with a high performance of 94.31% accuracy, 92.85% specificity, 95.65% sensitivity, and 92.85% precision using SVM. This result indicates that our proposed method with power and nonlinear and bispectral features from relevant ICs time-series can predict the treatment outcome of rTMS for MDD patients only by one session pretreatment EEG recording. The obtained results show that the proposed method outperforms previous methods.","container-title":"Frontiers in Systems Neuroscience","DOI":"10.3389/fnsys.2023.919977","ISSN":"1662-5137","journalAbbreviation":"Front. Syst. Neurosci.","language":"en","page":"919977","source":"DOI.org (Crossref)","title":"Machine learning approaches and non-linear processing of extracted components in frontal region to predict rTMS treatment response in major depressive disorder","volume":"17","author":[{"family":"Ebrahimzadeh","given":"Elias"},{"family":"Fayaz","given":"Farahnaz"},{"family":"Rajabion","given":"Lila"},{"family":"Seraji","given":"Masoud"},{"family":"Aflaki","given":"Fatemeh"},{"family":"Hammoud","given":"Ahmad"},{"family":"Taghizadeh","given":"Zahra"},{"family":"Asgarinejad","given":"Mostafa"},{"family":"Soltanian-Zadeh","given":"Hamid"}],"issued":{"date-parts":[["2023",3,9]]}}}],"schema":"https://github.com/citation-style-language/schema/raw/master/csl-citation.json"} </w:instrText>
      </w:r>
      <w:r w:rsidRPr="006A0C99">
        <w:fldChar w:fldCharType="separate"/>
      </w:r>
      <w:r w:rsidR="00515808" w:rsidRPr="00515808">
        <w:rPr>
          <w:rFonts w:cs="Times New Roman"/>
        </w:rPr>
        <w:t>(24)</w:t>
      </w:r>
      <w:r w:rsidRPr="006A0C99">
        <w:fldChar w:fldCharType="end"/>
      </w:r>
      <w:r w:rsidRPr="006A0C99">
        <w:t xml:space="preserve">. Another is </w:t>
      </w:r>
      <w:r w:rsidRPr="00DC4C0A">
        <w:rPr>
          <w:bCs/>
        </w:rPr>
        <w:t>Fractal Dimension (FD),</w:t>
      </w:r>
      <w:r w:rsidRPr="006A0C99">
        <w:t xml:space="preserve"> a metric used to quantify the self-similarity and complexity of EEG signals, helping to characterize the geometric complexity of brain activity </w:t>
      </w:r>
      <w:r w:rsidRPr="006A0C99">
        <w:fldChar w:fldCharType="begin"/>
      </w:r>
      <w:r w:rsidR="00515808">
        <w:instrText xml:space="preserve"> ADDIN ZOTERO_ITEM CSL_CITATION {"citationID":"LH0jgAnh","properties":{"formattedCitation":"(25)","plainCitation":"(25)","noteIndex":0},"citationItems":[{"id":1982,"uris":["http://zotero.org/users/7269506/items/YA8PTTKN"],"itemData":{"id":1982,"type":"article-journal","abstract":"Electroencephalogram (EEG) traces corresponding to different physiopathological conditions can be characterized by their fractal dimension, which is a measure of the signal complexity. Generally this dimension is evaluated in the phase space by means of the attractor dimension or other correlated parameters. Nevertheless, to obtain reliable values, long duration intervals are needed and consequently only long-term events can be analysed; also much calculation time is required. To analyse events of brief duration in real-time mode and to apply the results obtained directly in the time domain, thus providing an easier interpretation of fractal dimension behaviour, in this work we optimize and propose a new method for evaluating the fractal dimension. Moreover, we study the robustness of this evaluation in the presence of white or line noises and compare the results with those obtained with conventional spectral methods. The non-linear analysis carried out allows us to investigate relevant EEG events shorter than those detectable by means of other linear and non-linear techniques, thus achieving a better temporal resolution. An interesting link between the spectral distribution and the fractal dimension value is also pointed out.","container-title":"Biological Cybernetics","DOI":"10.1007/s004220050394","ISSN":"1432-0770","issue":"5","journalAbbreviation":"Biol Cybern","language":"en","page":"339-350","source":"Springer Link","title":"Use of the fractal dimension for the analysis of electroencephalographic time series","volume":"77","author":[{"family":"Accardo","given":"A."},{"family":"Affinito","given":"M."},{"family":"Carrozzi","given":"M."},{"family":"Bouquet","given":"F."}],"issued":{"date-parts":[["1997",11,1]]}}}],"schema":"https://github.com/citation-style-language/schema/raw/master/csl-citation.json"} </w:instrText>
      </w:r>
      <w:r w:rsidRPr="006A0C99">
        <w:fldChar w:fldCharType="separate"/>
      </w:r>
      <w:r w:rsidR="00515808" w:rsidRPr="00515808">
        <w:rPr>
          <w:rFonts w:cs="Times New Roman"/>
        </w:rPr>
        <w:t>(25)</w:t>
      </w:r>
      <w:r w:rsidRPr="006A0C99">
        <w:fldChar w:fldCharType="end"/>
      </w:r>
      <w:r w:rsidRPr="006A0C99">
        <w:t xml:space="preserve">. </w:t>
      </w:r>
      <w:r w:rsidRPr="00DC4C0A">
        <w:rPr>
          <w:bCs/>
        </w:rPr>
        <w:t>Lempel-Ziv Complexity (LZC)</w:t>
      </w:r>
      <w:r w:rsidRPr="006A0C99">
        <w:t xml:space="preserve">, a method that quantifies the complexity of the EEG signal based on its compressibility, reflects the randomness of the signal and has been widely applied in neurophysiological studies </w:t>
      </w:r>
      <w:r w:rsidRPr="006A0C99">
        <w:fldChar w:fldCharType="begin"/>
      </w:r>
      <w:r w:rsidR="00515808">
        <w:instrText xml:space="preserve"> ADDIN ZOTERO_ITEM CSL_CITATION {"citationID":"b5Ugn2Wx","properties":{"formattedCitation":"(26,27)","plainCitation":"(26,27)","noteIndex":0},"citationItems":[{"id":1989,"uris":["http://zotero.org/users/7269506/items/GM38B4DZ"],"itemData":{"id":1989,"type":"article-journal","abstract":"Objective: The neurodevelopmental–neurodegenerative debate is a basic issue in the ﬁeld of the neuropathological basis of schizophrenia (SCH). Neurophysiological techniques have been scarcely involved in such debate, but nonlinear analysis methods may contribute to it.\nMethods: Fifteen patients (age range 23–42 years) matching DSM IV-TR criteria for SCH, and 15 sex- and age-matched control subjects (age range 23–42 years) underwent a resting-state magnetoencephalographic evaluation and Lempel–Ziv complexity (LZC) scores were calculated.\nResults: Regression analyses indicated that LZC values were strongly dependent on age. Complexity scores increased as a function of age in controls, while SCH patients exhibited a progressive reduction of LZC values. A logistic model including LZC scores, age and the interaction of both variables allowed the classiﬁcation of patients and controls with high sensitivity and speciﬁcity.\nConclusions: Results demonstrated that SCH patients failed to follow the ‘‘normal’’ process of complexity increase as a function of age. In addition, SCH patients exhibited a signiﬁcant reduction of complexity scores as a function of age, thus paralleling the pattern observed in neurodegenerative diseases.","container-title":"Clinical Neurophysiology","DOI":"10.1016/j.clinph.2011.04.011","ISSN":"13882457","issue":"11","journalAbbreviation":"Clinical Neurophysiology","language":"en","license":"https://www.elsevier.com/tdm/userlicense/1.0/","page":"2227-2235","source":"DOI.org (Crossref)","title":"Lempel–Ziv complexity in schizophrenia: A MEG study","title-short":"Lempel–Ziv complexity in schizophrenia","volume":"122","author":[{"family":"Fernández","given":"Alberto"},{"family":"López-Ibor","given":"María-Inés"},{"family":"Turrero","given":"Agustín"},{"family":"Santos","given":"Juan-Matías"},{"family":"Morón","given":"María-Dolores"},{"family":"Hornero","given":"Roberto"},{"family":"Gómez","given":"Carlos"},{"family":"Méndez","given":"María Andreina"},{"family":"Ortiz","given":"Tomás"},{"family":"López-Ibor","given":"Juan José"}],"issued":{"date-parts":[["2011",11]]}}},{"id":1988,"uris":["http://zotero.org/users/7269506/items/58GC8SLR"],"itemData":{"id":1988,"type":"article-journal","container-title":"IEEE Transactions on Information Theory","DOI":"10.1109/TIT.1976.1055501","ISSN":"0018-9448","issue":"1","journalAbbreviation":"IEEE Trans. Inform. Theory","language":"en","license":"https://ieeexplore.ieee.org/Xplorehelp/downloads/license-information/IEEE.html","page":"75-81","source":"DOI.org (Crossref)","title":"On the Complexity of Finite Sequences","volume":"22","author":[{"family":"Lempel","given":"A."},{"family":"Ziv","given":"J."}],"issued":{"date-parts":[["1976",1]]}}}],"schema":"https://github.com/citation-style-language/schema/raw/master/csl-citation.json"} </w:instrText>
      </w:r>
      <w:r w:rsidRPr="006A0C99">
        <w:fldChar w:fldCharType="separate"/>
      </w:r>
      <w:r w:rsidR="00515808" w:rsidRPr="00515808">
        <w:rPr>
          <w:rFonts w:cs="Times New Roman"/>
        </w:rPr>
        <w:t>(26,27)</w:t>
      </w:r>
      <w:r w:rsidRPr="006A0C99">
        <w:fldChar w:fldCharType="end"/>
      </w:r>
      <w:r w:rsidRPr="006A0C99">
        <w:t xml:space="preserve">. </w:t>
      </w:r>
      <w:r w:rsidRPr="00DC4C0A">
        <w:rPr>
          <w:bCs/>
        </w:rPr>
        <w:t>Katz's Fractal Dimension (KFD)</w:t>
      </w:r>
      <w:r w:rsidRPr="006A0C99">
        <w:t xml:space="preserve"> quantifies the complexity of time series data by calculating the distance between consecutive points, providing a measure of the signal's irregularity. This method has been widely applied across various fields to capture the intricate patterns and variability in data </w:t>
      </w:r>
      <w:r w:rsidRPr="006A0C99">
        <w:rPr>
          <w:color w:val="FF0000"/>
        </w:rPr>
        <w:fldChar w:fldCharType="begin"/>
      </w:r>
      <w:r w:rsidR="00515808">
        <w:rPr>
          <w:color w:val="FF0000"/>
        </w:rPr>
        <w:instrText xml:space="preserve"> ADDIN ZOTERO_ITEM CSL_CITATION {"citationID":"bSarpNjh","properties":{"formattedCitation":"(28)","plainCitation":"(28)","noteIndex":0},"citationItems":[{"id":1990,"uris":["http://zotero.org/users/7269506/items/CFDXKI2Z"],"itemData":{"id":1990,"type":"article-journal","abstract":"The Katz fractal dimension (KFD) is an effective nonlinear dynamic metric that characterizes the complexity of time series by calculating the distance between two consecutive points and has seen widespread applications across numerous fields. However, KFD is limited to depicting the complexity of information from a single scale and ignores the information buried under different scales. To tackle this limitation, we proposed the variable-step multiscale KFD (VSMKFD) by introducing a variable-step multiscale process in KFD. The proposed VSMKFD overcomes the disadvantage that the traditional coarse-grained process will shorten the length of the time series by varying the step size to obtain more sub-series, thus fully reflecting the complexity of information. Three simulated experimental results show that the VSMKFD is the most sensitive to the frequency changes of a chirp signal and has the best classification effect on noise signals and chaotic signals. Moreover, the VSMKFD outperforms five other commonly used nonlinear dynamic metrics for ship-radiated noise classification from two different databases: the National Park Service and DeepShip.","container-title":"Fractal and Fractional","DOI":"10.3390/fractalfract8010009","ISSN":"2504-3110","issue":"1","language":"en","license":"http://creativecommons.org/licenses/by/3.0/","note":"number: 1\npublisher: Multidisciplinary Digital Publishing Institute","page":"9","source":"www.mdpi.com","title":"Variable-Step Multiscale Katz Fractal Dimension: A New Nonlinear Dynamic Metric for Ship-Radiated Noise Analysis","title-short":"Variable-Step Multiscale Katz Fractal Dimension","volume":"8","author":[{"family":"Li","given":"Yuxing"},{"family":"Zhou","given":"Yuhan"},{"family":"Jiao","given":"Shangbin"}],"issued":{"date-parts":[["2024",1]]}}}],"schema":"https://github.com/citation-style-language/schema/raw/master/csl-citation.json"} </w:instrText>
      </w:r>
      <w:r w:rsidRPr="006A0C99">
        <w:rPr>
          <w:color w:val="FF0000"/>
        </w:rPr>
        <w:fldChar w:fldCharType="separate"/>
      </w:r>
      <w:r w:rsidR="00515808" w:rsidRPr="00515808">
        <w:rPr>
          <w:rFonts w:cs="Times New Roman"/>
        </w:rPr>
        <w:t>(28)</w:t>
      </w:r>
      <w:r w:rsidRPr="006A0C99">
        <w:rPr>
          <w:color w:val="FF0000"/>
        </w:rPr>
        <w:fldChar w:fldCharType="end"/>
      </w:r>
      <w:r w:rsidRPr="006A0C99">
        <w:t xml:space="preserve">. Finally, </w:t>
      </w:r>
      <w:r w:rsidRPr="00DC4C0A">
        <w:rPr>
          <w:bCs/>
        </w:rPr>
        <w:t>Current Density (CD)</w:t>
      </w:r>
      <w:r w:rsidRPr="006A0C99">
        <w:t xml:space="preserve">, also called </w:t>
      </w:r>
      <w:r w:rsidRPr="00DC4C0A">
        <w:rPr>
          <w:bCs/>
        </w:rPr>
        <w:t xml:space="preserve">current source density (CSD) </w:t>
      </w:r>
      <w:r w:rsidRPr="006A0C99">
        <w:t xml:space="preserve">refers to a method of analyzing EEG data by estimating the neural activity originating from specific brain regions (the 'sources') rather than directly interpreting the signals recorded at the scalp electrodes (sensor-level data) </w:t>
      </w:r>
      <w:r w:rsidRPr="006A0C99">
        <w:fldChar w:fldCharType="begin"/>
      </w:r>
      <w:r w:rsidR="00515808">
        <w:instrText xml:space="preserve"> ADDIN ZOTERO_ITEM CSL_CITATION {"citationID":"6jZQ5DKl","properties":{"formattedCitation":"(29)","plainCitation":"(29)","noteIndex":0},"citationItems":[{"id":1970,"uris":["http://zotero.org/users/7269506/items/E96BW649"],"itemData":{"id":1970,"type":"article-journal","abstract":"Objective: Electroencephalography (EEG) is an important tool for studying the temporal dynamics of the human brain's large-scale neuronal circuits. However, most EEG applications fail to capitalize on all of the data's available information, particularly that concerning the location of active sources in the brain. Localizing the sources of a given scalp measurement is only achieved by solving the so-called inverse problem. By introducing reasonable a priori constraints, the inverse problem can be solved and the most probable sources in the brain at every moment in time can be accurately localized. Methods and Results: Here, we review the different EEG source localization procedures applied during the last two decades. Additionally, we detail the importance of those procedures preceding and following source estimation that are intimately linked to a successful, reliable result. We discuss (1) the number and positioning of electrodes, (2) the varieties of inverse solution models and algorithms, (3) the integration of EEG source estimations with MRI data, (4) the integration of time and frequency in source imaging, and (5) the statistical analysis of inverse solution results. Conclusions and Significance: We show that modern EEG source imaging simultaneously details the temporal and spatial dimensions of brain activity, making it an important and affordable tool to study the properties of cerebral, neural networks in cognitive and clinical neurosciences.","container-title":"Clinical Neurophysiology","DOI":"10.1016/j.clinph.2004.06.001","ISSN":"1388-2457","issue":"10","journalAbbreviation":"Clinical Neurophysiology","page":"2195-2222","source":"ScienceDirect","title":"EEG source imaging","volume":"115","author":[{"family":"Michel","given":"Christoph M."},{"family":"Murray","given":"Micah M."},{"family":"Lantz","given":"Göran"},{"family":"Gonzalez","given":"Sara"},{"family":"Spinelli","given":"Laurent"},{"family":"Grave de Peralta","given":"Rolando"}],"issued":{"date-parts":[["2004",10,1]]}}}],"schema":"https://github.com/citation-style-language/schema/raw/master/csl-citation.json"} </w:instrText>
      </w:r>
      <w:r w:rsidRPr="006A0C99">
        <w:fldChar w:fldCharType="separate"/>
      </w:r>
      <w:r w:rsidR="00515808" w:rsidRPr="00515808">
        <w:rPr>
          <w:rFonts w:cs="Times New Roman"/>
        </w:rPr>
        <w:t>(29)</w:t>
      </w:r>
      <w:r w:rsidRPr="006A0C99">
        <w:fldChar w:fldCharType="end"/>
      </w:r>
      <w:r w:rsidRPr="006A0C99">
        <w:t xml:space="preserve">. This approach maps the electrical activity detected at the scalp to the brain regions responsible for generating it, providing a more anatomically precise view of brain function </w:t>
      </w:r>
      <w:r w:rsidRPr="006A0C99">
        <w:fldChar w:fldCharType="begin"/>
      </w:r>
      <w:r w:rsidR="00515808">
        <w:instrText xml:space="preserve"> ADDIN ZOTERO_ITEM CSL_CITATION {"citationID":"DyPywGkl","properties":{"formattedCitation":"(30)","plainCitation":"(30)","noteIndex":0},"citationItems":[{"id":1967,"uris":["http://zotero.org/users/7269506/items/95MMDVSX"],"itemData":{"id":1967,"type":"article-journal","abstract":"Cortical source analysis of electroencephalographic (EEG) signals has become an important tool in the analysis of brain activity. The aim of source analysis is to reconstruct the cortical generators (sources) of the EEG signal recorded on the scalp. The quality of the source reconstruction relies on the accuracy of the forward problem, and consequently the inverse problem. An accurate forward solution is obtained when an appropriate imaging modality (i.e., structural magnetic resonance imaging – MRI) is used to describe the head geometry, precise electrode locations are identified with 3D maps of the sensor positions on the scalp, and realistic conductivity values are determined for each tissue type of the head model. Together these parameters contribute to the definition of realistic head models. Here, we describe the steps necessary to reconstruct the cortical generators of the EEG signal recorded on the scalp. We provide an example of source reconstruction of event-related potentials (ERPs) during a face-processing task performed by a 6-month-old infant. We discuss the adjustments necessary to perform source analysis with measures different from the ERPs. The proposed pipeline can be applied to the investigation of different cognitive tasks in both younger and older participants.","container-title":"Developmental Cognitive Neuroscience","DOI":"10.1016/j.dcn.2022.101092","ISSN":"1878-9293","journalAbbreviation":"Developmental Cognitive Neuroscience","page":"101092","source":"ScienceDirect","title":"Cortical Source Analysis of Event-Related Potentials: A Developmental Approach","title-short":"Cortical Source Analysis of Event-Related Potentials","volume":"54","author":[{"family":"Conte","given":"Stefania"},{"family":"Richards","given":"John E."}],"issued":{"date-parts":[["2022",4,1]]}}}],"schema":"https://github.com/citation-style-language/schema/raw/master/csl-citation.json"} </w:instrText>
      </w:r>
      <w:r w:rsidRPr="006A0C99">
        <w:fldChar w:fldCharType="separate"/>
      </w:r>
      <w:r w:rsidR="00515808" w:rsidRPr="00515808">
        <w:rPr>
          <w:rFonts w:cs="Times New Roman"/>
        </w:rPr>
        <w:t>(30)</w:t>
      </w:r>
      <w:r w:rsidRPr="006A0C99">
        <w:fldChar w:fldCharType="end"/>
      </w:r>
      <w:r w:rsidRPr="006A0C99">
        <w:t xml:space="preserve">, which utilizes mathematical </w:t>
      </w:r>
      <w:r w:rsidRPr="006A0C99">
        <w:lastRenderedPageBreak/>
        <w:t xml:space="preserve">algorithms to transform scalp-recorded EEG signals into estimates of radial current flow at the scalp </w:t>
      </w:r>
      <w:r w:rsidRPr="006A0C99">
        <w:fldChar w:fldCharType="begin"/>
      </w:r>
      <w:r w:rsidR="00515808">
        <w:instrText xml:space="preserve"> ADDIN ZOTERO_ITEM CSL_CITATION {"citationID":"FeJVOTCk","properties":{"formattedCitation":"(31)","plainCitation":"(31)","noteIndex":0},"citationItems":[{"id":1960,"uris":["http://zotero.org/users/7269506/items/7LJIZUBM"],"itemData":{"id":1960,"type":"article-journal","container-title":"International journal of psychophysiology : official journal of the International Organization of Psychophysiology","DOI":"10.1016/j.ijpsycho.2015.06.001","issue":"3","language":"en","note":"PMID: 26071227","page":"171","source":"pmc.ncbi.nlm.nih.gov","title":"On the benefits of using surface Laplacian (Current Source Density) methodology in electrophysiology","volume":"97","author":[{"family":"Kayser","given":"Jürgen"},{"family":"Tenke","given":"Craig E."}],"issued":{"date-parts":[["2015",6,10]]}}}],"schema":"https://github.com/citation-style-language/schema/raw/master/csl-citation.json"} </w:instrText>
      </w:r>
      <w:r w:rsidRPr="006A0C99">
        <w:fldChar w:fldCharType="separate"/>
      </w:r>
      <w:r w:rsidR="00515808" w:rsidRPr="00515808">
        <w:rPr>
          <w:rFonts w:cs="Times New Roman"/>
        </w:rPr>
        <w:t>(31)</w:t>
      </w:r>
      <w:r w:rsidRPr="006A0C99">
        <w:fldChar w:fldCharType="end"/>
      </w:r>
      <w:r w:rsidRPr="006A0C99">
        <w:t xml:space="preserve">. The sign of these estimates indicates the direction of the radial currents, with positive values representing current flow from the brain towards the scalp (sources), and negative values representing current flow from the scalp into the brain (sinks) </w:t>
      </w:r>
      <w:r w:rsidRPr="006A0C99">
        <w:fldChar w:fldCharType="begin"/>
      </w:r>
      <w:r w:rsidR="00515808">
        <w:instrText xml:space="preserve"> ADDIN ZOTERO_ITEM CSL_CITATION {"citationID":"3Amxi2jc","properties":{"formattedCitation":"(32)","plainCitation":"(32)","noteIndex":0},"citationItems":[{"id":1966,"uris":["http://zotero.org/users/7269506/items/GVBFSBWQ"],"itemData":{"id":1966,"type":"book","publisher":"Oxford University Press, USA","title":"Electric fields of the brain: the neurophysics of EEG","author":[{"family":"Nunez","given":"Paul L"},{"family":"Srinivasan","given":"Ramesh"}],"issued":{"date-parts":[["2006"]]}}}],"schema":"https://github.com/citation-style-language/schema/raw/master/csl-citation.json"} </w:instrText>
      </w:r>
      <w:r w:rsidRPr="006A0C99">
        <w:fldChar w:fldCharType="separate"/>
      </w:r>
      <w:r w:rsidR="00515808" w:rsidRPr="00515808">
        <w:rPr>
          <w:rFonts w:cs="Times New Roman"/>
        </w:rPr>
        <w:t>(32)</w:t>
      </w:r>
      <w:r w:rsidRPr="006A0C99">
        <w:fldChar w:fldCharType="end"/>
      </w:r>
      <w:r w:rsidRPr="006A0C99">
        <w:t xml:space="preserve">. This is positively correlated with glucose metabolism, providing insights into brain function at a metabolic level </w:t>
      </w:r>
      <w:r w:rsidRPr="006A0C99">
        <w:fldChar w:fldCharType="begin"/>
      </w:r>
      <w:r w:rsidR="00515808">
        <w:instrText xml:space="preserve"> ADDIN ZOTERO_ITEM CSL_CITATION {"citationID":"komXb9yd","properties":{"formattedCitation":"(1)","plainCitation":"(1)","noteIndex":0},"citationItems":[{"id":1461,"uris":["http://zotero.org/users/7269506/items/VE9PTZ3N"],"itemData":{"id":1461,"type":"article-journal","abstract":"Electroencephalography (EEG) is a non-invasive method to identify markers of treatment response in major depressive disorder (MDD). In this review, existing literature was assessed to determine how EEG markers change with different modalities of MDD treatments, and to synthesize the breadth of EEG markers used in conjunction with MDD treatments. PubMed and EMBASE were searched from 2000 to 2021 for studies reporting resting EEG (rEEG) and transcranial magnetic stimulation combined with EEG (TMS-EEG) measures in patients undergoing MDD treatments. The search yielded 966 articles, 204 underwent full-text screening, and 51 studies were included for a narrative synthesis of findings along with confidence in the evidence. In rEEG studies, non-linear quantitative algorithms such as theta cordance and theta current density show higher predictive value than traditional linear metrics. Although less abundant, TMS-EEG measures show promise for predictive markers of brain stimulation treatment response. Future focus on TMS-EEG measures may prove fruitful, given its ability to target cortical regions of interest related to MDD.","container-title":"Frontiers in Human Neuroscience","DOI":"10.3389/fnhum.2022.940759","ISSN":"1662-5161","journalAbbreviation":"Front Hum Neurosci","note":"PMID: 35992942\nPMCID: PMC9387384","page":"940759","source":"PubMed Central","title":"Resting and TMS-EEG markers of treatment response in major depressive disorder: A systematic review","title-short":"Resting and TMS-EEG markers of treatment response in major depressive disorder","volume":"16","author":[{"family":"Strafella","given":"Rebecca"},{"family":"Chen","given":"Robert"},{"family":"Rajji","given":"Tarek K."},{"family":"Blumberger","given":"Daniel M."},{"family":"Voineskos","given":"Daphne"}],"issued":{"date-parts":[["2022",8,4]]}}}],"schema":"https://github.com/citation-style-language/schema/raw/master/csl-citation.json"} </w:instrText>
      </w:r>
      <w:r w:rsidRPr="006A0C99">
        <w:fldChar w:fldCharType="separate"/>
      </w:r>
      <w:r w:rsidR="00515808" w:rsidRPr="00515808">
        <w:rPr>
          <w:rFonts w:cs="Times New Roman"/>
        </w:rPr>
        <w:t>(1)</w:t>
      </w:r>
      <w:r w:rsidRPr="006A0C99">
        <w:fldChar w:fldCharType="end"/>
      </w:r>
      <w:r w:rsidRPr="006A0C99">
        <w:t>.</w:t>
      </w:r>
    </w:p>
    <w:p w14:paraId="1D6D9B00" w14:textId="77777777" w:rsidR="00B90326" w:rsidRPr="006A0C99" w:rsidRDefault="00B90326" w:rsidP="00B90326">
      <w:pPr>
        <w:rPr>
          <w:rFonts w:cs="Times New Roman"/>
          <w:szCs w:val="24"/>
        </w:rPr>
      </w:pPr>
    </w:p>
    <w:p w14:paraId="10E00840" w14:textId="77777777" w:rsidR="00B90326" w:rsidRPr="00B80A63" w:rsidRDefault="00B90326" w:rsidP="00B90326">
      <w:pPr>
        <w:pStyle w:val="Ttulo3"/>
        <w:numPr>
          <w:ilvl w:val="2"/>
          <w:numId w:val="23"/>
        </w:numPr>
        <w:spacing w:before="120" w:after="240" w:line="276" w:lineRule="auto"/>
        <w:jc w:val="both"/>
        <w:rPr>
          <w:bCs/>
        </w:rPr>
      </w:pPr>
      <w:r w:rsidRPr="00562AA8">
        <w:rPr>
          <w:bCs/>
        </w:rPr>
        <w:t>TMS evoked potential components</w:t>
      </w:r>
    </w:p>
    <w:p w14:paraId="7DA92A08" w14:textId="050CE53A" w:rsidR="00B90326" w:rsidRDefault="00B90326" w:rsidP="00B90326">
      <w:pPr>
        <w:spacing w:line="360" w:lineRule="auto"/>
        <w:ind w:firstLine="720"/>
        <w:jc w:val="both"/>
      </w:pPr>
      <w:r w:rsidRPr="00C039F3">
        <w:t xml:space="preserve">TEPs are EEG responses to TMS averaged in the time domain </w:t>
      </w:r>
      <w:r>
        <w:fldChar w:fldCharType="begin"/>
      </w:r>
      <w:r w:rsidR="00515808">
        <w:instrText xml:space="preserve"> ADDIN ZOTERO_ITEM CSL_CITATION {"citationID":"8FqpFbIN","properties":{"formattedCitation":"(33)","plainCitation":"(33)","noteIndex":0},"citationItems":[{"id":2001,"uris":["http://zotero.org/users/7269506/items/XE86Z888"],"itemData":{"id":2001,"type":"article-journal","abstract":"Navigated transcranial magnetic stimulation combined with electroencephalography (nTMS-EEG), allows noninvasive studies of cortical excitability and connectivity in humans. We investigated the reproducibility of nTMS-EEG in seven healthy subjects by repeating left motor and prefrontal cortical stimulation with a 1-week interval. TMS was applied at three intensities: 90, 100, and 110% of subjects' motor threshold (MT). The TMS-compatible neuronavigation system guaranteed precise repositioning of the stimulation coil. The responses were recorded by a 60-channel whole head TMS-compatible EEG amplifier. A high overall reproducibility (r &gt; 0.80) was evident in nTMS-EEG responses over both hemispheres for both motor and prefrontal cortical stimulation. The results suggest that nTMS-EEG is a reliable tool for studies investigating cortical excitability changes in the test-retest designs.","container-title":"Human Brain Mapping","DOI":"10.1002/hbm.20608","ISSN":"1097-0193","issue":"4","journalAbbreviation":"Hum Brain Mapp","language":"eng","note":"PMID: 18537115\nPMCID: PMC6870729","page":"1387-1396","source":"PubMed","title":"Reproducibility of TMS-Evoked EEG responses","volume":"30","author":[{"family":"Lioumis","given":"Pantelis"},{"family":"Kicić","given":"Dubravko"},{"family":"Savolainen","given":"Petri"},{"family":"Mäkelä","given":"Jyrki P."},{"family":"Kähkönen","given":"Seppo"}],"issued":{"date-parts":[["2009",4]]}}}],"schema":"https://github.com/citation-style-language/schema/raw/master/csl-citation.json"} </w:instrText>
      </w:r>
      <w:r>
        <w:fldChar w:fldCharType="separate"/>
      </w:r>
      <w:r w:rsidR="00515808" w:rsidRPr="00515808">
        <w:rPr>
          <w:rFonts w:cs="Times New Roman"/>
        </w:rPr>
        <w:t>(33)</w:t>
      </w:r>
      <w:r>
        <w:fldChar w:fldCharType="end"/>
      </w:r>
      <w:r w:rsidRPr="00C039F3">
        <w:t xml:space="preserve">. These responses arise from the activation of cortical excitatory (glutamatergic) and inhibitory (GABAergic) neurotransmitter systems, resulting in distinct components or peaks that form the TEP signal </w:t>
      </w:r>
      <w:r>
        <w:fldChar w:fldCharType="begin"/>
      </w:r>
      <w:r w:rsidR="00515808">
        <w:instrText xml:space="preserve"> ADDIN ZOTERO_ITEM CSL_CITATION {"citationID":"JmXyAhXm","properties":{"formattedCitation":"(34)","plainCitation":"(34)","noteIndex":0},"citationItems":[{"id":1550,"uris":["http://zotero.org/users/7269506/items/GKF8332W"],"itemData":{"id":1550,"type":"article-journal","abstract":"Concurrency of transcranial magnetic stimulation with electroencephalography (TMS-EEG) technique is a powerful and challenging methodology for basic research and clinical applications. Aspects considered in experiments for effective TMS-EEG recordings and analysis, including artifact management, data analysis and interpretation and protocols. This review offers an extensive insight of TMS-EEG methodology in experimental and computational procedures.","DOI":"10.13140/RG.2.2.23310.37449","language":"en","note":"publisher: [object Object]","source":"DOI.org (Datacite)","title":"Understanding data analysis aspects of TMS-EEG in clinical study: a mini review and a case study with open dataset","title-short":"Understanding data analysis aspects of TMS-EEG in clinical study","URL":"https://rgdoi.net/10.13140/RG.2.2.23310.37449","author":[{"family":"Cheng","given":"Hua"}],"accessed":{"date-parts":[["2024",3,19]]},"issued":{"date-parts":[["2024"]]}}}],"schema":"https://github.com/citation-style-language/schema/raw/master/csl-citation.json"} </w:instrText>
      </w:r>
      <w:r>
        <w:fldChar w:fldCharType="separate"/>
      </w:r>
      <w:r w:rsidR="00515808" w:rsidRPr="00515808">
        <w:rPr>
          <w:rFonts w:cs="Times New Roman"/>
        </w:rPr>
        <w:t>(34)</w:t>
      </w:r>
      <w:r>
        <w:fldChar w:fldCharType="end"/>
      </w:r>
      <w:r w:rsidRPr="00C039F3">
        <w:t xml:space="preserve">. </w:t>
      </w:r>
      <w:r w:rsidRPr="00EF070C">
        <w:rPr>
          <w:szCs w:val="24"/>
        </w:rPr>
        <w:t xml:space="preserve">These voltage changes are recorded across electrodes within hundreds of milliseconds following the TMS pulse. Each TEP peak is defined by three key characteristics: its polarity (negative [N] or positive [P]), latency (in milliseconds, representing the time elapsed since the TMS pulse), and scalp distribution (indicating the peak's spatial location on the scalp) </w:t>
      </w:r>
      <w:r w:rsidRPr="00EF070C">
        <w:rPr>
          <w:szCs w:val="24"/>
        </w:rPr>
        <w:fldChar w:fldCharType="begin"/>
      </w:r>
      <w:r w:rsidR="00515808">
        <w:rPr>
          <w:szCs w:val="24"/>
        </w:rPr>
        <w:instrText xml:space="preserve"> ADDIN ZOTERO_ITEM CSL_CITATION {"citationID":"vh3n5d6h","properties":{"formattedCitation":"(35\\uc0\\u8211{}37)","plainCitation":"(35–37)","noteIndex":0},"citationItems":[{"id":2014,"uris":["http://zotero.org/users/7269506/items/3S9P63R8"],"itemData":{"id":2014,"type":"article-journal","abstract":"Alpha-5 gamma-aminobutyric acid type A receptors (α5-GABAARs) are located extrasynaptically, regulate neuronal excitability through tonic inhibition, and are fundamentally important for processes such as plasticity and learning. For example, pharmacological blockade of α5-GABAAR in mice with ischemic stroke improved recovery of function by normalizing exaggerated perilesional α5-GABAAR-dependent tonic inhibition. S44819 is a novel competitive selective antagonist of the α5-GABAAR at the GABA-binding site. Pharmacological modulation of α5-GABAAR-mediated tonic inhibition has never been investigated in the human brain. Here, we used transcranial magnetic stimulation (TMS) to test the effects of a single oral dose of 50 and 100 mg of S44819 on electromyographic (EMG) and electroencephalographic (EEG) measures of cortical excitability in 18 healthy young adults in a randomized, double-blinded, placebo-controlled, crossover phase I study. A dose of 100 mg, but not 50 mg, of S44819 decreased active motor threshold, the intensity needed to produce a motor evoked potential of 0.5 mV, and the amplitude of the N45, a GABAAergic component of the TMS-evoked EEG response. The peak serum concentration of 100 mg S44819 correlated directly with the decrease in N45 amplitude. Short-interval intracortical inhibition, a TMS-EMG measure of synaptic GABAAergic inhibition, and other components of the TMS-evoked EEG response remained unaffected. These findings provide first time evidence that the specific α5-GABAAR antagonist S44819 reached human cortex to impose an increase in cortical excitability. These data warrant further development of S44819 in a human clinical trial to test its efficacy in enhancing recovery of function after ischemic stroke.\nSIGNIFICANCE STATEMENT: The extrasynaptic α-5 gamma-aminobutyric acid type A receptor (α5-GABAAR) regulates neuronal excitability through tonic inhibition in the mammalian brain. Tonic inhibition is important for many fundamental processes such as plasticity and learning. Pharmacological modulation of α5-GABAAR-mediated tonic inhibition has never been investigated in the human brain. This study demonstrates that S44819, a selective α5-GABAAR antagonist, increases cortical excitability in healthy human subjects, as indicated by specific markers of transcranial magnetic stimulation-induced muscle and brain responses measured by electromyography and electroencephalography. Our findings imply that tonic inhibition in human cortex can be modified effectively and that this modification can be quantified with noninvasive brain stimulation methods. The actions of S44819 may be suitable to improve plasticity and learning.","container-title":"The Journal of Neuroscience: The Official Journal of the Society for Neuroscience","DOI":"10.1523/JNEUROSCI.1689-16.2016","ISSN":"1529-2401","issue":"49","journalAbbreviation":"J Neurosci","language":"eng","note":"PMID: 27927951\nPMCID: PMC6601976","page":"12312-12320","source":"PubMed","title":"Effects of the Selective α5-GABAAR Antagonist S44819 on Excitability in the Human Brain: A TMS-EMG and TMS-EEG Phase I Study","title-short":"Effects of the Selective α5-GABAAR Antagonist S44819 on Excitability in the Human Brain","volume":"36","author":[{"family":"Darmani","given":"Ghazaleh"},{"family":"Zipser","given":"Carl M."},{"family":"Böhmer","given":"Gabriele M."},{"family":"Deschet","given":"Karine"},{"family":"Müller-Dahlhaus","given":"Florian"},{"family":"Belardinelli","given":"Paolo"},{"family":"Schwab","given":"Matthias"},{"family":"Ziemann","given":"Ulf"}],"issued":{"date-parts":[["2016",12,7]]}}},{"id":2004,"uris":["http://zotero.org/users/7269506/items/CMWN26IF"],"itemData":{"id":2004,"type":"article-journal","abstract":"OBJECTIVE: Intracortical inhibition (SICI) and facilitation (ICF) in the human motor cortex can be measured using a paired pulse transcranial magnetic stimulation (ppTMS) protocol. Recently, a technical device has been introduced, which allows recording electroencephalographic (EEG) responses to TMS of a given scalp site. The latency, amplitude and scalp topography of such responses are considered a reflection of cortico-cortical connectivity and functional state. The aim of the present study is to better characterize the neuronal circuits underlying motor cortex connectivity as well as the mechanisms regulating its balance between inhibition and facilitation by means of EEG navigated-ppTMS coregistration.\nMETHODS: Sub-threshold and supra-threshold single and ppTMS of the left primary motor cortex were carried out during a multi-channel EEG recording on 8 healthy volunteers; the between-pulse intervals used in the paired pulse trials were 3 (for SICI) and 11 ms (for ICF). Motor evoked potentials (MEPs) from the opposite hand were simultaneously recorded.\nRESULTS: Single and ppTMS induced EEG responses characterized by a sequence of negative deflections peaking at approximately 7, 18, 44, 100 and 280 ms alternated with positive peaks at approximately 13, 30, 60 and 190 ms post-TMS. Moreover, ppTMS modulated both EEG evoked activity and MEPs. Amplitude variability of EEG responses was correlated with - and therefore might partially explain - amplitude variability of MEPs.\nINTERPRETATION: EEG-ppTMS is a promising tool to better characterize the neuronal circuits underlying cortical effective connectivity as well as the mechanisms regulating the balance between inhibition and facilitation within the human cortices and the corticospinal pathway.","container-title":"NeuroImage","DOI":"10.1016/j.neuroimage.2010.07.056","ISSN":"1095-9572","issue":"1","journalAbbreviation":"Neuroimage","language":"eng","note":"PMID: 20682352","page":"90-102","source":"PubMed","title":"Human brain connectivity during single and paired pulse transcranial magnetic stimulation","volume":"54","author":[{"family":"Ferreri","given":"Florinda"},{"family":"Pasqualetti","given":"Patrizio"},{"family":"Määttä","given":"Sara"},{"family":"Ponzo","given":"David"},{"family":"Ferrarelli","given":"Fabio"},{"family":"Tononi","given":"Giulio"},{"family":"Mervaala","given":"Esa"},{"family":"Miniussi","given":"Carlo"},{"family":"Rossini","given":"Paolo Maria"}],"issued":{"date-parts":[["2011",1,1]]}}},{"id":2006,"uris":["http://zotero.org/users/7269506/items/DPYXWQJY"],"itemData":{"id":2006,"type":"article-journal","abstract":"The past decade has seen significant developments in the concurrent use of transcranial magnetic stimulation (TMS) and electroencephalography (EEG) to directly assess cortical network properties such as excitability and connectivity in humans. New ...","container-title":"Human Brain Mapping","DOI":"10.1002/hbm.22016","issue":"7","language":"en","note":"PMID: 22378543","page":"1652","source":"pmc.ncbi.nlm.nih.gov","title":"Assessing cortical network properties using TMS–EEG","volume":"34","author":[{"family":"Rogasch","given":"Nigel C."},{"family":"Fitzgerald","given":"Paul B."}],"issued":{"date-parts":[["2013",2,29]]}}}],"schema":"https://github.com/citation-style-language/schema/raw/master/csl-citation.json"} </w:instrText>
      </w:r>
      <w:r w:rsidRPr="00EF070C">
        <w:rPr>
          <w:szCs w:val="24"/>
        </w:rPr>
        <w:fldChar w:fldCharType="separate"/>
      </w:r>
      <w:r w:rsidR="00515808" w:rsidRPr="00515808">
        <w:rPr>
          <w:rFonts w:cs="Times New Roman"/>
        </w:rPr>
        <w:t>(35–37)</w:t>
      </w:r>
      <w:r w:rsidRPr="00EF070C">
        <w:rPr>
          <w:szCs w:val="24"/>
        </w:rPr>
        <w:fldChar w:fldCharType="end"/>
      </w:r>
      <w:r>
        <w:t xml:space="preserve">. </w:t>
      </w:r>
      <w:r w:rsidRPr="00C039F3">
        <w:t xml:space="preserve">TEPs recorded over the motor cortex and DLPFC show consistent, replicable peaks defined by their polarity and latency </w:t>
      </w:r>
      <w:r>
        <w:fldChar w:fldCharType="begin"/>
      </w:r>
      <w:r w:rsidR="00515808">
        <w:instrText xml:space="preserve"> ADDIN ZOTERO_ITEM CSL_CITATION {"citationID":"aYLqgapz","properties":{"formattedCitation":"(1)","plainCitation":"(1)","noteIndex":0},"citationItems":[{"id":1461,"uris":["http://zotero.org/users/7269506/items/VE9PTZ3N"],"itemData":{"id":1461,"type":"article-journal","abstract":"Electroencephalography (EEG) is a non-invasive method to identify markers of treatment response in major depressive disorder (MDD). In this review, existing literature was assessed to determine how EEG markers change with different modalities of MDD treatments, and to synthesize the breadth of EEG markers used in conjunction with MDD treatments. PubMed and EMBASE were searched from 2000 to 2021 for studies reporting resting EEG (rEEG) and transcranial magnetic stimulation combined with EEG (TMS-EEG) measures in patients undergoing MDD treatments. The search yielded 966 articles, 204 underwent full-text screening, and 51 studies were included for a narrative synthesis of findings along with confidence in the evidence. In rEEG studies, non-linear quantitative algorithms such as theta cordance and theta current density show higher predictive value than traditional linear metrics. Although less abundant, TMS-EEG measures show promise for predictive markers of brain stimulation treatment response. Future focus on TMS-EEG measures may prove fruitful, given its ability to target cortical regions of interest related to MDD.","container-title":"Frontiers in Human Neuroscience","DOI":"10.3389/fnhum.2022.940759","ISSN":"1662-5161","journalAbbreviation":"Front Hum Neurosci","note":"PMID: 35992942\nPMCID: PMC9387384","page":"940759","source":"PubMed Central","title":"Resting and TMS-EEG markers of treatment response in major depressive disorder: A systematic review","title-short":"Resting and TMS-EEG markers of treatment response in major depressive disorder","volume":"16","author":[{"family":"Strafella","given":"Rebecca"},{"family":"Chen","given":"Robert"},{"family":"Rajji","given":"Tarek K."},{"family":"Blumberger","given":"Daniel M."},{"family":"Voineskos","given":"Daphne"}],"issued":{"date-parts":[["2022",8,4]]}}}],"schema":"https://github.com/citation-style-language/schema/raw/master/csl-citation.json"} </w:instrText>
      </w:r>
      <w:r>
        <w:fldChar w:fldCharType="separate"/>
      </w:r>
      <w:r w:rsidR="00515808" w:rsidRPr="00515808">
        <w:rPr>
          <w:rFonts w:cs="Times New Roman"/>
        </w:rPr>
        <w:t>(1)</w:t>
      </w:r>
      <w:r>
        <w:fldChar w:fldCharType="end"/>
      </w:r>
      <w:r w:rsidRPr="00C039F3">
        <w:t xml:space="preserve">, which are linked to specific neurotransmitter receptor activities. For example, peaks within the first 30ms (P30) </w:t>
      </w:r>
      <w:r>
        <w:fldChar w:fldCharType="begin"/>
      </w:r>
      <w:r w:rsidR="00515808">
        <w:instrText xml:space="preserve"> ADDIN ZOTERO_ITEM CSL_CITATION {"citationID":"2xlgZkqH","properties":{"formattedCitation":"(36,37)","plainCitation":"(36,37)","noteIndex":0},"citationItems":[{"id":2004,"uris":["http://zotero.org/users/7269506/items/CMWN26IF"],"itemData":{"id":2004,"type":"article-journal","abstract":"OBJECTIVE: Intracortical inhibition (SICI) and facilitation (ICF) in the human motor cortex can be measured using a paired pulse transcranial magnetic stimulation (ppTMS) protocol. Recently, a technical device has been introduced, which allows recording electroencephalographic (EEG) responses to TMS of a given scalp site. The latency, amplitude and scalp topography of such responses are considered a reflection of cortico-cortical connectivity and functional state. The aim of the present study is to better characterize the neuronal circuits underlying motor cortex connectivity as well as the mechanisms regulating its balance between inhibition and facilitation by means of EEG navigated-ppTMS coregistration.\nMETHODS: Sub-threshold and supra-threshold single and ppTMS of the left primary motor cortex were carried out during a multi-channel EEG recording on 8 healthy volunteers; the between-pulse intervals used in the paired pulse trials were 3 (for SICI) and 11 ms (for ICF). Motor evoked potentials (MEPs) from the opposite hand were simultaneously recorded.\nRESULTS: Single and ppTMS induced EEG responses characterized by a sequence of negative deflections peaking at approximately 7, 18, 44, 100 and 280 ms alternated with positive peaks at approximately 13, 30, 60 and 190 ms post-TMS. Moreover, ppTMS modulated both EEG evoked activity and MEPs. Amplitude variability of EEG responses was correlated with - and therefore might partially explain - amplitude variability of MEPs.\nINTERPRETATION: EEG-ppTMS is a promising tool to better characterize the neuronal circuits underlying cortical effective connectivity as well as the mechanisms regulating the balance between inhibition and facilitation within the human cortices and the corticospinal pathway.","container-title":"NeuroImage","DOI":"10.1016/j.neuroimage.2010.07.056","ISSN":"1095-9572","issue":"1","journalAbbreviation":"Neuroimage","language":"eng","note":"PMID: 20682352","page":"90-102","source":"PubMed","title":"Human brain connectivity during single and paired pulse transcranial magnetic stimulation","volume":"54","author":[{"family":"Ferreri","given":"Florinda"},{"family":"Pasqualetti","given":"Patrizio"},{"family":"Määttä","given":"Sara"},{"family":"Ponzo","given":"David"},{"family":"Ferrarelli","given":"Fabio"},{"family":"Tononi","given":"Giulio"},{"family":"Mervaala","given":"Esa"},{"family":"Miniussi","given":"Carlo"},{"family":"Rossini","given":"Paolo Maria"}],"issued":{"date-parts":[["2011",1,1]]}}},{"id":2006,"uris":["http://zotero.org/users/7269506/items/DPYXWQJY"],"itemData":{"id":2006,"type":"article-journal","abstract":"The past decade has seen significant developments in the concurrent use of transcranial magnetic stimulation (TMS) and electroencephalography (EEG) to directly assess cortical network properties such as excitability and connectivity in humans. New ...","container-title":"Human Brain Mapping","DOI":"10.1002/hbm.22016","issue":"7","language":"en","note":"PMID: 22378543","page":"1652","source":"pmc.ncbi.nlm.nih.gov","title":"Assessing cortical network properties using TMS–EEG","volume":"34","author":[{"family":"Rogasch","given":"Nigel C."},{"family":"Fitzgerald","given":"Paul B."}],"issued":{"date-parts":[["2013",2,29]]}}}],"schema":"https://github.com/citation-style-language/schema/raw/master/csl-citation.json"} </w:instrText>
      </w:r>
      <w:r>
        <w:fldChar w:fldCharType="separate"/>
      </w:r>
      <w:r w:rsidR="00515808" w:rsidRPr="00515808">
        <w:rPr>
          <w:rFonts w:cs="Times New Roman"/>
        </w:rPr>
        <w:t>(36,37)</w:t>
      </w:r>
      <w:r>
        <w:fldChar w:fldCharType="end"/>
      </w:r>
      <w:r w:rsidRPr="00C039F3">
        <w:t xml:space="preserve"> and at 60ms (P60) </w:t>
      </w:r>
      <w:r>
        <w:fldChar w:fldCharType="begin"/>
      </w:r>
      <w:r w:rsidR="00515808">
        <w:instrText xml:space="preserve"> ADDIN ZOTERO_ITEM CSL_CITATION {"citationID":"nQMFSl1y","properties":{"formattedCitation":"(38,39)","plainCitation":"(38,39)","noteIndex":0},"citationItems":[{"id":2012,"uris":["http://zotero.org/users/7269506/items/8TQGFMP4"],"itemData":{"id":2012,"type":"article-journal","abstract":"Neuronal activity in the brain reflects an excitation–inhibition balance that is regulated predominantly by glutamatergic and GABAergic neurotransmission, and often disturbed in neuropsychiatric disorders. Here, we tested the effects of a single oral dose of two anti-glutamatergic drugs (dextromethorphan, an NMDA receptor antagonist; perampanel, an AMPA receptor antagonist) and an L-type voltage-gated calcium channel blocker (nimodipine) on transcranial magnetic stimulation (TMS)-evoked electroencephalographic (EEG) potentials (TEPs) and TMS-induced oscillations (TIOs) in 16 healthy adults in a pseudorandomized, double-blinded, placebo-controlled crossover design. Single-pulse TMS was delivered to the hand area of left primary motor cortex. Dextromethorphan increased the amplitude of the N45 TEP, while it had no effect on TIOs. Perampanel reduced the amplitude of the P60 TEP in the non-stimulated hemisphere, and increased TIOs in the beta-frequency band in the stimulated sensorimotor cortex, and in the alpha-frequency band in midline parietal channels. Nimodipine and placebo had no effect on TEPs and TIOs. The TEP results extend previous pharmaco-TMS-EEG studies by demonstrating that the N45 is regulated by a balance of GABAAergic inhibition and NMDA receptor-mediated glutamatergic excitation. In contrast, AMPA receptor-mediated glutamatergic neurotransmission contributes to propagated activity reflected in the P60 potential and midline parietal induced oscillations. This pharmacological characterization of TMS-EEG responses will be informative for interpreting TMS-EEG abnormalities in neuropsychiatric disorders with pathological excitation–inhibition balance.","container-title":"Scientific Reports","DOI":"10.1038/s41598-021-87533-z","ISSN":"2045-2322","issue":"1","journalAbbreviation":"Sci Rep","language":"en","license":"2021 The Author(s)","note":"publisher: Nature Publishing Group","page":"8159","source":"www.nature.com","title":"TMS-EEG signatures of glutamatergic neurotransmission in human cortex","volume":"11","author":[{"family":"Belardinelli","given":"Paolo"},{"family":"König","given":"Franca"},{"family":"Liang","given":"Chen"},{"family":"Premoli","given":"Isabella"},{"family":"Desideri","given":"Debora"},{"family":"Müller-Dahlhaus","given":"Florian"},{"family":"Gordon","given":"Pedro Caldana"},{"family":"Zipser","given":"Carl"},{"family":"Zrenner","given":"Christoph"},{"family":"Ziemann","given":"Ulf"}],"issued":{"date-parts":[["2021",4,14]]}}},{"id":2009,"uris":["http://zotero.org/users/7269506/items/Q8AGHIRB"],"itemData":{"id":2009,"type":"article-journal","abstract":"Aging | doi:10.18632/aging.101178. Yoshihiro Noda, Reza Zomorrodi, Robin F. H. Cash, Mera S. Barr, Faranak Farzan, Tarek K. Rajji, Robert Chen, Zafiris J. Daskalakis, Daniel M. Blumberger","container-title":"Aging","DOI":"10.18632/aging.101178","ISSN":"1945-4589","issue":"2","language":"en","note":"PMID: 28209926","page":"556-572","source":"www.aging-us.com","title":"Characterization of the influence of age on GABA&lt;sub&gt;A&lt;/sub&gt; and glutamatergic mediated functions in the dorsolateral prefrontal cortex using paired-pulse TMS-EEG","volume":"9","author":[{"family":"Noda","given":"Yoshihiro"},{"family":"Zomorrodi","given":"Reza"},{"family":"Cash","given":"Robin F. H."},{"family":"Barr","given":"Mera S."},{"family":"Farzan","given":"Faranak"},{"family":"Rajji","given":"Tarek K."},{"family":"Chen","given":"Robert"},{"family":"Daskalakis","given":"Zafiris J."},{"family":"Blumberger","given":"Daniel M."}],"issued":{"date-parts":[["2017",2,16]]}}}],"schema":"https://github.com/citation-style-language/schema/raw/master/csl-citation.json"} </w:instrText>
      </w:r>
      <w:r>
        <w:fldChar w:fldCharType="separate"/>
      </w:r>
      <w:r w:rsidR="00515808" w:rsidRPr="00515808">
        <w:rPr>
          <w:rFonts w:cs="Times New Roman"/>
        </w:rPr>
        <w:t>(38,39)</w:t>
      </w:r>
      <w:r>
        <w:fldChar w:fldCharType="end"/>
      </w:r>
      <w:r>
        <w:t xml:space="preserve"> </w:t>
      </w:r>
      <w:r w:rsidRPr="00C039F3">
        <w:t xml:space="preserve"> are associated with excitatory glutamatergic neurotransmission. In contrast, negative peaks such as N45 and N100 are related to GABA receptor activity </w:t>
      </w:r>
      <w:r>
        <w:fldChar w:fldCharType="begin"/>
      </w:r>
      <w:r w:rsidR="00515808">
        <w:instrText xml:space="preserve"> ADDIN ZOTERO_ITEM CSL_CITATION {"citationID":"QmkFFrz8","properties":{"formattedCitation":"(35,39,40)","plainCitation":"(35,39,40)","noteIndex":0},"citationItems":[{"id":2014,"uris":["http://zotero.org/users/7269506/items/3S9P63R8"],"itemData":{"id":2014,"type":"article-journal","abstract":"Alpha-5 gamma-aminobutyric acid type A receptors (α5-GABAARs) are located extrasynaptically, regulate neuronal excitability through tonic inhibition, and are fundamentally important for processes such as plasticity and learning. For example, pharmacological blockade of α5-GABAAR in mice with ischemic stroke improved recovery of function by normalizing exaggerated perilesional α5-GABAAR-dependent tonic inhibition. S44819 is a novel competitive selective antagonist of the α5-GABAAR at the GABA-binding site. Pharmacological modulation of α5-GABAAR-mediated tonic inhibition has never been investigated in the human brain. Here, we used transcranial magnetic stimulation (TMS) to test the effects of a single oral dose of 50 and 100 mg of S44819 on electromyographic (EMG) and electroencephalographic (EEG) measures of cortical excitability in 18 healthy young adults in a randomized, double-blinded, placebo-controlled, crossover phase I study. A dose of 100 mg, but not 50 mg, of S44819 decreased active motor threshold, the intensity needed to produce a motor evoked potential of 0.5 mV, and the amplitude of the N45, a GABAAergic component of the TMS-evoked EEG response. The peak serum concentration of 100 mg S44819 correlated directly with the decrease in N45 amplitude. Short-interval intracortical inhibition, a TMS-EMG measure of synaptic GABAAergic inhibition, and other components of the TMS-evoked EEG response remained unaffected. These findings provide first time evidence that the specific α5-GABAAR antagonist S44819 reached human cortex to impose an increase in cortical excitability. These data warrant further development of S44819 in a human clinical trial to test its efficacy in enhancing recovery of function after ischemic stroke.\nSIGNIFICANCE STATEMENT: The extrasynaptic α-5 gamma-aminobutyric acid type A receptor (α5-GABAAR) regulates neuronal excitability through tonic inhibition in the mammalian brain. Tonic inhibition is important for many fundamental processes such as plasticity and learning. Pharmacological modulation of α5-GABAAR-mediated tonic inhibition has never been investigated in the human brain. This study demonstrates that S44819, a selective α5-GABAAR antagonist, increases cortical excitability in healthy human subjects, as indicated by specific markers of transcranial magnetic stimulation-induced muscle and brain responses measured by electromyography and electroencephalography. Our findings imply that tonic inhibition in human cortex can be modified effectively and that this modification can be quantified with noninvasive brain stimulation methods. The actions of S44819 may be suitable to improve plasticity and learning.","container-title":"The Journal of Neuroscience: The Official Journal of the Society for Neuroscience","DOI":"10.1523/JNEUROSCI.1689-16.2016","ISSN":"1529-2401","issue":"49","journalAbbreviation":"J Neurosci","language":"eng","note":"PMID: 27927951\nPMCID: PMC6601976","page":"12312-12320","source":"PubMed","title":"Effects of the Selective α5-GABAAR Antagonist S44819 on Excitability in the Human Brain: A TMS-EMG and TMS-EEG Phase I Study","title-short":"Effects of the Selective α5-GABAAR Antagonist S44819 on Excitability in the Human Brain","volume":"36","author":[{"family":"Darmani","given":"Ghazaleh"},{"family":"Zipser","given":"Carl M."},{"family":"Böhmer","given":"Gabriele M."},{"family":"Deschet","given":"Karine"},{"family":"Müller-Dahlhaus","given":"Florian"},{"family":"Belardinelli","given":"Paolo"},{"family":"Schwab","given":"Matthias"},{"family":"Ziemann","given":"Ulf"}],"issued":{"date-parts":[["2016",12,7]]}}},{"id":2009,"uris":["http://zotero.org/users/7269506/items/Q8AGHIRB"],"itemData":{"id":2009,"type":"article-journal","abstract":"Aging | doi:10.18632/aging.101178. Yoshihiro Noda, Reza Zomorrodi, Robin F. H. Cash, Mera S. Barr, Faranak Farzan, Tarek K. Rajji, Robert Chen, Zafiris J. Daskalakis, Daniel M. Blumberger","container-title":"Aging","DOI":"10.18632/aging.101178","ISSN":"1945-4589","issue":"2","language":"en","note":"PMID: 28209926","page":"556-572","source":"www.aging-us.com","title":"Characterization of the influence of age on GABA&lt;sub&gt;A&lt;/sub&gt; and glutamatergic mediated functions in the dorsolateral prefrontal cortex using paired-pulse TMS-EEG","volume":"9","author":[{"family":"Noda","given":"Yoshihiro"},{"family":"Zomorrodi","given":"Reza"},{"family":"Cash","given":"Robin F. H."},{"family":"Barr","given":"Mera S."},{"family":"Farzan","given":"Faranak"},{"family":"Rajji","given":"Tarek K."},{"family":"Chen","given":"Robert"},{"family":"Daskalakis","given":"Zafiris J."},{"family":"Blumberger","given":"Daniel M."}],"issued":{"date-parts":[["2017",2,16]]}}},{"id":2017,"uris":["http://zotero.org/users/7269506/items/H5RYVDY2"],"itemData":{"id":2017,"type":"article-journal","abstract":"Paired-pulse transcranial magnetic stimulation combined with electroencephalography (TMS–EEG) is a method for studying cortical inhibition from the dorsolateral prefrontal cortex (DLPFC). However, little is known about the mechanisms underlying TMS-evoked cortical potentials (TEPs) from this region, let alone inhibition of these components. The aim of this study was to assess cortical inhibition of distinct TEPs and oscillations in the DLPFC using TMS–EEG and to investigate the relationship of these mechanisms to working memory. 30 healthy volunteers received single and paired (interstimulus interval = 100 msec) TMS to the left DLPFC. Variations in long-interval cortical inhibition (LICI) of different TEP peaks (N40, P60, N100) and different TMS-evoked oscillations (alpha, lower beta, upper beta, gamma) were compared between individuals. Variation in N100 slope following single pulse TMS, another putative marker of inhibition, was also compared with LICI of each measure. Finally, these measures were correlated with performance of a working memory task. LICI resulted in significant suppression of all TEP peaks and TMS-evoked oscillations (all p &lt; .05). There were no significant correlations between LICI of different TEP peaks or TMS-evoked oscillations with the exception of P60 and N100. Variation in N100 slope correlated with LICI of N40 and beta oscillations. In addition, LICI of P60 and N100 were differentially correlated with working memory performance. The results suggest that both the LICI paradigm and N100 following single pulse TMS reflect complementary methods for assessing GABAB-mediated cortical inhibition in the DLPFC. Furthermore, these measures demonstrate the importance of prefrontal GABAB-mediated inhibitory control for working memory performance.","container-title":"Cortex","DOI":"10.1016/j.cortex.2014.10.003","ISSN":"0010-9452","journalAbbreviation":"Cortex","page":"68-77","source":"ScienceDirect","title":"Cortical inhibition of distinct mechanisms in the dorsolateral prefrontal cortex is related to working memory performance: A TMS–EEG study","title-short":"Cortical inhibition of distinct mechanisms in the dorsolateral prefrontal cortex is related to working memory performance","volume":"64","author":[{"family":"Rogasch","given":"Nigel C."},{"family":"Daskalakis","given":"Zafiris J."},{"family":"Fitzgerald","given":"Paul B."}],"issued":{"date-parts":[["2015",3,1]]}}}],"schema":"https://github.com/citation-style-language/schema/raw/master/csl-citation.json"} </w:instrText>
      </w:r>
      <w:r>
        <w:fldChar w:fldCharType="separate"/>
      </w:r>
      <w:r w:rsidR="00515808" w:rsidRPr="00515808">
        <w:rPr>
          <w:rFonts w:cs="Times New Roman"/>
        </w:rPr>
        <w:t>(35,39,40)</w:t>
      </w:r>
      <w:r>
        <w:fldChar w:fldCharType="end"/>
      </w:r>
      <w:r>
        <w:t>.</w:t>
      </w:r>
    </w:p>
    <w:p w14:paraId="5DBE6A3E" w14:textId="77777777" w:rsidR="00B90326" w:rsidRDefault="00B90326" w:rsidP="00B90326">
      <w:pPr>
        <w:spacing w:before="0" w:after="120" w:line="360" w:lineRule="auto"/>
        <w:ind w:firstLine="567"/>
        <w:jc w:val="both"/>
        <w:rPr>
          <w:szCs w:val="24"/>
        </w:rPr>
      </w:pPr>
    </w:p>
    <w:p w14:paraId="6E3DF7BE" w14:textId="77777777" w:rsidR="00B90326" w:rsidRPr="00562AA8" w:rsidRDefault="00B90326" w:rsidP="00B90326">
      <w:pPr>
        <w:pStyle w:val="Ttulo3"/>
        <w:numPr>
          <w:ilvl w:val="2"/>
          <w:numId w:val="23"/>
        </w:numPr>
        <w:spacing w:before="120" w:after="240" w:line="276" w:lineRule="auto"/>
        <w:jc w:val="both"/>
        <w:rPr>
          <w:bCs/>
        </w:rPr>
      </w:pPr>
      <w:r w:rsidRPr="00562AA8">
        <w:rPr>
          <w:bCs/>
        </w:rPr>
        <w:lastRenderedPageBreak/>
        <w:t>Significant current density (SCD) and significant current scatter (SCS)</w:t>
      </w:r>
    </w:p>
    <w:p w14:paraId="5A56320E" w14:textId="74DFF2E7" w:rsidR="00B90326" w:rsidRPr="006A0C99" w:rsidRDefault="00B90326" w:rsidP="00076A3A">
      <w:pPr>
        <w:spacing w:line="360" w:lineRule="auto"/>
        <w:rPr>
          <w:rFonts w:cs="Times New Roman"/>
          <w:szCs w:val="24"/>
        </w:rPr>
      </w:pPr>
      <w:r w:rsidRPr="006A0C99">
        <w:t xml:space="preserve">          SCD is a standardization measure that quantifies the sum of significant TMS-responsive current sources relative to the baseline. Conversely, SCS serves as a standardization measure to infer activation propagation; SCS can also assess the effective connectivity of a source in relation to the stimulation site. SCD and SCS are used to measure the excitability of the </w:t>
      </w:r>
      <w:r w:rsidRPr="00DC4C0A">
        <w:rPr>
          <w:bCs/>
        </w:rPr>
        <w:t>subgenual cingulate cortex (SGC)</w:t>
      </w:r>
      <w:r w:rsidRPr="006A0C99">
        <w:t xml:space="preserve"> and the effective connectivity between the DLPFC and SGC, respectively </w:t>
      </w:r>
      <w:r w:rsidRPr="006A0C99">
        <w:fldChar w:fldCharType="begin"/>
      </w:r>
      <w:r w:rsidR="00515808">
        <w:instrText xml:space="preserve"> ADDIN ZOTERO_ITEM CSL_CITATION {"citationID":"RwFBvvw5","properties":{"formattedCitation":"(41)","plainCitation":"(41)","noteIndex":0},"citationItems":[{"id":1819,"uris":["http://zotero.org/users/7269506/items/J35W6TEF"],"itemData":{"id":1819,"type":"article-journal","abstract":"This diagnostic study evaluates subgenual cingulate cortex hyperactivity in patients with major depressive disorder before and after repetitive transcranial magnetic stimulation treatment compared with a group of healthy controls.","container-title":"JAMA Network Open","DOI":"10.1001/jamanetworkopen.2019.5578","ISSN":"2574-3805","issue":"6","journalAbbreviation":"JAMA Netw Open","note":"PMID: 31167023\nPMCID: PMC6551850","page":"e195578","source":"PubMed Central","title":"Association of Repetitive Transcranial Magnetic Stimulation Treatment With Subgenual Cingulate Hyperactivity in Patients With Major Depressive Disorder","volume":"2","author":[{"family":"Hadas","given":"Itay"},{"family":"Sun","given":"Yinming"},{"family":"Lioumis","given":"Pantelis"},{"family":"Zomorrodi","given":"Reza"},{"family":"Jones","given":"Brett"},{"family":"Voineskos","given":"Daphne"},{"family":"Downar","given":"Jonathan"},{"family":"Fitzgerald","given":"Paul B."},{"family":"Blumberger","given":"Daniel M."},{"family":"Daskalakis","given":"Zafiris J."}],"issued":{"date-parts":[["2019",6,5]]}}}],"schema":"https://github.com/citation-style-language/schema/raw/master/csl-citation.json"} </w:instrText>
      </w:r>
      <w:r w:rsidRPr="006A0C99">
        <w:fldChar w:fldCharType="separate"/>
      </w:r>
      <w:r w:rsidR="00515808" w:rsidRPr="00515808">
        <w:rPr>
          <w:rFonts w:cs="Times New Roman"/>
        </w:rPr>
        <w:t>(41)</w:t>
      </w:r>
      <w:r w:rsidRPr="006A0C99">
        <w:fldChar w:fldCharType="end"/>
      </w:r>
      <w:r w:rsidRPr="006A0C99">
        <w:t xml:space="preserve">. Hyperactivity of the SGC and DLPFC-SGC connectivity have consistently been implicated in the pathophysiology of MDD </w:t>
      </w:r>
      <w:r w:rsidRPr="006A0C99">
        <w:fldChar w:fldCharType="begin"/>
      </w:r>
      <w:r w:rsidR="00515808">
        <w:instrText xml:space="preserve"> ADDIN ZOTERO_ITEM CSL_CITATION {"citationID":"vsXqfdBE","properties":{"formattedCitation":"(42)","plainCitation":"(42)","noteIndex":0},"citationItems":[{"id":2027,"uris":["http://zotero.org/users/7269506/items/9KM7SMW5"],"itemData":{"id":2027,"type":"article-journal","abstract":"OBJECTIVE: Theories of human behavior from Plato to Freud have repeatedly emphasized links between emotion and reason, a relationship now commonly attributed to pathways connecting phylogenetically \"old\" and \"new\" brain regions. Expanding on this theory, this study examined functional interactions between specific limbic and neocortical regions accompanying normal and disease-associated shifts in negative mood state.\nMETHOD: Regions of concordant functional change accompanying provocation of transient sadness in healthy volunteers and resolution of chronic dysphoric symptoms in depressed patients were examined with two positron emission tomography techniques: [15O]water and [18F]fluorodeoxyglucose, respectively.\nRESULTS: With sadness, increases in limbic-paralimbic blood flow (subgenual cingulate, anterior insula) and decreases in neocortical regions (right dorsolateral prefrontal, inferior parietal) were identified. With recovery from depression, the reverse pattern, involving the same regions, was seen--limbic metabolic decreases and neocortical increases. A significant inverse correlation between subgenual cingulate and right dorsolateral prefrontal activity was also demonstrated in both conditions.\nCONCLUSIONS: Reciprocal changes involving subgenual cingulate and right prefrontal cortex occur with both transient and chronic changes in negative mood. The presence and maintenance of functional reciprocity between these regions with shifts in mood in either direction suggests that these regional interactions are obligatory and probably mediate the well-recognized relationships between mood and attention seen in both normal and pathological conditions. The bidirectional nature of this limbic-cortical reciprocity provides additional evidence of potential mechanisms mediating cognitive (\"top-down\"), pharmacological (mixed), and surgical (\"bottom-up\") treatments of mood disorders such as depression.","container-title":"The American Journal of Psychiatry","DOI":"10.1176/ajp.156.5.675","ISSN":"0002-953X","issue":"5","journalAbbreviation":"Am J Psychiatry","language":"eng","note":"PMID: 10327898","page":"675-682","source":"PubMed","title":"Reciprocal limbic-cortical function and negative mood: converging PET findings in depression and normal sadness","title-short":"Reciprocal limbic-cortical function and negative mood","volume":"156","author":[{"family":"Mayberg","given":"H. S."},{"family":"Liotti","given":"M."},{"family":"Brannan","given":"S. K."},{"family":"McGinnis","given":"S."},{"family":"Mahurin","given":"R. K."},{"family":"Jerabek","given":"P. A."},{"family":"Silva","given":"J. A."},{"family":"Tekell","given":"J. L."},{"family":"Martin","given":"C. C."},{"family":"Lancaster","given":"J. L."},{"family":"Fox","given":"P. T."}],"issued":{"date-parts":[["1999",5]]}}}],"schema":"https://github.com/citation-style-language/schema/raw/master/csl-citation.json"} </w:instrText>
      </w:r>
      <w:r w:rsidRPr="006A0C99">
        <w:fldChar w:fldCharType="separate"/>
      </w:r>
      <w:r w:rsidR="00515808" w:rsidRPr="00515808">
        <w:rPr>
          <w:rFonts w:cs="Times New Roman"/>
        </w:rPr>
        <w:t>(42)</w:t>
      </w:r>
      <w:r w:rsidRPr="006A0C99">
        <w:fldChar w:fldCharType="end"/>
      </w:r>
      <w:r w:rsidRPr="006A0C99">
        <w:t>.</w:t>
      </w:r>
    </w:p>
    <w:p w14:paraId="491CF897" w14:textId="1BF0F8D9" w:rsidR="00C34CC5" w:rsidRDefault="00C34CC5" w:rsidP="00B90326"/>
    <w:p w14:paraId="53DCB695" w14:textId="0C00DEEC" w:rsidR="00F62561" w:rsidRDefault="00F62561" w:rsidP="00B90326">
      <w:pPr>
        <w:pStyle w:val="Ttulo1"/>
      </w:pPr>
      <w:r>
        <w:t>References</w:t>
      </w:r>
    </w:p>
    <w:p w14:paraId="23FA6EFA" w14:textId="77777777" w:rsidR="00515808" w:rsidRPr="00515808" w:rsidRDefault="00F22406" w:rsidP="00515808">
      <w:pPr>
        <w:pStyle w:val="Bibliografa"/>
        <w:rPr>
          <w:rFonts w:cs="Times New Roman"/>
        </w:rPr>
      </w:pPr>
      <w:r>
        <w:rPr>
          <w:szCs w:val="24"/>
        </w:rPr>
        <w:fldChar w:fldCharType="begin"/>
      </w:r>
      <w:r w:rsidR="00515808">
        <w:rPr>
          <w:szCs w:val="24"/>
        </w:rPr>
        <w:instrText xml:space="preserve"> ADDIN ZOTERO_BIBL {"uncited":[],"omitted":[],"custom":[]} CSL_BIBLIOGRAPHY </w:instrText>
      </w:r>
      <w:r>
        <w:rPr>
          <w:szCs w:val="24"/>
        </w:rPr>
        <w:fldChar w:fldCharType="separate"/>
      </w:r>
      <w:r w:rsidR="00515808" w:rsidRPr="00515808">
        <w:rPr>
          <w:rFonts w:cs="Times New Roman"/>
        </w:rPr>
        <w:t>1.</w:t>
      </w:r>
      <w:r w:rsidR="00515808" w:rsidRPr="00515808">
        <w:rPr>
          <w:rFonts w:cs="Times New Roman"/>
        </w:rPr>
        <w:tab/>
        <w:t xml:space="preserve">Strafella R, Chen R, Rajji TK, Blumberger DM, Voineskos D. Resting and TMS-EEG markers of treatment response in major depressive disorder: A systematic review. Front Hum Neurosci. 2022 Aug 4;16:940759. </w:t>
      </w:r>
    </w:p>
    <w:p w14:paraId="598030A1" w14:textId="77777777" w:rsidR="00515808" w:rsidRPr="00515808" w:rsidRDefault="00515808" w:rsidP="00515808">
      <w:pPr>
        <w:pStyle w:val="Bibliografa"/>
        <w:rPr>
          <w:rFonts w:cs="Times New Roman"/>
        </w:rPr>
      </w:pPr>
      <w:r w:rsidRPr="00515808">
        <w:rPr>
          <w:rFonts w:cs="Times New Roman"/>
        </w:rPr>
        <w:t>2.</w:t>
      </w:r>
      <w:r w:rsidRPr="00515808">
        <w:rPr>
          <w:rFonts w:cs="Times New Roman"/>
        </w:rPr>
        <w:tab/>
        <w:t xml:space="preserve">Haegens S, Cousijn H, Wallis G, Harrison PJ, Nobre AC. Inter- and intra-individual variability in alpha peak frequency. NeuroImage. 2014 May 15;92:46–55. </w:t>
      </w:r>
    </w:p>
    <w:p w14:paraId="25D67917" w14:textId="77777777" w:rsidR="00515808" w:rsidRPr="00515808" w:rsidRDefault="00515808" w:rsidP="00515808">
      <w:pPr>
        <w:pStyle w:val="Bibliografa"/>
        <w:rPr>
          <w:rFonts w:cs="Times New Roman"/>
        </w:rPr>
      </w:pPr>
      <w:r w:rsidRPr="00515808">
        <w:rPr>
          <w:rFonts w:cs="Times New Roman"/>
        </w:rPr>
        <w:t>3.</w:t>
      </w:r>
      <w:r w:rsidRPr="00515808">
        <w:rPr>
          <w:rFonts w:cs="Times New Roman"/>
        </w:rPr>
        <w:tab/>
        <w:t xml:space="preserve">van der Vinne N, Vollebregt MA, van Putten MJAM, Arns M. Frontal alpha asymmetry as a diagnostic marker in depression: Fact or fiction? A meta-analysis. NeuroImage Clin. 2017 July 15;16:79–87. </w:t>
      </w:r>
    </w:p>
    <w:p w14:paraId="2FF030B6" w14:textId="77777777" w:rsidR="00515808" w:rsidRPr="00515808" w:rsidRDefault="00515808" w:rsidP="00515808">
      <w:pPr>
        <w:pStyle w:val="Bibliografa"/>
        <w:rPr>
          <w:rFonts w:cs="Times New Roman"/>
        </w:rPr>
      </w:pPr>
      <w:r w:rsidRPr="00515808">
        <w:rPr>
          <w:rFonts w:cs="Times New Roman"/>
        </w:rPr>
        <w:t>4.</w:t>
      </w:r>
      <w:r w:rsidRPr="00515808">
        <w:rPr>
          <w:rFonts w:cs="Times New Roman"/>
        </w:rPr>
        <w:tab/>
        <w:t xml:space="preserve">Leuchter AF, Cook IA, Lufkin RB, Dunkin J, Newton TF, Cummings JL, et al. Cordance: a new method for assessment of cerebral perfusion and metabolism using quantitative electroencephalography. NeuroImage. 1994 June;1(3):208–19. </w:t>
      </w:r>
    </w:p>
    <w:p w14:paraId="2C89894A" w14:textId="77777777" w:rsidR="00515808" w:rsidRPr="00515808" w:rsidRDefault="00515808" w:rsidP="00515808">
      <w:pPr>
        <w:pStyle w:val="Bibliografa"/>
        <w:rPr>
          <w:rFonts w:cs="Times New Roman"/>
        </w:rPr>
      </w:pPr>
      <w:r w:rsidRPr="00515808">
        <w:rPr>
          <w:rFonts w:cs="Times New Roman"/>
        </w:rPr>
        <w:t>5.</w:t>
      </w:r>
      <w:r w:rsidRPr="00515808">
        <w:rPr>
          <w:rFonts w:cs="Times New Roman"/>
        </w:rPr>
        <w:tab/>
        <w:t xml:space="preserve">Leuchter AF, Uijtdehaage SH, Cook IA, O’Hara R, Mandelkern M. Relationship between brain electrical activity and cortical perfusion in normal subjects. Psychiatry Res. 1999 Apr 26;90(2):125–40. </w:t>
      </w:r>
    </w:p>
    <w:p w14:paraId="3364A730" w14:textId="77777777" w:rsidR="00515808" w:rsidRPr="00515808" w:rsidRDefault="00515808" w:rsidP="00515808">
      <w:pPr>
        <w:pStyle w:val="Bibliografa"/>
        <w:rPr>
          <w:rFonts w:cs="Times New Roman"/>
        </w:rPr>
      </w:pPr>
      <w:r w:rsidRPr="00515808">
        <w:rPr>
          <w:rFonts w:cs="Times New Roman"/>
        </w:rPr>
        <w:t>6.</w:t>
      </w:r>
      <w:r w:rsidRPr="00515808">
        <w:rPr>
          <w:rFonts w:cs="Times New Roman"/>
        </w:rPr>
        <w:tab/>
        <w:t xml:space="preserve">Hunter AM, Nghiem TX, Cook IA, Krantz DE, Minzenberg MJ, Leuchter AF. Change in Quantitative EEG Theta Cordance as a Potential Predictor of Repetitive Transcranial Magnetic Stimulation Clinical Outcome in Major Depressive Disorder. Clin EEG Neurosci. 2018 Sept;49(5):306–15. </w:t>
      </w:r>
    </w:p>
    <w:p w14:paraId="376EA4F8" w14:textId="77777777" w:rsidR="00515808" w:rsidRPr="00515808" w:rsidRDefault="00515808" w:rsidP="00515808">
      <w:pPr>
        <w:pStyle w:val="Bibliografa"/>
        <w:rPr>
          <w:rFonts w:cs="Times New Roman"/>
        </w:rPr>
      </w:pPr>
      <w:r w:rsidRPr="00515808">
        <w:rPr>
          <w:rFonts w:cs="Times New Roman"/>
        </w:rPr>
        <w:t>7.</w:t>
      </w:r>
      <w:r w:rsidRPr="00515808">
        <w:rPr>
          <w:rFonts w:cs="Times New Roman"/>
        </w:rPr>
        <w:tab/>
        <w:t xml:space="preserve">de la Salle S, Jaworska N, Blier P, Smith D, Knott V. Using Prefrontal and Midline Right Frontal EEG-Derived Theta Cordance and Depressive Symptoms to Predict the Differential Response or Remission to Antidepressant Treatment in Major Depressive Disorder. Psychiatry Res Neuroimaging. 2020 Aug 30;302:111109. </w:t>
      </w:r>
    </w:p>
    <w:p w14:paraId="2ABB9157" w14:textId="77777777" w:rsidR="00515808" w:rsidRPr="00515808" w:rsidRDefault="00515808" w:rsidP="00515808">
      <w:pPr>
        <w:pStyle w:val="Bibliografa"/>
        <w:rPr>
          <w:rFonts w:cs="Times New Roman"/>
        </w:rPr>
      </w:pPr>
      <w:r w:rsidRPr="00515808">
        <w:rPr>
          <w:rFonts w:cs="Times New Roman"/>
        </w:rPr>
        <w:t>8.</w:t>
      </w:r>
      <w:r w:rsidRPr="00515808">
        <w:rPr>
          <w:rFonts w:cs="Times New Roman"/>
        </w:rPr>
        <w:tab/>
        <w:t xml:space="preserve">Lehmann D, Ozaki H, Pal I. EEG alpha map series: brain micro-states by space-oriented adaptive segmentation. Electroencephalogr Clin Neurophysiol. 1987 Sept;67(3):271–88. </w:t>
      </w:r>
    </w:p>
    <w:p w14:paraId="78C388E0" w14:textId="77777777" w:rsidR="00515808" w:rsidRPr="00515808" w:rsidRDefault="00515808" w:rsidP="00515808">
      <w:pPr>
        <w:pStyle w:val="Bibliografa"/>
        <w:rPr>
          <w:rFonts w:cs="Times New Roman"/>
        </w:rPr>
      </w:pPr>
      <w:r w:rsidRPr="00515808">
        <w:rPr>
          <w:rFonts w:cs="Times New Roman"/>
        </w:rPr>
        <w:t>9.</w:t>
      </w:r>
      <w:r w:rsidRPr="00515808">
        <w:rPr>
          <w:rFonts w:cs="Times New Roman"/>
        </w:rPr>
        <w:tab/>
        <w:t xml:space="preserve">Michel CM, Koenig T. EEG microstates as a tool for studying the temporal dynamics of whole-brain neuronal networks: A review. NeuroImage. 2018 Oct 15;180:577–93. </w:t>
      </w:r>
    </w:p>
    <w:p w14:paraId="0066E427" w14:textId="77777777" w:rsidR="00515808" w:rsidRPr="00515808" w:rsidRDefault="00515808" w:rsidP="00515808">
      <w:pPr>
        <w:pStyle w:val="Bibliografa"/>
        <w:rPr>
          <w:rFonts w:cs="Times New Roman"/>
        </w:rPr>
      </w:pPr>
      <w:r w:rsidRPr="00515808">
        <w:rPr>
          <w:rFonts w:cs="Times New Roman"/>
        </w:rPr>
        <w:t>10.</w:t>
      </w:r>
      <w:r w:rsidRPr="00515808">
        <w:rPr>
          <w:rFonts w:cs="Times New Roman"/>
        </w:rPr>
        <w:tab/>
        <w:t xml:space="preserve">Chiarion G, Sparacino L, Antonacci Y, Faes L, Mesin L. Connectivity Analysis in EEG Data: A Tutorial Review of the State of the Art and Emerging Trends. Bioengineering. 2023 Mar 17;10(3):372. </w:t>
      </w:r>
    </w:p>
    <w:p w14:paraId="064B5981" w14:textId="77777777" w:rsidR="00515808" w:rsidRPr="00515808" w:rsidRDefault="00515808" w:rsidP="00515808">
      <w:pPr>
        <w:pStyle w:val="Bibliografa"/>
        <w:rPr>
          <w:rFonts w:cs="Times New Roman"/>
        </w:rPr>
      </w:pPr>
      <w:r w:rsidRPr="00515808">
        <w:rPr>
          <w:rFonts w:cs="Times New Roman"/>
        </w:rPr>
        <w:t>11.</w:t>
      </w:r>
      <w:r w:rsidRPr="00515808">
        <w:rPr>
          <w:rFonts w:cs="Times New Roman"/>
        </w:rPr>
        <w:tab/>
        <w:t xml:space="preserve">Koch MA, Norris DG, Hund-Georgiadis M. An Investigation of Functional and Anatomical Connectivity Using Magnetic Resonance Imaging. NeuroImage. 2002 May 1;16(1):241–50. </w:t>
      </w:r>
    </w:p>
    <w:p w14:paraId="13B55939" w14:textId="77777777" w:rsidR="00515808" w:rsidRPr="00515808" w:rsidRDefault="00515808" w:rsidP="00515808">
      <w:pPr>
        <w:pStyle w:val="Bibliografa"/>
        <w:rPr>
          <w:rFonts w:cs="Times New Roman"/>
        </w:rPr>
      </w:pPr>
      <w:r w:rsidRPr="00515808">
        <w:rPr>
          <w:rFonts w:cs="Times New Roman"/>
        </w:rPr>
        <w:t>12.</w:t>
      </w:r>
      <w:r w:rsidRPr="00515808">
        <w:rPr>
          <w:rFonts w:cs="Times New Roman"/>
        </w:rPr>
        <w:tab/>
        <w:t xml:space="preserve">Friston KJ. Functional and effective connectivity in neuroimaging: A synthesis. Hum Brain Mapp. 1994;2(1–2):56–78. </w:t>
      </w:r>
    </w:p>
    <w:p w14:paraId="2F2C99C4" w14:textId="77777777" w:rsidR="00515808" w:rsidRPr="00515808" w:rsidRDefault="00515808" w:rsidP="00515808">
      <w:pPr>
        <w:pStyle w:val="Bibliografa"/>
        <w:rPr>
          <w:rFonts w:cs="Times New Roman"/>
        </w:rPr>
      </w:pPr>
      <w:r w:rsidRPr="00515808">
        <w:rPr>
          <w:rFonts w:cs="Times New Roman"/>
        </w:rPr>
        <w:t>13.</w:t>
      </w:r>
      <w:r w:rsidRPr="00515808">
        <w:rPr>
          <w:rFonts w:cs="Times New Roman"/>
        </w:rPr>
        <w:tab/>
        <w:t xml:space="preserve">Friston KJ, Moran R, Seth AK. Analysing connectivity with Granger causality and dynamic causal modelling. Curr Opin Neurobiol. 2013 Apr 1;23(2):172–8. </w:t>
      </w:r>
    </w:p>
    <w:p w14:paraId="5D13AE62" w14:textId="77777777" w:rsidR="00515808" w:rsidRPr="00515808" w:rsidRDefault="00515808" w:rsidP="00515808">
      <w:pPr>
        <w:pStyle w:val="Bibliografa"/>
        <w:rPr>
          <w:rFonts w:cs="Times New Roman"/>
        </w:rPr>
      </w:pPr>
      <w:r w:rsidRPr="00515808">
        <w:rPr>
          <w:rFonts w:cs="Times New Roman"/>
        </w:rPr>
        <w:t>14.</w:t>
      </w:r>
      <w:r w:rsidRPr="00515808">
        <w:rPr>
          <w:rFonts w:cs="Times New Roman"/>
        </w:rPr>
        <w:tab/>
        <w:t xml:space="preserve">Geweke JF. Measures of Conditional Linear Dependence and Feedback between Time Series. J Am Stat Assoc. 1984 Dec 1;79(388):907–15. </w:t>
      </w:r>
    </w:p>
    <w:p w14:paraId="5715D44F" w14:textId="77777777" w:rsidR="00515808" w:rsidRPr="00515808" w:rsidRDefault="00515808" w:rsidP="00515808">
      <w:pPr>
        <w:pStyle w:val="Bibliografa"/>
        <w:rPr>
          <w:rFonts w:cs="Times New Roman"/>
        </w:rPr>
      </w:pPr>
      <w:r w:rsidRPr="00515808">
        <w:rPr>
          <w:rFonts w:cs="Times New Roman"/>
        </w:rPr>
        <w:t>15.</w:t>
      </w:r>
      <w:r w:rsidRPr="00515808">
        <w:rPr>
          <w:rFonts w:cs="Times New Roman"/>
        </w:rPr>
        <w:tab/>
        <w:t xml:space="preserve">Kaminski MJ, Blinowska KJ. A new method of the description of the information flow in the brain structures. Biol Cybern. 1991 July 1;65(3):203–10. </w:t>
      </w:r>
    </w:p>
    <w:p w14:paraId="7B7EAFAA" w14:textId="77777777" w:rsidR="00515808" w:rsidRPr="00515808" w:rsidRDefault="00515808" w:rsidP="00515808">
      <w:pPr>
        <w:pStyle w:val="Bibliografa"/>
        <w:rPr>
          <w:rFonts w:cs="Times New Roman"/>
        </w:rPr>
      </w:pPr>
      <w:r w:rsidRPr="00515808">
        <w:rPr>
          <w:rFonts w:cs="Times New Roman"/>
        </w:rPr>
        <w:t>16.</w:t>
      </w:r>
      <w:r w:rsidRPr="00515808">
        <w:rPr>
          <w:rFonts w:cs="Times New Roman"/>
        </w:rPr>
        <w:tab/>
        <w:t xml:space="preserve">Faes L, Erla S, Nollo G. Measuring Connectivity in Linear Multivariate Processes: Definitions, Interpretation, and Practical Analysis. Comput Math Methods Med. 2012;2012(1):140513. </w:t>
      </w:r>
    </w:p>
    <w:p w14:paraId="46260C36" w14:textId="77777777" w:rsidR="00515808" w:rsidRPr="00515808" w:rsidRDefault="00515808" w:rsidP="00515808">
      <w:pPr>
        <w:pStyle w:val="Bibliografa"/>
        <w:rPr>
          <w:rFonts w:cs="Times New Roman"/>
        </w:rPr>
      </w:pPr>
      <w:r w:rsidRPr="00515808">
        <w:rPr>
          <w:rFonts w:cs="Times New Roman"/>
        </w:rPr>
        <w:t>17.</w:t>
      </w:r>
      <w:r w:rsidRPr="00515808">
        <w:rPr>
          <w:rFonts w:cs="Times New Roman"/>
        </w:rPr>
        <w:tab/>
        <w:t xml:space="preserve">Chen CC, Hsu CY, Chiu HW, Hu CJ, Lee TC. Frequency power and coherence of electroencephalography are correlated with the severity of Alzheimer’s disease: A multicenter analysis in Taiwan. J Formos Med Assoc. 2015 Aug;114(8):729–35. </w:t>
      </w:r>
    </w:p>
    <w:p w14:paraId="3CAF4C68" w14:textId="77777777" w:rsidR="00515808" w:rsidRPr="00515808" w:rsidRDefault="00515808" w:rsidP="00515808">
      <w:pPr>
        <w:pStyle w:val="Bibliografa"/>
        <w:rPr>
          <w:rFonts w:cs="Times New Roman"/>
        </w:rPr>
      </w:pPr>
      <w:r w:rsidRPr="00515808">
        <w:rPr>
          <w:rFonts w:cs="Times New Roman"/>
        </w:rPr>
        <w:t>18.</w:t>
      </w:r>
      <w:r w:rsidRPr="00515808">
        <w:rPr>
          <w:rFonts w:cs="Times New Roman"/>
        </w:rPr>
        <w:tab/>
        <w:t xml:space="preserve">Ruchkin D. EEG coherence. Int J Psychophysiol. 2005 Aug;57(2):83–5. </w:t>
      </w:r>
    </w:p>
    <w:p w14:paraId="2C1314FD" w14:textId="77777777" w:rsidR="00515808" w:rsidRPr="00515808" w:rsidRDefault="00515808" w:rsidP="00515808">
      <w:pPr>
        <w:pStyle w:val="Bibliografa"/>
        <w:rPr>
          <w:rFonts w:cs="Times New Roman"/>
        </w:rPr>
      </w:pPr>
      <w:r w:rsidRPr="00515808">
        <w:rPr>
          <w:rFonts w:cs="Times New Roman"/>
        </w:rPr>
        <w:t>19.</w:t>
      </w:r>
      <w:r w:rsidRPr="00515808">
        <w:rPr>
          <w:rFonts w:cs="Times New Roman"/>
        </w:rPr>
        <w:tab/>
        <w:t xml:space="preserve">Cook IA, Wilson AC, Corlier J, Leuchter AF. Brain Activity and Clinical Outcomes in Adults With Depression Treated With Synchronized Transcranial Magnetic Stimulation: An Exploratory Study. Neuromodulation J Int Neuromodulation Soc. 2019 Dec;22(8):894–7. </w:t>
      </w:r>
    </w:p>
    <w:p w14:paraId="7318F444" w14:textId="77777777" w:rsidR="00515808" w:rsidRPr="00515808" w:rsidRDefault="00515808" w:rsidP="00515808">
      <w:pPr>
        <w:pStyle w:val="Bibliografa"/>
        <w:rPr>
          <w:rFonts w:cs="Times New Roman"/>
        </w:rPr>
      </w:pPr>
      <w:r w:rsidRPr="00515808">
        <w:rPr>
          <w:rFonts w:cs="Times New Roman"/>
        </w:rPr>
        <w:t>20.</w:t>
      </w:r>
      <w:r w:rsidRPr="00515808">
        <w:rPr>
          <w:rFonts w:cs="Times New Roman"/>
        </w:rPr>
        <w:tab/>
        <w:t xml:space="preserve">Shaw JC, O’Connor KP, Ongley C. The EEG as a Measure of Cerebral Functional Organization. Br J Psychiatry. 1977 Mar;130(3):260–4. </w:t>
      </w:r>
    </w:p>
    <w:p w14:paraId="1F5FC40D" w14:textId="77777777" w:rsidR="00515808" w:rsidRPr="00515808" w:rsidRDefault="00515808" w:rsidP="00515808">
      <w:pPr>
        <w:pStyle w:val="Bibliografa"/>
        <w:rPr>
          <w:rFonts w:cs="Times New Roman"/>
        </w:rPr>
      </w:pPr>
      <w:r w:rsidRPr="00515808">
        <w:rPr>
          <w:rFonts w:cs="Times New Roman"/>
        </w:rPr>
        <w:t>21.</w:t>
      </w:r>
      <w:r w:rsidRPr="00515808">
        <w:rPr>
          <w:rFonts w:cs="Times New Roman"/>
        </w:rPr>
        <w:tab/>
        <w:t xml:space="preserve">Corlier J, Wilson A, Hunter AM, Vince-Cruz N, Krantz D, Levitt J, et al. Changes in Functional Connectivity Predict Outcome of Repetitive Transcranial Magnetic Stimulation Treatment of Major Depressive Disorder. Cereb Cortex N Y NY. 2019 Dec;29(12):4958–67. </w:t>
      </w:r>
    </w:p>
    <w:p w14:paraId="37F0D734" w14:textId="77777777" w:rsidR="00515808" w:rsidRPr="00515808" w:rsidRDefault="00515808" w:rsidP="00515808">
      <w:pPr>
        <w:pStyle w:val="Bibliografa"/>
        <w:rPr>
          <w:rFonts w:cs="Times New Roman"/>
        </w:rPr>
      </w:pPr>
      <w:r w:rsidRPr="00515808">
        <w:rPr>
          <w:rFonts w:cs="Times New Roman"/>
        </w:rPr>
        <w:t>22.</w:t>
      </w:r>
      <w:r w:rsidRPr="00515808">
        <w:rPr>
          <w:rFonts w:cs="Times New Roman"/>
        </w:rPr>
        <w:tab/>
        <w:t xml:space="preserve">Mahato S, Paul S. Detection of major depressive disorder using linear and non-linear features from EEG signals. Microsyst Technol. 2019 Mar 1;25(3):1065–76. </w:t>
      </w:r>
    </w:p>
    <w:p w14:paraId="2D7CAD60" w14:textId="77777777" w:rsidR="00515808" w:rsidRPr="00515808" w:rsidRDefault="00515808" w:rsidP="00515808">
      <w:pPr>
        <w:pStyle w:val="Bibliografa"/>
        <w:rPr>
          <w:rFonts w:cs="Times New Roman"/>
        </w:rPr>
      </w:pPr>
      <w:r w:rsidRPr="00515808">
        <w:rPr>
          <w:rFonts w:cs="Times New Roman"/>
        </w:rPr>
        <w:t>23.</w:t>
      </w:r>
      <w:r w:rsidRPr="00515808">
        <w:rPr>
          <w:rFonts w:cs="Times New Roman"/>
        </w:rPr>
        <w:tab/>
        <w:t xml:space="preserve">Rodríguez-Bermúdez G, García Laencina P. Analysis of EEG signals using nonlinear dynamics and chaos: A review. Appl Math Inf Sci. 2015 Jan;9:1–13. </w:t>
      </w:r>
    </w:p>
    <w:p w14:paraId="2313FA4B" w14:textId="77777777" w:rsidR="00515808" w:rsidRPr="00515808" w:rsidRDefault="00515808" w:rsidP="00515808">
      <w:pPr>
        <w:pStyle w:val="Bibliografa"/>
        <w:rPr>
          <w:rFonts w:cs="Times New Roman"/>
        </w:rPr>
      </w:pPr>
      <w:r w:rsidRPr="00515808">
        <w:rPr>
          <w:rFonts w:cs="Times New Roman"/>
        </w:rPr>
        <w:t>24.</w:t>
      </w:r>
      <w:r w:rsidRPr="00515808">
        <w:rPr>
          <w:rFonts w:cs="Times New Roman"/>
        </w:rPr>
        <w:tab/>
        <w:t xml:space="preserve">Ebrahimzadeh E, Fayaz F, Rajabion L, Seraji M, Aflaki F, Hammoud A, et al. Machine learning approaches and non-linear processing of extracted components in frontal region to predict rTMS treatment response in major depressive disorder. Front Syst Neurosci. 2023 Mar 9;17:919977. </w:t>
      </w:r>
    </w:p>
    <w:p w14:paraId="5075CE7C" w14:textId="77777777" w:rsidR="00515808" w:rsidRPr="00515808" w:rsidRDefault="00515808" w:rsidP="00515808">
      <w:pPr>
        <w:pStyle w:val="Bibliografa"/>
        <w:rPr>
          <w:rFonts w:cs="Times New Roman"/>
        </w:rPr>
      </w:pPr>
      <w:r w:rsidRPr="00515808">
        <w:rPr>
          <w:rFonts w:cs="Times New Roman"/>
        </w:rPr>
        <w:t>25.</w:t>
      </w:r>
      <w:r w:rsidRPr="00515808">
        <w:rPr>
          <w:rFonts w:cs="Times New Roman"/>
        </w:rPr>
        <w:tab/>
        <w:t xml:space="preserve">Accardo A, Affinito M, Carrozzi M, Bouquet F. Use of the fractal dimension for the analysis of electroencephalographic time series. Biol Cybern. 1997 Nov 1;77(5):339–50. </w:t>
      </w:r>
    </w:p>
    <w:p w14:paraId="527F5093" w14:textId="77777777" w:rsidR="00515808" w:rsidRPr="00515808" w:rsidRDefault="00515808" w:rsidP="00515808">
      <w:pPr>
        <w:pStyle w:val="Bibliografa"/>
        <w:rPr>
          <w:rFonts w:cs="Times New Roman"/>
        </w:rPr>
      </w:pPr>
      <w:r w:rsidRPr="00515808">
        <w:rPr>
          <w:rFonts w:cs="Times New Roman"/>
        </w:rPr>
        <w:t>26.</w:t>
      </w:r>
      <w:r w:rsidRPr="00515808">
        <w:rPr>
          <w:rFonts w:cs="Times New Roman"/>
        </w:rPr>
        <w:tab/>
        <w:t xml:space="preserve">Fernández A, López-Ibor MI, Turrero A, Santos JM, Morón MD, Hornero R, et al. Lempel–Ziv complexity in schizophrenia: A MEG study. Clin Neurophysiol. 2011 Nov;122(11):2227–35. </w:t>
      </w:r>
    </w:p>
    <w:p w14:paraId="7942F5F5" w14:textId="77777777" w:rsidR="00515808" w:rsidRPr="00515808" w:rsidRDefault="00515808" w:rsidP="00515808">
      <w:pPr>
        <w:pStyle w:val="Bibliografa"/>
        <w:rPr>
          <w:rFonts w:cs="Times New Roman"/>
        </w:rPr>
      </w:pPr>
      <w:r w:rsidRPr="00515808">
        <w:rPr>
          <w:rFonts w:cs="Times New Roman"/>
        </w:rPr>
        <w:t>27.</w:t>
      </w:r>
      <w:r w:rsidRPr="00515808">
        <w:rPr>
          <w:rFonts w:cs="Times New Roman"/>
        </w:rPr>
        <w:tab/>
        <w:t xml:space="preserve">Lempel A, Ziv J. On the Complexity of Finite Sequences. IEEE Trans Inf Theory. 1976 Jan;22(1):75–81. </w:t>
      </w:r>
    </w:p>
    <w:p w14:paraId="18E2C10D" w14:textId="77777777" w:rsidR="00515808" w:rsidRPr="00515808" w:rsidRDefault="00515808" w:rsidP="00515808">
      <w:pPr>
        <w:pStyle w:val="Bibliografa"/>
        <w:rPr>
          <w:rFonts w:cs="Times New Roman"/>
        </w:rPr>
      </w:pPr>
      <w:r w:rsidRPr="00515808">
        <w:rPr>
          <w:rFonts w:cs="Times New Roman"/>
        </w:rPr>
        <w:t>28.</w:t>
      </w:r>
      <w:r w:rsidRPr="00515808">
        <w:rPr>
          <w:rFonts w:cs="Times New Roman"/>
        </w:rPr>
        <w:tab/>
        <w:t xml:space="preserve">Li Y, Zhou Y, Jiao S. Variable-Step Multiscale Katz Fractal Dimension: A New Nonlinear Dynamic Metric for Ship-Radiated Noise Analysis. Fractal Fract. 2024 Jan;8(1):9. </w:t>
      </w:r>
    </w:p>
    <w:p w14:paraId="4E14CBBD" w14:textId="77777777" w:rsidR="00515808" w:rsidRPr="00515808" w:rsidRDefault="00515808" w:rsidP="00515808">
      <w:pPr>
        <w:pStyle w:val="Bibliografa"/>
        <w:rPr>
          <w:rFonts w:cs="Times New Roman"/>
        </w:rPr>
      </w:pPr>
      <w:r w:rsidRPr="00515808">
        <w:rPr>
          <w:rFonts w:cs="Times New Roman"/>
        </w:rPr>
        <w:t>29.</w:t>
      </w:r>
      <w:r w:rsidRPr="00515808">
        <w:rPr>
          <w:rFonts w:cs="Times New Roman"/>
        </w:rPr>
        <w:tab/>
        <w:t xml:space="preserve">Michel CM, Murray MM, Lantz G, Gonzalez S, Spinelli L, Grave de Peralta R. EEG source imaging. Clin Neurophysiol. 2004 Oct 1;115(10):2195–222. </w:t>
      </w:r>
    </w:p>
    <w:p w14:paraId="0ED8FE76" w14:textId="77777777" w:rsidR="00515808" w:rsidRPr="00515808" w:rsidRDefault="00515808" w:rsidP="00515808">
      <w:pPr>
        <w:pStyle w:val="Bibliografa"/>
        <w:rPr>
          <w:rFonts w:cs="Times New Roman"/>
        </w:rPr>
      </w:pPr>
      <w:r w:rsidRPr="00515808">
        <w:rPr>
          <w:rFonts w:cs="Times New Roman"/>
        </w:rPr>
        <w:t>30.</w:t>
      </w:r>
      <w:r w:rsidRPr="00515808">
        <w:rPr>
          <w:rFonts w:cs="Times New Roman"/>
        </w:rPr>
        <w:tab/>
        <w:t xml:space="preserve">Conte S, Richards JE. Cortical Source Analysis of Event-Related Potentials: A Developmental Approach. Dev Cogn Neurosci. 2022 Apr 1;54:101092. </w:t>
      </w:r>
    </w:p>
    <w:p w14:paraId="35A69E74" w14:textId="77777777" w:rsidR="00515808" w:rsidRPr="00515808" w:rsidRDefault="00515808" w:rsidP="00515808">
      <w:pPr>
        <w:pStyle w:val="Bibliografa"/>
        <w:rPr>
          <w:rFonts w:cs="Times New Roman"/>
        </w:rPr>
      </w:pPr>
      <w:r w:rsidRPr="00515808">
        <w:rPr>
          <w:rFonts w:cs="Times New Roman"/>
        </w:rPr>
        <w:t>31.</w:t>
      </w:r>
      <w:r w:rsidRPr="00515808">
        <w:rPr>
          <w:rFonts w:cs="Times New Roman"/>
        </w:rPr>
        <w:tab/>
        <w:t xml:space="preserve">Kayser J, Tenke CE. On the benefits of using surface Laplacian (Current Source Density) methodology in electrophysiology. Int J Psychophysiol Off J Int Organ Psychophysiol. 2015 June 10;97(3):171. </w:t>
      </w:r>
    </w:p>
    <w:p w14:paraId="54199AB6" w14:textId="77777777" w:rsidR="00515808" w:rsidRPr="00515808" w:rsidRDefault="00515808" w:rsidP="00515808">
      <w:pPr>
        <w:pStyle w:val="Bibliografa"/>
        <w:rPr>
          <w:rFonts w:cs="Times New Roman"/>
        </w:rPr>
      </w:pPr>
      <w:r w:rsidRPr="00515808">
        <w:rPr>
          <w:rFonts w:cs="Times New Roman"/>
        </w:rPr>
        <w:t>32.</w:t>
      </w:r>
      <w:r w:rsidRPr="00515808">
        <w:rPr>
          <w:rFonts w:cs="Times New Roman"/>
        </w:rPr>
        <w:tab/>
        <w:t xml:space="preserve">Nunez PL, Srinivasan R. Electric fields of the brain: the neurophysics of EEG. Oxford University Press, USA; 2006. </w:t>
      </w:r>
    </w:p>
    <w:p w14:paraId="75511866" w14:textId="77777777" w:rsidR="00515808" w:rsidRPr="00515808" w:rsidRDefault="00515808" w:rsidP="00515808">
      <w:pPr>
        <w:pStyle w:val="Bibliografa"/>
        <w:rPr>
          <w:rFonts w:cs="Times New Roman"/>
        </w:rPr>
      </w:pPr>
      <w:r w:rsidRPr="00515808">
        <w:rPr>
          <w:rFonts w:cs="Times New Roman"/>
        </w:rPr>
        <w:t>33.</w:t>
      </w:r>
      <w:r w:rsidRPr="00515808">
        <w:rPr>
          <w:rFonts w:cs="Times New Roman"/>
        </w:rPr>
        <w:tab/>
        <w:t xml:space="preserve">Lioumis P, Kicić D, Savolainen P, Mäkelä JP, Kähkönen S. Reproducibility of TMS-Evoked EEG responses. Hum Brain Mapp. 2009 Apr;30(4):1387–96. </w:t>
      </w:r>
    </w:p>
    <w:p w14:paraId="4321EA8E" w14:textId="77777777" w:rsidR="00515808" w:rsidRPr="00515808" w:rsidRDefault="00515808" w:rsidP="00515808">
      <w:pPr>
        <w:pStyle w:val="Bibliografa"/>
        <w:rPr>
          <w:rFonts w:cs="Times New Roman"/>
        </w:rPr>
      </w:pPr>
      <w:r w:rsidRPr="00515808">
        <w:rPr>
          <w:rFonts w:cs="Times New Roman"/>
        </w:rPr>
        <w:t>34.</w:t>
      </w:r>
      <w:r w:rsidRPr="00515808">
        <w:rPr>
          <w:rFonts w:cs="Times New Roman"/>
        </w:rPr>
        <w:tab/>
        <w:t>Cheng H. Understanding data analysis aspects of TMS-EEG in clinical study: a mini review and a case study with open dataset. 2024 [cited 2024 Mar 19]; Available from: https://rgdoi.net/10.13140/RG.2.2.23310.37449</w:t>
      </w:r>
    </w:p>
    <w:p w14:paraId="073019D7" w14:textId="77777777" w:rsidR="00515808" w:rsidRPr="00515808" w:rsidRDefault="00515808" w:rsidP="00515808">
      <w:pPr>
        <w:pStyle w:val="Bibliografa"/>
        <w:rPr>
          <w:rFonts w:cs="Times New Roman"/>
        </w:rPr>
      </w:pPr>
      <w:r w:rsidRPr="00515808">
        <w:rPr>
          <w:rFonts w:cs="Times New Roman"/>
        </w:rPr>
        <w:t>35.</w:t>
      </w:r>
      <w:r w:rsidRPr="00515808">
        <w:rPr>
          <w:rFonts w:cs="Times New Roman"/>
        </w:rPr>
        <w:tab/>
        <w:t xml:space="preserve">Darmani G, Zipser CM, Böhmer GM, Deschet K, Müller-Dahlhaus F, Belardinelli P, et al. Effects of the Selective α5-GABAAR Antagonist S44819 on Excitability in the Human Brain: A TMS-EMG and TMS-EEG Phase I Study. J Neurosci Off J Soc Neurosci. 2016 Dec 7;36(49):12312–20. </w:t>
      </w:r>
    </w:p>
    <w:p w14:paraId="5B5BEED2" w14:textId="77777777" w:rsidR="00515808" w:rsidRPr="00515808" w:rsidRDefault="00515808" w:rsidP="00515808">
      <w:pPr>
        <w:pStyle w:val="Bibliografa"/>
        <w:rPr>
          <w:rFonts w:cs="Times New Roman"/>
        </w:rPr>
      </w:pPr>
      <w:r w:rsidRPr="00515808">
        <w:rPr>
          <w:rFonts w:cs="Times New Roman"/>
        </w:rPr>
        <w:t>36.</w:t>
      </w:r>
      <w:r w:rsidRPr="00515808">
        <w:rPr>
          <w:rFonts w:cs="Times New Roman"/>
        </w:rPr>
        <w:tab/>
        <w:t xml:space="preserve">Ferreri F, Pasqualetti P, Määttä S, Ponzo D, Ferrarelli F, Tononi G, et al. Human brain connectivity during single and paired pulse transcranial magnetic stimulation. NeuroImage. 2011 Jan 1;54(1):90–102. </w:t>
      </w:r>
    </w:p>
    <w:p w14:paraId="70E5E473" w14:textId="77777777" w:rsidR="00515808" w:rsidRPr="00515808" w:rsidRDefault="00515808" w:rsidP="00515808">
      <w:pPr>
        <w:pStyle w:val="Bibliografa"/>
        <w:rPr>
          <w:rFonts w:cs="Times New Roman"/>
        </w:rPr>
      </w:pPr>
      <w:r w:rsidRPr="00515808">
        <w:rPr>
          <w:rFonts w:cs="Times New Roman"/>
        </w:rPr>
        <w:t>37.</w:t>
      </w:r>
      <w:r w:rsidRPr="00515808">
        <w:rPr>
          <w:rFonts w:cs="Times New Roman"/>
        </w:rPr>
        <w:tab/>
        <w:t xml:space="preserve">Rogasch NC, Fitzgerald PB. Assessing cortical network properties using TMS–EEG. Hum Brain Mapp. 2013 Feb 29;34(7):1652. </w:t>
      </w:r>
    </w:p>
    <w:p w14:paraId="3E79FAC6" w14:textId="77777777" w:rsidR="00515808" w:rsidRPr="00515808" w:rsidRDefault="00515808" w:rsidP="00515808">
      <w:pPr>
        <w:pStyle w:val="Bibliografa"/>
        <w:rPr>
          <w:rFonts w:cs="Times New Roman"/>
        </w:rPr>
      </w:pPr>
      <w:r w:rsidRPr="00515808">
        <w:rPr>
          <w:rFonts w:cs="Times New Roman"/>
        </w:rPr>
        <w:t>38.</w:t>
      </w:r>
      <w:r w:rsidRPr="00515808">
        <w:rPr>
          <w:rFonts w:cs="Times New Roman"/>
        </w:rPr>
        <w:tab/>
        <w:t xml:space="preserve">Belardinelli P, König F, Liang C, Premoli I, Desideri D, Müller-Dahlhaus F, et al. TMS-EEG signatures of glutamatergic neurotransmission in human cortex. Sci Rep. 2021 Apr 14;11(1):8159. </w:t>
      </w:r>
    </w:p>
    <w:p w14:paraId="68966674" w14:textId="77777777" w:rsidR="00515808" w:rsidRPr="00515808" w:rsidRDefault="00515808" w:rsidP="00515808">
      <w:pPr>
        <w:pStyle w:val="Bibliografa"/>
        <w:rPr>
          <w:rFonts w:cs="Times New Roman"/>
        </w:rPr>
      </w:pPr>
      <w:r w:rsidRPr="00515808">
        <w:rPr>
          <w:rFonts w:cs="Times New Roman"/>
        </w:rPr>
        <w:t>39.</w:t>
      </w:r>
      <w:r w:rsidRPr="00515808">
        <w:rPr>
          <w:rFonts w:cs="Times New Roman"/>
        </w:rPr>
        <w:tab/>
        <w:t>Noda Y, Zomorrodi R, Cash RFH, Barr MS, Farzan F, Rajji TK, et al. Characterization of the influence of age on GABA</w:t>
      </w:r>
      <w:r w:rsidRPr="00515808">
        <w:rPr>
          <w:rFonts w:cs="Times New Roman"/>
          <w:vertAlign w:val="subscript"/>
        </w:rPr>
        <w:t>A</w:t>
      </w:r>
      <w:r w:rsidRPr="00515808">
        <w:rPr>
          <w:rFonts w:cs="Times New Roman"/>
        </w:rPr>
        <w:t xml:space="preserve"> and glutamatergic mediated functions in the dorsolateral prefrontal cortex using paired-pulse TMS-EEG. Aging. 2017 Feb 16;9(2):556–72. </w:t>
      </w:r>
    </w:p>
    <w:p w14:paraId="6CE558E3" w14:textId="77777777" w:rsidR="00515808" w:rsidRPr="00515808" w:rsidRDefault="00515808" w:rsidP="00515808">
      <w:pPr>
        <w:pStyle w:val="Bibliografa"/>
        <w:rPr>
          <w:rFonts w:cs="Times New Roman"/>
        </w:rPr>
      </w:pPr>
      <w:r w:rsidRPr="00515808">
        <w:rPr>
          <w:rFonts w:cs="Times New Roman"/>
        </w:rPr>
        <w:t>40.</w:t>
      </w:r>
      <w:r w:rsidRPr="00515808">
        <w:rPr>
          <w:rFonts w:cs="Times New Roman"/>
        </w:rPr>
        <w:tab/>
        <w:t xml:space="preserve">Rogasch NC, Daskalakis ZJ, Fitzgerald PB. Cortical inhibition of distinct mechanisms in the dorsolateral prefrontal cortex is related to working memory performance: A TMS–EEG study. Cortex. 2015 Mar 1;64:68–77. </w:t>
      </w:r>
    </w:p>
    <w:p w14:paraId="358FFA1F" w14:textId="77777777" w:rsidR="00515808" w:rsidRPr="00515808" w:rsidRDefault="00515808" w:rsidP="00515808">
      <w:pPr>
        <w:pStyle w:val="Bibliografa"/>
        <w:rPr>
          <w:rFonts w:cs="Times New Roman"/>
        </w:rPr>
      </w:pPr>
      <w:r w:rsidRPr="00515808">
        <w:rPr>
          <w:rFonts w:cs="Times New Roman"/>
        </w:rPr>
        <w:t>41.</w:t>
      </w:r>
      <w:r w:rsidRPr="00515808">
        <w:rPr>
          <w:rFonts w:cs="Times New Roman"/>
        </w:rPr>
        <w:tab/>
        <w:t xml:space="preserve">Hadas I, Sun Y, Lioumis P, Zomorrodi R, Jones B, Voineskos D, et al. Association of Repetitive Transcranial Magnetic Stimulation Treatment With Subgenual Cingulate Hyperactivity in Patients With Major Depressive Disorder. JAMA Netw Open. 2019 June 5;2(6):e195578. </w:t>
      </w:r>
    </w:p>
    <w:p w14:paraId="6F7B4243" w14:textId="77777777" w:rsidR="00515808" w:rsidRPr="00515808" w:rsidRDefault="00515808" w:rsidP="00515808">
      <w:pPr>
        <w:pStyle w:val="Bibliografa"/>
        <w:rPr>
          <w:rFonts w:cs="Times New Roman"/>
        </w:rPr>
      </w:pPr>
      <w:r w:rsidRPr="00515808">
        <w:rPr>
          <w:rFonts w:cs="Times New Roman"/>
        </w:rPr>
        <w:t>42.</w:t>
      </w:r>
      <w:r w:rsidRPr="00515808">
        <w:rPr>
          <w:rFonts w:cs="Times New Roman"/>
        </w:rPr>
        <w:tab/>
        <w:t xml:space="preserve">Mayberg HS, Liotti M, Brannan SK, McGinnis S, Mahurin RK, Jerabek PA, et al. Reciprocal limbic-cortical function and negative mood: converging PET findings in depression and normal sadness. Am J Psychiatry. 1999 May;156(5):675–82. </w:t>
      </w:r>
    </w:p>
    <w:p w14:paraId="7610E40A" w14:textId="227785F0" w:rsidR="00F62561" w:rsidRPr="00EB0A6C" w:rsidRDefault="00F22406" w:rsidP="00B90326">
      <w:pPr>
        <w:rPr>
          <w:rFonts w:cs="Times New Roman"/>
          <w:szCs w:val="24"/>
        </w:rPr>
      </w:pPr>
      <w:r>
        <w:rPr>
          <w:rFonts w:cs="Times New Roman"/>
          <w:szCs w:val="24"/>
        </w:rPr>
        <w:fldChar w:fldCharType="end"/>
      </w:r>
    </w:p>
    <w:sectPr w:rsidR="00F62561" w:rsidRPr="00EB0A6C" w:rsidSect="001E3430">
      <w:footerReference w:type="even" r:id="rId12"/>
      <w:footerReference w:type="default" r:id="rId13"/>
      <w:headerReference w:type="first" r:id="rId14"/>
      <w:pgSz w:w="12240" w:h="15840"/>
      <w:pgMar w:top="1138" w:right="1181" w:bottom="1138" w:left="1282" w:header="283" w:footer="510" w:gutter="0"/>
      <w:lnNumType w:countBy="1" w:restart="continuou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85FC8A" w14:textId="77777777" w:rsidR="005A5388" w:rsidRDefault="005A5388" w:rsidP="00117666">
      <w:pPr>
        <w:spacing w:after="0"/>
      </w:pPr>
      <w:r>
        <w:separator/>
      </w:r>
    </w:p>
  </w:endnote>
  <w:endnote w:type="continuationSeparator" w:id="0">
    <w:p w14:paraId="419B2C4E" w14:textId="77777777" w:rsidR="005A5388" w:rsidRDefault="005A5388" w:rsidP="00117666">
      <w:pPr>
        <w:spacing w:after="0"/>
      </w:pPr>
      <w:r>
        <w:continuationSeparator/>
      </w:r>
    </w:p>
  </w:endnote>
  <w:endnote w:type="continuationNotice" w:id="1">
    <w:p w14:paraId="7EFBF04F" w14:textId="77777777" w:rsidR="005A5388" w:rsidRDefault="005A5388">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inionPro-Regular">
    <w:altName w:val="Cambria"/>
    <w:panose1 w:val="00000000000000000000"/>
    <w:charset w:val="00"/>
    <w:family w:val="roman"/>
    <w:notTrueType/>
    <w:pitch w:val="variable"/>
    <w:sig w:usb0="60000287" w:usb1="00000001"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0FCB79" w14:textId="49D5AF71" w:rsidR="00686C9D" w:rsidRPr="00577C4C" w:rsidRDefault="00C52A7B">
    <w:pPr>
      <w:pStyle w:val="Piedepgina"/>
      <w:rPr>
        <w:color w:val="C00000"/>
        <w:szCs w:val="24"/>
      </w:rPr>
    </w:pPr>
    <w:r>
      <w:rPr>
        <w:noProof/>
        <w:lang w:val="en-GB" w:eastAsia="en-GB"/>
      </w:rPr>
      <mc:AlternateContent>
        <mc:Choice Requires="wps">
          <w:drawing>
            <wp:anchor distT="0" distB="0" distL="114300" distR="114300" simplePos="0" relativeHeight="251658241" behindDoc="0" locked="0" layoutInCell="1" allowOverlap="1" wp14:anchorId="7C0C9A1E" wp14:editId="25B855BF">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2B86276A" w14:textId="77777777" w:rsidR="00686C9D" w:rsidRPr="00577C4C" w:rsidRDefault="00C52A7B">
                          <w:pPr>
                            <w:pStyle w:val="Piedepgina"/>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88513A" w:rsidRPr="0088513A">
                            <w:rPr>
                              <w:noProof/>
                              <w:color w:val="000000" w:themeColor="text1"/>
                              <w:sz w:val="22"/>
                              <w:szCs w:val="40"/>
                            </w:rPr>
                            <w:t>4</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7C0C9A1E" id="_x0000_t202" coordsize="21600,21600" o:spt="202" path="m,l,21600r21600,l21600,xe">
              <v:stroke joinstyle="miter"/>
              <v:path gradientshapeok="t" o:connecttype="rect"/>
            </v:shapetype>
            <v:shape id="Text Box 1" o:spid="_x0000_s1026" type="#_x0000_t202" style="position:absolute;margin-left:67.6pt;margin-top:0;width:118.8pt;height:31.15pt;z-index:251658241;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" filled="f" stroked="f" strokeweight=".5pt">
              <v:textbox style="mso-fit-shape-to-text:t">
                <w:txbxContent>
                  <w:p w14:paraId="2B86276A" w14:textId="77777777" w:rsidR="00686C9D" w:rsidRPr="00577C4C" w:rsidRDefault="00C52A7B">
                    <w:pPr>
                      <w:pStyle w:val="Piedepgina"/>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88513A" w:rsidRPr="0088513A">
                      <w:rPr>
                        <w:noProof/>
                        <w:color w:val="000000" w:themeColor="text1"/>
                        <w:sz w:val="22"/>
                        <w:szCs w:val="40"/>
                      </w:rPr>
                      <w:t>4</w:t>
                    </w:r>
                    <w:r w:rsidRPr="00577C4C">
                      <w:rPr>
                        <w:color w:val="000000" w:themeColor="text1"/>
                        <w:szCs w:val="40"/>
                      </w:rPr>
                      <w:fldChar w:fldCharType="end"/>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18A60F" w14:textId="77777777" w:rsidR="00686C9D" w:rsidRPr="00577C4C" w:rsidRDefault="00C52A7B">
    <w:pPr>
      <w:pStyle w:val="Piedepgina"/>
      <w:rPr>
        <w:b/>
        <w:sz w:val="20"/>
        <w:szCs w:val="24"/>
      </w:rPr>
    </w:pPr>
    <w:r>
      <w:rPr>
        <w:noProof/>
        <w:lang w:val="en-GB" w:eastAsia="en-GB"/>
      </w:rPr>
      <mc:AlternateContent>
        <mc:Choice Requires="wps">
          <w:drawing>
            <wp:anchor distT="0" distB="0" distL="114300" distR="114300" simplePos="0" relativeHeight="251658240" behindDoc="0" locked="0" layoutInCell="1" allowOverlap="1" wp14:anchorId="2127D7DA" wp14:editId="10908CC8">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04C0BEFB" w14:textId="77777777" w:rsidR="00686C9D" w:rsidRPr="00577C4C" w:rsidRDefault="00C52A7B">
                          <w:pPr>
                            <w:pStyle w:val="Piedepgina"/>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88513A" w:rsidRPr="0088513A">
                            <w:rPr>
                              <w:noProof/>
                              <w:color w:val="000000" w:themeColor="text1"/>
                              <w:sz w:val="22"/>
                              <w:szCs w:val="40"/>
                            </w:rPr>
                            <w:t>3</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2127D7DA" id="_x0000_t202" coordsize="21600,21600" o:spt="202" path="m,l,21600r21600,l21600,xe">
              <v:stroke joinstyle="miter"/>
              <v:path gradientshapeok="t" o:connecttype="rect"/>
            </v:shapetype>
            <v:shape id="Text Box 56" o:spid="_x0000_s1027" type="#_x0000_t202" style="position:absolute;margin-left:67.6pt;margin-top:0;width:118.8pt;height:31.15pt;z-index:251658240;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" filled="f" stroked="f" strokeweight=".5pt">
              <v:textbox style="mso-fit-shape-to-text:t">
                <w:txbxContent>
                  <w:p w14:paraId="04C0BEFB" w14:textId="77777777" w:rsidR="00686C9D" w:rsidRPr="00577C4C" w:rsidRDefault="00C52A7B">
                    <w:pPr>
                      <w:pStyle w:val="Piedepgina"/>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88513A" w:rsidRPr="0088513A">
                      <w:rPr>
                        <w:noProof/>
                        <w:color w:val="000000" w:themeColor="text1"/>
                        <w:sz w:val="22"/>
                        <w:szCs w:val="40"/>
                      </w:rPr>
                      <w:t>3</w:t>
                    </w:r>
                    <w:r w:rsidRPr="00577C4C">
                      <w:rPr>
                        <w:color w:val="000000" w:themeColor="text1"/>
                        <w:szCs w:val="40"/>
                      </w:rPr>
                      <w:fldChar w:fldCharType="end"/>
                    </w:r>
                  </w:p>
                </w:txbxContent>
              </v:textbox>
              <w10:wrap anchorx="margin" anchory="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05755D" w14:textId="77777777" w:rsidR="005A5388" w:rsidRDefault="005A5388" w:rsidP="00117666">
      <w:pPr>
        <w:spacing w:after="0"/>
      </w:pPr>
      <w:r>
        <w:separator/>
      </w:r>
    </w:p>
  </w:footnote>
  <w:footnote w:type="continuationSeparator" w:id="0">
    <w:p w14:paraId="72D5887E" w14:textId="77777777" w:rsidR="005A5388" w:rsidRDefault="005A5388" w:rsidP="00117666">
      <w:pPr>
        <w:spacing w:after="0"/>
      </w:pPr>
      <w:r>
        <w:continuationSeparator/>
      </w:r>
    </w:p>
  </w:footnote>
  <w:footnote w:type="continuationNotice" w:id="1">
    <w:p w14:paraId="75DB68FB" w14:textId="77777777" w:rsidR="005A5388" w:rsidRDefault="005A5388">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34DC69" w14:textId="5D3EA87A" w:rsidR="00686C9D" w:rsidRDefault="00C52A7B" w:rsidP="00A53000">
    <w:pPr>
      <w:pStyle w:val="Encabezado"/>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B7666"/>
    <w:multiLevelType w:val="multilevel"/>
    <w:tmpl w:val="44328928"/>
    <w:lvl w:ilvl="0">
      <w:start w:val="1"/>
      <w:numFmt w:val="decimal"/>
      <w:lvlText w:val="%1."/>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70660A"/>
    <w:multiLevelType w:val="hybridMultilevel"/>
    <w:tmpl w:val="D5CC9C82"/>
    <w:lvl w:ilvl="0" w:tplc="0E20341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8A03CD"/>
    <w:multiLevelType w:val="multilevel"/>
    <w:tmpl w:val="ADB20CA4"/>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EC0601A"/>
    <w:multiLevelType w:val="multilevel"/>
    <w:tmpl w:val="C6A8CCEA"/>
    <w:styleLink w:val="Headings"/>
    <w:lvl w:ilvl="0">
      <w:start w:val="1"/>
      <w:numFmt w:val="decimal"/>
      <w:pStyle w:val="Ttulo1"/>
      <w:lvlText w:val="%1"/>
      <w:lvlJc w:val="left"/>
      <w:pPr>
        <w:tabs>
          <w:tab w:val="num" w:pos="567"/>
        </w:tabs>
        <w:ind w:left="567" w:hanging="567"/>
      </w:pPr>
      <w:rPr>
        <w:rFonts w:hint="default"/>
      </w:rPr>
    </w:lvl>
    <w:lvl w:ilvl="1">
      <w:start w:val="1"/>
      <w:numFmt w:val="decimal"/>
      <w:pStyle w:val="Ttulo2"/>
      <w:lvlText w:val="%1.%2"/>
      <w:lvlJc w:val="left"/>
      <w:pPr>
        <w:tabs>
          <w:tab w:val="num" w:pos="567"/>
        </w:tabs>
        <w:ind w:left="567" w:hanging="567"/>
      </w:pPr>
      <w:rPr>
        <w:rFonts w:hint="default"/>
      </w:rPr>
    </w:lvl>
    <w:lvl w:ilvl="2">
      <w:start w:val="1"/>
      <w:numFmt w:val="decimal"/>
      <w:pStyle w:val="Ttulo3"/>
      <w:lvlText w:val="%1.%2.%3"/>
      <w:lvlJc w:val="left"/>
      <w:pPr>
        <w:tabs>
          <w:tab w:val="num" w:pos="567"/>
        </w:tabs>
        <w:ind w:left="567" w:hanging="567"/>
      </w:pPr>
      <w:rPr>
        <w:rFonts w:hint="default"/>
      </w:rPr>
    </w:lvl>
    <w:lvl w:ilvl="3">
      <w:start w:val="1"/>
      <w:numFmt w:val="decimal"/>
      <w:pStyle w:val="Ttulo4"/>
      <w:lvlText w:val="%1.%2.%3.%4"/>
      <w:lvlJc w:val="left"/>
      <w:pPr>
        <w:tabs>
          <w:tab w:val="num" w:pos="567"/>
        </w:tabs>
        <w:ind w:left="567" w:hanging="567"/>
      </w:pPr>
      <w:rPr>
        <w:rFonts w:hint="default"/>
      </w:rPr>
    </w:lvl>
    <w:lvl w:ilvl="4">
      <w:start w:val="1"/>
      <w:numFmt w:val="decimal"/>
      <w:pStyle w:val="Ttulo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5" w15:restartNumberingAfterBreak="0">
    <w:nsid w:val="225305B5"/>
    <w:multiLevelType w:val="hybridMultilevel"/>
    <w:tmpl w:val="4F8C24FA"/>
    <w:lvl w:ilvl="0" w:tplc="A9DCD718">
      <w:start w:val="1"/>
      <w:numFmt w:val="bullet"/>
      <w:pStyle w:val="Prrafodelista"/>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23C458FE"/>
    <w:multiLevelType w:val="multilevel"/>
    <w:tmpl w:val="ACEA2D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02A7CAC"/>
    <w:multiLevelType w:val="multilevel"/>
    <w:tmpl w:val="C6A8CCEA"/>
    <w:numStyleLink w:val="Headings"/>
  </w:abstractNum>
  <w:abstractNum w:abstractNumId="8" w15:restartNumberingAfterBreak="0">
    <w:nsid w:val="36D30736"/>
    <w:multiLevelType w:val="hybridMultilevel"/>
    <w:tmpl w:val="BC1E7B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817787E"/>
    <w:multiLevelType w:val="multilevel"/>
    <w:tmpl w:val="ADB20CA4"/>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8C225AF"/>
    <w:multiLevelType w:val="hybridMultilevel"/>
    <w:tmpl w:val="14A8BEFA"/>
    <w:lvl w:ilvl="0" w:tplc="4268D9F4">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AE92CDE"/>
    <w:multiLevelType w:val="hybridMultilevel"/>
    <w:tmpl w:val="294E0C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C1539C0"/>
    <w:multiLevelType w:val="hybridMultilevel"/>
    <w:tmpl w:val="675E09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E26004A"/>
    <w:multiLevelType w:val="multilevel"/>
    <w:tmpl w:val="87E835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08E502C"/>
    <w:multiLevelType w:val="hybridMultilevel"/>
    <w:tmpl w:val="C2165F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4216449"/>
    <w:multiLevelType w:val="hybridMultilevel"/>
    <w:tmpl w:val="60E244E0"/>
    <w:lvl w:ilvl="0" w:tplc="BB925A66">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D8113DE"/>
    <w:multiLevelType w:val="multilevel"/>
    <w:tmpl w:val="ADB20CA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F6777D9"/>
    <w:multiLevelType w:val="hybridMultilevel"/>
    <w:tmpl w:val="1570D64C"/>
    <w:lvl w:ilvl="0" w:tplc="0E20341A">
      <w:start w:val="1"/>
      <w:numFmt w:val="lowerRoman"/>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8"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2290D83"/>
    <w:multiLevelType w:val="hybridMultilevel"/>
    <w:tmpl w:val="D1E4BA92"/>
    <w:lvl w:ilvl="0" w:tplc="E9807BE6">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DBC6F29"/>
    <w:multiLevelType w:val="multilevel"/>
    <w:tmpl w:val="C6A8CCEA"/>
    <w:numStyleLink w:val="Headings"/>
  </w:abstractNum>
  <w:abstractNum w:abstractNumId="22" w15:restartNumberingAfterBreak="0">
    <w:nsid w:val="7F983756"/>
    <w:multiLevelType w:val="multilevel"/>
    <w:tmpl w:val="F300CEF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820148494">
    <w:abstractNumId w:val="0"/>
  </w:num>
  <w:num w:numId="2" w16cid:durableId="1175342395">
    <w:abstractNumId w:val="18"/>
  </w:num>
  <w:num w:numId="3" w16cid:durableId="1144352800">
    <w:abstractNumId w:val="1"/>
  </w:num>
  <w:num w:numId="4" w16cid:durableId="769737119">
    <w:abstractNumId w:val="20"/>
  </w:num>
  <w:num w:numId="5" w16cid:durableId="170166339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5534203">
    <w:abstractNumId w:val="14"/>
  </w:num>
  <w:num w:numId="7" w16cid:durableId="773479634">
    <w:abstractNumId w:val="11"/>
  </w:num>
  <w:num w:numId="8" w16cid:durableId="2072000685">
    <w:abstractNumId w:val="8"/>
  </w:num>
  <w:num w:numId="9" w16cid:durableId="1213807494">
    <w:abstractNumId w:val="12"/>
  </w:num>
  <w:num w:numId="10" w16cid:durableId="308825289">
    <w:abstractNumId w:val="9"/>
  </w:num>
  <w:num w:numId="11" w16cid:durableId="372848954">
    <w:abstractNumId w:val="3"/>
  </w:num>
  <w:num w:numId="12" w16cid:durableId="213006365">
    <w:abstractNumId w:val="22"/>
  </w:num>
  <w:num w:numId="13" w16cid:durableId="1411196366">
    <w:abstractNumId w:val="16"/>
  </w:num>
  <w:num w:numId="14" w16cid:durableId="944966812">
    <w:abstractNumId w:val="5"/>
  </w:num>
  <w:num w:numId="15" w16cid:durableId="1662200756">
    <w:abstractNumId w:val="15"/>
  </w:num>
  <w:num w:numId="16" w16cid:durableId="2141485750">
    <w:abstractNumId w:val="19"/>
  </w:num>
  <w:num w:numId="17" w16cid:durableId="2002923295">
    <w:abstractNumId w:val="4"/>
    <w:lvlOverride w:ilvl="0">
      <w:lvl w:ilvl="0">
        <w:start w:val="1"/>
        <w:numFmt w:val="decimal"/>
        <w:pStyle w:val="Ttulo1"/>
        <w:lvlText w:val="%1"/>
        <w:lvlJc w:val="left"/>
        <w:pPr>
          <w:tabs>
            <w:tab w:val="num" w:pos="567"/>
          </w:tabs>
          <w:ind w:left="567" w:hanging="567"/>
        </w:pPr>
        <w:rPr>
          <w:rFonts w:hint="default"/>
        </w:rPr>
      </w:lvl>
    </w:lvlOverride>
    <w:lvlOverride w:ilvl="1">
      <w:lvl w:ilvl="1">
        <w:start w:val="1"/>
        <w:numFmt w:val="decimal"/>
        <w:pStyle w:val="Ttulo2"/>
        <w:lvlText w:val="%1.%2"/>
        <w:lvlJc w:val="left"/>
        <w:pPr>
          <w:tabs>
            <w:tab w:val="num" w:pos="567"/>
          </w:tabs>
          <w:ind w:left="567" w:hanging="567"/>
        </w:pPr>
        <w:rPr>
          <w:rFonts w:hint="default"/>
        </w:rPr>
      </w:lvl>
    </w:lvlOverride>
  </w:num>
  <w:num w:numId="18" w16cid:durableId="130052755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414516991">
    <w:abstractNumId w:val="7"/>
  </w:num>
  <w:num w:numId="20" w16cid:durableId="58940097">
    <w:abstractNumId w:val="21"/>
  </w:num>
  <w:num w:numId="21" w16cid:durableId="490292411">
    <w:abstractNumId w:val="4"/>
  </w:num>
  <w:num w:numId="22" w16cid:durableId="1120419941">
    <w:abstractNumId w:val="4"/>
    <w:lvlOverride w:ilvl="0">
      <w:startOverride w:val="1"/>
      <w:lvl w:ilvl="0">
        <w:start w:val="1"/>
        <w:numFmt w:val="decimal"/>
        <w:pStyle w:val="Ttulo1"/>
        <w:lvlText w:val="%1"/>
        <w:lvlJc w:val="left"/>
        <w:pPr>
          <w:tabs>
            <w:tab w:val="num" w:pos="567"/>
          </w:tabs>
          <w:ind w:left="567" w:hanging="567"/>
        </w:pPr>
      </w:lvl>
    </w:lvlOverride>
    <w:lvlOverride w:ilvl="1">
      <w:startOverride w:val="1"/>
      <w:lvl w:ilvl="1">
        <w:start w:val="1"/>
        <w:numFmt w:val="decimal"/>
        <w:pStyle w:val="Ttulo2"/>
        <w:lvlText w:val="%1.%2"/>
        <w:lvlJc w:val="left"/>
        <w:pPr>
          <w:tabs>
            <w:tab w:val="num" w:pos="567"/>
          </w:tabs>
          <w:ind w:left="567" w:hanging="567"/>
        </w:pPr>
      </w:lvl>
    </w:lvlOverride>
    <w:lvlOverride w:ilvl="2">
      <w:startOverride w:val="1"/>
      <w:lvl w:ilvl="2">
        <w:start w:val="1"/>
        <w:numFmt w:val="decimal"/>
        <w:pStyle w:val="Ttulo3"/>
        <w:lvlText w:val=""/>
        <w:lvlJc w:val="left"/>
      </w:lvl>
    </w:lvlOverride>
    <w:lvlOverride w:ilvl="3">
      <w:startOverride w:val="1"/>
      <w:lvl w:ilvl="3">
        <w:start w:val="1"/>
        <w:numFmt w:val="decimal"/>
        <w:pStyle w:val="Ttulo4"/>
        <w:lvlText w:val=""/>
        <w:lvlJc w:val="left"/>
      </w:lvl>
    </w:lvlOverride>
    <w:lvlOverride w:ilvl="4">
      <w:startOverride w:val="1"/>
      <w:lvl w:ilvl="4">
        <w:start w:val="1"/>
        <w:numFmt w:val="decimal"/>
        <w:pStyle w:val="Ttulo5"/>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23" w16cid:durableId="1433666237">
    <w:abstractNumId w:val="4"/>
    <w:lvlOverride w:ilvl="0">
      <w:startOverride w:val="2"/>
      <w:lvl w:ilvl="0">
        <w:start w:val="2"/>
        <w:numFmt w:val="decimal"/>
        <w:pStyle w:val="Ttulo1"/>
        <w:lvlText w:val="%1"/>
        <w:lvlJc w:val="left"/>
        <w:pPr>
          <w:tabs>
            <w:tab w:val="num" w:pos="567"/>
          </w:tabs>
          <w:ind w:left="567" w:hanging="567"/>
        </w:pPr>
        <w:rPr>
          <w:rFonts w:hint="default"/>
        </w:rPr>
      </w:lvl>
    </w:lvlOverride>
    <w:lvlOverride w:ilvl="1">
      <w:startOverride w:val="3"/>
      <w:lvl w:ilvl="1">
        <w:start w:val="3"/>
        <w:numFmt w:val="decimal"/>
        <w:pStyle w:val="Ttulo2"/>
        <w:lvlText w:val="%1.%2"/>
        <w:lvlJc w:val="left"/>
        <w:pPr>
          <w:tabs>
            <w:tab w:val="num" w:pos="567"/>
          </w:tabs>
          <w:ind w:left="567" w:hanging="567"/>
        </w:pPr>
        <w:rPr>
          <w:rFonts w:hint="default"/>
        </w:rPr>
      </w:lvl>
    </w:lvlOverride>
    <w:lvlOverride w:ilvl="2">
      <w:startOverride w:val="1"/>
      <w:lvl w:ilvl="2">
        <w:start w:val="1"/>
        <w:numFmt w:val="decimal"/>
        <w:pStyle w:val="Ttulo3"/>
        <w:lvlText w:val=""/>
        <w:lvlJc w:val="left"/>
      </w:lvl>
    </w:lvlOverride>
  </w:num>
  <w:num w:numId="24" w16cid:durableId="1791436387">
    <w:abstractNumId w:val="4"/>
    <w:lvlOverride w:ilvl="0">
      <w:lvl w:ilvl="0">
        <w:start w:val="1"/>
        <w:numFmt w:val="decimal"/>
        <w:pStyle w:val="Ttulo1"/>
        <w:lvlText w:val="%1"/>
        <w:lvlJc w:val="left"/>
        <w:pPr>
          <w:tabs>
            <w:tab w:val="num" w:pos="567"/>
          </w:tabs>
          <w:ind w:left="567" w:hanging="567"/>
        </w:pPr>
      </w:lvl>
    </w:lvlOverride>
    <w:lvlOverride w:ilvl="1">
      <w:lvl w:ilvl="1">
        <w:start w:val="1"/>
        <w:numFmt w:val="decimal"/>
        <w:pStyle w:val="Ttulo2"/>
        <w:lvlText w:val="%1.%2"/>
        <w:lvlJc w:val="left"/>
        <w:pPr>
          <w:tabs>
            <w:tab w:val="num" w:pos="567"/>
          </w:tabs>
          <w:ind w:left="567" w:hanging="567"/>
        </w:pPr>
      </w:lvl>
    </w:lvlOverride>
    <w:lvlOverride w:ilvl="2">
      <w:lvl w:ilvl="2">
        <w:start w:val="1"/>
        <w:numFmt w:val="decimal"/>
        <w:pStyle w:val="Ttulo3"/>
        <w:lvlText w:val=""/>
        <w:lvlJc w:val="left"/>
      </w:lvl>
    </w:lvlOverride>
    <w:lvlOverride w:ilvl="3">
      <w:lvl w:ilvl="3">
        <w:start w:val="1"/>
        <w:numFmt w:val="decimal"/>
        <w:pStyle w:val="Ttulo4"/>
        <w:lvlText w:val=""/>
        <w:lvlJc w:val="left"/>
      </w:lvl>
    </w:lvlOverride>
    <w:lvlOverride w:ilvl="4">
      <w:lvl w:ilvl="4">
        <w:start w:val="1"/>
        <w:numFmt w:val="decimal"/>
        <w:pStyle w:val="Ttulo5"/>
        <w:lvlText w:val=""/>
        <w:lvlJc w:val="left"/>
      </w:lvl>
    </w:lvlOverride>
    <w:lvlOverride w:ilvl="5">
      <w:lvl w:ilvl="5">
        <w:start w:val="1"/>
        <w:numFmt w:val="decimal"/>
        <w:lvlText w:val=""/>
        <w:lvlJc w:val="left"/>
      </w:lvl>
    </w:lvlOverride>
    <w:lvlOverride w:ilvl="6">
      <w:lvl w:ilvl="6">
        <w:start w:val="1"/>
        <w:numFmt w:val="decimal"/>
        <w:lvlText w:val=""/>
        <w:lvlJc w:val="left"/>
      </w:lvl>
    </w:lvlOverride>
    <w:lvlOverride w:ilvl="7">
      <w:lvl w:ilvl="7">
        <w:start w:val="1"/>
        <w:numFmt w:val="decimal"/>
        <w:lvlText w:val=""/>
        <w:lvlJc w:val="left"/>
      </w:lvl>
    </w:lvlOverride>
    <w:lvlOverride w:ilvl="8">
      <w:lvl w:ilvl="8">
        <w:start w:val="1"/>
        <w:numFmt w:val="decimal"/>
        <w:lvlText w:val=""/>
        <w:lvlJc w:val="left"/>
      </w:lvl>
    </w:lvlOverride>
  </w:num>
  <w:num w:numId="25" w16cid:durableId="531111154">
    <w:abstractNumId w:val="6"/>
  </w:num>
  <w:num w:numId="26" w16cid:durableId="13655583">
    <w:abstractNumId w:val="13"/>
  </w:num>
  <w:num w:numId="27" w16cid:durableId="1600871934">
    <w:abstractNumId w:val="10"/>
  </w:num>
  <w:num w:numId="28" w16cid:durableId="1556621778">
    <w:abstractNumId w:val="2"/>
  </w:num>
  <w:num w:numId="29" w16cid:durableId="26392838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ttachedTemplate r:id="rId1"/>
  <w:defaultTabStop w:val="720"/>
  <w:hyphenationZone w:val="425"/>
  <w:evenAndOddHeader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420"/>
    <w:rsid w:val="000001BE"/>
    <w:rsid w:val="000004AB"/>
    <w:rsid w:val="00000CED"/>
    <w:rsid w:val="000012CD"/>
    <w:rsid w:val="000025CE"/>
    <w:rsid w:val="0000333A"/>
    <w:rsid w:val="00003449"/>
    <w:rsid w:val="0000351B"/>
    <w:rsid w:val="000039FC"/>
    <w:rsid w:val="00003B1F"/>
    <w:rsid w:val="0000404A"/>
    <w:rsid w:val="00004645"/>
    <w:rsid w:val="00005923"/>
    <w:rsid w:val="00005ED1"/>
    <w:rsid w:val="000060AD"/>
    <w:rsid w:val="000062CB"/>
    <w:rsid w:val="00006984"/>
    <w:rsid w:val="00007027"/>
    <w:rsid w:val="0000752C"/>
    <w:rsid w:val="0000769D"/>
    <w:rsid w:val="00007EA6"/>
    <w:rsid w:val="000105A3"/>
    <w:rsid w:val="000110DF"/>
    <w:rsid w:val="00011A9B"/>
    <w:rsid w:val="00011D21"/>
    <w:rsid w:val="00011F7E"/>
    <w:rsid w:val="0001373C"/>
    <w:rsid w:val="000144D4"/>
    <w:rsid w:val="000149B3"/>
    <w:rsid w:val="000152EB"/>
    <w:rsid w:val="00015401"/>
    <w:rsid w:val="00015A15"/>
    <w:rsid w:val="00015CB9"/>
    <w:rsid w:val="00015D7B"/>
    <w:rsid w:val="00016997"/>
    <w:rsid w:val="00016EC3"/>
    <w:rsid w:val="00016EC7"/>
    <w:rsid w:val="000204D9"/>
    <w:rsid w:val="0002078D"/>
    <w:rsid w:val="00020E84"/>
    <w:rsid w:val="00021B3A"/>
    <w:rsid w:val="00021D66"/>
    <w:rsid w:val="000225BE"/>
    <w:rsid w:val="0002273A"/>
    <w:rsid w:val="00022742"/>
    <w:rsid w:val="0002282F"/>
    <w:rsid w:val="00022A43"/>
    <w:rsid w:val="00022D11"/>
    <w:rsid w:val="00023176"/>
    <w:rsid w:val="000248FA"/>
    <w:rsid w:val="00024C77"/>
    <w:rsid w:val="000250A0"/>
    <w:rsid w:val="000258FD"/>
    <w:rsid w:val="00025D1D"/>
    <w:rsid w:val="00025E5E"/>
    <w:rsid w:val="00025EB2"/>
    <w:rsid w:val="00026F7E"/>
    <w:rsid w:val="000275CF"/>
    <w:rsid w:val="0003039D"/>
    <w:rsid w:val="00030E4E"/>
    <w:rsid w:val="00031830"/>
    <w:rsid w:val="00032403"/>
    <w:rsid w:val="000325D3"/>
    <w:rsid w:val="0003320B"/>
    <w:rsid w:val="00034304"/>
    <w:rsid w:val="00034633"/>
    <w:rsid w:val="00034C76"/>
    <w:rsid w:val="00035181"/>
    <w:rsid w:val="00035434"/>
    <w:rsid w:val="00035690"/>
    <w:rsid w:val="000359CA"/>
    <w:rsid w:val="00037066"/>
    <w:rsid w:val="00037867"/>
    <w:rsid w:val="00037AD2"/>
    <w:rsid w:val="0004105E"/>
    <w:rsid w:val="00041A46"/>
    <w:rsid w:val="00041F57"/>
    <w:rsid w:val="0004201B"/>
    <w:rsid w:val="00042570"/>
    <w:rsid w:val="00042DCF"/>
    <w:rsid w:val="00042FF6"/>
    <w:rsid w:val="000433CD"/>
    <w:rsid w:val="00044E13"/>
    <w:rsid w:val="00044FBD"/>
    <w:rsid w:val="00045518"/>
    <w:rsid w:val="00045678"/>
    <w:rsid w:val="000458E4"/>
    <w:rsid w:val="00045CE5"/>
    <w:rsid w:val="00045F90"/>
    <w:rsid w:val="0004613A"/>
    <w:rsid w:val="00046687"/>
    <w:rsid w:val="00046C3C"/>
    <w:rsid w:val="00046FB4"/>
    <w:rsid w:val="00047245"/>
    <w:rsid w:val="00047CE7"/>
    <w:rsid w:val="000509C7"/>
    <w:rsid w:val="00051068"/>
    <w:rsid w:val="00051DBB"/>
    <w:rsid w:val="00052143"/>
    <w:rsid w:val="0005219A"/>
    <w:rsid w:val="000521AA"/>
    <w:rsid w:val="000529B9"/>
    <w:rsid w:val="00053814"/>
    <w:rsid w:val="000538FD"/>
    <w:rsid w:val="0005396C"/>
    <w:rsid w:val="000545AE"/>
    <w:rsid w:val="0005476E"/>
    <w:rsid w:val="00054DD0"/>
    <w:rsid w:val="0005517E"/>
    <w:rsid w:val="00055459"/>
    <w:rsid w:val="00055D63"/>
    <w:rsid w:val="00056960"/>
    <w:rsid w:val="00056FEB"/>
    <w:rsid w:val="00057D67"/>
    <w:rsid w:val="000604C6"/>
    <w:rsid w:val="00060844"/>
    <w:rsid w:val="000609E7"/>
    <w:rsid w:val="000611DD"/>
    <w:rsid w:val="00061B44"/>
    <w:rsid w:val="00061B7B"/>
    <w:rsid w:val="00061F3B"/>
    <w:rsid w:val="00062C17"/>
    <w:rsid w:val="00063D84"/>
    <w:rsid w:val="0006415C"/>
    <w:rsid w:val="000642B7"/>
    <w:rsid w:val="00065FBC"/>
    <w:rsid w:val="0006636D"/>
    <w:rsid w:val="00066EF8"/>
    <w:rsid w:val="00067B7D"/>
    <w:rsid w:val="0007038E"/>
    <w:rsid w:val="0007099E"/>
    <w:rsid w:val="00071092"/>
    <w:rsid w:val="000713C8"/>
    <w:rsid w:val="000722CB"/>
    <w:rsid w:val="0007271F"/>
    <w:rsid w:val="00072982"/>
    <w:rsid w:val="00073A81"/>
    <w:rsid w:val="0007456E"/>
    <w:rsid w:val="0007477C"/>
    <w:rsid w:val="000748F4"/>
    <w:rsid w:val="00074C33"/>
    <w:rsid w:val="0007577A"/>
    <w:rsid w:val="00075B3E"/>
    <w:rsid w:val="00075D7C"/>
    <w:rsid w:val="00075F34"/>
    <w:rsid w:val="00076228"/>
    <w:rsid w:val="0007693F"/>
    <w:rsid w:val="00076A3A"/>
    <w:rsid w:val="00076BB3"/>
    <w:rsid w:val="00077D53"/>
    <w:rsid w:val="00077D6C"/>
    <w:rsid w:val="00080535"/>
    <w:rsid w:val="00080560"/>
    <w:rsid w:val="00081394"/>
    <w:rsid w:val="00082CDF"/>
    <w:rsid w:val="0008303B"/>
    <w:rsid w:val="00083CA5"/>
    <w:rsid w:val="00083D5E"/>
    <w:rsid w:val="00083F4F"/>
    <w:rsid w:val="00084050"/>
    <w:rsid w:val="00085D4E"/>
    <w:rsid w:val="0008696A"/>
    <w:rsid w:val="00086E8C"/>
    <w:rsid w:val="00087291"/>
    <w:rsid w:val="0009046B"/>
    <w:rsid w:val="000905CF"/>
    <w:rsid w:val="0009084B"/>
    <w:rsid w:val="00090A75"/>
    <w:rsid w:val="000910E6"/>
    <w:rsid w:val="000910F8"/>
    <w:rsid w:val="00091301"/>
    <w:rsid w:val="000914F5"/>
    <w:rsid w:val="0009195C"/>
    <w:rsid w:val="000919EF"/>
    <w:rsid w:val="00091C15"/>
    <w:rsid w:val="00091FD1"/>
    <w:rsid w:val="00092BEE"/>
    <w:rsid w:val="00094765"/>
    <w:rsid w:val="00094D1C"/>
    <w:rsid w:val="00094FEF"/>
    <w:rsid w:val="0009506E"/>
    <w:rsid w:val="000960AB"/>
    <w:rsid w:val="000969B8"/>
    <w:rsid w:val="00096D53"/>
    <w:rsid w:val="00096E60"/>
    <w:rsid w:val="00097678"/>
    <w:rsid w:val="000A0369"/>
    <w:rsid w:val="000A1879"/>
    <w:rsid w:val="000A1B2F"/>
    <w:rsid w:val="000A2F1F"/>
    <w:rsid w:val="000A2F54"/>
    <w:rsid w:val="000A3195"/>
    <w:rsid w:val="000A3E9B"/>
    <w:rsid w:val="000A40D9"/>
    <w:rsid w:val="000A511A"/>
    <w:rsid w:val="000A5220"/>
    <w:rsid w:val="000A556A"/>
    <w:rsid w:val="000A57D7"/>
    <w:rsid w:val="000A5CA0"/>
    <w:rsid w:val="000A5D08"/>
    <w:rsid w:val="000A6830"/>
    <w:rsid w:val="000A6913"/>
    <w:rsid w:val="000A6C07"/>
    <w:rsid w:val="000A772F"/>
    <w:rsid w:val="000A792A"/>
    <w:rsid w:val="000A79B7"/>
    <w:rsid w:val="000B0F4B"/>
    <w:rsid w:val="000B1022"/>
    <w:rsid w:val="000B177D"/>
    <w:rsid w:val="000B34BD"/>
    <w:rsid w:val="000B34C3"/>
    <w:rsid w:val="000B3508"/>
    <w:rsid w:val="000B41AA"/>
    <w:rsid w:val="000B45C9"/>
    <w:rsid w:val="000B4C48"/>
    <w:rsid w:val="000B655A"/>
    <w:rsid w:val="000B72D5"/>
    <w:rsid w:val="000C111D"/>
    <w:rsid w:val="000C21DC"/>
    <w:rsid w:val="000C29F1"/>
    <w:rsid w:val="000C2E22"/>
    <w:rsid w:val="000C2F42"/>
    <w:rsid w:val="000C326D"/>
    <w:rsid w:val="000C3319"/>
    <w:rsid w:val="000C33F2"/>
    <w:rsid w:val="000C3B1D"/>
    <w:rsid w:val="000C6C00"/>
    <w:rsid w:val="000C75D2"/>
    <w:rsid w:val="000C7D35"/>
    <w:rsid w:val="000C7E2A"/>
    <w:rsid w:val="000D0034"/>
    <w:rsid w:val="000D068B"/>
    <w:rsid w:val="000D08CB"/>
    <w:rsid w:val="000D1A08"/>
    <w:rsid w:val="000D1A1C"/>
    <w:rsid w:val="000D21B9"/>
    <w:rsid w:val="000D2840"/>
    <w:rsid w:val="000D2B51"/>
    <w:rsid w:val="000D510C"/>
    <w:rsid w:val="000D567C"/>
    <w:rsid w:val="000D6116"/>
    <w:rsid w:val="000D633F"/>
    <w:rsid w:val="000D64FE"/>
    <w:rsid w:val="000D7133"/>
    <w:rsid w:val="000E0983"/>
    <w:rsid w:val="000E09FD"/>
    <w:rsid w:val="000E0CC6"/>
    <w:rsid w:val="000E1888"/>
    <w:rsid w:val="000E1BBD"/>
    <w:rsid w:val="000E1EC5"/>
    <w:rsid w:val="000E2340"/>
    <w:rsid w:val="000E26EE"/>
    <w:rsid w:val="000E2A4A"/>
    <w:rsid w:val="000E2D92"/>
    <w:rsid w:val="000E303A"/>
    <w:rsid w:val="000E3B72"/>
    <w:rsid w:val="000E426F"/>
    <w:rsid w:val="000E42EE"/>
    <w:rsid w:val="000E57A9"/>
    <w:rsid w:val="000E5CC3"/>
    <w:rsid w:val="000E5FF9"/>
    <w:rsid w:val="000E629B"/>
    <w:rsid w:val="000E63C5"/>
    <w:rsid w:val="000E6882"/>
    <w:rsid w:val="000E77DD"/>
    <w:rsid w:val="000E783A"/>
    <w:rsid w:val="000E786B"/>
    <w:rsid w:val="000E78D6"/>
    <w:rsid w:val="000E79D4"/>
    <w:rsid w:val="000F02F5"/>
    <w:rsid w:val="000F0336"/>
    <w:rsid w:val="000F03E5"/>
    <w:rsid w:val="000F0905"/>
    <w:rsid w:val="000F172F"/>
    <w:rsid w:val="000F1EC3"/>
    <w:rsid w:val="000F26F7"/>
    <w:rsid w:val="000F2961"/>
    <w:rsid w:val="000F2D20"/>
    <w:rsid w:val="000F2E54"/>
    <w:rsid w:val="000F34B3"/>
    <w:rsid w:val="000F37C9"/>
    <w:rsid w:val="000F3873"/>
    <w:rsid w:val="000F3B96"/>
    <w:rsid w:val="000F42FE"/>
    <w:rsid w:val="000F43C4"/>
    <w:rsid w:val="000F4CFB"/>
    <w:rsid w:val="000F4E2A"/>
    <w:rsid w:val="000F5C77"/>
    <w:rsid w:val="000F6775"/>
    <w:rsid w:val="000F68DB"/>
    <w:rsid w:val="000F7DAD"/>
    <w:rsid w:val="0010006B"/>
    <w:rsid w:val="0010033A"/>
    <w:rsid w:val="00100A77"/>
    <w:rsid w:val="00100D17"/>
    <w:rsid w:val="00100F7B"/>
    <w:rsid w:val="00101356"/>
    <w:rsid w:val="001020B7"/>
    <w:rsid w:val="00102F1F"/>
    <w:rsid w:val="00104284"/>
    <w:rsid w:val="00104F74"/>
    <w:rsid w:val="001052D3"/>
    <w:rsid w:val="00105A04"/>
    <w:rsid w:val="0010615F"/>
    <w:rsid w:val="001065B1"/>
    <w:rsid w:val="001066D6"/>
    <w:rsid w:val="00106AF8"/>
    <w:rsid w:val="00106C6C"/>
    <w:rsid w:val="00110BB0"/>
    <w:rsid w:val="00110D2B"/>
    <w:rsid w:val="00111003"/>
    <w:rsid w:val="0011125F"/>
    <w:rsid w:val="00111D4F"/>
    <w:rsid w:val="00112078"/>
    <w:rsid w:val="001120D1"/>
    <w:rsid w:val="0011294E"/>
    <w:rsid w:val="00112B48"/>
    <w:rsid w:val="00112CAF"/>
    <w:rsid w:val="00113A60"/>
    <w:rsid w:val="00113F31"/>
    <w:rsid w:val="00114192"/>
    <w:rsid w:val="001141CB"/>
    <w:rsid w:val="00114569"/>
    <w:rsid w:val="00114691"/>
    <w:rsid w:val="001148B5"/>
    <w:rsid w:val="00114BAC"/>
    <w:rsid w:val="00114E32"/>
    <w:rsid w:val="0011500F"/>
    <w:rsid w:val="00115052"/>
    <w:rsid w:val="0011551E"/>
    <w:rsid w:val="00116200"/>
    <w:rsid w:val="001163C4"/>
    <w:rsid w:val="00116709"/>
    <w:rsid w:val="00116B41"/>
    <w:rsid w:val="00116B45"/>
    <w:rsid w:val="001171E7"/>
    <w:rsid w:val="00117666"/>
    <w:rsid w:val="00117798"/>
    <w:rsid w:val="00117BA2"/>
    <w:rsid w:val="001203AA"/>
    <w:rsid w:val="00120446"/>
    <w:rsid w:val="001212BE"/>
    <w:rsid w:val="00121836"/>
    <w:rsid w:val="001218B5"/>
    <w:rsid w:val="00121960"/>
    <w:rsid w:val="001223A7"/>
    <w:rsid w:val="00122476"/>
    <w:rsid w:val="00122FC5"/>
    <w:rsid w:val="00123A22"/>
    <w:rsid w:val="00123E86"/>
    <w:rsid w:val="00123E9C"/>
    <w:rsid w:val="00123FC6"/>
    <w:rsid w:val="0012420C"/>
    <w:rsid w:val="0012424F"/>
    <w:rsid w:val="001246E3"/>
    <w:rsid w:val="001248D3"/>
    <w:rsid w:val="00124CBB"/>
    <w:rsid w:val="00124FCB"/>
    <w:rsid w:val="0012651F"/>
    <w:rsid w:val="0012680E"/>
    <w:rsid w:val="001268F2"/>
    <w:rsid w:val="00126A90"/>
    <w:rsid w:val="0013073E"/>
    <w:rsid w:val="00130A5D"/>
    <w:rsid w:val="00130D08"/>
    <w:rsid w:val="001311BC"/>
    <w:rsid w:val="001326CF"/>
    <w:rsid w:val="0013295D"/>
    <w:rsid w:val="00132A1B"/>
    <w:rsid w:val="00133030"/>
    <w:rsid w:val="001332FA"/>
    <w:rsid w:val="00133978"/>
    <w:rsid w:val="0013418D"/>
    <w:rsid w:val="00134256"/>
    <w:rsid w:val="00134847"/>
    <w:rsid w:val="0013520A"/>
    <w:rsid w:val="001353F8"/>
    <w:rsid w:val="0013586F"/>
    <w:rsid w:val="0013611D"/>
    <w:rsid w:val="001368C9"/>
    <w:rsid w:val="001375B3"/>
    <w:rsid w:val="00140625"/>
    <w:rsid w:val="00141D2B"/>
    <w:rsid w:val="00141D59"/>
    <w:rsid w:val="0014218A"/>
    <w:rsid w:val="00142581"/>
    <w:rsid w:val="00143637"/>
    <w:rsid w:val="0014371F"/>
    <w:rsid w:val="00143D1B"/>
    <w:rsid w:val="00144000"/>
    <w:rsid w:val="00144495"/>
    <w:rsid w:val="001449A5"/>
    <w:rsid w:val="00144ABF"/>
    <w:rsid w:val="00144DD6"/>
    <w:rsid w:val="00145026"/>
    <w:rsid w:val="00145758"/>
    <w:rsid w:val="00145D4C"/>
    <w:rsid w:val="00145D61"/>
    <w:rsid w:val="00146462"/>
    <w:rsid w:val="001466D9"/>
    <w:rsid w:val="001467D2"/>
    <w:rsid w:val="00147395"/>
    <w:rsid w:val="00151339"/>
    <w:rsid w:val="001513CB"/>
    <w:rsid w:val="0015195C"/>
    <w:rsid w:val="00152159"/>
    <w:rsid w:val="00152161"/>
    <w:rsid w:val="00152CBF"/>
    <w:rsid w:val="001533C7"/>
    <w:rsid w:val="001536E1"/>
    <w:rsid w:val="00153A89"/>
    <w:rsid w:val="00153ABA"/>
    <w:rsid w:val="00153B2B"/>
    <w:rsid w:val="00153F0D"/>
    <w:rsid w:val="0015448E"/>
    <w:rsid w:val="00154CC6"/>
    <w:rsid w:val="001550AC"/>
    <w:rsid w:val="001552C9"/>
    <w:rsid w:val="001553F7"/>
    <w:rsid w:val="00155F9E"/>
    <w:rsid w:val="0015678D"/>
    <w:rsid w:val="0015746D"/>
    <w:rsid w:val="001574CE"/>
    <w:rsid w:val="00157D35"/>
    <w:rsid w:val="00160718"/>
    <w:rsid w:val="00160762"/>
    <w:rsid w:val="00160C65"/>
    <w:rsid w:val="00160DA9"/>
    <w:rsid w:val="00161644"/>
    <w:rsid w:val="00161669"/>
    <w:rsid w:val="0016194E"/>
    <w:rsid w:val="00161FBB"/>
    <w:rsid w:val="001625A2"/>
    <w:rsid w:val="00162E18"/>
    <w:rsid w:val="00162F91"/>
    <w:rsid w:val="00163893"/>
    <w:rsid w:val="00163CE5"/>
    <w:rsid w:val="00163E97"/>
    <w:rsid w:val="00164685"/>
    <w:rsid w:val="00165D47"/>
    <w:rsid w:val="00165DB1"/>
    <w:rsid w:val="0016673C"/>
    <w:rsid w:val="00166A38"/>
    <w:rsid w:val="00166E55"/>
    <w:rsid w:val="001671C2"/>
    <w:rsid w:val="00167356"/>
    <w:rsid w:val="00167CAE"/>
    <w:rsid w:val="001708B2"/>
    <w:rsid w:val="001717CD"/>
    <w:rsid w:val="001719E3"/>
    <w:rsid w:val="0017226E"/>
    <w:rsid w:val="00172439"/>
    <w:rsid w:val="00172A4A"/>
    <w:rsid w:val="001731E5"/>
    <w:rsid w:val="001736AD"/>
    <w:rsid w:val="00173888"/>
    <w:rsid w:val="001738EB"/>
    <w:rsid w:val="00173D33"/>
    <w:rsid w:val="00175840"/>
    <w:rsid w:val="00175AF2"/>
    <w:rsid w:val="00176733"/>
    <w:rsid w:val="001768F2"/>
    <w:rsid w:val="001772AA"/>
    <w:rsid w:val="00177BDC"/>
    <w:rsid w:val="00177D84"/>
    <w:rsid w:val="00177D97"/>
    <w:rsid w:val="0018090B"/>
    <w:rsid w:val="001810DE"/>
    <w:rsid w:val="0018114B"/>
    <w:rsid w:val="001812AB"/>
    <w:rsid w:val="00182260"/>
    <w:rsid w:val="00182E40"/>
    <w:rsid w:val="001832BE"/>
    <w:rsid w:val="00183516"/>
    <w:rsid w:val="00183A4D"/>
    <w:rsid w:val="00185AE0"/>
    <w:rsid w:val="00185FFA"/>
    <w:rsid w:val="001863A5"/>
    <w:rsid w:val="00186EC5"/>
    <w:rsid w:val="001874AB"/>
    <w:rsid w:val="001874B6"/>
    <w:rsid w:val="0018770F"/>
    <w:rsid w:val="0018783F"/>
    <w:rsid w:val="00187A32"/>
    <w:rsid w:val="001900F4"/>
    <w:rsid w:val="00191137"/>
    <w:rsid w:val="0019188C"/>
    <w:rsid w:val="00192695"/>
    <w:rsid w:val="00192A95"/>
    <w:rsid w:val="00192ABD"/>
    <w:rsid w:val="00193233"/>
    <w:rsid w:val="0019350E"/>
    <w:rsid w:val="00194076"/>
    <w:rsid w:val="00195005"/>
    <w:rsid w:val="001952AF"/>
    <w:rsid w:val="001964EF"/>
    <w:rsid w:val="001964FA"/>
    <w:rsid w:val="00196B34"/>
    <w:rsid w:val="00196F0F"/>
    <w:rsid w:val="00197054"/>
    <w:rsid w:val="0019799B"/>
    <w:rsid w:val="001A0A4C"/>
    <w:rsid w:val="001A190E"/>
    <w:rsid w:val="001A21F7"/>
    <w:rsid w:val="001A24A5"/>
    <w:rsid w:val="001A2A83"/>
    <w:rsid w:val="001A2B12"/>
    <w:rsid w:val="001A4452"/>
    <w:rsid w:val="001A4852"/>
    <w:rsid w:val="001A4F47"/>
    <w:rsid w:val="001A5014"/>
    <w:rsid w:val="001A50CB"/>
    <w:rsid w:val="001A522C"/>
    <w:rsid w:val="001A6C88"/>
    <w:rsid w:val="001A6F58"/>
    <w:rsid w:val="001A7334"/>
    <w:rsid w:val="001A734B"/>
    <w:rsid w:val="001A775F"/>
    <w:rsid w:val="001A77EB"/>
    <w:rsid w:val="001A7E19"/>
    <w:rsid w:val="001A7E7E"/>
    <w:rsid w:val="001B04F6"/>
    <w:rsid w:val="001B09B2"/>
    <w:rsid w:val="001B0A6A"/>
    <w:rsid w:val="001B158A"/>
    <w:rsid w:val="001B1767"/>
    <w:rsid w:val="001B1A2C"/>
    <w:rsid w:val="001B28F7"/>
    <w:rsid w:val="001B2B4A"/>
    <w:rsid w:val="001B3AA1"/>
    <w:rsid w:val="001B55E1"/>
    <w:rsid w:val="001B6601"/>
    <w:rsid w:val="001B744D"/>
    <w:rsid w:val="001B750F"/>
    <w:rsid w:val="001B791A"/>
    <w:rsid w:val="001B7C87"/>
    <w:rsid w:val="001C0BCF"/>
    <w:rsid w:val="001C0C7A"/>
    <w:rsid w:val="001C109C"/>
    <w:rsid w:val="001C3029"/>
    <w:rsid w:val="001C382C"/>
    <w:rsid w:val="001C41F9"/>
    <w:rsid w:val="001C42B8"/>
    <w:rsid w:val="001C496C"/>
    <w:rsid w:val="001C4CC6"/>
    <w:rsid w:val="001C4D38"/>
    <w:rsid w:val="001C4D43"/>
    <w:rsid w:val="001C4D80"/>
    <w:rsid w:val="001C4F5D"/>
    <w:rsid w:val="001C5078"/>
    <w:rsid w:val="001C568C"/>
    <w:rsid w:val="001C67E4"/>
    <w:rsid w:val="001C67E6"/>
    <w:rsid w:val="001C6FE5"/>
    <w:rsid w:val="001C79D3"/>
    <w:rsid w:val="001C7D55"/>
    <w:rsid w:val="001D1183"/>
    <w:rsid w:val="001D1AEC"/>
    <w:rsid w:val="001D1B94"/>
    <w:rsid w:val="001D1DD2"/>
    <w:rsid w:val="001D2039"/>
    <w:rsid w:val="001D22BF"/>
    <w:rsid w:val="001D2E57"/>
    <w:rsid w:val="001D35A6"/>
    <w:rsid w:val="001D3760"/>
    <w:rsid w:val="001D45D6"/>
    <w:rsid w:val="001D49C6"/>
    <w:rsid w:val="001D4AC4"/>
    <w:rsid w:val="001D56D5"/>
    <w:rsid w:val="001D5A5A"/>
    <w:rsid w:val="001D5C23"/>
    <w:rsid w:val="001D66C8"/>
    <w:rsid w:val="001D6BB3"/>
    <w:rsid w:val="001D776A"/>
    <w:rsid w:val="001D7A2D"/>
    <w:rsid w:val="001E0787"/>
    <w:rsid w:val="001E0913"/>
    <w:rsid w:val="001E0BF6"/>
    <w:rsid w:val="001E0D73"/>
    <w:rsid w:val="001E1075"/>
    <w:rsid w:val="001E143A"/>
    <w:rsid w:val="001E1A46"/>
    <w:rsid w:val="001E245E"/>
    <w:rsid w:val="001E3430"/>
    <w:rsid w:val="001E3727"/>
    <w:rsid w:val="001E3B71"/>
    <w:rsid w:val="001E487F"/>
    <w:rsid w:val="001E4B87"/>
    <w:rsid w:val="001E4BF7"/>
    <w:rsid w:val="001E4CF0"/>
    <w:rsid w:val="001E4F08"/>
    <w:rsid w:val="001E5715"/>
    <w:rsid w:val="001E6444"/>
    <w:rsid w:val="001E72D7"/>
    <w:rsid w:val="001E7731"/>
    <w:rsid w:val="001E7C2E"/>
    <w:rsid w:val="001F0478"/>
    <w:rsid w:val="001F0ABD"/>
    <w:rsid w:val="001F11EC"/>
    <w:rsid w:val="001F15E9"/>
    <w:rsid w:val="001F18B9"/>
    <w:rsid w:val="001F1C9E"/>
    <w:rsid w:val="001F2E64"/>
    <w:rsid w:val="001F3A05"/>
    <w:rsid w:val="001F4B7C"/>
    <w:rsid w:val="001F4C07"/>
    <w:rsid w:val="001F4FF1"/>
    <w:rsid w:val="001F544F"/>
    <w:rsid w:val="001F57EE"/>
    <w:rsid w:val="001F70AA"/>
    <w:rsid w:val="001F760E"/>
    <w:rsid w:val="001F797C"/>
    <w:rsid w:val="002005B7"/>
    <w:rsid w:val="0020095D"/>
    <w:rsid w:val="00200B8A"/>
    <w:rsid w:val="0020126F"/>
    <w:rsid w:val="00201A71"/>
    <w:rsid w:val="00204209"/>
    <w:rsid w:val="00204B49"/>
    <w:rsid w:val="00205285"/>
    <w:rsid w:val="00205610"/>
    <w:rsid w:val="00205871"/>
    <w:rsid w:val="00206322"/>
    <w:rsid w:val="0020635B"/>
    <w:rsid w:val="00206795"/>
    <w:rsid w:val="00206D1F"/>
    <w:rsid w:val="002076C3"/>
    <w:rsid w:val="002077E5"/>
    <w:rsid w:val="00207835"/>
    <w:rsid w:val="00207C68"/>
    <w:rsid w:val="00210BC0"/>
    <w:rsid w:val="00210F41"/>
    <w:rsid w:val="002118AB"/>
    <w:rsid w:val="00212A7E"/>
    <w:rsid w:val="0021471E"/>
    <w:rsid w:val="00214EDC"/>
    <w:rsid w:val="002157D3"/>
    <w:rsid w:val="00216B4C"/>
    <w:rsid w:val="00216CC1"/>
    <w:rsid w:val="002171A5"/>
    <w:rsid w:val="00217946"/>
    <w:rsid w:val="00217BA1"/>
    <w:rsid w:val="0022048C"/>
    <w:rsid w:val="002204FB"/>
    <w:rsid w:val="00220847"/>
    <w:rsid w:val="00220976"/>
    <w:rsid w:val="00220AEA"/>
    <w:rsid w:val="002214B1"/>
    <w:rsid w:val="00221835"/>
    <w:rsid w:val="002221FC"/>
    <w:rsid w:val="0022334F"/>
    <w:rsid w:val="00224788"/>
    <w:rsid w:val="00224BE6"/>
    <w:rsid w:val="002251DF"/>
    <w:rsid w:val="00225819"/>
    <w:rsid w:val="0022590A"/>
    <w:rsid w:val="00225B60"/>
    <w:rsid w:val="00226954"/>
    <w:rsid w:val="00226A05"/>
    <w:rsid w:val="00227684"/>
    <w:rsid w:val="00227A0E"/>
    <w:rsid w:val="00230EE5"/>
    <w:rsid w:val="002314A8"/>
    <w:rsid w:val="00232561"/>
    <w:rsid w:val="002326B8"/>
    <w:rsid w:val="002333D8"/>
    <w:rsid w:val="002338D1"/>
    <w:rsid w:val="00233CFB"/>
    <w:rsid w:val="002349D9"/>
    <w:rsid w:val="00234C65"/>
    <w:rsid w:val="00234E9D"/>
    <w:rsid w:val="00234FF7"/>
    <w:rsid w:val="00235E6E"/>
    <w:rsid w:val="00236782"/>
    <w:rsid w:val="002368CB"/>
    <w:rsid w:val="002377CB"/>
    <w:rsid w:val="00237A76"/>
    <w:rsid w:val="00237D1F"/>
    <w:rsid w:val="00237E47"/>
    <w:rsid w:val="002415B7"/>
    <w:rsid w:val="00241BFF"/>
    <w:rsid w:val="0024317C"/>
    <w:rsid w:val="00243BED"/>
    <w:rsid w:val="00243EF8"/>
    <w:rsid w:val="00244454"/>
    <w:rsid w:val="002450D8"/>
    <w:rsid w:val="00245FBC"/>
    <w:rsid w:val="0024735E"/>
    <w:rsid w:val="002474D1"/>
    <w:rsid w:val="0024797C"/>
    <w:rsid w:val="00250632"/>
    <w:rsid w:val="0025071D"/>
    <w:rsid w:val="00250B90"/>
    <w:rsid w:val="00250C41"/>
    <w:rsid w:val="0025103F"/>
    <w:rsid w:val="0025114C"/>
    <w:rsid w:val="002511E0"/>
    <w:rsid w:val="00251223"/>
    <w:rsid w:val="002512C7"/>
    <w:rsid w:val="00251935"/>
    <w:rsid w:val="0025281F"/>
    <w:rsid w:val="002532EE"/>
    <w:rsid w:val="00253524"/>
    <w:rsid w:val="00253AA5"/>
    <w:rsid w:val="00254205"/>
    <w:rsid w:val="00254304"/>
    <w:rsid w:val="002546C6"/>
    <w:rsid w:val="0025484B"/>
    <w:rsid w:val="00254A5F"/>
    <w:rsid w:val="00254DDB"/>
    <w:rsid w:val="002552CD"/>
    <w:rsid w:val="0025595A"/>
    <w:rsid w:val="00255EFC"/>
    <w:rsid w:val="0025604A"/>
    <w:rsid w:val="002565F1"/>
    <w:rsid w:val="00256D8D"/>
    <w:rsid w:val="002578F4"/>
    <w:rsid w:val="00260ED2"/>
    <w:rsid w:val="0026169B"/>
    <w:rsid w:val="00262692"/>
    <w:rsid w:val="002629A3"/>
    <w:rsid w:val="002629E3"/>
    <w:rsid w:val="00262DC1"/>
    <w:rsid w:val="002632EE"/>
    <w:rsid w:val="00263413"/>
    <w:rsid w:val="002636B4"/>
    <w:rsid w:val="00265660"/>
    <w:rsid w:val="002656CA"/>
    <w:rsid w:val="00265FBC"/>
    <w:rsid w:val="002668D9"/>
    <w:rsid w:val="002669B1"/>
    <w:rsid w:val="00266CBE"/>
    <w:rsid w:val="0026719B"/>
    <w:rsid w:val="00267375"/>
    <w:rsid w:val="002677A0"/>
    <w:rsid w:val="00267D18"/>
    <w:rsid w:val="00267E2F"/>
    <w:rsid w:val="00270349"/>
    <w:rsid w:val="002708B7"/>
    <w:rsid w:val="00270A00"/>
    <w:rsid w:val="00270C91"/>
    <w:rsid w:val="00271311"/>
    <w:rsid w:val="002714E9"/>
    <w:rsid w:val="002715CE"/>
    <w:rsid w:val="00271DB1"/>
    <w:rsid w:val="0027283B"/>
    <w:rsid w:val="00272C7E"/>
    <w:rsid w:val="00273D70"/>
    <w:rsid w:val="00273EB2"/>
    <w:rsid w:val="00274462"/>
    <w:rsid w:val="0027499D"/>
    <w:rsid w:val="00274D9F"/>
    <w:rsid w:val="00274F5C"/>
    <w:rsid w:val="00274FDA"/>
    <w:rsid w:val="002750DC"/>
    <w:rsid w:val="00275747"/>
    <w:rsid w:val="00275EEE"/>
    <w:rsid w:val="002767D5"/>
    <w:rsid w:val="00276B05"/>
    <w:rsid w:val="00277FB3"/>
    <w:rsid w:val="0028008A"/>
    <w:rsid w:val="0028063A"/>
    <w:rsid w:val="00280E16"/>
    <w:rsid w:val="00281055"/>
    <w:rsid w:val="002819EE"/>
    <w:rsid w:val="0028231B"/>
    <w:rsid w:val="00282839"/>
    <w:rsid w:val="00282CBE"/>
    <w:rsid w:val="002840E2"/>
    <w:rsid w:val="0028479E"/>
    <w:rsid w:val="002851BD"/>
    <w:rsid w:val="00285245"/>
    <w:rsid w:val="002852CF"/>
    <w:rsid w:val="002868CD"/>
    <w:rsid w:val="002868E2"/>
    <w:rsid w:val="002869C3"/>
    <w:rsid w:val="00286AE1"/>
    <w:rsid w:val="00287E02"/>
    <w:rsid w:val="0029014E"/>
    <w:rsid w:val="00290467"/>
    <w:rsid w:val="00290F1D"/>
    <w:rsid w:val="00291502"/>
    <w:rsid w:val="00291503"/>
    <w:rsid w:val="002918E9"/>
    <w:rsid w:val="00291920"/>
    <w:rsid w:val="00291B70"/>
    <w:rsid w:val="00291FAA"/>
    <w:rsid w:val="002921CD"/>
    <w:rsid w:val="002923B9"/>
    <w:rsid w:val="00292597"/>
    <w:rsid w:val="0029277F"/>
    <w:rsid w:val="0029285B"/>
    <w:rsid w:val="0029290B"/>
    <w:rsid w:val="00293554"/>
    <w:rsid w:val="002936E4"/>
    <w:rsid w:val="00293B8D"/>
    <w:rsid w:val="00294150"/>
    <w:rsid w:val="00295785"/>
    <w:rsid w:val="00296B88"/>
    <w:rsid w:val="00296C9F"/>
    <w:rsid w:val="0029701C"/>
    <w:rsid w:val="002975A6"/>
    <w:rsid w:val="002976DE"/>
    <w:rsid w:val="00297F76"/>
    <w:rsid w:val="002A01D0"/>
    <w:rsid w:val="002A04CD"/>
    <w:rsid w:val="002A0A71"/>
    <w:rsid w:val="002A0CA0"/>
    <w:rsid w:val="002A0DA7"/>
    <w:rsid w:val="002A1A7E"/>
    <w:rsid w:val="002A260D"/>
    <w:rsid w:val="002A2E35"/>
    <w:rsid w:val="002A2E47"/>
    <w:rsid w:val="002A2EA6"/>
    <w:rsid w:val="002A31AA"/>
    <w:rsid w:val="002A33E9"/>
    <w:rsid w:val="002A3F35"/>
    <w:rsid w:val="002A4F9A"/>
    <w:rsid w:val="002A6E85"/>
    <w:rsid w:val="002A6EE6"/>
    <w:rsid w:val="002A727A"/>
    <w:rsid w:val="002A75FD"/>
    <w:rsid w:val="002A7A09"/>
    <w:rsid w:val="002A7D70"/>
    <w:rsid w:val="002B07C2"/>
    <w:rsid w:val="002B199E"/>
    <w:rsid w:val="002B1B9C"/>
    <w:rsid w:val="002B1C93"/>
    <w:rsid w:val="002B1D28"/>
    <w:rsid w:val="002B216B"/>
    <w:rsid w:val="002B22F1"/>
    <w:rsid w:val="002B3491"/>
    <w:rsid w:val="002B3E80"/>
    <w:rsid w:val="002B4D3C"/>
    <w:rsid w:val="002B4F2B"/>
    <w:rsid w:val="002B5778"/>
    <w:rsid w:val="002B5BE2"/>
    <w:rsid w:val="002B6689"/>
    <w:rsid w:val="002B6DB2"/>
    <w:rsid w:val="002B73E2"/>
    <w:rsid w:val="002B7A95"/>
    <w:rsid w:val="002C0249"/>
    <w:rsid w:val="002C0B64"/>
    <w:rsid w:val="002C1E5C"/>
    <w:rsid w:val="002C2163"/>
    <w:rsid w:val="002C2433"/>
    <w:rsid w:val="002C27E0"/>
    <w:rsid w:val="002C366A"/>
    <w:rsid w:val="002C391A"/>
    <w:rsid w:val="002C3AF6"/>
    <w:rsid w:val="002C3BC2"/>
    <w:rsid w:val="002C48AD"/>
    <w:rsid w:val="002C4C0E"/>
    <w:rsid w:val="002C4DDA"/>
    <w:rsid w:val="002C4F64"/>
    <w:rsid w:val="002C5105"/>
    <w:rsid w:val="002C5663"/>
    <w:rsid w:val="002C5761"/>
    <w:rsid w:val="002C6B38"/>
    <w:rsid w:val="002C721F"/>
    <w:rsid w:val="002C74CA"/>
    <w:rsid w:val="002D005A"/>
    <w:rsid w:val="002D02B3"/>
    <w:rsid w:val="002D108A"/>
    <w:rsid w:val="002D111D"/>
    <w:rsid w:val="002D1698"/>
    <w:rsid w:val="002D1E66"/>
    <w:rsid w:val="002D2221"/>
    <w:rsid w:val="002D2B73"/>
    <w:rsid w:val="002D2E60"/>
    <w:rsid w:val="002D3592"/>
    <w:rsid w:val="002D37AD"/>
    <w:rsid w:val="002D37AE"/>
    <w:rsid w:val="002D47DD"/>
    <w:rsid w:val="002D4CCB"/>
    <w:rsid w:val="002D59D9"/>
    <w:rsid w:val="002D5DA3"/>
    <w:rsid w:val="002D5EDE"/>
    <w:rsid w:val="002D6788"/>
    <w:rsid w:val="002D6F68"/>
    <w:rsid w:val="002D7524"/>
    <w:rsid w:val="002D764E"/>
    <w:rsid w:val="002E07ED"/>
    <w:rsid w:val="002E0B2F"/>
    <w:rsid w:val="002E0B50"/>
    <w:rsid w:val="002E0B5A"/>
    <w:rsid w:val="002E1DC9"/>
    <w:rsid w:val="002E1F38"/>
    <w:rsid w:val="002E232E"/>
    <w:rsid w:val="002E28EB"/>
    <w:rsid w:val="002E3A83"/>
    <w:rsid w:val="002E5680"/>
    <w:rsid w:val="002E5F23"/>
    <w:rsid w:val="002E61ED"/>
    <w:rsid w:val="002E67D8"/>
    <w:rsid w:val="002E7702"/>
    <w:rsid w:val="002E7AEF"/>
    <w:rsid w:val="002F025D"/>
    <w:rsid w:val="002F2159"/>
    <w:rsid w:val="002F250F"/>
    <w:rsid w:val="002F2568"/>
    <w:rsid w:val="002F3599"/>
    <w:rsid w:val="002F4E44"/>
    <w:rsid w:val="002F5273"/>
    <w:rsid w:val="002F56EB"/>
    <w:rsid w:val="002F5818"/>
    <w:rsid w:val="002F5EE8"/>
    <w:rsid w:val="002F6433"/>
    <w:rsid w:val="002F6642"/>
    <w:rsid w:val="002F6B5C"/>
    <w:rsid w:val="002F6BAE"/>
    <w:rsid w:val="002F7097"/>
    <w:rsid w:val="002F7332"/>
    <w:rsid w:val="002F744D"/>
    <w:rsid w:val="002F7A91"/>
    <w:rsid w:val="003017FE"/>
    <w:rsid w:val="003023F6"/>
    <w:rsid w:val="00302CF9"/>
    <w:rsid w:val="00303508"/>
    <w:rsid w:val="00303C34"/>
    <w:rsid w:val="00303DE6"/>
    <w:rsid w:val="003042A3"/>
    <w:rsid w:val="00304F3C"/>
    <w:rsid w:val="00305F00"/>
    <w:rsid w:val="00305FC4"/>
    <w:rsid w:val="00306F72"/>
    <w:rsid w:val="00310124"/>
    <w:rsid w:val="0031038B"/>
    <w:rsid w:val="0031098D"/>
    <w:rsid w:val="00311557"/>
    <w:rsid w:val="003115AC"/>
    <w:rsid w:val="00311E2D"/>
    <w:rsid w:val="00311F4F"/>
    <w:rsid w:val="0031201D"/>
    <w:rsid w:val="00312168"/>
    <w:rsid w:val="003128B1"/>
    <w:rsid w:val="0031336B"/>
    <w:rsid w:val="00313595"/>
    <w:rsid w:val="0031382C"/>
    <w:rsid w:val="003138F8"/>
    <w:rsid w:val="003142FF"/>
    <w:rsid w:val="00314D1D"/>
    <w:rsid w:val="00314D20"/>
    <w:rsid w:val="00316C77"/>
    <w:rsid w:val="0031722E"/>
    <w:rsid w:val="00317EB2"/>
    <w:rsid w:val="00320325"/>
    <w:rsid w:val="0032036D"/>
    <w:rsid w:val="00321096"/>
    <w:rsid w:val="00322306"/>
    <w:rsid w:val="0032256E"/>
    <w:rsid w:val="0032259F"/>
    <w:rsid w:val="00322B5F"/>
    <w:rsid w:val="00322C60"/>
    <w:rsid w:val="00323FDD"/>
    <w:rsid w:val="00324794"/>
    <w:rsid w:val="00324A1D"/>
    <w:rsid w:val="00324F09"/>
    <w:rsid w:val="00325EA1"/>
    <w:rsid w:val="00326541"/>
    <w:rsid w:val="003279E1"/>
    <w:rsid w:val="00327F7C"/>
    <w:rsid w:val="003306C1"/>
    <w:rsid w:val="003306E8"/>
    <w:rsid w:val="00330B07"/>
    <w:rsid w:val="00330EB0"/>
    <w:rsid w:val="00330EB6"/>
    <w:rsid w:val="00331096"/>
    <w:rsid w:val="003319E2"/>
    <w:rsid w:val="00331B75"/>
    <w:rsid w:val="00331FD8"/>
    <w:rsid w:val="00332F89"/>
    <w:rsid w:val="00332F9A"/>
    <w:rsid w:val="00333674"/>
    <w:rsid w:val="00333753"/>
    <w:rsid w:val="00333E32"/>
    <w:rsid w:val="00333EA6"/>
    <w:rsid w:val="00334881"/>
    <w:rsid w:val="00334ADF"/>
    <w:rsid w:val="003357F5"/>
    <w:rsid w:val="00335FF9"/>
    <w:rsid w:val="003364B9"/>
    <w:rsid w:val="0033662F"/>
    <w:rsid w:val="003404B6"/>
    <w:rsid w:val="00340BDF"/>
    <w:rsid w:val="00340E0C"/>
    <w:rsid w:val="00340F86"/>
    <w:rsid w:val="0034135E"/>
    <w:rsid w:val="003415EB"/>
    <w:rsid w:val="00341DF7"/>
    <w:rsid w:val="00342749"/>
    <w:rsid w:val="003443B9"/>
    <w:rsid w:val="003449C2"/>
    <w:rsid w:val="00344C64"/>
    <w:rsid w:val="0034547B"/>
    <w:rsid w:val="0034674E"/>
    <w:rsid w:val="00346873"/>
    <w:rsid w:val="00346BB4"/>
    <w:rsid w:val="00346C02"/>
    <w:rsid w:val="00346C33"/>
    <w:rsid w:val="00346D5A"/>
    <w:rsid w:val="00346D86"/>
    <w:rsid w:val="00346E40"/>
    <w:rsid w:val="003471E9"/>
    <w:rsid w:val="0035055E"/>
    <w:rsid w:val="00350E58"/>
    <w:rsid w:val="00351060"/>
    <w:rsid w:val="00351A6A"/>
    <w:rsid w:val="003524E0"/>
    <w:rsid w:val="00352BF0"/>
    <w:rsid w:val="003538FC"/>
    <w:rsid w:val="0035444C"/>
    <w:rsid w:val="003544FB"/>
    <w:rsid w:val="003552C0"/>
    <w:rsid w:val="00355FE9"/>
    <w:rsid w:val="00356425"/>
    <w:rsid w:val="003576F8"/>
    <w:rsid w:val="00357899"/>
    <w:rsid w:val="00357910"/>
    <w:rsid w:val="0036092A"/>
    <w:rsid w:val="00361388"/>
    <w:rsid w:val="0036246D"/>
    <w:rsid w:val="0036247A"/>
    <w:rsid w:val="00364E5D"/>
    <w:rsid w:val="00364EE7"/>
    <w:rsid w:val="0036545B"/>
    <w:rsid w:val="00365D63"/>
    <w:rsid w:val="00365E3A"/>
    <w:rsid w:val="00366626"/>
    <w:rsid w:val="0036793B"/>
    <w:rsid w:val="0037029C"/>
    <w:rsid w:val="00370A65"/>
    <w:rsid w:val="003712A5"/>
    <w:rsid w:val="00371856"/>
    <w:rsid w:val="00372682"/>
    <w:rsid w:val="0037275D"/>
    <w:rsid w:val="0037279A"/>
    <w:rsid w:val="00372B6F"/>
    <w:rsid w:val="00373CC5"/>
    <w:rsid w:val="00374389"/>
    <w:rsid w:val="00374B22"/>
    <w:rsid w:val="003752E4"/>
    <w:rsid w:val="00375C0E"/>
    <w:rsid w:val="00376CC5"/>
    <w:rsid w:val="00376DEE"/>
    <w:rsid w:val="00376ED7"/>
    <w:rsid w:val="0037739D"/>
    <w:rsid w:val="00377A1B"/>
    <w:rsid w:val="00377A27"/>
    <w:rsid w:val="00377B2E"/>
    <w:rsid w:val="00377CF7"/>
    <w:rsid w:val="00377F20"/>
    <w:rsid w:val="00381055"/>
    <w:rsid w:val="0038168C"/>
    <w:rsid w:val="00381DFC"/>
    <w:rsid w:val="00381E02"/>
    <w:rsid w:val="00382AB2"/>
    <w:rsid w:val="00383EAE"/>
    <w:rsid w:val="0038454A"/>
    <w:rsid w:val="00386137"/>
    <w:rsid w:val="00386781"/>
    <w:rsid w:val="00386A42"/>
    <w:rsid w:val="00386B3A"/>
    <w:rsid w:val="0038700B"/>
    <w:rsid w:val="0038781B"/>
    <w:rsid w:val="00387950"/>
    <w:rsid w:val="00390CC4"/>
    <w:rsid w:val="0039104B"/>
    <w:rsid w:val="00391756"/>
    <w:rsid w:val="00391A45"/>
    <w:rsid w:val="00392217"/>
    <w:rsid w:val="00392528"/>
    <w:rsid w:val="00392BF2"/>
    <w:rsid w:val="00393536"/>
    <w:rsid w:val="003938DC"/>
    <w:rsid w:val="00393A81"/>
    <w:rsid w:val="00393FF2"/>
    <w:rsid w:val="003946D7"/>
    <w:rsid w:val="003948E2"/>
    <w:rsid w:val="00394B67"/>
    <w:rsid w:val="0039579C"/>
    <w:rsid w:val="00395C3D"/>
    <w:rsid w:val="0039604F"/>
    <w:rsid w:val="003968EF"/>
    <w:rsid w:val="0039693B"/>
    <w:rsid w:val="00396B8D"/>
    <w:rsid w:val="00396CE3"/>
    <w:rsid w:val="003976D5"/>
    <w:rsid w:val="00397790"/>
    <w:rsid w:val="003A003C"/>
    <w:rsid w:val="003A0AEB"/>
    <w:rsid w:val="003A17E7"/>
    <w:rsid w:val="003A1A14"/>
    <w:rsid w:val="003A1C54"/>
    <w:rsid w:val="003A2E6D"/>
    <w:rsid w:val="003A3176"/>
    <w:rsid w:val="003A31E3"/>
    <w:rsid w:val="003A3495"/>
    <w:rsid w:val="003A37D9"/>
    <w:rsid w:val="003A3A11"/>
    <w:rsid w:val="003A3ACC"/>
    <w:rsid w:val="003A454F"/>
    <w:rsid w:val="003A498A"/>
    <w:rsid w:val="003A6AB8"/>
    <w:rsid w:val="003A7870"/>
    <w:rsid w:val="003A7CCB"/>
    <w:rsid w:val="003A7D0D"/>
    <w:rsid w:val="003B0011"/>
    <w:rsid w:val="003B008C"/>
    <w:rsid w:val="003B00A4"/>
    <w:rsid w:val="003B05C3"/>
    <w:rsid w:val="003B067E"/>
    <w:rsid w:val="003B0D52"/>
    <w:rsid w:val="003B127A"/>
    <w:rsid w:val="003B186D"/>
    <w:rsid w:val="003B1C36"/>
    <w:rsid w:val="003B2057"/>
    <w:rsid w:val="003B2BAE"/>
    <w:rsid w:val="003B3C40"/>
    <w:rsid w:val="003B4652"/>
    <w:rsid w:val="003B4989"/>
    <w:rsid w:val="003B4A6F"/>
    <w:rsid w:val="003B4C79"/>
    <w:rsid w:val="003B4EF8"/>
    <w:rsid w:val="003B5124"/>
    <w:rsid w:val="003B555E"/>
    <w:rsid w:val="003B5AC9"/>
    <w:rsid w:val="003B5B6D"/>
    <w:rsid w:val="003B5EB9"/>
    <w:rsid w:val="003B6EB7"/>
    <w:rsid w:val="003B795D"/>
    <w:rsid w:val="003B7A5A"/>
    <w:rsid w:val="003B7C77"/>
    <w:rsid w:val="003C00AD"/>
    <w:rsid w:val="003C02C3"/>
    <w:rsid w:val="003C0D87"/>
    <w:rsid w:val="003C13EB"/>
    <w:rsid w:val="003C1C20"/>
    <w:rsid w:val="003C2EE7"/>
    <w:rsid w:val="003C3835"/>
    <w:rsid w:val="003C38F1"/>
    <w:rsid w:val="003C3C5A"/>
    <w:rsid w:val="003C46DC"/>
    <w:rsid w:val="003C48A7"/>
    <w:rsid w:val="003C4D9A"/>
    <w:rsid w:val="003C62B7"/>
    <w:rsid w:val="003C6498"/>
    <w:rsid w:val="003C64DB"/>
    <w:rsid w:val="003C6705"/>
    <w:rsid w:val="003C67B3"/>
    <w:rsid w:val="003C6C9F"/>
    <w:rsid w:val="003C78F3"/>
    <w:rsid w:val="003C7BBC"/>
    <w:rsid w:val="003D0739"/>
    <w:rsid w:val="003D101A"/>
    <w:rsid w:val="003D1313"/>
    <w:rsid w:val="003D1718"/>
    <w:rsid w:val="003D1914"/>
    <w:rsid w:val="003D2314"/>
    <w:rsid w:val="003D293D"/>
    <w:rsid w:val="003D2D27"/>
    <w:rsid w:val="003D2F2D"/>
    <w:rsid w:val="003D3795"/>
    <w:rsid w:val="003D3976"/>
    <w:rsid w:val="003D39CE"/>
    <w:rsid w:val="003D3B4B"/>
    <w:rsid w:val="003D3C34"/>
    <w:rsid w:val="003D41C0"/>
    <w:rsid w:val="003D5E5A"/>
    <w:rsid w:val="003D7DE7"/>
    <w:rsid w:val="003E0635"/>
    <w:rsid w:val="003E0A86"/>
    <w:rsid w:val="003E15D6"/>
    <w:rsid w:val="003E16E3"/>
    <w:rsid w:val="003E18F1"/>
    <w:rsid w:val="003E1AE1"/>
    <w:rsid w:val="003E1EAB"/>
    <w:rsid w:val="003E20C8"/>
    <w:rsid w:val="003E2333"/>
    <w:rsid w:val="003E2F14"/>
    <w:rsid w:val="003E3261"/>
    <w:rsid w:val="003E381D"/>
    <w:rsid w:val="003E3906"/>
    <w:rsid w:val="003E425C"/>
    <w:rsid w:val="003E4BC4"/>
    <w:rsid w:val="003E5AF9"/>
    <w:rsid w:val="003E62A9"/>
    <w:rsid w:val="003E65A9"/>
    <w:rsid w:val="003E693F"/>
    <w:rsid w:val="003E7023"/>
    <w:rsid w:val="003E77AB"/>
    <w:rsid w:val="003F013B"/>
    <w:rsid w:val="003F019D"/>
    <w:rsid w:val="003F0606"/>
    <w:rsid w:val="003F1729"/>
    <w:rsid w:val="003F1755"/>
    <w:rsid w:val="003F1A07"/>
    <w:rsid w:val="003F20E7"/>
    <w:rsid w:val="003F2BFD"/>
    <w:rsid w:val="003F32AA"/>
    <w:rsid w:val="003F3438"/>
    <w:rsid w:val="003F3559"/>
    <w:rsid w:val="003F38EC"/>
    <w:rsid w:val="003F3DD5"/>
    <w:rsid w:val="003F3DEC"/>
    <w:rsid w:val="003F431F"/>
    <w:rsid w:val="003F4582"/>
    <w:rsid w:val="003F4ADD"/>
    <w:rsid w:val="003F6623"/>
    <w:rsid w:val="003F6F81"/>
    <w:rsid w:val="003F7028"/>
    <w:rsid w:val="003F78A5"/>
    <w:rsid w:val="003F7B36"/>
    <w:rsid w:val="003F7BE5"/>
    <w:rsid w:val="003F7D61"/>
    <w:rsid w:val="0040095C"/>
    <w:rsid w:val="00400A6A"/>
    <w:rsid w:val="00400E16"/>
    <w:rsid w:val="00400E87"/>
    <w:rsid w:val="0040121E"/>
    <w:rsid w:val="00401590"/>
    <w:rsid w:val="00401993"/>
    <w:rsid w:val="00401C1E"/>
    <w:rsid w:val="00401C46"/>
    <w:rsid w:val="00402A5B"/>
    <w:rsid w:val="0040329E"/>
    <w:rsid w:val="004046F9"/>
    <w:rsid w:val="00404ADB"/>
    <w:rsid w:val="00404F1C"/>
    <w:rsid w:val="00405F70"/>
    <w:rsid w:val="004063E5"/>
    <w:rsid w:val="004065B7"/>
    <w:rsid w:val="00406644"/>
    <w:rsid w:val="00406908"/>
    <w:rsid w:val="00406E7C"/>
    <w:rsid w:val="00407881"/>
    <w:rsid w:val="004102BC"/>
    <w:rsid w:val="00410C4E"/>
    <w:rsid w:val="00411505"/>
    <w:rsid w:val="00411881"/>
    <w:rsid w:val="00411B6E"/>
    <w:rsid w:val="0041200A"/>
    <w:rsid w:val="00412740"/>
    <w:rsid w:val="0041304D"/>
    <w:rsid w:val="00414532"/>
    <w:rsid w:val="004146AC"/>
    <w:rsid w:val="00414DE3"/>
    <w:rsid w:val="0041548E"/>
    <w:rsid w:val="004159CB"/>
    <w:rsid w:val="00415B1B"/>
    <w:rsid w:val="004162FD"/>
    <w:rsid w:val="0041667C"/>
    <w:rsid w:val="00416938"/>
    <w:rsid w:val="00417A4E"/>
    <w:rsid w:val="00417C6C"/>
    <w:rsid w:val="004215FF"/>
    <w:rsid w:val="00421702"/>
    <w:rsid w:val="00421739"/>
    <w:rsid w:val="0042448C"/>
    <w:rsid w:val="00424ECC"/>
    <w:rsid w:val="00425458"/>
    <w:rsid w:val="00425AE6"/>
    <w:rsid w:val="00425C73"/>
    <w:rsid w:val="0042636C"/>
    <w:rsid w:val="00426480"/>
    <w:rsid w:val="0042658F"/>
    <w:rsid w:val="004267FD"/>
    <w:rsid w:val="00426A5F"/>
    <w:rsid w:val="004307D7"/>
    <w:rsid w:val="00430958"/>
    <w:rsid w:val="00431B67"/>
    <w:rsid w:val="00431E85"/>
    <w:rsid w:val="00432338"/>
    <w:rsid w:val="0043359C"/>
    <w:rsid w:val="0043388C"/>
    <w:rsid w:val="0043427F"/>
    <w:rsid w:val="00434321"/>
    <w:rsid w:val="0043478D"/>
    <w:rsid w:val="004350EF"/>
    <w:rsid w:val="004368BF"/>
    <w:rsid w:val="00436CB4"/>
    <w:rsid w:val="004371F8"/>
    <w:rsid w:val="00437537"/>
    <w:rsid w:val="00437E02"/>
    <w:rsid w:val="00437E12"/>
    <w:rsid w:val="00437F55"/>
    <w:rsid w:val="00440A60"/>
    <w:rsid w:val="00440CAC"/>
    <w:rsid w:val="00440DE7"/>
    <w:rsid w:val="00441B62"/>
    <w:rsid w:val="00441CE1"/>
    <w:rsid w:val="00442B3E"/>
    <w:rsid w:val="00442E86"/>
    <w:rsid w:val="004433AB"/>
    <w:rsid w:val="004436AE"/>
    <w:rsid w:val="00443B19"/>
    <w:rsid w:val="00443BC2"/>
    <w:rsid w:val="00443BD1"/>
    <w:rsid w:val="00443CEA"/>
    <w:rsid w:val="00445795"/>
    <w:rsid w:val="00445FCA"/>
    <w:rsid w:val="00446246"/>
    <w:rsid w:val="0044635E"/>
    <w:rsid w:val="004464C1"/>
    <w:rsid w:val="00446A64"/>
    <w:rsid w:val="00446E4C"/>
    <w:rsid w:val="004507B5"/>
    <w:rsid w:val="00450FAA"/>
    <w:rsid w:val="00451307"/>
    <w:rsid w:val="00451494"/>
    <w:rsid w:val="00451659"/>
    <w:rsid w:val="004519BE"/>
    <w:rsid w:val="00451BA1"/>
    <w:rsid w:val="00451E13"/>
    <w:rsid w:val="004524F0"/>
    <w:rsid w:val="004535D6"/>
    <w:rsid w:val="004538FB"/>
    <w:rsid w:val="00453AAD"/>
    <w:rsid w:val="00454A76"/>
    <w:rsid w:val="00454C6D"/>
    <w:rsid w:val="00456C3F"/>
    <w:rsid w:val="00456CCB"/>
    <w:rsid w:val="004604D1"/>
    <w:rsid w:val="004606E9"/>
    <w:rsid w:val="00460F9D"/>
    <w:rsid w:val="00461025"/>
    <w:rsid w:val="00461259"/>
    <w:rsid w:val="00461267"/>
    <w:rsid w:val="004619D4"/>
    <w:rsid w:val="00461B16"/>
    <w:rsid w:val="00461BCA"/>
    <w:rsid w:val="0046232F"/>
    <w:rsid w:val="00463636"/>
    <w:rsid w:val="00463A3F"/>
    <w:rsid w:val="00463E3D"/>
    <w:rsid w:val="004645AE"/>
    <w:rsid w:val="00465575"/>
    <w:rsid w:val="004660D6"/>
    <w:rsid w:val="0046664E"/>
    <w:rsid w:val="0046710C"/>
    <w:rsid w:val="00467EF2"/>
    <w:rsid w:val="00470922"/>
    <w:rsid w:val="0047137B"/>
    <w:rsid w:val="004718DA"/>
    <w:rsid w:val="004725B4"/>
    <w:rsid w:val="00472E79"/>
    <w:rsid w:val="00473233"/>
    <w:rsid w:val="00473B12"/>
    <w:rsid w:val="004751D0"/>
    <w:rsid w:val="0047535D"/>
    <w:rsid w:val="004757EB"/>
    <w:rsid w:val="004757F7"/>
    <w:rsid w:val="00475842"/>
    <w:rsid w:val="004762A8"/>
    <w:rsid w:val="004762FB"/>
    <w:rsid w:val="00476551"/>
    <w:rsid w:val="00477481"/>
    <w:rsid w:val="004812D0"/>
    <w:rsid w:val="0048177F"/>
    <w:rsid w:val="00481F95"/>
    <w:rsid w:val="004822F0"/>
    <w:rsid w:val="00482323"/>
    <w:rsid w:val="0048275C"/>
    <w:rsid w:val="004830E2"/>
    <w:rsid w:val="0048362F"/>
    <w:rsid w:val="004836F4"/>
    <w:rsid w:val="00483783"/>
    <w:rsid w:val="00483BF4"/>
    <w:rsid w:val="004843FA"/>
    <w:rsid w:val="00484E24"/>
    <w:rsid w:val="004856D5"/>
    <w:rsid w:val="00485DA5"/>
    <w:rsid w:val="00486061"/>
    <w:rsid w:val="0048660C"/>
    <w:rsid w:val="00487913"/>
    <w:rsid w:val="004912EA"/>
    <w:rsid w:val="004916CB"/>
    <w:rsid w:val="00491B9C"/>
    <w:rsid w:val="00491CE9"/>
    <w:rsid w:val="00491D96"/>
    <w:rsid w:val="00492F26"/>
    <w:rsid w:val="004930E6"/>
    <w:rsid w:val="0049315C"/>
    <w:rsid w:val="004932D6"/>
    <w:rsid w:val="0049341C"/>
    <w:rsid w:val="00493591"/>
    <w:rsid w:val="00493628"/>
    <w:rsid w:val="0049445C"/>
    <w:rsid w:val="00494950"/>
    <w:rsid w:val="00494B18"/>
    <w:rsid w:val="00494E34"/>
    <w:rsid w:val="00495253"/>
    <w:rsid w:val="00495734"/>
    <w:rsid w:val="0049592F"/>
    <w:rsid w:val="004959C7"/>
    <w:rsid w:val="00495B42"/>
    <w:rsid w:val="00496005"/>
    <w:rsid w:val="00496432"/>
    <w:rsid w:val="00496E6B"/>
    <w:rsid w:val="00497A99"/>
    <w:rsid w:val="00497D4F"/>
    <w:rsid w:val="00497DB7"/>
    <w:rsid w:val="00497E1E"/>
    <w:rsid w:val="004A09D6"/>
    <w:rsid w:val="004A146C"/>
    <w:rsid w:val="004A160A"/>
    <w:rsid w:val="004A22EE"/>
    <w:rsid w:val="004A2545"/>
    <w:rsid w:val="004A2CC3"/>
    <w:rsid w:val="004A32A9"/>
    <w:rsid w:val="004A3423"/>
    <w:rsid w:val="004A3975"/>
    <w:rsid w:val="004A3A67"/>
    <w:rsid w:val="004A45F9"/>
    <w:rsid w:val="004A5458"/>
    <w:rsid w:val="004A5C21"/>
    <w:rsid w:val="004A5D8D"/>
    <w:rsid w:val="004A5DC6"/>
    <w:rsid w:val="004A6067"/>
    <w:rsid w:val="004A6295"/>
    <w:rsid w:val="004A658B"/>
    <w:rsid w:val="004A6BDB"/>
    <w:rsid w:val="004A6EC3"/>
    <w:rsid w:val="004A7323"/>
    <w:rsid w:val="004A7B86"/>
    <w:rsid w:val="004A7C66"/>
    <w:rsid w:val="004A7DDE"/>
    <w:rsid w:val="004B0258"/>
    <w:rsid w:val="004B0909"/>
    <w:rsid w:val="004B0DA6"/>
    <w:rsid w:val="004B1A88"/>
    <w:rsid w:val="004B1F07"/>
    <w:rsid w:val="004B2530"/>
    <w:rsid w:val="004B334C"/>
    <w:rsid w:val="004B347D"/>
    <w:rsid w:val="004B3BF4"/>
    <w:rsid w:val="004B4059"/>
    <w:rsid w:val="004B4202"/>
    <w:rsid w:val="004B469A"/>
    <w:rsid w:val="004B4AA3"/>
    <w:rsid w:val="004B4E4D"/>
    <w:rsid w:val="004B5909"/>
    <w:rsid w:val="004B59CD"/>
    <w:rsid w:val="004B5DBB"/>
    <w:rsid w:val="004B5DC2"/>
    <w:rsid w:val="004B607A"/>
    <w:rsid w:val="004B6266"/>
    <w:rsid w:val="004B6753"/>
    <w:rsid w:val="004B6BC3"/>
    <w:rsid w:val="004B6CDB"/>
    <w:rsid w:val="004B7295"/>
    <w:rsid w:val="004B783E"/>
    <w:rsid w:val="004B79BF"/>
    <w:rsid w:val="004C0181"/>
    <w:rsid w:val="004C03AC"/>
    <w:rsid w:val="004C0680"/>
    <w:rsid w:val="004C0706"/>
    <w:rsid w:val="004C0717"/>
    <w:rsid w:val="004C0BD3"/>
    <w:rsid w:val="004C1118"/>
    <w:rsid w:val="004C1A30"/>
    <w:rsid w:val="004C2495"/>
    <w:rsid w:val="004C289E"/>
    <w:rsid w:val="004C30DE"/>
    <w:rsid w:val="004C3163"/>
    <w:rsid w:val="004C3269"/>
    <w:rsid w:val="004C4DA3"/>
    <w:rsid w:val="004C4E22"/>
    <w:rsid w:val="004C4FF0"/>
    <w:rsid w:val="004C57A8"/>
    <w:rsid w:val="004C5941"/>
    <w:rsid w:val="004C59C7"/>
    <w:rsid w:val="004C5A9D"/>
    <w:rsid w:val="004C7291"/>
    <w:rsid w:val="004C753D"/>
    <w:rsid w:val="004C76A9"/>
    <w:rsid w:val="004C7D84"/>
    <w:rsid w:val="004D0089"/>
    <w:rsid w:val="004D0EB0"/>
    <w:rsid w:val="004D0F99"/>
    <w:rsid w:val="004D177D"/>
    <w:rsid w:val="004D19C8"/>
    <w:rsid w:val="004D1B37"/>
    <w:rsid w:val="004D1FA7"/>
    <w:rsid w:val="004D24D2"/>
    <w:rsid w:val="004D2625"/>
    <w:rsid w:val="004D277E"/>
    <w:rsid w:val="004D2C55"/>
    <w:rsid w:val="004D2EC3"/>
    <w:rsid w:val="004D3E33"/>
    <w:rsid w:val="004D3F35"/>
    <w:rsid w:val="004D41DC"/>
    <w:rsid w:val="004D4FAF"/>
    <w:rsid w:val="004D54C9"/>
    <w:rsid w:val="004D6376"/>
    <w:rsid w:val="004D6827"/>
    <w:rsid w:val="004D6EC8"/>
    <w:rsid w:val="004D6F08"/>
    <w:rsid w:val="004D7213"/>
    <w:rsid w:val="004E099A"/>
    <w:rsid w:val="004E118C"/>
    <w:rsid w:val="004E18A4"/>
    <w:rsid w:val="004E1B6A"/>
    <w:rsid w:val="004E1E5B"/>
    <w:rsid w:val="004E2463"/>
    <w:rsid w:val="004E27EC"/>
    <w:rsid w:val="004E307B"/>
    <w:rsid w:val="004E3F83"/>
    <w:rsid w:val="004E707F"/>
    <w:rsid w:val="004E710B"/>
    <w:rsid w:val="004E7196"/>
    <w:rsid w:val="004E7376"/>
    <w:rsid w:val="004E7466"/>
    <w:rsid w:val="004E7643"/>
    <w:rsid w:val="004E7F15"/>
    <w:rsid w:val="004E7F91"/>
    <w:rsid w:val="004F06CA"/>
    <w:rsid w:val="004F0787"/>
    <w:rsid w:val="004F08DE"/>
    <w:rsid w:val="004F1214"/>
    <w:rsid w:val="004F1907"/>
    <w:rsid w:val="004F19B7"/>
    <w:rsid w:val="004F1B52"/>
    <w:rsid w:val="004F1F4B"/>
    <w:rsid w:val="004F206D"/>
    <w:rsid w:val="004F26B8"/>
    <w:rsid w:val="004F28A6"/>
    <w:rsid w:val="004F305B"/>
    <w:rsid w:val="004F3646"/>
    <w:rsid w:val="004F36E6"/>
    <w:rsid w:val="004F4AA4"/>
    <w:rsid w:val="004F5102"/>
    <w:rsid w:val="004F5485"/>
    <w:rsid w:val="004F6767"/>
    <w:rsid w:val="004F6813"/>
    <w:rsid w:val="004F7117"/>
    <w:rsid w:val="004F7607"/>
    <w:rsid w:val="004F779F"/>
    <w:rsid w:val="004F78EC"/>
    <w:rsid w:val="0050080E"/>
    <w:rsid w:val="0050113E"/>
    <w:rsid w:val="0050117A"/>
    <w:rsid w:val="005012C6"/>
    <w:rsid w:val="005015B5"/>
    <w:rsid w:val="005015EF"/>
    <w:rsid w:val="00501F4E"/>
    <w:rsid w:val="0050211A"/>
    <w:rsid w:val="005022EA"/>
    <w:rsid w:val="00502442"/>
    <w:rsid w:val="00502C2B"/>
    <w:rsid w:val="00502C41"/>
    <w:rsid w:val="00502FA2"/>
    <w:rsid w:val="005032F7"/>
    <w:rsid w:val="00504576"/>
    <w:rsid w:val="00504E1E"/>
    <w:rsid w:val="005059D7"/>
    <w:rsid w:val="00505BAC"/>
    <w:rsid w:val="00506650"/>
    <w:rsid w:val="00506749"/>
    <w:rsid w:val="00506969"/>
    <w:rsid w:val="005070AD"/>
    <w:rsid w:val="00510165"/>
    <w:rsid w:val="005101C6"/>
    <w:rsid w:val="00510770"/>
    <w:rsid w:val="00510B44"/>
    <w:rsid w:val="00510FD4"/>
    <w:rsid w:val="005112B0"/>
    <w:rsid w:val="0051200D"/>
    <w:rsid w:val="00512402"/>
    <w:rsid w:val="005126B4"/>
    <w:rsid w:val="00512BE1"/>
    <w:rsid w:val="00512FE0"/>
    <w:rsid w:val="0051305C"/>
    <w:rsid w:val="005135E9"/>
    <w:rsid w:val="00513936"/>
    <w:rsid w:val="005145A1"/>
    <w:rsid w:val="0051563C"/>
    <w:rsid w:val="00515808"/>
    <w:rsid w:val="005166A0"/>
    <w:rsid w:val="00516879"/>
    <w:rsid w:val="005175C4"/>
    <w:rsid w:val="00517C43"/>
    <w:rsid w:val="0052010B"/>
    <w:rsid w:val="005203A0"/>
    <w:rsid w:val="005206E2"/>
    <w:rsid w:val="00520D88"/>
    <w:rsid w:val="00521459"/>
    <w:rsid w:val="0052167B"/>
    <w:rsid w:val="00521F99"/>
    <w:rsid w:val="005221E5"/>
    <w:rsid w:val="0052252B"/>
    <w:rsid w:val="0052298A"/>
    <w:rsid w:val="00523096"/>
    <w:rsid w:val="00523A6D"/>
    <w:rsid w:val="00523CB6"/>
    <w:rsid w:val="005243D2"/>
    <w:rsid w:val="00524FB7"/>
    <w:rsid w:val="00524FCF"/>
    <w:rsid w:val="005250F2"/>
    <w:rsid w:val="00525339"/>
    <w:rsid w:val="0052568F"/>
    <w:rsid w:val="00525A6B"/>
    <w:rsid w:val="00530248"/>
    <w:rsid w:val="00530283"/>
    <w:rsid w:val="005308DB"/>
    <w:rsid w:val="00530D16"/>
    <w:rsid w:val="005319EF"/>
    <w:rsid w:val="00531E72"/>
    <w:rsid w:val="00532221"/>
    <w:rsid w:val="005325C7"/>
    <w:rsid w:val="00533166"/>
    <w:rsid w:val="00533614"/>
    <w:rsid w:val="00533BE5"/>
    <w:rsid w:val="00533F13"/>
    <w:rsid w:val="00535407"/>
    <w:rsid w:val="005356BA"/>
    <w:rsid w:val="00535933"/>
    <w:rsid w:val="0053666A"/>
    <w:rsid w:val="00536DA6"/>
    <w:rsid w:val="00537D45"/>
    <w:rsid w:val="00537FE0"/>
    <w:rsid w:val="00540F05"/>
    <w:rsid w:val="0054110B"/>
    <w:rsid w:val="005411D5"/>
    <w:rsid w:val="00541276"/>
    <w:rsid w:val="00541D6F"/>
    <w:rsid w:val="00542138"/>
    <w:rsid w:val="00542448"/>
    <w:rsid w:val="0054246B"/>
    <w:rsid w:val="0054250A"/>
    <w:rsid w:val="0054260F"/>
    <w:rsid w:val="00543079"/>
    <w:rsid w:val="00543220"/>
    <w:rsid w:val="0054328D"/>
    <w:rsid w:val="005435F6"/>
    <w:rsid w:val="00543F72"/>
    <w:rsid w:val="00544471"/>
    <w:rsid w:val="00544781"/>
    <w:rsid w:val="00544DE9"/>
    <w:rsid w:val="00544F3D"/>
    <w:rsid w:val="0054536A"/>
    <w:rsid w:val="00545958"/>
    <w:rsid w:val="00545E1D"/>
    <w:rsid w:val="00546640"/>
    <w:rsid w:val="00546808"/>
    <w:rsid w:val="00546B17"/>
    <w:rsid w:val="00546C0F"/>
    <w:rsid w:val="00546F9D"/>
    <w:rsid w:val="005470B4"/>
    <w:rsid w:val="005474E8"/>
    <w:rsid w:val="005500B3"/>
    <w:rsid w:val="005506C0"/>
    <w:rsid w:val="005512A9"/>
    <w:rsid w:val="00551967"/>
    <w:rsid w:val="0055243B"/>
    <w:rsid w:val="00552832"/>
    <w:rsid w:val="00552A80"/>
    <w:rsid w:val="00552D8C"/>
    <w:rsid w:val="00553114"/>
    <w:rsid w:val="00553BC1"/>
    <w:rsid w:val="00554EEE"/>
    <w:rsid w:val="005553A2"/>
    <w:rsid w:val="00555472"/>
    <w:rsid w:val="00555515"/>
    <w:rsid w:val="005556BF"/>
    <w:rsid w:val="00556966"/>
    <w:rsid w:val="00556FB3"/>
    <w:rsid w:val="005571BD"/>
    <w:rsid w:val="00557B99"/>
    <w:rsid w:val="00557BCC"/>
    <w:rsid w:val="0056012B"/>
    <w:rsid w:val="0056035C"/>
    <w:rsid w:val="00560787"/>
    <w:rsid w:val="0056082E"/>
    <w:rsid w:val="00560BA3"/>
    <w:rsid w:val="00560F22"/>
    <w:rsid w:val="00561A3B"/>
    <w:rsid w:val="005620FF"/>
    <w:rsid w:val="00562890"/>
    <w:rsid w:val="00562AA8"/>
    <w:rsid w:val="00562F52"/>
    <w:rsid w:val="005635D1"/>
    <w:rsid w:val="00563ED7"/>
    <w:rsid w:val="00564164"/>
    <w:rsid w:val="005645FF"/>
    <w:rsid w:val="005647D9"/>
    <w:rsid w:val="00564B5A"/>
    <w:rsid w:val="005656D7"/>
    <w:rsid w:val="00565848"/>
    <w:rsid w:val="005669E3"/>
    <w:rsid w:val="00566C9C"/>
    <w:rsid w:val="00566F86"/>
    <w:rsid w:val="00566FBA"/>
    <w:rsid w:val="00570813"/>
    <w:rsid w:val="005725EE"/>
    <w:rsid w:val="00572890"/>
    <w:rsid w:val="00572B69"/>
    <w:rsid w:val="005734A6"/>
    <w:rsid w:val="0057360A"/>
    <w:rsid w:val="005739E5"/>
    <w:rsid w:val="0057416C"/>
    <w:rsid w:val="0057469E"/>
    <w:rsid w:val="00574912"/>
    <w:rsid w:val="00574CBC"/>
    <w:rsid w:val="00575281"/>
    <w:rsid w:val="00575870"/>
    <w:rsid w:val="00577353"/>
    <w:rsid w:val="00580649"/>
    <w:rsid w:val="005808E2"/>
    <w:rsid w:val="00580AE5"/>
    <w:rsid w:val="00580EF7"/>
    <w:rsid w:val="00580F98"/>
    <w:rsid w:val="00581E9F"/>
    <w:rsid w:val="005828CA"/>
    <w:rsid w:val="00582CC9"/>
    <w:rsid w:val="005831C6"/>
    <w:rsid w:val="0058430C"/>
    <w:rsid w:val="00585636"/>
    <w:rsid w:val="005858BD"/>
    <w:rsid w:val="005858F8"/>
    <w:rsid w:val="00585945"/>
    <w:rsid w:val="00585A4A"/>
    <w:rsid w:val="00585E1C"/>
    <w:rsid w:val="00585E94"/>
    <w:rsid w:val="00586147"/>
    <w:rsid w:val="00586F29"/>
    <w:rsid w:val="005878E1"/>
    <w:rsid w:val="005902F6"/>
    <w:rsid w:val="0059040A"/>
    <w:rsid w:val="00590AEB"/>
    <w:rsid w:val="0059261B"/>
    <w:rsid w:val="00593408"/>
    <w:rsid w:val="005939A4"/>
    <w:rsid w:val="00593D49"/>
    <w:rsid w:val="00594C4B"/>
    <w:rsid w:val="00595017"/>
    <w:rsid w:val="00595B0E"/>
    <w:rsid w:val="00595FF4"/>
    <w:rsid w:val="005970C0"/>
    <w:rsid w:val="00597334"/>
    <w:rsid w:val="005975A1"/>
    <w:rsid w:val="005A014B"/>
    <w:rsid w:val="005A0C2C"/>
    <w:rsid w:val="005A0F09"/>
    <w:rsid w:val="005A19E5"/>
    <w:rsid w:val="005A1B15"/>
    <w:rsid w:val="005A1D84"/>
    <w:rsid w:val="005A201F"/>
    <w:rsid w:val="005A234A"/>
    <w:rsid w:val="005A28C5"/>
    <w:rsid w:val="005A2C2E"/>
    <w:rsid w:val="005A3BAB"/>
    <w:rsid w:val="005A3D41"/>
    <w:rsid w:val="005A3D77"/>
    <w:rsid w:val="005A3F87"/>
    <w:rsid w:val="005A4270"/>
    <w:rsid w:val="005A5388"/>
    <w:rsid w:val="005A577B"/>
    <w:rsid w:val="005A5CBE"/>
    <w:rsid w:val="005A5DDA"/>
    <w:rsid w:val="005A6709"/>
    <w:rsid w:val="005A682E"/>
    <w:rsid w:val="005A6AB1"/>
    <w:rsid w:val="005A70EA"/>
    <w:rsid w:val="005A7A50"/>
    <w:rsid w:val="005A7C1E"/>
    <w:rsid w:val="005B0B69"/>
    <w:rsid w:val="005B0F5A"/>
    <w:rsid w:val="005B1193"/>
    <w:rsid w:val="005B2170"/>
    <w:rsid w:val="005B23CE"/>
    <w:rsid w:val="005B2564"/>
    <w:rsid w:val="005B48C0"/>
    <w:rsid w:val="005B4FD3"/>
    <w:rsid w:val="005B5144"/>
    <w:rsid w:val="005B52D2"/>
    <w:rsid w:val="005B52D5"/>
    <w:rsid w:val="005B5EAC"/>
    <w:rsid w:val="005B64F7"/>
    <w:rsid w:val="005B6564"/>
    <w:rsid w:val="005B6799"/>
    <w:rsid w:val="005B6F9A"/>
    <w:rsid w:val="005B7C02"/>
    <w:rsid w:val="005C0045"/>
    <w:rsid w:val="005C01A3"/>
    <w:rsid w:val="005C06CB"/>
    <w:rsid w:val="005C0751"/>
    <w:rsid w:val="005C0921"/>
    <w:rsid w:val="005C0FA9"/>
    <w:rsid w:val="005C2043"/>
    <w:rsid w:val="005C25DE"/>
    <w:rsid w:val="005C2783"/>
    <w:rsid w:val="005C2927"/>
    <w:rsid w:val="005C2A4A"/>
    <w:rsid w:val="005C2A4C"/>
    <w:rsid w:val="005C3963"/>
    <w:rsid w:val="005C3F6C"/>
    <w:rsid w:val="005C4122"/>
    <w:rsid w:val="005C4756"/>
    <w:rsid w:val="005C495C"/>
    <w:rsid w:val="005C4C02"/>
    <w:rsid w:val="005C5102"/>
    <w:rsid w:val="005C68B7"/>
    <w:rsid w:val="005C6A2F"/>
    <w:rsid w:val="005C70FE"/>
    <w:rsid w:val="005C7546"/>
    <w:rsid w:val="005D0368"/>
    <w:rsid w:val="005D0C42"/>
    <w:rsid w:val="005D1840"/>
    <w:rsid w:val="005D18E6"/>
    <w:rsid w:val="005D1962"/>
    <w:rsid w:val="005D27AF"/>
    <w:rsid w:val="005D29EB"/>
    <w:rsid w:val="005D35E4"/>
    <w:rsid w:val="005D3FEE"/>
    <w:rsid w:val="005D5526"/>
    <w:rsid w:val="005D5975"/>
    <w:rsid w:val="005D5CA6"/>
    <w:rsid w:val="005D61DB"/>
    <w:rsid w:val="005D67E2"/>
    <w:rsid w:val="005D6E74"/>
    <w:rsid w:val="005D6F92"/>
    <w:rsid w:val="005D78C5"/>
    <w:rsid w:val="005D78F0"/>
    <w:rsid w:val="005D7910"/>
    <w:rsid w:val="005E1159"/>
    <w:rsid w:val="005E15CF"/>
    <w:rsid w:val="005E16AA"/>
    <w:rsid w:val="005E16B6"/>
    <w:rsid w:val="005E1A5A"/>
    <w:rsid w:val="005E1F4E"/>
    <w:rsid w:val="005E246C"/>
    <w:rsid w:val="005E2605"/>
    <w:rsid w:val="005E3526"/>
    <w:rsid w:val="005E3BBF"/>
    <w:rsid w:val="005E3DEA"/>
    <w:rsid w:val="005E4459"/>
    <w:rsid w:val="005E5369"/>
    <w:rsid w:val="005E5529"/>
    <w:rsid w:val="005E5D21"/>
    <w:rsid w:val="005E63B5"/>
    <w:rsid w:val="005E6F66"/>
    <w:rsid w:val="005E74DE"/>
    <w:rsid w:val="005E78DC"/>
    <w:rsid w:val="005E7F4B"/>
    <w:rsid w:val="005F094E"/>
    <w:rsid w:val="005F0D32"/>
    <w:rsid w:val="005F1305"/>
    <w:rsid w:val="005F1A43"/>
    <w:rsid w:val="005F1A90"/>
    <w:rsid w:val="005F263C"/>
    <w:rsid w:val="005F33B4"/>
    <w:rsid w:val="005F44B8"/>
    <w:rsid w:val="005F47AA"/>
    <w:rsid w:val="005F5046"/>
    <w:rsid w:val="005F53EF"/>
    <w:rsid w:val="005F56BB"/>
    <w:rsid w:val="005F58B8"/>
    <w:rsid w:val="005F5DD4"/>
    <w:rsid w:val="005F6F20"/>
    <w:rsid w:val="005F6FF2"/>
    <w:rsid w:val="005F760D"/>
    <w:rsid w:val="005F7E0A"/>
    <w:rsid w:val="00600239"/>
    <w:rsid w:val="0060035F"/>
    <w:rsid w:val="0060044E"/>
    <w:rsid w:val="006011FB"/>
    <w:rsid w:val="00601290"/>
    <w:rsid w:val="00601946"/>
    <w:rsid w:val="00601AD6"/>
    <w:rsid w:val="006022B8"/>
    <w:rsid w:val="006024FD"/>
    <w:rsid w:val="00602E61"/>
    <w:rsid w:val="0060307A"/>
    <w:rsid w:val="006032C0"/>
    <w:rsid w:val="0060483E"/>
    <w:rsid w:val="006048B3"/>
    <w:rsid w:val="00604FF4"/>
    <w:rsid w:val="00606863"/>
    <w:rsid w:val="00606B96"/>
    <w:rsid w:val="00607312"/>
    <w:rsid w:val="00607702"/>
    <w:rsid w:val="00607C1C"/>
    <w:rsid w:val="0061061E"/>
    <w:rsid w:val="00611196"/>
    <w:rsid w:val="00611926"/>
    <w:rsid w:val="0061224E"/>
    <w:rsid w:val="00612659"/>
    <w:rsid w:val="006130C0"/>
    <w:rsid w:val="00613542"/>
    <w:rsid w:val="00613CB3"/>
    <w:rsid w:val="00614375"/>
    <w:rsid w:val="00614442"/>
    <w:rsid w:val="00614C68"/>
    <w:rsid w:val="006152AD"/>
    <w:rsid w:val="006159A9"/>
    <w:rsid w:val="00615D07"/>
    <w:rsid w:val="00617036"/>
    <w:rsid w:val="00617FD0"/>
    <w:rsid w:val="00621503"/>
    <w:rsid w:val="0062154F"/>
    <w:rsid w:val="00622233"/>
    <w:rsid w:val="006225EB"/>
    <w:rsid w:val="00622E73"/>
    <w:rsid w:val="006231F3"/>
    <w:rsid w:val="006234BD"/>
    <w:rsid w:val="00623A82"/>
    <w:rsid w:val="00624202"/>
    <w:rsid w:val="00625857"/>
    <w:rsid w:val="00625AAD"/>
    <w:rsid w:val="00625FD6"/>
    <w:rsid w:val="00626026"/>
    <w:rsid w:val="00627949"/>
    <w:rsid w:val="006279D5"/>
    <w:rsid w:val="00627F5E"/>
    <w:rsid w:val="006304A8"/>
    <w:rsid w:val="006307D7"/>
    <w:rsid w:val="00631A26"/>
    <w:rsid w:val="00631A8C"/>
    <w:rsid w:val="00632261"/>
    <w:rsid w:val="00632477"/>
    <w:rsid w:val="00632B03"/>
    <w:rsid w:val="00633340"/>
    <w:rsid w:val="00633972"/>
    <w:rsid w:val="00633AEF"/>
    <w:rsid w:val="006341E0"/>
    <w:rsid w:val="00634510"/>
    <w:rsid w:val="0063460E"/>
    <w:rsid w:val="00635596"/>
    <w:rsid w:val="0063661F"/>
    <w:rsid w:val="00636BBA"/>
    <w:rsid w:val="00637102"/>
    <w:rsid w:val="0063726A"/>
    <w:rsid w:val="006375A6"/>
    <w:rsid w:val="0063793D"/>
    <w:rsid w:val="00637A78"/>
    <w:rsid w:val="00637EEE"/>
    <w:rsid w:val="006400CB"/>
    <w:rsid w:val="006411BA"/>
    <w:rsid w:val="0064151F"/>
    <w:rsid w:val="00641794"/>
    <w:rsid w:val="006418E3"/>
    <w:rsid w:val="00641CAE"/>
    <w:rsid w:val="0064211D"/>
    <w:rsid w:val="00642F95"/>
    <w:rsid w:val="00644A3C"/>
    <w:rsid w:val="00644DBB"/>
    <w:rsid w:val="006450FA"/>
    <w:rsid w:val="006455F6"/>
    <w:rsid w:val="006456B3"/>
    <w:rsid w:val="006467C7"/>
    <w:rsid w:val="0064680C"/>
    <w:rsid w:val="00646A73"/>
    <w:rsid w:val="00647624"/>
    <w:rsid w:val="00647A29"/>
    <w:rsid w:val="00650770"/>
    <w:rsid w:val="00651CA2"/>
    <w:rsid w:val="0065230F"/>
    <w:rsid w:val="006526BB"/>
    <w:rsid w:val="00652B6B"/>
    <w:rsid w:val="00652C24"/>
    <w:rsid w:val="00652D33"/>
    <w:rsid w:val="00653367"/>
    <w:rsid w:val="00653D39"/>
    <w:rsid w:val="00653D60"/>
    <w:rsid w:val="0065402C"/>
    <w:rsid w:val="006551FC"/>
    <w:rsid w:val="0065521F"/>
    <w:rsid w:val="00655BBB"/>
    <w:rsid w:val="006564A0"/>
    <w:rsid w:val="0065650F"/>
    <w:rsid w:val="0065672E"/>
    <w:rsid w:val="00656F1C"/>
    <w:rsid w:val="00657745"/>
    <w:rsid w:val="006578F7"/>
    <w:rsid w:val="0066029C"/>
    <w:rsid w:val="00660310"/>
    <w:rsid w:val="0066053F"/>
    <w:rsid w:val="00660D05"/>
    <w:rsid w:val="00660F20"/>
    <w:rsid w:val="00660F8B"/>
    <w:rsid w:val="00661316"/>
    <w:rsid w:val="00661DE5"/>
    <w:rsid w:val="0066201F"/>
    <w:rsid w:val="00662922"/>
    <w:rsid w:val="00662C5A"/>
    <w:rsid w:val="00663BB3"/>
    <w:rsid w:val="0066402F"/>
    <w:rsid w:val="00664455"/>
    <w:rsid w:val="006666CC"/>
    <w:rsid w:val="00666A7D"/>
    <w:rsid w:val="006679B1"/>
    <w:rsid w:val="00667C49"/>
    <w:rsid w:val="00667E6F"/>
    <w:rsid w:val="00670E3C"/>
    <w:rsid w:val="00670FA7"/>
    <w:rsid w:val="0067102F"/>
    <w:rsid w:val="00671D9A"/>
    <w:rsid w:val="00671EA9"/>
    <w:rsid w:val="0067231F"/>
    <w:rsid w:val="00672566"/>
    <w:rsid w:val="00672CAE"/>
    <w:rsid w:val="00673212"/>
    <w:rsid w:val="00673952"/>
    <w:rsid w:val="00673A9B"/>
    <w:rsid w:val="006740CF"/>
    <w:rsid w:val="00674430"/>
    <w:rsid w:val="00676B38"/>
    <w:rsid w:val="00676E91"/>
    <w:rsid w:val="00676FD3"/>
    <w:rsid w:val="006773DC"/>
    <w:rsid w:val="00677E68"/>
    <w:rsid w:val="00680AC5"/>
    <w:rsid w:val="00681014"/>
    <w:rsid w:val="0068113B"/>
    <w:rsid w:val="006815DD"/>
    <w:rsid w:val="00681702"/>
    <w:rsid w:val="00681A0B"/>
    <w:rsid w:val="0068235F"/>
    <w:rsid w:val="0068251A"/>
    <w:rsid w:val="00682600"/>
    <w:rsid w:val="00682CD9"/>
    <w:rsid w:val="00683A41"/>
    <w:rsid w:val="00683E92"/>
    <w:rsid w:val="00684D03"/>
    <w:rsid w:val="00685C94"/>
    <w:rsid w:val="00685CC3"/>
    <w:rsid w:val="00685E6D"/>
    <w:rsid w:val="00685F84"/>
    <w:rsid w:val="00686C9D"/>
    <w:rsid w:val="00686E91"/>
    <w:rsid w:val="006879C0"/>
    <w:rsid w:val="006902AA"/>
    <w:rsid w:val="006902DD"/>
    <w:rsid w:val="00690765"/>
    <w:rsid w:val="00690BE4"/>
    <w:rsid w:val="00691BD8"/>
    <w:rsid w:val="00692049"/>
    <w:rsid w:val="006927F8"/>
    <w:rsid w:val="00693211"/>
    <w:rsid w:val="006939D5"/>
    <w:rsid w:val="006940B8"/>
    <w:rsid w:val="00694A5B"/>
    <w:rsid w:val="00695CDC"/>
    <w:rsid w:val="006961E7"/>
    <w:rsid w:val="00696317"/>
    <w:rsid w:val="00696690"/>
    <w:rsid w:val="006967B7"/>
    <w:rsid w:val="00696BF9"/>
    <w:rsid w:val="00697400"/>
    <w:rsid w:val="0069745E"/>
    <w:rsid w:val="006A02A0"/>
    <w:rsid w:val="006A048D"/>
    <w:rsid w:val="006A09DF"/>
    <w:rsid w:val="006A0A9A"/>
    <w:rsid w:val="006A0C99"/>
    <w:rsid w:val="006A10FC"/>
    <w:rsid w:val="006A1AFE"/>
    <w:rsid w:val="006A1BB0"/>
    <w:rsid w:val="006A2802"/>
    <w:rsid w:val="006A3732"/>
    <w:rsid w:val="006A3942"/>
    <w:rsid w:val="006A3AC0"/>
    <w:rsid w:val="006A3B78"/>
    <w:rsid w:val="006A4535"/>
    <w:rsid w:val="006A5D64"/>
    <w:rsid w:val="006A6954"/>
    <w:rsid w:val="006A6B70"/>
    <w:rsid w:val="006A7471"/>
    <w:rsid w:val="006A772B"/>
    <w:rsid w:val="006A7D22"/>
    <w:rsid w:val="006B0066"/>
    <w:rsid w:val="006B014A"/>
    <w:rsid w:val="006B0C1A"/>
    <w:rsid w:val="006B11A0"/>
    <w:rsid w:val="006B13C5"/>
    <w:rsid w:val="006B1D52"/>
    <w:rsid w:val="006B1FEB"/>
    <w:rsid w:val="006B2375"/>
    <w:rsid w:val="006B2684"/>
    <w:rsid w:val="006B2D5B"/>
    <w:rsid w:val="006B2E2D"/>
    <w:rsid w:val="006B3515"/>
    <w:rsid w:val="006B49C3"/>
    <w:rsid w:val="006B4FF4"/>
    <w:rsid w:val="006B6618"/>
    <w:rsid w:val="006B7915"/>
    <w:rsid w:val="006B7923"/>
    <w:rsid w:val="006B7D14"/>
    <w:rsid w:val="006C00E8"/>
    <w:rsid w:val="006C0869"/>
    <w:rsid w:val="006C0FBB"/>
    <w:rsid w:val="006C11E2"/>
    <w:rsid w:val="006C1443"/>
    <w:rsid w:val="006C15E4"/>
    <w:rsid w:val="006C186D"/>
    <w:rsid w:val="006C2427"/>
    <w:rsid w:val="006C2EDC"/>
    <w:rsid w:val="006C355B"/>
    <w:rsid w:val="006C37EC"/>
    <w:rsid w:val="006C4836"/>
    <w:rsid w:val="006C49C7"/>
    <w:rsid w:val="006C4BCD"/>
    <w:rsid w:val="006C58BC"/>
    <w:rsid w:val="006C629D"/>
    <w:rsid w:val="006C668F"/>
    <w:rsid w:val="006C6AC3"/>
    <w:rsid w:val="006C6D4B"/>
    <w:rsid w:val="006C7E4E"/>
    <w:rsid w:val="006D0064"/>
    <w:rsid w:val="006D006D"/>
    <w:rsid w:val="006D00D8"/>
    <w:rsid w:val="006D150C"/>
    <w:rsid w:val="006D1A1C"/>
    <w:rsid w:val="006D1A79"/>
    <w:rsid w:val="006D26C5"/>
    <w:rsid w:val="006D3019"/>
    <w:rsid w:val="006D3B83"/>
    <w:rsid w:val="006D3D90"/>
    <w:rsid w:val="006D3E6A"/>
    <w:rsid w:val="006D41A7"/>
    <w:rsid w:val="006D43EF"/>
    <w:rsid w:val="006D4620"/>
    <w:rsid w:val="006D4735"/>
    <w:rsid w:val="006D50DC"/>
    <w:rsid w:val="006D55CA"/>
    <w:rsid w:val="006D5B53"/>
    <w:rsid w:val="006D5B93"/>
    <w:rsid w:val="006D6424"/>
    <w:rsid w:val="006D6501"/>
    <w:rsid w:val="006D6851"/>
    <w:rsid w:val="006D6940"/>
    <w:rsid w:val="006D70D7"/>
    <w:rsid w:val="006D7727"/>
    <w:rsid w:val="006E026D"/>
    <w:rsid w:val="006E0B51"/>
    <w:rsid w:val="006E0CBD"/>
    <w:rsid w:val="006E1755"/>
    <w:rsid w:val="006E18DE"/>
    <w:rsid w:val="006E212C"/>
    <w:rsid w:val="006E2EBA"/>
    <w:rsid w:val="006E319F"/>
    <w:rsid w:val="006E31CD"/>
    <w:rsid w:val="006E3897"/>
    <w:rsid w:val="006E40AA"/>
    <w:rsid w:val="006E41DA"/>
    <w:rsid w:val="006E4A06"/>
    <w:rsid w:val="006E54C5"/>
    <w:rsid w:val="006E5B3E"/>
    <w:rsid w:val="006E6A2C"/>
    <w:rsid w:val="006E6AD3"/>
    <w:rsid w:val="006E6E1F"/>
    <w:rsid w:val="006E707E"/>
    <w:rsid w:val="006E7D0E"/>
    <w:rsid w:val="006F0C4E"/>
    <w:rsid w:val="006F14AE"/>
    <w:rsid w:val="006F1C95"/>
    <w:rsid w:val="006F2123"/>
    <w:rsid w:val="006F30FB"/>
    <w:rsid w:val="006F32CC"/>
    <w:rsid w:val="006F3B7C"/>
    <w:rsid w:val="006F495C"/>
    <w:rsid w:val="006F5890"/>
    <w:rsid w:val="006F6033"/>
    <w:rsid w:val="006F60F8"/>
    <w:rsid w:val="006F6187"/>
    <w:rsid w:val="006F6877"/>
    <w:rsid w:val="006F6A98"/>
    <w:rsid w:val="006F7345"/>
    <w:rsid w:val="006F739C"/>
    <w:rsid w:val="006F77C8"/>
    <w:rsid w:val="007008AA"/>
    <w:rsid w:val="00700C5B"/>
    <w:rsid w:val="00700D8D"/>
    <w:rsid w:val="0070123B"/>
    <w:rsid w:val="00701B06"/>
    <w:rsid w:val="00701B39"/>
    <w:rsid w:val="00702321"/>
    <w:rsid w:val="007045F9"/>
    <w:rsid w:val="00704A8C"/>
    <w:rsid w:val="00704D1C"/>
    <w:rsid w:val="00705C6C"/>
    <w:rsid w:val="007072A6"/>
    <w:rsid w:val="007073B9"/>
    <w:rsid w:val="00707423"/>
    <w:rsid w:val="0070771F"/>
    <w:rsid w:val="00707BAD"/>
    <w:rsid w:val="007101DB"/>
    <w:rsid w:val="00710E8B"/>
    <w:rsid w:val="0071117F"/>
    <w:rsid w:val="00711E45"/>
    <w:rsid w:val="00712284"/>
    <w:rsid w:val="00712C73"/>
    <w:rsid w:val="0071354E"/>
    <w:rsid w:val="00713635"/>
    <w:rsid w:val="0071369F"/>
    <w:rsid w:val="00713CBD"/>
    <w:rsid w:val="0071463A"/>
    <w:rsid w:val="00714FDB"/>
    <w:rsid w:val="007150ED"/>
    <w:rsid w:val="00715421"/>
    <w:rsid w:val="00715E28"/>
    <w:rsid w:val="00716D13"/>
    <w:rsid w:val="00716E94"/>
    <w:rsid w:val="007174BF"/>
    <w:rsid w:val="007176D1"/>
    <w:rsid w:val="00717C4F"/>
    <w:rsid w:val="007204AA"/>
    <w:rsid w:val="00720E88"/>
    <w:rsid w:val="00720EF8"/>
    <w:rsid w:val="00721304"/>
    <w:rsid w:val="00721399"/>
    <w:rsid w:val="0072189E"/>
    <w:rsid w:val="00722583"/>
    <w:rsid w:val="00722746"/>
    <w:rsid w:val="0072283D"/>
    <w:rsid w:val="007228D9"/>
    <w:rsid w:val="00723BD0"/>
    <w:rsid w:val="00724C4A"/>
    <w:rsid w:val="007252A0"/>
    <w:rsid w:val="00725767"/>
    <w:rsid w:val="00725A4B"/>
    <w:rsid w:val="00725A5B"/>
    <w:rsid w:val="00725A7D"/>
    <w:rsid w:val="00725BC8"/>
    <w:rsid w:val="00727093"/>
    <w:rsid w:val="00727604"/>
    <w:rsid w:val="00727CFD"/>
    <w:rsid w:val="00727D11"/>
    <w:rsid w:val="007303E8"/>
    <w:rsid w:val="0073085C"/>
    <w:rsid w:val="00731E7C"/>
    <w:rsid w:val="007321E1"/>
    <w:rsid w:val="00732E50"/>
    <w:rsid w:val="007331DB"/>
    <w:rsid w:val="00733555"/>
    <w:rsid w:val="00734A25"/>
    <w:rsid w:val="00734E3C"/>
    <w:rsid w:val="007352BC"/>
    <w:rsid w:val="00735C09"/>
    <w:rsid w:val="0073645B"/>
    <w:rsid w:val="00736528"/>
    <w:rsid w:val="00736E02"/>
    <w:rsid w:val="00737175"/>
    <w:rsid w:val="00737858"/>
    <w:rsid w:val="0074074E"/>
    <w:rsid w:val="0074102F"/>
    <w:rsid w:val="00741162"/>
    <w:rsid w:val="0074192C"/>
    <w:rsid w:val="00741E48"/>
    <w:rsid w:val="00742466"/>
    <w:rsid w:val="007424D9"/>
    <w:rsid w:val="00742563"/>
    <w:rsid w:val="00742B2B"/>
    <w:rsid w:val="00742F67"/>
    <w:rsid w:val="007432FF"/>
    <w:rsid w:val="00743A43"/>
    <w:rsid w:val="00743D33"/>
    <w:rsid w:val="00743E1D"/>
    <w:rsid w:val="00744CB2"/>
    <w:rsid w:val="0074515B"/>
    <w:rsid w:val="00745323"/>
    <w:rsid w:val="00745AE8"/>
    <w:rsid w:val="00745CAD"/>
    <w:rsid w:val="00746505"/>
    <w:rsid w:val="00746597"/>
    <w:rsid w:val="00746BA2"/>
    <w:rsid w:val="00746C63"/>
    <w:rsid w:val="00747B83"/>
    <w:rsid w:val="00747B8E"/>
    <w:rsid w:val="00747C75"/>
    <w:rsid w:val="00747C92"/>
    <w:rsid w:val="00747CE4"/>
    <w:rsid w:val="00750353"/>
    <w:rsid w:val="007506AF"/>
    <w:rsid w:val="00750997"/>
    <w:rsid w:val="007512A4"/>
    <w:rsid w:val="007514AE"/>
    <w:rsid w:val="00751B38"/>
    <w:rsid w:val="00752155"/>
    <w:rsid w:val="0075250B"/>
    <w:rsid w:val="00752778"/>
    <w:rsid w:val="00752A79"/>
    <w:rsid w:val="00752BFE"/>
    <w:rsid w:val="00752F54"/>
    <w:rsid w:val="00752FC5"/>
    <w:rsid w:val="00752FD1"/>
    <w:rsid w:val="007532E4"/>
    <w:rsid w:val="00754017"/>
    <w:rsid w:val="007543FA"/>
    <w:rsid w:val="007546E1"/>
    <w:rsid w:val="00755110"/>
    <w:rsid w:val="0075584C"/>
    <w:rsid w:val="00755A74"/>
    <w:rsid w:val="00755A92"/>
    <w:rsid w:val="0075615A"/>
    <w:rsid w:val="007561D4"/>
    <w:rsid w:val="007562DF"/>
    <w:rsid w:val="00756B71"/>
    <w:rsid w:val="00756F47"/>
    <w:rsid w:val="00757202"/>
    <w:rsid w:val="007575AE"/>
    <w:rsid w:val="00760C6B"/>
    <w:rsid w:val="007610AE"/>
    <w:rsid w:val="007614E6"/>
    <w:rsid w:val="0076192D"/>
    <w:rsid w:val="00761E68"/>
    <w:rsid w:val="00761EB9"/>
    <w:rsid w:val="007635C7"/>
    <w:rsid w:val="00764B19"/>
    <w:rsid w:val="007651AB"/>
    <w:rsid w:val="00765650"/>
    <w:rsid w:val="007663C7"/>
    <w:rsid w:val="00766517"/>
    <w:rsid w:val="00767C35"/>
    <w:rsid w:val="00770121"/>
    <w:rsid w:val="00770476"/>
    <w:rsid w:val="00770C54"/>
    <w:rsid w:val="00770D73"/>
    <w:rsid w:val="00772232"/>
    <w:rsid w:val="0077244D"/>
    <w:rsid w:val="007733F6"/>
    <w:rsid w:val="00773BF0"/>
    <w:rsid w:val="00775124"/>
    <w:rsid w:val="0077518F"/>
    <w:rsid w:val="00775471"/>
    <w:rsid w:val="00775749"/>
    <w:rsid w:val="00775B47"/>
    <w:rsid w:val="007761E8"/>
    <w:rsid w:val="0077637A"/>
    <w:rsid w:val="00777251"/>
    <w:rsid w:val="007777AC"/>
    <w:rsid w:val="007779AB"/>
    <w:rsid w:val="00777B13"/>
    <w:rsid w:val="007802CF"/>
    <w:rsid w:val="0078081B"/>
    <w:rsid w:val="007828F1"/>
    <w:rsid w:val="00782B66"/>
    <w:rsid w:val="00782EE6"/>
    <w:rsid w:val="007835BD"/>
    <w:rsid w:val="007838A4"/>
    <w:rsid w:val="007842AD"/>
    <w:rsid w:val="00784EF4"/>
    <w:rsid w:val="00784F4B"/>
    <w:rsid w:val="00785AAE"/>
    <w:rsid w:val="00785CFD"/>
    <w:rsid w:val="00786A29"/>
    <w:rsid w:val="00786A91"/>
    <w:rsid w:val="00787C5E"/>
    <w:rsid w:val="007903D8"/>
    <w:rsid w:val="007906A7"/>
    <w:rsid w:val="00790BB3"/>
    <w:rsid w:val="0079135F"/>
    <w:rsid w:val="00791F49"/>
    <w:rsid w:val="00792043"/>
    <w:rsid w:val="007927BF"/>
    <w:rsid w:val="007927FB"/>
    <w:rsid w:val="00792A69"/>
    <w:rsid w:val="00793024"/>
    <w:rsid w:val="00793426"/>
    <w:rsid w:val="007936C2"/>
    <w:rsid w:val="00793D1B"/>
    <w:rsid w:val="007940EC"/>
    <w:rsid w:val="00794864"/>
    <w:rsid w:val="00794A06"/>
    <w:rsid w:val="00794B1B"/>
    <w:rsid w:val="00794B85"/>
    <w:rsid w:val="00794CA5"/>
    <w:rsid w:val="007954DD"/>
    <w:rsid w:val="00795CA3"/>
    <w:rsid w:val="00797967"/>
    <w:rsid w:val="00797EDD"/>
    <w:rsid w:val="00797F09"/>
    <w:rsid w:val="007A0352"/>
    <w:rsid w:val="007A07BC"/>
    <w:rsid w:val="007A0BB3"/>
    <w:rsid w:val="007A0BE8"/>
    <w:rsid w:val="007A0F98"/>
    <w:rsid w:val="007A0FDF"/>
    <w:rsid w:val="007A1327"/>
    <w:rsid w:val="007A1DF8"/>
    <w:rsid w:val="007A217F"/>
    <w:rsid w:val="007A2187"/>
    <w:rsid w:val="007A21CD"/>
    <w:rsid w:val="007A28C2"/>
    <w:rsid w:val="007A2911"/>
    <w:rsid w:val="007A29FE"/>
    <w:rsid w:val="007A355A"/>
    <w:rsid w:val="007A3DB5"/>
    <w:rsid w:val="007A4657"/>
    <w:rsid w:val="007A4992"/>
    <w:rsid w:val="007A5120"/>
    <w:rsid w:val="007A5152"/>
    <w:rsid w:val="007A5898"/>
    <w:rsid w:val="007A60C6"/>
    <w:rsid w:val="007A64E8"/>
    <w:rsid w:val="007A6B76"/>
    <w:rsid w:val="007A6ED5"/>
    <w:rsid w:val="007A6F7C"/>
    <w:rsid w:val="007A6FA0"/>
    <w:rsid w:val="007A7264"/>
    <w:rsid w:val="007A7331"/>
    <w:rsid w:val="007A77AC"/>
    <w:rsid w:val="007B02B1"/>
    <w:rsid w:val="007B0322"/>
    <w:rsid w:val="007B0742"/>
    <w:rsid w:val="007B2005"/>
    <w:rsid w:val="007B2D73"/>
    <w:rsid w:val="007B3741"/>
    <w:rsid w:val="007B392E"/>
    <w:rsid w:val="007B3EAB"/>
    <w:rsid w:val="007B461B"/>
    <w:rsid w:val="007B50F3"/>
    <w:rsid w:val="007B5831"/>
    <w:rsid w:val="007B58CD"/>
    <w:rsid w:val="007B5B55"/>
    <w:rsid w:val="007B6A97"/>
    <w:rsid w:val="007B75CF"/>
    <w:rsid w:val="007B7CCD"/>
    <w:rsid w:val="007B7F49"/>
    <w:rsid w:val="007B7FD1"/>
    <w:rsid w:val="007C0C86"/>
    <w:rsid w:val="007C0E3F"/>
    <w:rsid w:val="007C206C"/>
    <w:rsid w:val="007C218D"/>
    <w:rsid w:val="007C24E2"/>
    <w:rsid w:val="007C291B"/>
    <w:rsid w:val="007C2944"/>
    <w:rsid w:val="007C29B8"/>
    <w:rsid w:val="007C2B52"/>
    <w:rsid w:val="007C2E5F"/>
    <w:rsid w:val="007C340B"/>
    <w:rsid w:val="007C36B5"/>
    <w:rsid w:val="007C37B4"/>
    <w:rsid w:val="007C38FC"/>
    <w:rsid w:val="007C3EAD"/>
    <w:rsid w:val="007C3EEB"/>
    <w:rsid w:val="007C4483"/>
    <w:rsid w:val="007C4E61"/>
    <w:rsid w:val="007C5410"/>
    <w:rsid w:val="007C5572"/>
    <w:rsid w:val="007C5729"/>
    <w:rsid w:val="007C5F64"/>
    <w:rsid w:val="007C77C4"/>
    <w:rsid w:val="007C77F3"/>
    <w:rsid w:val="007C7DC6"/>
    <w:rsid w:val="007D0147"/>
    <w:rsid w:val="007D0779"/>
    <w:rsid w:val="007D0841"/>
    <w:rsid w:val="007D0843"/>
    <w:rsid w:val="007D0BEA"/>
    <w:rsid w:val="007D2C7E"/>
    <w:rsid w:val="007D2FB1"/>
    <w:rsid w:val="007D422D"/>
    <w:rsid w:val="007D4C31"/>
    <w:rsid w:val="007D5801"/>
    <w:rsid w:val="007D588C"/>
    <w:rsid w:val="007D6211"/>
    <w:rsid w:val="007D70B0"/>
    <w:rsid w:val="007D754C"/>
    <w:rsid w:val="007D777E"/>
    <w:rsid w:val="007D77D7"/>
    <w:rsid w:val="007E0034"/>
    <w:rsid w:val="007E0069"/>
    <w:rsid w:val="007E01BB"/>
    <w:rsid w:val="007E0541"/>
    <w:rsid w:val="007E0ECC"/>
    <w:rsid w:val="007E1847"/>
    <w:rsid w:val="007E1C91"/>
    <w:rsid w:val="007E1DEA"/>
    <w:rsid w:val="007E1F50"/>
    <w:rsid w:val="007E2577"/>
    <w:rsid w:val="007E3063"/>
    <w:rsid w:val="007E3D87"/>
    <w:rsid w:val="007E55B3"/>
    <w:rsid w:val="007E5775"/>
    <w:rsid w:val="007E6376"/>
    <w:rsid w:val="007E6755"/>
    <w:rsid w:val="007E735E"/>
    <w:rsid w:val="007E7445"/>
    <w:rsid w:val="007E78DC"/>
    <w:rsid w:val="007E7968"/>
    <w:rsid w:val="007E7F48"/>
    <w:rsid w:val="007F0222"/>
    <w:rsid w:val="007F0A54"/>
    <w:rsid w:val="007F0AE9"/>
    <w:rsid w:val="007F0D5C"/>
    <w:rsid w:val="007F0D7B"/>
    <w:rsid w:val="007F12DE"/>
    <w:rsid w:val="007F12F6"/>
    <w:rsid w:val="007F14C0"/>
    <w:rsid w:val="007F1A47"/>
    <w:rsid w:val="007F2D20"/>
    <w:rsid w:val="007F2D4A"/>
    <w:rsid w:val="007F320D"/>
    <w:rsid w:val="007F323A"/>
    <w:rsid w:val="007F3443"/>
    <w:rsid w:val="007F35D3"/>
    <w:rsid w:val="007F382D"/>
    <w:rsid w:val="007F392C"/>
    <w:rsid w:val="007F3D51"/>
    <w:rsid w:val="007F40F9"/>
    <w:rsid w:val="007F49A7"/>
    <w:rsid w:val="007F4E55"/>
    <w:rsid w:val="007F52D7"/>
    <w:rsid w:val="007F59A0"/>
    <w:rsid w:val="007F60E9"/>
    <w:rsid w:val="007F66C7"/>
    <w:rsid w:val="008010DF"/>
    <w:rsid w:val="00801108"/>
    <w:rsid w:val="00801928"/>
    <w:rsid w:val="00801C41"/>
    <w:rsid w:val="00802606"/>
    <w:rsid w:val="0080285B"/>
    <w:rsid w:val="00803663"/>
    <w:rsid w:val="0080430A"/>
    <w:rsid w:val="00805AED"/>
    <w:rsid w:val="0080607A"/>
    <w:rsid w:val="008067FF"/>
    <w:rsid w:val="00807098"/>
    <w:rsid w:val="008075F5"/>
    <w:rsid w:val="00807CAA"/>
    <w:rsid w:val="00807FAF"/>
    <w:rsid w:val="00810815"/>
    <w:rsid w:val="008108B5"/>
    <w:rsid w:val="00810B04"/>
    <w:rsid w:val="008111E4"/>
    <w:rsid w:val="00811359"/>
    <w:rsid w:val="00811AC0"/>
    <w:rsid w:val="00811AF7"/>
    <w:rsid w:val="00812236"/>
    <w:rsid w:val="0081224F"/>
    <w:rsid w:val="0081228E"/>
    <w:rsid w:val="0081237D"/>
    <w:rsid w:val="00812F02"/>
    <w:rsid w:val="0081301C"/>
    <w:rsid w:val="008131FE"/>
    <w:rsid w:val="00814396"/>
    <w:rsid w:val="00815363"/>
    <w:rsid w:val="0081599D"/>
    <w:rsid w:val="0081618D"/>
    <w:rsid w:val="008166F1"/>
    <w:rsid w:val="008179CF"/>
    <w:rsid w:val="00817DD6"/>
    <w:rsid w:val="00817EE7"/>
    <w:rsid w:val="00820063"/>
    <w:rsid w:val="00820D61"/>
    <w:rsid w:val="00821E9C"/>
    <w:rsid w:val="00822641"/>
    <w:rsid w:val="00822F1F"/>
    <w:rsid w:val="008233B0"/>
    <w:rsid w:val="00823CAC"/>
    <w:rsid w:val="00823CE1"/>
    <w:rsid w:val="0082406D"/>
    <w:rsid w:val="008252CD"/>
    <w:rsid w:val="008254B1"/>
    <w:rsid w:val="00826F10"/>
    <w:rsid w:val="0082764F"/>
    <w:rsid w:val="008277E5"/>
    <w:rsid w:val="008321B6"/>
    <w:rsid w:val="00832288"/>
    <w:rsid w:val="00832B21"/>
    <w:rsid w:val="00832BF7"/>
    <w:rsid w:val="008340DA"/>
    <w:rsid w:val="008348F5"/>
    <w:rsid w:val="00835601"/>
    <w:rsid w:val="00836550"/>
    <w:rsid w:val="008365C0"/>
    <w:rsid w:val="00836D30"/>
    <w:rsid w:val="00837814"/>
    <w:rsid w:val="008407F8"/>
    <w:rsid w:val="008416B1"/>
    <w:rsid w:val="008418E0"/>
    <w:rsid w:val="0084195E"/>
    <w:rsid w:val="00841C32"/>
    <w:rsid w:val="00842243"/>
    <w:rsid w:val="008425F9"/>
    <w:rsid w:val="008427A0"/>
    <w:rsid w:val="00842FCC"/>
    <w:rsid w:val="00843C13"/>
    <w:rsid w:val="00843FB7"/>
    <w:rsid w:val="0084407E"/>
    <w:rsid w:val="00844337"/>
    <w:rsid w:val="008444E0"/>
    <w:rsid w:val="008444F6"/>
    <w:rsid w:val="00844669"/>
    <w:rsid w:val="00844904"/>
    <w:rsid w:val="00844DFE"/>
    <w:rsid w:val="00844EEB"/>
    <w:rsid w:val="0084529A"/>
    <w:rsid w:val="00845492"/>
    <w:rsid w:val="00845942"/>
    <w:rsid w:val="00846339"/>
    <w:rsid w:val="00846DFF"/>
    <w:rsid w:val="00846EAC"/>
    <w:rsid w:val="00846F8F"/>
    <w:rsid w:val="00847C1D"/>
    <w:rsid w:val="0085002D"/>
    <w:rsid w:val="00850279"/>
    <w:rsid w:val="008506E9"/>
    <w:rsid w:val="00850819"/>
    <w:rsid w:val="00850AD7"/>
    <w:rsid w:val="0085186B"/>
    <w:rsid w:val="008524FB"/>
    <w:rsid w:val="00852AD7"/>
    <w:rsid w:val="00852F78"/>
    <w:rsid w:val="00852F99"/>
    <w:rsid w:val="00853567"/>
    <w:rsid w:val="00854BCE"/>
    <w:rsid w:val="00854EBA"/>
    <w:rsid w:val="00855349"/>
    <w:rsid w:val="00855926"/>
    <w:rsid w:val="00856680"/>
    <w:rsid w:val="008568C8"/>
    <w:rsid w:val="00856B42"/>
    <w:rsid w:val="00856B92"/>
    <w:rsid w:val="008579D1"/>
    <w:rsid w:val="00857AF8"/>
    <w:rsid w:val="008601EA"/>
    <w:rsid w:val="00861085"/>
    <w:rsid w:val="00861CE2"/>
    <w:rsid w:val="008621BB"/>
    <w:rsid w:val="008629A9"/>
    <w:rsid w:val="00863F87"/>
    <w:rsid w:val="00863FD7"/>
    <w:rsid w:val="0086475E"/>
    <w:rsid w:val="00864843"/>
    <w:rsid w:val="00864A96"/>
    <w:rsid w:val="00864F0A"/>
    <w:rsid w:val="0086508B"/>
    <w:rsid w:val="00865504"/>
    <w:rsid w:val="0086587F"/>
    <w:rsid w:val="00866B29"/>
    <w:rsid w:val="00867868"/>
    <w:rsid w:val="00867CE5"/>
    <w:rsid w:val="0087078F"/>
    <w:rsid w:val="00870F26"/>
    <w:rsid w:val="00872175"/>
    <w:rsid w:val="008721FF"/>
    <w:rsid w:val="008728EB"/>
    <w:rsid w:val="00872F2D"/>
    <w:rsid w:val="008739D0"/>
    <w:rsid w:val="0087422D"/>
    <w:rsid w:val="00874564"/>
    <w:rsid w:val="008750CC"/>
    <w:rsid w:val="0087533F"/>
    <w:rsid w:val="008753F5"/>
    <w:rsid w:val="0087666F"/>
    <w:rsid w:val="00876920"/>
    <w:rsid w:val="00876986"/>
    <w:rsid w:val="008772BB"/>
    <w:rsid w:val="00877681"/>
    <w:rsid w:val="008776BB"/>
    <w:rsid w:val="008779A5"/>
    <w:rsid w:val="00877B06"/>
    <w:rsid w:val="00877F81"/>
    <w:rsid w:val="00880B20"/>
    <w:rsid w:val="00880BB8"/>
    <w:rsid w:val="00881158"/>
    <w:rsid w:val="00881307"/>
    <w:rsid w:val="008814D3"/>
    <w:rsid w:val="00881CDB"/>
    <w:rsid w:val="00882041"/>
    <w:rsid w:val="008822B7"/>
    <w:rsid w:val="0088259C"/>
    <w:rsid w:val="00883351"/>
    <w:rsid w:val="00884020"/>
    <w:rsid w:val="00884CDB"/>
    <w:rsid w:val="0088513A"/>
    <w:rsid w:val="00885377"/>
    <w:rsid w:val="00886147"/>
    <w:rsid w:val="0088661D"/>
    <w:rsid w:val="00886C7C"/>
    <w:rsid w:val="00886EAC"/>
    <w:rsid w:val="008871C0"/>
    <w:rsid w:val="0088773E"/>
    <w:rsid w:val="00887B60"/>
    <w:rsid w:val="008902EE"/>
    <w:rsid w:val="00891764"/>
    <w:rsid w:val="00892036"/>
    <w:rsid w:val="008928AD"/>
    <w:rsid w:val="00892C7C"/>
    <w:rsid w:val="0089312A"/>
    <w:rsid w:val="00893B83"/>
    <w:rsid w:val="00893C19"/>
    <w:rsid w:val="00894218"/>
    <w:rsid w:val="00894872"/>
    <w:rsid w:val="00895308"/>
    <w:rsid w:val="008956CA"/>
    <w:rsid w:val="00895989"/>
    <w:rsid w:val="00895EBC"/>
    <w:rsid w:val="0089653D"/>
    <w:rsid w:val="008974D4"/>
    <w:rsid w:val="00897B00"/>
    <w:rsid w:val="00897E2D"/>
    <w:rsid w:val="008A0240"/>
    <w:rsid w:val="008A05D1"/>
    <w:rsid w:val="008A0611"/>
    <w:rsid w:val="008A095C"/>
    <w:rsid w:val="008A1E4C"/>
    <w:rsid w:val="008A2F74"/>
    <w:rsid w:val="008A35B2"/>
    <w:rsid w:val="008A37D5"/>
    <w:rsid w:val="008A3DC6"/>
    <w:rsid w:val="008A5137"/>
    <w:rsid w:val="008A5243"/>
    <w:rsid w:val="008A5BF8"/>
    <w:rsid w:val="008A5CED"/>
    <w:rsid w:val="008A6180"/>
    <w:rsid w:val="008A7642"/>
    <w:rsid w:val="008A79C0"/>
    <w:rsid w:val="008B0EE9"/>
    <w:rsid w:val="008B0F82"/>
    <w:rsid w:val="008B126D"/>
    <w:rsid w:val="008B129E"/>
    <w:rsid w:val="008B1502"/>
    <w:rsid w:val="008B185D"/>
    <w:rsid w:val="008B1D11"/>
    <w:rsid w:val="008B20BE"/>
    <w:rsid w:val="008B2253"/>
    <w:rsid w:val="008B2BC3"/>
    <w:rsid w:val="008B3387"/>
    <w:rsid w:val="008B3AC1"/>
    <w:rsid w:val="008B55C4"/>
    <w:rsid w:val="008B5818"/>
    <w:rsid w:val="008B58F2"/>
    <w:rsid w:val="008B62C0"/>
    <w:rsid w:val="008C01E9"/>
    <w:rsid w:val="008C0388"/>
    <w:rsid w:val="008C04E9"/>
    <w:rsid w:val="008C0A89"/>
    <w:rsid w:val="008C0AC7"/>
    <w:rsid w:val="008C20C2"/>
    <w:rsid w:val="008C220C"/>
    <w:rsid w:val="008C4A8C"/>
    <w:rsid w:val="008C54C7"/>
    <w:rsid w:val="008C55EF"/>
    <w:rsid w:val="008C5D1C"/>
    <w:rsid w:val="008C670B"/>
    <w:rsid w:val="008C7033"/>
    <w:rsid w:val="008C70AB"/>
    <w:rsid w:val="008C7999"/>
    <w:rsid w:val="008C7A9E"/>
    <w:rsid w:val="008C7E72"/>
    <w:rsid w:val="008C7EBF"/>
    <w:rsid w:val="008D0422"/>
    <w:rsid w:val="008D0983"/>
    <w:rsid w:val="008D0B11"/>
    <w:rsid w:val="008D0E99"/>
    <w:rsid w:val="008D1E43"/>
    <w:rsid w:val="008D1F6B"/>
    <w:rsid w:val="008D2B42"/>
    <w:rsid w:val="008D2C74"/>
    <w:rsid w:val="008D2FF9"/>
    <w:rsid w:val="008D38BC"/>
    <w:rsid w:val="008D4C70"/>
    <w:rsid w:val="008D53BD"/>
    <w:rsid w:val="008D5FFC"/>
    <w:rsid w:val="008D611B"/>
    <w:rsid w:val="008D657D"/>
    <w:rsid w:val="008D6B3C"/>
    <w:rsid w:val="008D6BF4"/>
    <w:rsid w:val="008D6C8D"/>
    <w:rsid w:val="008D7EA0"/>
    <w:rsid w:val="008E0F28"/>
    <w:rsid w:val="008E11A0"/>
    <w:rsid w:val="008E1AF0"/>
    <w:rsid w:val="008E1EC3"/>
    <w:rsid w:val="008E291C"/>
    <w:rsid w:val="008E2B54"/>
    <w:rsid w:val="008E2CE5"/>
    <w:rsid w:val="008E39A6"/>
    <w:rsid w:val="008E3F8A"/>
    <w:rsid w:val="008E4404"/>
    <w:rsid w:val="008E4805"/>
    <w:rsid w:val="008E58C7"/>
    <w:rsid w:val="008E5A03"/>
    <w:rsid w:val="008E5C93"/>
    <w:rsid w:val="008E6452"/>
    <w:rsid w:val="008E6A74"/>
    <w:rsid w:val="008E6EC2"/>
    <w:rsid w:val="008E7B9C"/>
    <w:rsid w:val="008F04AD"/>
    <w:rsid w:val="008F1196"/>
    <w:rsid w:val="008F173A"/>
    <w:rsid w:val="008F1762"/>
    <w:rsid w:val="008F1A99"/>
    <w:rsid w:val="008F1C8B"/>
    <w:rsid w:val="008F1CE9"/>
    <w:rsid w:val="008F21D8"/>
    <w:rsid w:val="008F2F83"/>
    <w:rsid w:val="008F322B"/>
    <w:rsid w:val="008F3761"/>
    <w:rsid w:val="008F37EA"/>
    <w:rsid w:val="008F42ED"/>
    <w:rsid w:val="008F5021"/>
    <w:rsid w:val="008F52BB"/>
    <w:rsid w:val="008F5D69"/>
    <w:rsid w:val="008F61F3"/>
    <w:rsid w:val="008F653E"/>
    <w:rsid w:val="008F6FEF"/>
    <w:rsid w:val="008F7063"/>
    <w:rsid w:val="008F79CE"/>
    <w:rsid w:val="0090025F"/>
    <w:rsid w:val="00900BEE"/>
    <w:rsid w:val="00900E53"/>
    <w:rsid w:val="009016CC"/>
    <w:rsid w:val="0090274E"/>
    <w:rsid w:val="00902B2D"/>
    <w:rsid w:val="00903465"/>
    <w:rsid w:val="009034C7"/>
    <w:rsid w:val="009037D3"/>
    <w:rsid w:val="00904BA9"/>
    <w:rsid w:val="0090561D"/>
    <w:rsid w:val="00905A62"/>
    <w:rsid w:val="00906307"/>
    <w:rsid w:val="009063FE"/>
    <w:rsid w:val="009067CE"/>
    <w:rsid w:val="0090729B"/>
    <w:rsid w:val="00910D39"/>
    <w:rsid w:val="00911159"/>
    <w:rsid w:val="009116A6"/>
    <w:rsid w:val="00912AF6"/>
    <w:rsid w:val="009133E1"/>
    <w:rsid w:val="00913D53"/>
    <w:rsid w:val="00913DEB"/>
    <w:rsid w:val="00913EB0"/>
    <w:rsid w:val="00913FC4"/>
    <w:rsid w:val="00914BA0"/>
    <w:rsid w:val="00914C0E"/>
    <w:rsid w:val="00915648"/>
    <w:rsid w:val="009156A5"/>
    <w:rsid w:val="009160F5"/>
    <w:rsid w:val="0091704F"/>
    <w:rsid w:val="00917141"/>
    <w:rsid w:val="00917B1D"/>
    <w:rsid w:val="00917EA0"/>
    <w:rsid w:val="009204A6"/>
    <w:rsid w:val="00920814"/>
    <w:rsid w:val="00920BC4"/>
    <w:rsid w:val="00920F59"/>
    <w:rsid w:val="009217DA"/>
    <w:rsid w:val="009217FC"/>
    <w:rsid w:val="009225F6"/>
    <w:rsid w:val="009225F8"/>
    <w:rsid w:val="00922B29"/>
    <w:rsid w:val="00922BCD"/>
    <w:rsid w:val="00923C22"/>
    <w:rsid w:val="00924037"/>
    <w:rsid w:val="009254F7"/>
    <w:rsid w:val="0092578D"/>
    <w:rsid w:val="00925892"/>
    <w:rsid w:val="009259D7"/>
    <w:rsid w:val="00925B82"/>
    <w:rsid w:val="00925CDA"/>
    <w:rsid w:val="00925E3B"/>
    <w:rsid w:val="00926D40"/>
    <w:rsid w:val="009270DE"/>
    <w:rsid w:val="00927826"/>
    <w:rsid w:val="00927883"/>
    <w:rsid w:val="00927B4D"/>
    <w:rsid w:val="00930820"/>
    <w:rsid w:val="00930A15"/>
    <w:rsid w:val="009318E0"/>
    <w:rsid w:val="009327AF"/>
    <w:rsid w:val="009327F9"/>
    <w:rsid w:val="00933008"/>
    <w:rsid w:val="00933159"/>
    <w:rsid w:val="009352AB"/>
    <w:rsid w:val="009359B7"/>
    <w:rsid w:val="0093689B"/>
    <w:rsid w:val="00936B8B"/>
    <w:rsid w:val="009400F5"/>
    <w:rsid w:val="00940F1C"/>
    <w:rsid w:val="009414AA"/>
    <w:rsid w:val="00942074"/>
    <w:rsid w:val="00942BEF"/>
    <w:rsid w:val="00942D93"/>
    <w:rsid w:val="009431EF"/>
    <w:rsid w:val="00943564"/>
    <w:rsid w:val="00943573"/>
    <w:rsid w:val="00943B52"/>
    <w:rsid w:val="00944038"/>
    <w:rsid w:val="00944690"/>
    <w:rsid w:val="00944AC2"/>
    <w:rsid w:val="0094525A"/>
    <w:rsid w:val="009455AB"/>
    <w:rsid w:val="00945706"/>
    <w:rsid w:val="00945EBC"/>
    <w:rsid w:val="009463A1"/>
    <w:rsid w:val="00946A3A"/>
    <w:rsid w:val="00946EEF"/>
    <w:rsid w:val="00947A69"/>
    <w:rsid w:val="00950413"/>
    <w:rsid w:val="00951001"/>
    <w:rsid w:val="009511B1"/>
    <w:rsid w:val="009514F9"/>
    <w:rsid w:val="009528C1"/>
    <w:rsid w:val="00952A45"/>
    <w:rsid w:val="00952BDA"/>
    <w:rsid w:val="00952CE5"/>
    <w:rsid w:val="00953D12"/>
    <w:rsid w:val="00953F71"/>
    <w:rsid w:val="0095439B"/>
    <w:rsid w:val="00954652"/>
    <w:rsid w:val="00954A3A"/>
    <w:rsid w:val="00954A7A"/>
    <w:rsid w:val="00955234"/>
    <w:rsid w:val="009553B7"/>
    <w:rsid w:val="00955B1C"/>
    <w:rsid w:val="00955D77"/>
    <w:rsid w:val="00957251"/>
    <w:rsid w:val="009572F5"/>
    <w:rsid w:val="00957DCA"/>
    <w:rsid w:val="00960055"/>
    <w:rsid w:val="009603A0"/>
    <w:rsid w:val="009606AE"/>
    <w:rsid w:val="00960B11"/>
    <w:rsid w:val="00961426"/>
    <w:rsid w:val="009614C7"/>
    <w:rsid w:val="009616FC"/>
    <w:rsid w:val="009617D3"/>
    <w:rsid w:val="00961834"/>
    <w:rsid w:val="00961CEF"/>
    <w:rsid w:val="00961E56"/>
    <w:rsid w:val="00962154"/>
    <w:rsid w:val="00962DD9"/>
    <w:rsid w:val="00963133"/>
    <w:rsid w:val="009637A0"/>
    <w:rsid w:val="009647DF"/>
    <w:rsid w:val="00964ED5"/>
    <w:rsid w:val="00965727"/>
    <w:rsid w:val="00965739"/>
    <w:rsid w:val="00965A83"/>
    <w:rsid w:val="00966911"/>
    <w:rsid w:val="00966929"/>
    <w:rsid w:val="009674B1"/>
    <w:rsid w:val="00970A51"/>
    <w:rsid w:val="009716F3"/>
    <w:rsid w:val="00971B61"/>
    <w:rsid w:val="00971C88"/>
    <w:rsid w:val="00971FA6"/>
    <w:rsid w:val="00972464"/>
    <w:rsid w:val="009725A8"/>
    <w:rsid w:val="0097273D"/>
    <w:rsid w:val="00972E55"/>
    <w:rsid w:val="00973356"/>
    <w:rsid w:val="009741F6"/>
    <w:rsid w:val="00974439"/>
    <w:rsid w:val="0097493D"/>
    <w:rsid w:val="0097514A"/>
    <w:rsid w:val="009752F6"/>
    <w:rsid w:val="00975ABC"/>
    <w:rsid w:val="00975DE6"/>
    <w:rsid w:val="00976044"/>
    <w:rsid w:val="00976BCD"/>
    <w:rsid w:val="009771FD"/>
    <w:rsid w:val="00977477"/>
    <w:rsid w:val="0097759D"/>
    <w:rsid w:val="009779DC"/>
    <w:rsid w:val="0098032D"/>
    <w:rsid w:val="00980453"/>
    <w:rsid w:val="009805CB"/>
    <w:rsid w:val="00980C31"/>
    <w:rsid w:val="009814AE"/>
    <w:rsid w:val="00982074"/>
    <w:rsid w:val="00982E72"/>
    <w:rsid w:val="009830A7"/>
    <w:rsid w:val="00983D3A"/>
    <w:rsid w:val="00984259"/>
    <w:rsid w:val="0098542F"/>
    <w:rsid w:val="00985470"/>
    <w:rsid w:val="009856EB"/>
    <w:rsid w:val="0098667E"/>
    <w:rsid w:val="00986768"/>
    <w:rsid w:val="009872A3"/>
    <w:rsid w:val="009872AB"/>
    <w:rsid w:val="00987572"/>
    <w:rsid w:val="0099018F"/>
    <w:rsid w:val="009910F5"/>
    <w:rsid w:val="00991610"/>
    <w:rsid w:val="00992205"/>
    <w:rsid w:val="0099264D"/>
    <w:rsid w:val="00992692"/>
    <w:rsid w:val="009927A3"/>
    <w:rsid w:val="0099342B"/>
    <w:rsid w:val="009949EF"/>
    <w:rsid w:val="00994F10"/>
    <w:rsid w:val="00995271"/>
    <w:rsid w:val="009955FF"/>
    <w:rsid w:val="009957B0"/>
    <w:rsid w:val="009960B1"/>
    <w:rsid w:val="0099779F"/>
    <w:rsid w:val="009977CC"/>
    <w:rsid w:val="0099792B"/>
    <w:rsid w:val="00997AEB"/>
    <w:rsid w:val="00997BB7"/>
    <w:rsid w:val="009A005C"/>
    <w:rsid w:val="009A09D6"/>
    <w:rsid w:val="009A0F3C"/>
    <w:rsid w:val="009A1466"/>
    <w:rsid w:val="009A1BE1"/>
    <w:rsid w:val="009A1F02"/>
    <w:rsid w:val="009A214F"/>
    <w:rsid w:val="009A3171"/>
    <w:rsid w:val="009A4294"/>
    <w:rsid w:val="009A43AA"/>
    <w:rsid w:val="009A4799"/>
    <w:rsid w:val="009A539E"/>
    <w:rsid w:val="009A5D2C"/>
    <w:rsid w:val="009A6054"/>
    <w:rsid w:val="009A65D4"/>
    <w:rsid w:val="009B01EC"/>
    <w:rsid w:val="009B089F"/>
    <w:rsid w:val="009B0D46"/>
    <w:rsid w:val="009B15AF"/>
    <w:rsid w:val="009B16C6"/>
    <w:rsid w:val="009B184E"/>
    <w:rsid w:val="009B1AAA"/>
    <w:rsid w:val="009B1CD3"/>
    <w:rsid w:val="009B26D4"/>
    <w:rsid w:val="009B385D"/>
    <w:rsid w:val="009B3CEE"/>
    <w:rsid w:val="009B4047"/>
    <w:rsid w:val="009B4094"/>
    <w:rsid w:val="009B4F8D"/>
    <w:rsid w:val="009B52AC"/>
    <w:rsid w:val="009B55BE"/>
    <w:rsid w:val="009B5D68"/>
    <w:rsid w:val="009B5F2C"/>
    <w:rsid w:val="009B64D4"/>
    <w:rsid w:val="009B6599"/>
    <w:rsid w:val="009B6CBC"/>
    <w:rsid w:val="009B74E0"/>
    <w:rsid w:val="009B76B4"/>
    <w:rsid w:val="009C005E"/>
    <w:rsid w:val="009C1356"/>
    <w:rsid w:val="009C193A"/>
    <w:rsid w:val="009C1B28"/>
    <w:rsid w:val="009C2013"/>
    <w:rsid w:val="009C281A"/>
    <w:rsid w:val="009C3129"/>
    <w:rsid w:val="009C3A32"/>
    <w:rsid w:val="009C4849"/>
    <w:rsid w:val="009C4899"/>
    <w:rsid w:val="009C4BEA"/>
    <w:rsid w:val="009C4DD5"/>
    <w:rsid w:val="009C50CF"/>
    <w:rsid w:val="009C587E"/>
    <w:rsid w:val="009C6A30"/>
    <w:rsid w:val="009C7569"/>
    <w:rsid w:val="009C7BFD"/>
    <w:rsid w:val="009D0138"/>
    <w:rsid w:val="009D2230"/>
    <w:rsid w:val="009D2541"/>
    <w:rsid w:val="009D254B"/>
    <w:rsid w:val="009D259D"/>
    <w:rsid w:val="009D2CF5"/>
    <w:rsid w:val="009D36DE"/>
    <w:rsid w:val="009D3CA6"/>
    <w:rsid w:val="009D41DA"/>
    <w:rsid w:val="009D4275"/>
    <w:rsid w:val="009D4C75"/>
    <w:rsid w:val="009D5839"/>
    <w:rsid w:val="009D5C56"/>
    <w:rsid w:val="009D5C60"/>
    <w:rsid w:val="009D6013"/>
    <w:rsid w:val="009D6298"/>
    <w:rsid w:val="009D69E8"/>
    <w:rsid w:val="009D7701"/>
    <w:rsid w:val="009D7820"/>
    <w:rsid w:val="009D788F"/>
    <w:rsid w:val="009D7BE7"/>
    <w:rsid w:val="009D7CA4"/>
    <w:rsid w:val="009E000D"/>
    <w:rsid w:val="009E004A"/>
    <w:rsid w:val="009E048D"/>
    <w:rsid w:val="009E0AC6"/>
    <w:rsid w:val="009E1012"/>
    <w:rsid w:val="009E1480"/>
    <w:rsid w:val="009E1AD7"/>
    <w:rsid w:val="009E2185"/>
    <w:rsid w:val="009E2A71"/>
    <w:rsid w:val="009E2ED2"/>
    <w:rsid w:val="009E36A8"/>
    <w:rsid w:val="009E3725"/>
    <w:rsid w:val="009E4423"/>
    <w:rsid w:val="009E4B1D"/>
    <w:rsid w:val="009E4E17"/>
    <w:rsid w:val="009E50FE"/>
    <w:rsid w:val="009E5248"/>
    <w:rsid w:val="009E68D2"/>
    <w:rsid w:val="009E7029"/>
    <w:rsid w:val="009E70F5"/>
    <w:rsid w:val="009E739C"/>
    <w:rsid w:val="009E7919"/>
    <w:rsid w:val="009E7AED"/>
    <w:rsid w:val="009E7BDF"/>
    <w:rsid w:val="009F066A"/>
    <w:rsid w:val="009F1FFB"/>
    <w:rsid w:val="009F3166"/>
    <w:rsid w:val="009F429A"/>
    <w:rsid w:val="009F598E"/>
    <w:rsid w:val="009F6269"/>
    <w:rsid w:val="009F6FF4"/>
    <w:rsid w:val="009F7544"/>
    <w:rsid w:val="009F7A8C"/>
    <w:rsid w:val="009F7AA8"/>
    <w:rsid w:val="00A000B4"/>
    <w:rsid w:val="00A0037B"/>
    <w:rsid w:val="00A00487"/>
    <w:rsid w:val="00A00911"/>
    <w:rsid w:val="00A00E61"/>
    <w:rsid w:val="00A018B5"/>
    <w:rsid w:val="00A018EB"/>
    <w:rsid w:val="00A01D37"/>
    <w:rsid w:val="00A02160"/>
    <w:rsid w:val="00A02A88"/>
    <w:rsid w:val="00A0353F"/>
    <w:rsid w:val="00A03915"/>
    <w:rsid w:val="00A041D3"/>
    <w:rsid w:val="00A0474A"/>
    <w:rsid w:val="00A0507E"/>
    <w:rsid w:val="00A0557C"/>
    <w:rsid w:val="00A05DD6"/>
    <w:rsid w:val="00A05F09"/>
    <w:rsid w:val="00A0693A"/>
    <w:rsid w:val="00A06D0F"/>
    <w:rsid w:val="00A07877"/>
    <w:rsid w:val="00A07DD5"/>
    <w:rsid w:val="00A07ECC"/>
    <w:rsid w:val="00A10E31"/>
    <w:rsid w:val="00A10E52"/>
    <w:rsid w:val="00A11776"/>
    <w:rsid w:val="00A11C81"/>
    <w:rsid w:val="00A11F85"/>
    <w:rsid w:val="00A12201"/>
    <w:rsid w:val="00A12380"/>
    <w:rsid w:val="00A126F9"/>
    <w:rsid w:val="00A12A24"/>
    <w:rsid w:val="00A12E93"/>
    <w:rsid w:val="00A13100"/>
    <w:rsid w:val="00A13102"/>
    <w:rsid w:val="00A1375A"/>
    <w:rsid w:val="00A13949"/>
    <w:rsid w:val="00A14609"/>
    <w:rsid w:val="00A147CD"/>
    <w:rsid w:val="00A14F91"/>
    <w:rsid w:val="00A15C58"/>
    <w:rsid w:val="00A16A4D"/>
    <w:rsid w:val="00A1789C"/>
    <w:rsid w:val="00A1797E"/>
    <w:rsid w:val="00A17B01"/>
    <w:rsid w:val="00A17F18"/>
    <w:rsid w:val="00A2025B"/>
    <w:rsid w:val="00A204E0"/>
    <w:rsid w:val="00A218FA"/>
    <w:rsid w:val="00A21AC9"/>
    <w:rsid w:val="00A22078"/>
    <w:rsid w:val="00A22F8B"/>
    <w:rsid w:val="00A22FD2"/>
    <w:rsid w:val="00A2372D"/>
    <w:rsid w:val="00A23765"/>
    <w:rsid w:val="00A24644"/>
    <w:rsid w:val="00A25645"/>
    <w:rsid w:val="00A25673"/>
    <w:rsid w:val="00A300D6"/>
    <w:rsid w:val="00A3012B"/>
    <w:rsid w:val="00A305DE"/>
    <w:rsid w:val="00A3091C"/>
    <w:rsid w:val="00A314E1"/>
    <w:rsid w:val="00A32750"/>
    <w:rsid w:val="00A33B7D"/>
    <w:rsid w:val="00A33F0D"/>
    <w:rsid w:val="00A346B5"/>
    <w:rsid w:val="00A3489D"/>
    <w:rsid w:val="00A34916"/>
    <w:rsid w:val="00A34ABD"/>
    <w:rsid w:val="00A34C24"/>
    <w:rsid w:val="00A352B9"/>
    <w:rsid w:val="00A353B4"/>
    <w:rsid w:val="00A356D6"/>
    <w:rsid w:val="00A3579F"/>
    <w:rsid w:val="00A359D0"/>
    <w:rsid w:val="00A35CDC"/>
    <w:rsid w:val="00A35F1D"/>
    <w:rsid w:val="00A36147"/>
    <w:rsid w:val="00A36329"/>
    <w:rsid w:val="00A36426"/>
    <w:rsid w:val="00A3660C"/>
    <w:rsid w:val="00A3700C"/>
    <w:rsid w:val="00A37238"/>
    <w:rsid w:val="00A400A0"/>
    <w:rsid w:val="00A403D6"/>
    <w:rsid w:val="00A4064B"/>
    <w:rsid w:val="00A4065D"/>
    <w:rsid w:val="00A4068C"/>
    <w:rsid w:val="00A40D3B"/>
    <w:rsid w:val="00A40E1C"/>
    <w:rsid w:val="00A41EDE"/>
    <w:rsid w:val="00A4208A"/>
    <w:rsid w:val="00A422EB"/>
    <w:rsid w:val="00A4311E"/>
    <w:rsid w:val="00A44539"/>
    <w:rsid w:val="00A44DEB"/>
    <w:rsid w:val="00A45873"/>
    <w:rsid w:val="00A4611D"/>
    <w:rsid w:val="00A46E52"/>
    <w:rsid w:val="00A47142"/>
    <w:rsid w:val="00A47225"/>
    <w:rsid w:val="00A47CA6"/>
    <w:rsid w:val="00A5011F"/>
    <w:rsid w:val="00A50184"/>
    <w:rsid w:val="00A50D9D"/>
    <w:rsid w:val="00A513B1"/>
    <w:rsid w:val="00A5160C"/>
    <w:rsid w:val="00A51EEE"/>
    <w:rsid w:val="00A52047"/>
    <w:rsid w:val="00A528A4"/>
    <w:rsid w:val="00A5295B"/>
    <w:rsid w:val="00A53000"/>
    <w:rsid w:val="00A53744"/>
    <w:rsid w:val="00A53749"/>
    <w:rsid w:val="00A537CE"/>
    <w:rsid w:val="00A53B6E"/>
    <w:rsid w:val="00A53C3C"/>
    <w:rsid w:val="00A545A9"/>
    <w:rsid w:val="00A545C6"/>
    <w:rsid w:val="00A54843"/>
    <w:rsid w:val="00A55C42"/>
    <w:rsid w:val="00A55E0E"/>
    <w:rsid w:val="00A55F5C"/>
    <w:rsid w:val="00A56796"/>
    <w:rsid w:val="00A56A0A"/>
    <w:rsid w:val="00A56FDF"/>
    <w:rsid w:val="00A572C2"/>
    <w:rsid w:val="00A61537"/>
    <w:rsid w:val="00A61598"/>
    <w:rsid w:val="00A6176D"/>
    <w:rsid w:val="00A618FB"/>
    <w:rsid w:val="00A61AF4"/>
    <w:rsid w:val="00A62050"/>
    <w:rsid w:val="00A626BD"/>
    <w:rsid w:val="00A62B93"/>
    <w:rsid w:val="00A63153"/>
    <w:rsid w:val="00A632C2"/>
    <w:rsid w:val="00A6484D"/>
    <w:rsid w:val="00A653DC"/>
    <w:rsid w:val="00A658F7"/>
    <w:rsid w:val="00A67015"/>
    <w:rsid w:val="00A70275"/>
    <w:rsid w:val="00A71E86"/>
    <w:rsid w:val="00A7312F"/>
    <w:rsid w:val="00A7319D"/>
    <w:rsid w:val="00A73251"/>
    <w:rsid w:val="00A733AB"/>
    <w:rsid w:val="00A736D3"/>
    <w:rsid w:val="00A7438F"/>
    <w:rsid w:val="00A747CE"/>
    <w:rsid w:val="00A75423"/>
    <w:rsid w:val="00A75F87"/>
    <w:rsid w:val="00A76341"/>
    <w:rsid w:val="00A768E6"/>
    <w:rsid w:val="00A76CD5"/>
    <w:rsid w:val="00A77619"/>
    <w:rsid w:val="00A77895"/>
    <w:rsid w:val="00A77E0E"/>
    <w:rsid w:val="00A801DA"/>
    <w:rsid w:val="00A804D9"/>
    <w:rsid w:val="00A80B4D"/>
    <w:rsid w:val="00A80C30"/>
    <w:rsid w:val="00A80F88"/>
    <w:rsid w:val="00A81187"/>
    <w:rsid w:val="00A811FC"/>
    <w:rsid w:val="00A8120C"/>
    <w:rsid w:val="00A815C8"/>
    <w:rsid w:val="00A81876"/>
    <w:rsid w:val="00A81FC7"/>
    <w:rsid w:val="00A82AAB"/>
    <w:rsid w:val="00A82B46"/>
    <w:rsid w:val="00A837EA"/>
    <w:rsid w:val="00A83E1A"/>
    <w:rsid w:val="00A83F08"/>
    <w:rsid w:val="00A848AC"/>
    <w:rsid w:val="00A84E41"/>
    <w:rsid w:val="00A851B1"/>
    <w:rsid w:val="00A8562B"/>
    <w:rsid w:val="00A867B0"/>
    <w:rsid w:val="00A8764B"/>
    <w:rsid w:val="00A87812"/>
    <w:rsid w:val="00A8784C"/>
    <w:rsid w:val="00A8786F"/>
    <w:rsid w:val="00A90C12"/>
    <w:rsid w:val="00A9146D"/>
    <w:rsid w:val="00A91AF0"/>
    <w:rsid w:val="00A91D1B"/>
    <w:rsid w:val="00A92557"/>
    <w:rsid w:val="00A92A12"/>
    <w:rsid w:val="00A92C5F"/>
    <w:rsid w:val="00A93630"/>
    <w:rsid w:val="00A93647"/>
    <w:rsid w:val="00A936FD"/>
    <w:rsid w:val="00A93EA1"/>
    <w:rsid w:val="00A93F1F"/>
    <w:rsid w:val="00A940E0"/>
    <w:rsid w:val="00A9459B"/>
    <w:rsid w:val="00A948E8"/>
    <w:rsid w:val="00A94A34"/>
    <w:rsid w:val="00A94D87"/>
    <w:rsid w:val="00A95855"/>
    <w:rsid w:val="00A95A22"/>
    <w:rsid w:val="00A95A77"/>
    <w:rsid w:val="00A95D8B"/>
    <w:rsid w:val="00A96263"/>
    <w:rsid w:val="00A970C1"/>
    <w:rsid w:val="00A97716"/>
    <w:rsid w:val="00A977A4"/>
    <w:rsid w:val="00A97AA6"/>
    <w:rsid w:val="00AA1079"/>
    <w:rsid w:val="00AA113A"/>
    <w:rsid w:val="00AA204D"/>
    <w:rsid w:val="00AA2A99"/>
    <w:rsid w:val="00AA2C94"/>
    <w:rsid w:val="00AA37F4"/>
    <w:rsid w:val="00AA3B3F"/>
    <w:rsid w:val="00AA414E"/>
    <w:rsid w:val="00AA43CC"/>
    <w:rsid w:val="00AA44C4"/>
    <w:rsid w:val="00AA46FE"/>
    <w:rsid w:val="00AA470D"/>
    <w:rsid w:val="00AA4945"/>
    <w:rsid w:val="00AA54AC"/>
    <w:rsid w:val="00AA5C57"/>
    <w:rsid w:val="00AA5C9E"/>
    <w:rsid w:val="00AA5DC2"/>
    <w:rsid w:val="00AA5F11"/>
    <w:rsid w:val="00AA63B7"/>
    <w:rsid w:val="00AA6829"/>
    <w:rsid w:val="00AA6E8D"/>
    <w:rsid w:val="00AA7018"/>
    <w:rsid w:val="00AA7C55"/>
    <w:rsid w:val="00AB03D6"/>
    <w:rsid w:val="00AB08D8"/>
    <w:rsid w:val="00AB0AE7"/>
    <w:rsid w:val="00AB102B"/>
    <w:rsid w:val="00AB27C1"/>
    <w:rsid w:val="00AB2B0A"/>
    <w:rsid w:val="00AB2E8F"/>
    <w:rsid w:val="00AB2FEB"/>
    <w:rsid w:val="00AB324E"/>
    <w:rsid w:val="00AB360D"/>
    <w:rsid w:val="00AB38DB"/>
    <w:rsid w:val="00AB3CDB"/>
    <w:rsid w:val="00AB5BDE"/>
    <w:rsid w:val="00AB6441"/>
    <w:rsid w:val="00AB64F8"/>
    <w:rsid w:val="00AB71DC"/>
    <w:rsid w:val="00AC023A"/>
    <w:rsid w:val="00AC0270"/>
    <w:rsid w:val="00AC0548"/>
    <w:rsid w:val="00AC05CB"/>
    <w:rsid w:val="00AC0BA7"/>
    <w:rsid w:val="00AC0CD4"/>
    <w:rsid w:val="00AC0FBD"/>
    <w:rsid w:val="00AC10A2"/>
    <w:rsid w:val="00AC1BAE"/>
    <w:rsid w:val="00AC2FB7"/>
    <w:rsid w:val="00AC3A84"/>
    <w:rsid w:val="00AC3EA3"/>
    <w:rsid w:val="00AC401D"/>
    <w:rsid w:val="00AC4265"/>
    <w:rsid w:val="00AC44DA"/>
    <w:rsid w:val="00AC5297"/>
    <w:rsid w:val="00AC53D8"/>
    <w:rsid w:val="00AC56F4"/>
    <w:rsid w:val="00AC66DD"/>
    <w:rsid w:val="00AC6754"/>
    <w:rsid w:val="00AC6C50"/>
    <w:rsid w:val="00AC71D7"/>
    <w:rsid w:val="00AC7558"/>
    <w:rsid w:val="00AC756E"/>
    <w:rsid w:val="00AC792D"/>
    <w:rsid w:val="00AD0067"/>
    <w:rsid w:val="00AD1823"/>
    <w:rsid w:val="00AD1998"/>
    <w:rsid w:val="00AD1AE9"/>
    <w:rsid w:val="00AD2754"/>
    <w:rsid w:val="00AD29C1"/>
    <w:rsid w:val="00AD390A"/>
    <w:rsid w:val="00AD3AB8"/>
    <w:rsid w:val="00AD42C5"/>
    <w:rsid w:val="00AD4448"/>
    <w:rsid w:val="00AD52D1"/>
    <w:rsid w:val="00AD551F"/>
    <w:rsid w:val="00AD5F6C"/>
    <w:rsid w:val="00AD606D"/>
    <w:rsid w:val="00AE0690"/>
    <w:rsid w:val="00AE0900"/>
    <w:rsid w:val="00AE0A3B"/>
    <w:rsid w:val="00AE0C19"/>
    <w:rsid w:val="00AE0F7A"/>
    <w:rsid w:val="00AE158A"/>
    <w:rsid w:val="00AE19E0"/>
    <w:rsid w:val="00AE1E3A"/>
    <w:rsid w:val="00AE1E96"/>
    <w:rsid w:val="00AE2038"/>
    <w:rsid w:val="00AE2AAA"/>
    <w:rsid w:val="00AE33C9"/>
    <w:rsid w:val="00AE38B3"/>
    <w:rsid w:val="00AE3A98"/>
    <w:rsid w:val="00AE4350"/>
    <w:rsid w:val="00AE4A34"/>
    <w:rsid w:val="00AE4C2F"/>
    <w:rsid w:val="00AE4CB4"/>
    <w:rsid w:val="00AE5AE6"/>
    <w:rsid w:val="00AE5D9E"/>
    <w:rsid w:val="00AE7916"/>
    <w:rsid w:val="00AF0259"/>
    <w:rsid w:val="00AF079B"/>
    <w:rsid w:val="00AF0A18"/>
    <w:rsid w:val="00AF2653"/>
    <w:rsid w:val="00AF2FEB"/>
    <w:rsid w:val="00AF358F"/>
    <w:rsid w:val="00AF3B46"/>
    <w:rsid w:val="00AF4306"/>
    <w:rsid w:val="00AF4363"/>
    <w:rsid w:val="00AF4817"/>
    <w:rsid w:val="00AF52A1"/>
    <w:rsid w:val="00AF5363"/>
    <w:rsid w:val="00AF5C8A"/>
    <w:rsid w:val="00AF70B5"/>
    <w:rsid w:val="00AF7169"/>
    <w:rsid w:val="00B00088"/>
    <w:rsid w:val="00B0052A"/>
    <w:rsid w:val="00B0146B"/>
    <w:rsid w:val="00B017F9"/>
    <w:rsid w:val="00B028C1"/>
    <w:rsid w:val="00B031A7"/>
    <w:rsid w:val="00B034AF"/>
    <w:rsid w:val="00B03EDB"/>
    <w:rsid w:val="00B03F72"/>
    <w:rsid w:val="00B04143"/>
    <w:rsid w:val="00B044CC"/>
    <w:rsid w:val="00B045E9"/>
    <w:rsid w:val="00B04D6F"/>
    <w:rsid w:val="00B04E97"/>
    <w:rsid w:val="00B05D4E"/>
    <w:rsid w:val="00B063E1"/>
    <w:rsid w:val="00B06636"/>
    <w:rsid w:val="00B067E7"/>
    <w:rsid w:val="00B0693D"/>
    <w:rsid w:val="00B06C51"/>
    <w:rsid w:val="00B07728"/>
    <w:rsid w:val="00B07E0C"/>
    <w:rsid w:val="00B103E0"/>
    <w:rsid w:val="00B10C7E"/>
    <w:rsid w:val="00B11DFE"/>
    <w:rsid w:val="00B12829"/>
    <w:rsid w:val="00B12AEA"/>
    <w:rsid w:val="00B1367D"/>
    <w:rsid w:val="00B1396D"/>
    <w:rsid w:val="00B1474F"/>
    <w:rsid w:val="00B14874"/>
    <w:rsid w:val="00B14D4E"/>
    <w:rsid w:val="00B152CB"/>
    <w:rsid w:val="00B15970"/>
    <w:rsid w:val="00B15B32"/>
    <w:rsid w:val="00B15E1A"/>
    <w:rsid w:val="00B1606D"/>
    <w:rsid w:val="00B166BB"/>
    <w:rsid w:val="00B176AB"/>
    <w:rsid w:val="00B179F1"/>
    <w:rsid w:val="00B17AAE"/>
    <w:rsid w:val="00B17DC7"/>
    <w:rsid w:val="00B202C9"/>
    <w:rsid w:val="00B2100B"/>
    <w:rsid w:val="00B220E1"/>
    <w:rsid w:val="00B22A42"/>
    <w:rsid w:val="00B22A80"/>
    <w:rsid w:val="00B22AAD"/>
    <w:rsid w:val="00B22F62"/>
    <w:rsid w:val="00B22FCE"/>
    <w:rsid w:val="00B232E7"/>
    <w:rsid w:val="00B26B02"/>
    <w:rsid w:val="00B26B84"/>
    <w:rsid w:val="00B27458"/>
    <w:rsid w:val="00B2749C"/>
    <w:rsid w:val="00B3040E"/>
    <w:rsid w:val="00B308FD"/>
    <w:rsid w:val="00B30AFE"/>
    <w:rsid w:val="00B30F14"/>
    <w:rsid w:val="00B316F9"/>
    <w:rsid w:val="00B3187C"/>
    <w:rsid w:val="00B32750"/>
    <w:rsid w:val="00B332C1"/>
    <w:rsid w:val="00B3338E"/>
    <w:rsid w:val="00B33953"/>
    <w:rsid w:val="00B33F86"/>
    <w:rsid w:val="00B344CC"/>
    <w:rsid w:val="00B346C3"/>
    <w:rsid w:val="00B34A4A"/>
    <w:rsid w:val="00B3518F"/>
    <w:rsid w:val="00B3526D"/>
    <w:rsid w:val="00B355C9"/>
    <w:rsid w:val="00B36523"/>
    <w:rsid w:val="00B36BF3"/>
    <w:rsid w:val="00B373FE"/>
    <w:rsid w:val="00B374AF"/>
    <w:rsid w:val="00B37AB6"/>
    <w:rsid w:val="00B41477"/>
    <w:rsid w:val="00B416F2"/>
    <w:rsid w:val="00B418C8"/>
    <w:rsid w:val="00B41BED"/>
    <w:rsid w:val="00B41C53"/>
    <w:rsid w:val="00B42DAE"/>
    <w:rsid w:val="00B42EA5"/>
    <w:rsid w:val="00B42F49"/>
    <w:rsid w:val="00B43349"/>
    <w:rsid w:val="00B436FB"/>
    <w:rsid w:val="00B44567"/>
    <w:rsid w:val="00B44B2A"/>
    <w:rsid w:val="00B4534F"/>
    <w:rsid w:val="00B45663"/>
    <w:rsid w:val="00B456FD"/>
    <w:rsid w:val="00B45D17"/>
    <w:rsid w:val="00B474DA"/>
    <w:rsid w:val="00B47882"/>
    <w:rsid w:val="00B47A86"/>
    <w:rsid w:val="00B505C0"/>
    <w:rsid w:val="00B50983"/>
    <w:rsid w:val="00B50B65"/>
    <w:rsid w:val="00B50CA8"/>
    <w:rsid w:val="00B50DA9"/>
    <w:rsid w:val="00B52454"/>
    <w:rsid w:val="00B528A1"/>
    <w:rsid w:val="00B52A05"/>
    <w:rsid w:val="00B5306E"/>
    <w:rsid w:val="00B53617"/>
    <w:rsid w:val="00B53676"/>
    <w:rsid w:val="00B53901"/>
    <w:rsid w:val="00B5396C"/>
    <w:rsid w:val="00B54616"/>
    <w:rsid w:val="00B55700"/>
    <w:rsid w:val="00B55847"/>
    <w:rsid w:val="00B56045"/>
    <w:rsid w:val="00B56237"/>
    <w:rsid w:val="00B562DB"/>
    <w:rsid w:val="00B56DDF"/>
    <w:rsid w:val="00B5704A"/>
    <w:rsid w:val="00B57540"/>
    <w:rsid w:val="00B57C96"/>
    <w:rsid w:val="00B62911"/>
    <w:rsid w:val="00B63009"/>
    <w:rsid w:val="00B63597"/>
    <w:rsid w:val="00B644E8"/>
    <w:rsid w:val="00B64C0C"/>
    <w:rsid w:val="00B6527B"/>
    <w:rsid w:val="00B65412"/>
    <w:rsid w:val="00B65652"/>
    <w:rsid w:val="00B657B8"/>
    <w:rsid w:val="00B65A6B"/>
    <w:rsid w:val="00B65A86"/>
    <w:rsid w:val="00B66868"/>
    <w:rsid w:val="00B67122"/>
    <w:rsid w:val="00B672B3"/>
    <w:rsid w:val="00B677B3"/>
    <w:rsid w:val="00B67AA0"/>
    <w:rsid w:val="00B70187"/>
    <w:rsid w:val="00B70489"/>
    <w:rsid w:val="00B708E3"/>
    <w:rsid w:val="00B708E7"/>
    <w:rsid w:val="00B70A31"/>
    <w:rsid w:val="00B71AA4"/>
    <w:rsid w:val="00B71D5F"/>
    <w:rsid w:val="00B7280A"/>
    <w:rsid w:val="00B72DAA"/>
    <w:rsid w:val="00B738B9"/>
    <w:rsid w:val="00B745AE"/>
    <w:rsid w:val="00B74D60"/>
    <w:rsid w:val="00B74EF2"/>
    <w:rsid w:val="00B74F1A"/>
    <w:rsid w:val="00B74FF5"/>
    <w:rsid w:val="00B75094"/>
    <w:rsid w:val="00B759DE"/>
    <w:rsid w:val="00B75CDD"/>
    <w:rsid w:val="00B764F6"/>
    <w:rsid w:val="00B765F9"/>
    <w:rsid w:val="00B7661F"/>
    <w:rsid w:val="00B76692"/>
    <w:rsid w:val="00B76F50"/>
    <w:rsid w:val="00B76FAF"/>
    <w:rsid w:val="00B77423"/>
    <w:rsid w:val="00B7755B"/>
    <w:rsid w:val="00B7793D"/>
    <w:rsid w:val="00B77954"/>
    <w:rsid w:val="00B779D8"/>
    <w:rsid w:val="00B77F5D"/>
    <w:rsid w:val="00B802B1"/>
    <w:rsid w:val="00B80A63"/>
    <w:rsid w:val="00B81F26"/>
    <w:rsid w:val="00B822F1"/>
    <w:rsid w:val="00B82A0F"/>
    <w:rsid w:val="00B83392"/>
    <w:rsid w:val="00B84920"/>
    <w:rsid w:val="00B84B26"/>
    <w:rsid w:val="00B8525C"/>
    <w:rsid w:val="00B853DE"/>
    <w:rsid w:val="00B8556A"/>
    <w:rsid w:val="00B85DBD"/>
    <w:rsid w:val="00B86BA5"/>
    <w:rsid w:val="00B86D63"/>
    <w:rsid w:val="00B8724B"/>
    <w:rsid w:val="00B87E31"/>
    <w:rsid w:val="00B90326"/>
    <w:rsid w:val="00B90B94"/>
    <w:rsid w:val="00B933A4"/>
    <w:rsid w:val="00B93814"/>
    <w:rsid w:val="00B93E1D"/>
    <w:rsid w:val="00B940E3"/>
    <w:rsid w:val="00B94109"/>
    <w:rsid w:val="00B9471F"/>
    <w:rsid w:val="00B94A39"/>
    <w:rsid w:val="00B957AD"/>
    <w:rsid w:val="00B96385"/>
    <w:rsid w:val="00B96388"/>
    <w:rsid w:val="00B966C6"/>
    <w:rsid w:val="00B96E31"/>
    <w:rsid w:val="00B96E4C"/>
    <w:rsid w:val="00B96E9D"/>
    <w:rsid w:val="00B97320"/>
    <w:rsid w:val="00BA0C28"/>
    <w:rsid w:val="00BA0F16"/>
    <w:rsid w:val="00BA0FB6"/>
    <w:rsid w:val="00BA1327"/>
    <w:rsid w:val="00BA1A8A"/>
    <w:rsid w:val="00BA20E5"/>
    <w:rsid w:val="00BA3014"/>
    <w:rsid w:val="00BA30E1"/>
    <w:rsid w:val="00BA482E"/>
    <w:rsid w:val="00BA5057"/>
    <w:rsid w:val="00BA54C3"/>
    <w:rsid w:val="00BA6AB3"/>
    <w:rsid w:val="00BA7013"/>
    <w:rsid w:val="00BA7610"/>
    <w:rsid w:val="00BA7AA9"/>
    <w:rsid w:val="00BA7DA3"/>
    <w:rsid w:val="00BB0102"/>
    <w:rsid w:val="00BB12F4"/>
    <w:rsid w:val="00BB1995"/>
    <w:rsid w:val="00BB1AD0"/>
    <w:rsid w:val="00BB2315"/>
    <w:rsid w:val="00BB40D4"/>
    <w:rsid w:val="00BB41CE"/>
    <w:rsid w:val="00BB43F4"/>
    <w:rsid w:val="00BB4BA2"/>
    <w:rsid w:val="00BB5638"/>
    <w:rsid w:val="00BB6949"/>
    <w:rsid w:val="00BB6E54"/>
    <w:rsid w:val="00BB7074"/>
    <w:rsid w:val="00BB71DB"/>
    <w:rsid w:val="00BB7F06"/>
    <w:rsid w:val="00BC031D"/>
    <w:rsid w:val="00BC04F8"/>
    <w:rsid w:val="00BC0708"/>
    <w:rsid w:val="00BC08C3"/>
    <w:rsid w:val="00BC19FB"/>
    <w:rsid w:val="00BC2310"/>
    <w:rsid w:val="00BC236A"/>
    <w:rsid w:val="00BC2D7D"/>
    <w:rsid w:val="00BC2E04"/>
    <w:rsid w:val="00BC3592"/>
    <w:rsid w:val="00BC3628"/>
    <w:rsid w:val="00BC49D8"/>
    <w:rsid w:val="00BC52F5"/>
    <w:rsid w:val="00BC58E7"/>
    <w:rsid w:val="00BC60BB"/>
    <w:rsid w:val="00BC6FA3"/>
    <w:rsid w:val="00BC72F7"/>
    <w:rsid w:val="00BC7542"/>
    <w:rsid w:val="00BC79BF"/>
    <w:rsid w:val="00BC7B81"/>
    <w:rsid w:val="00BD0AAA"/>
    <w:rsid w:val="00BD0D94"/>
    <w:rsid w:val="00BD0EDE"/>
    <w:rsid w:val="00BD1470"/>
    <w:rsid w:val="00BD18B7"/>
    <w:rsid w:val="00BD1D12"/>
    <w:rsid w:val="00BD23CA"/>
    <w:rsid w:val="00BD2760"/>
    <w:rsid w:val="00BD33AC"/>
    <w:rsid w:val="00BD49A4"/>
    <w:rsid w:val="00BD59B5"/>
    <w:rsid w:val="00BD72B6"/>
    <w:rsid w:val="00BD7472"/>
    <w:rsid w:val="00BD74B8"/>
    <w:rsid w:val="00BD7900"/>
    <w:rsid w:val="00BE118F"/>
    <w:rsid w:val="00BE1CAD"/>
    <w:rsid w:val="00BE213F"/>
    <w:rsid w:val="00BE2A99"/>
    <w:rsid w:val="00BE2BCA"/>
    <w:rsid w:val="00BE32F6"/>
    <w:rsid w:val="00BE4F3E"/>
    <w:rsid w:val="00BE5092"/>
    <w:rsid w:val="00BE5AC0"/>
    <w:rsid w:val="00BE5F8F"/>
    <w:rsid w:val="00BE604B"/>
    <w:rsid w:val="00BE628D"/>
    <w:rsid w:val="00BE638D"/>
    <w:rsid w:val="00BE6892"/>
    <w:rsid w:val="00BE6B7D"/>
    <w:rsid w:val="00BE6C66"/>
    <w:rsid w:val="00BE7364"/>
    <w:rsid w:val="00BE7E9D"/>
    <w:rsid w:val="00BF02F8"/>
    <w:rsid w:val="00BF0D70"/>
    <w:rsid w:val="00BF0E99"/>
    <w:rsid w:val="00BF114D"/>
    <w:rsid w:val="00BF1177"/>
    <w:rsid w:val="00BF18FC"/>
    <w:rsid w:val="00BF1975"/>
    <w:rsid w:val="00BF224C"/>
    <w:rsid w:val="00BF2585"/>
    <w:rsid w:val="00BF44B6"/>
    <w:rsid w:val="00BF4874"/>
    <w:rsid w:val="00BF5092"/>
    <w:rsid w:val="00BF5676"/>
    <w:rsid w:val="00BF63AC"/>
    <w:rsid w:val="00BF6403"/>
    <w:rsid w:val="00BF6C26"/>
    <w:rsid w:val="00BF7077"/>
    <w:rsid w:val="00BF7663"/>
    <w:rsid w:val="00BF766E"/>
    <w:rsid w:val="00BF7872"/>
    <w:rsid w:val="00BF7AD2"/>
    <w:rsid w:val="00BF7ADC"/>
    <w:rsid w:val="00BF7B78"/>
    <w:rsid w:val="00BF7BC2"/>
    <w:rsid w:val="00BF7CE5"/>
    <w:rsid w:val="00C0114B"/>
    <w:rsid w:val="00C012A3"/>
    <w:rsid w:val="00C019A3"/>
    <w:rsid w:val="00C01C92"/>
    <w:rsid w:val="00C01CBB"/>
    <w:rsid w:val="00C01FB8"/>
    <w:rsid w:val="00C02243"/>
    <w:rsid w:val="00C034C9"/>
    <w:rsid w:val="00C036A3"/>
    <w:rsid w:val="00C039F3"/>
    <w:rsid w:val="00C03EB5"/>
    <w:rsid w:val="00C04577"/>
    <w:rsid w:val="00C04B55"/>
    <w:rsid w:val="00C04C7B"/>
    <w:rsid w:val="00C05191"/>
    <w:rsid w:val="00C05ADE"/>
    <w:rsid w:val="00C06057"/>
    <w:rsid w:val="00C0626E"/>
    <w:rsid w:val="00C06564"/>
    <w:rsid w:val="00C065A9"/>
    <w:rsid w:val="00C06A87"/>
    <w:rsid w:val="00C070CF"/>
    <w:rsid w:val="00C11038"/>
    <w:rsid w:val="00C1119A"/>
    <w:rsid w:val="00C114E4"/>
    <w:rsid w:val="00C1218E"/>
    <w:rsid w:val="00C12463"/>
    <w:rsid w:val="00C12AF0"/>
    <w:rsid w:val="00C12CA4"/>
    <w:rsid w:val="00C12D1B"/>
    <w:rsid w:val="00C13C94"/>
    <w:rsid w:val="00C14A2E"/>
    <w:rsid w:val="00C155E7"/>
    <w:rsid w:val="00C15736"/>
    <w:rsid w:val="00C15D81"/>
    <w:rsid w:val="00C15D9F"/>
    <w:rsid w:val="00C16892"/>
    <w:rsid w:val="00C168A0"/>
    <w:rsid w:val="00C16A4F"/>
    <w:rsid w:val="00C16AA4"/>
    <w:rsid w:val="00C16B07"/>
    <w:rsid w:val="00C16E92"/>
    <w:rsid w:val="00C16F19"/>
    <w:rsid w:val="00C17234"/>
    <w:rsid w:val="00C173EA"/>
    <w:rsid w:val="00C174AC"/>
    <w:rsid w:val="00C17CFB"/>
    <w:rsid w:val="00C2039B"/>
    <w:rsid w:val="00C20572"/>
    <w:rsid w:val="00C209BF"/>
    <w:rsid w:val="00C20A69"/>
    <w:rsid w:val="00C20C24"/>
    <w:rsid w:val="00C20C36"/>
    <w:rsid w:val="00C2170F"/>
    <w:rsid w:val="00C21717"/>
    <w:rsid w:val="00C21CDA"/>
    <w:rsid w:val="00C23CB3"/>
    <w:rsid w:val="00C2422F"/>
    <w:rsid w:val="00C24691"/>
    <w:rsid w:val="00C25271"/>
    <w:rsid w:val="00C2541C"/>
    <w:rsid w:val="00C25E66"/>
    <w:rsid w:val="00C26511"/>
    <w:rsid w:val="00C2672F"/>
    <w:rsid w:val="00C267FC"/>
    <w:rsid w:val="00C26D0C"/>
    <w:rsid w:val="00C30B16"/>
    <w:rsid w:val="00C30C5E"/>
    <w:rsid w:val="00C30EB1"/>
    <w:rsid w:val="00C3131D"/>
    <w:rsid w:val="00C31E80"/>
    <w:rsid w:val="00C32A13"/>
    <w:rsid w:val="00C3408D"/>
    <w:rsid w:val="00C346BD"/>
    <w:rsid w:val="00C34B28"/>
    <w:rsid w:val="00C34CC5"/>
    <w:rsid w:val="00C34D2E"/>
    <w:rsid w:val="00C35169"/>
    <w:rsid w:val="00C35662"/>
    <w:rsid w:val="00C3619F"/>
    <w:rsid w:val="00C362A4"/>
    <w:rsid w:val="00C363D1"/>
    <w:rsid w:val="00C3693E"/>
    <w:rsid w:val="00C409B2"/>
    <w:rsid w:val="00C40E54"/>
    <w:rsid w:val="00C4316C"/>
    <w:rsid w:val="00C43D30"/>
    <w:rsid w:val="00C44DC2"/>
    <w:rsid w:val="00C452D8"/>
    <w:rsid w:val="00C452F8"/>
    <w:rsid w:val="00C465AD"/>
    <w:rsid w:val="00C4678F"/>
    <w:rsid w:val="00C468B5"/>
    <w:rsid w:val="00C46916"/>
    <w:rsid w:val="00C46EF6"/>
    <w:rsid w:val="00C50097"/>
    <w:rsid w:val="00C50636"/>
    <w:rsid w:val="00C5073C"/>
    <w:rsid w:val="00C5203D"/>
    <w:rsid w:val="00C52212"/>
    <w:rsid w:val="00C52A7B"/>
    <w:rsid w:val="00C52AFE"/>
    <w:rsid w:val="00C5319B"/>
    <w:rsid w:val="00C533C3"/>
    <w:rsid w:val="00C551C1"/>
    <w:rsid w:val="00C55297"/>
    <w:rsid w:val="00C55E76"/>
    <w:rsid w:val="00C55F54"/>
    <w:rsid w:val="00C56736"/>
    <w:rsid w:val="00C573EC"/>
    <w:rsid w:val="00C57A83"/>
    <w:rsid w:val="00C57D9C"/>
    <w:rsid w:val="00C6095A"/>
    <w:rsid w:val="00C60AD5"/>
    <w:rsid w:val="00C60D2A"/>
    <w:rsid w:val="00C60F4E"/>
    <w:rsid w:val="00C6152F"/>
    <w:rsid w:val="00C626B1"/>
    <w:rsid w:val="00C6324C"/>
    <w:rsid w:val="00C63A3B"/>
    <w:rsid w:val="00C63C37"/>
    <w:rsid w:val="00C63DDA"/>
    <w:rsid w:val="00C63E18"/>
    <w:rsid w:val="00C6475F"/>
    <w:rsid w:val="00C6492E"/>
    <w:rsid w:val="00C6580E"/>
    <w:rsid w:val="00C65DBC"/>
    <w:rsid w:val="00C660CF"/>
    <w:rsid w:val="00C663B9"/>
    <w:rsid w:val="00C66499"/>
    <w:rsid w:val="00C66E67"/>
    <w:rsid w:val="00C679AA"/>
    <w:rsid w:val="00C67E98"/>
    <w:rsid w:val="00C70633"/>
    <w:rsid w:val="00C71DD2"/>
    <w:rsid w:val="00C72410"/>
    <w:rsid w:val="00C7241E"/>
    <w:rsid w:val="00C724CF"/>
    <w:rsid w:val="00C72ACE"/>
    <w:rsid w:val="00C72BEE"/>
    <w:rsid w:val="00C735DC"/>
    <w:rsid w:val="00C73E5F"/>
    <w:rsid w:val="00C75972"/>
    <w:rsid w:val="00C7654B"/>
    <w:rsid w:val="00C77093"/>
    <w:rsid w:val="00C771A8"/>
    <w:rsid w:val="00C77247"/>
    <w:rsid w:val="00C77772"/>
    <w:rsid w:val="00C8121B"/>
    <w:rsid w:val="00C818E8"/>
    <w:rsid w:val="00C81CFC"/>
    <w:rsid w:val="00C81CFE"/>
    <w:rsid w:val="00C825B2"/>
    <w:rsid w:val="00C82792"/>
    <w:rsid w:val="00C8350D"/>
    <w:rsid w:val="00C85059"/>
    <w:rsid w:val="00C853BB"/>
    <w:rsid w:val="00C85472"/>
    <w:rsid w:val="00C866B2"/>
    <w:rsid w:val="00C86CFC"/>
    <w:rsid w:val="00C86D74"/>
    <w:rsid w:val="00C86DCE"/>
    <w:rsid w:val="00C878FC"/>
    <w:rsid w:val="00C904A0"/>
    <w:rsid w:val="00C90A83"/>
    <w:rsid w:val="00C90BE3"/>
    <w:rsid w:val="00C91A62"/>
    <w:rsid w:val="00C91CDC"/>
    <w:rsid w:val="00C91E73"/>
    <w:rsid w:val="00C91F45"/>
    <w:rsid w:val="00C92719"/>
    <w:rsid w:val="00C93279"/>
    <w:rsid w:val="00C948FD"/>
    <w:rsid w:val="00C94F58"/>
    <w:rsid w:val="00C9535E"/>
    <w:rsid w:val="00C958E8"/>
    <w:rsid w:val="00C95952"/>
    <w:rsid w:val="00C95B33"/>
    <w:rsid w:val="00C95C26"/>
    <w:rsid w:val="00C95E35"/>
    <w:rsid w:val="00C95EF6"/>
    <w:rsid w:val="00C965D0"/>
    <w:rsid w:val="00C974DF"/>
    <w:rsid w:val="00C97C7A"/>
    <w:rsid w:val="00CA070B"/>
    <w:rsid w:val="00CA0818"/>
    <w:rsid w:val="00CA08BC"/>
    <w:rsid w:val="00CA13E4"/>
    <w:rsid w:val="00CA17F8"/>
    <w:rsid w:val="00CA183A"/>
    <w:rsid w:val="00CA18A3"/>
    <w:rsid w:val="00CA1902"/>
    <w:rsid w:val="00CA1921"/>
    <w:rsid w:val="00CA1A2B"/>
    <w:rsid w:val="00CA1C6C"/>
    <w:rsid w:val="00CA226B"/>
    <w:rsid w:val="00CA2414"/>
    <w:rsid w:val="00CA2BE9"/>
    <w:rsid w:val="00CA2C5D"/>
    <w:rsid w:val="00CA3620"/>
    <w:rsid w:val="00CA3A2D"/>
    <w:rsid w:val="00CA3A4E"/>
    <w:rsid w:val="00CA3D35"/>
    <w:rsid w:val="00CA4FA9"/>
    <w:rsid w:val="00CA5348"/>
    <w:rsid w:val="00CA5573"/>
    <w:rsid w:val="00CA5807"/>
    <w:rsid w:val="00CA6241"/>
    <w:rsid w:val="00CA6297"/>
    <w:rsid w:val="00CA63F2"/>
    <w:rsid w:val="00CA68F4"/>
    <w:rsid w:val="00CA6D34"/>
    <w:rsid w:val="00CA6DD5"/>
    <w:rsid w:val="00CA7069"/>
    <w:rsid w:val="00CA7AE9"/>
    <w:rsid w:val="00CB0948"/>
    <w:rsid w:val="00CB0AF0"/>
    <w:rsid w:val="00CB117F"/>
    <w:rsid w:val="00CB1446"/>
    <w:rsid w:val="00CB151C"/>
    <w:rsid w:val="00CB19EC"/>
    <w:rsid w:val="00CB20D0"/>
    <w:rsid w:val="00CB2220"/>
    <w:rsid w:val="00CB298C"/>
    <w:rsid w:val="00CB2C84"/>
    <w:rsid w:val="00CB3119"/>
    <w:rsid w:val="00CB36E0"/>
    <w:rsid w:val="00CB43D5"/>
    <w:rsid w:val="00CB47EF"/>
    <w:rsid w:val="00CB4E2C"/>
    <w:rsid w:val="00CB53BC"/>
    <w:rsid w:val="00CB54F5"/>
    <w:rsid w:val="00CB5CCE"/>
    <w:rsid w:val="00CB6018"/>
    <w:rsid w:val="00CB6306"/>
    <w:rsid w:val="00CB688F"/>
    <w:rsid w:val="00CB6A56"/>
    <w:rsid w:val="00CB6D95"/>
    <w:rsid w:val="00CB6F00"/>
    <w:rsid w:val="00CB7432"/>
    <w:rsid w:val="00CB7C04"/>
    <w:rsid w:val="00CC0107"/>
    <w:rsid w:val="00CC0416"/>
    <w:rsid w:val="00CC080D"/>
    <w:rsid w:val="00CC0DE3"/>
    <w:rsid w:val="00CC11DE"/>
    <w:rsid w:val="00CC1CAC"/>
    <w:rsid w:val="00CC3ADA"/>
    <w:rsid w:val="00CC4358"/>
    <w:rsid w:val="00CC44EF"/>
    <w:rsid w:val="00CC4A49"/>
    <w:rsid w:val="00CC4A9E"/>
    <w:rsid w:val="00CC52A0"/>
    <w:rsid w:val="00CC5408"/>
    <w:rsid w:val="00CC552B"/>
    <w:rsid w:val="00CC5CE8"/>
    <w:rsid w:val="00CC621B"/>
    <w:rsid w:val="00CC67C5"/>
    <w:rsid w:val="00CC6861"/>
    <w:rsid w:val="00CC6CD9"/>
    <w:rsid w:val="00CC6D51"/>
    <w:rsid w:val="00CC76F9"/>
    <w:rsid w:val="00CC7C3A"/>
    <w:rsid w:val="00CD04E5"/>
    <w:rsid w:val="00CD066B"/>
    <w:rsid w:val="00CD22E2"/>
    <w:rsid w:val="00CD2BCF"/>
    <w:rsid w:val="00CD3ECE"/>
    <w:rsid w:val="00CD437D"/>
    <w:rsid w:val="00CD450C"/>
    <w:rsid w:val="00CD46E2"/>
    <w:rsid w:val="00CD4909"/>
    <w:rsid w:val="00CD4A73"/>
    <w:rsid w:val="00CD4B31"/>
    <w:rsid w:val="00CD4BC6"/>
    <w:rsid w:val="00CD4DCA"/>
    <w:rsid w:val="00CD4DF2"/>
    <w:rsid w:val="00CD578E"/>
    <w:rsid w:val="00CD5F4F"/>
    <w:rsid w:val="00CD6066"/>
    <w:rsid w:val="00CD6336"/>
    <w:rsid w:val="00CD63DD"/>
    <w:rsid w:val="00CD69DD"/>
    <w:rsid w:val="00CD764E"/>
    <w:rsid w:val="00CD78E6"/>
    <w:rsid w:val="00CE0418"/>
    <w:rsid w:val="00CE0F8F"/>
    <w:rsid w:val="00CE12F4"/>
    <w:rsid w:val="00CE2CB8"/>
    <w:rsid w:val="00CE3BDA"/>
    <w:rsid w:val="00CE3CEF"/>
    <w:rsid w:val="00CE421C"/>
    <w:rsid w:val="00CE5BE7"/>
    <w:rsid w:val="00CE6819"/>
    <w:rsid w:val="00CE6A6C"/>
    <w:rsid w:val="00CE7F2B"/>
    <w:rsid w:val="00CF02A9"/>
    <w:rsid w:val="00CF0372"/>
    <w:rsid w:val="00CF0A18"/>
    <w:rsid w:val="00CF14B5"/>
    <w:rsid w:val="00CF20C6"/>
    <w:rsid w:val="00CF3573"/>
    <w:rsid w:val="00CF3FB2"/>
    <w:rsid w:val="00CF421B"/>
    <w:rsid w:val="00CF423F"/>
    <w:rsid w:val="00CF46F0"/>
    <w:rsid w:val="00CF48A5"/>
    <w:rsid w:val="00CF4911"/>
    <w:rsid w:val="00CF4C8F"/>
    <w:rsid w:val="00CF504E"/>
    <w:rsid w:val="00CF508A"/>
    <w:rsid w:val="00CF563E"/>
    <w:rsid w:val="00CF5763"/>
    <w:rsid w:val="00CF5E4A"/>
    <w:rsid w:val="00CF60ED"/>
    <w:rsid w:val="00CF67D9"/>
    <w:rsid w:val="00CF680E"/>
    <w:rsid w:val="00CF76C9"/>
    <w:rsid w:val="00CF77B1"/>
    <w:rsid w:val="00CF78AC"/>
    <w:rsid w:val="00CF7D54"/>
    <w:rsid w:val="00D000ED"/>
    <w:rsid w:val="00D0015C"/>
    <w:rsid w:val="00D0088A"/>
    <w:rsid w:val="00D00D0B"/>
    <w:rsid w:val="00D015FB"/>
    <w:rsid w:val="00D02B01"/>
    <w:rsid w:val="00D02D65"/>
    <w:rsid w:val="00D03072"/>
    <w:rsid w:val="00D03697"/>
    <w:rsid w:val="00D03EA9"/>
    <w:rsid w:val="00D03F6C"/>
    <w:rsid w:val="00D0466A"/>
    <w:rsid w:val="00D04B69"/>
    <w:rsid w:val="00D05146"/>
    <w:rsid w:val="00D05285"/>
    <w:rsid w:val="00D05465"/>
    <w:rsid w:val="00D05A26"/>
    <w:rsid w:val="00D05DDD"/>
    <w:rsid w:val="00D06068"/>
    <w:rsid w:val="00D065A8"/>
    <w:rsid w:val="00D0677C"/>
    <w:rsid w:val="00D07C23"/>
    <w:rsid w:val="00D07D80"/>
    <w:rsid w:val="00D10581"/>
    <w:rsid w:val="00D10601"/>
    <w:rsid w:val="00D1065A"/>
    <w:rsid w:val="00D10B23"/>
    <w:rsid w:val="00D10D43"/>
    <w:rsid w:val="00D11690"/>
    <w:rsid w:val="00D12A0B"/>
    <w:rsid w:val="00D130F1"/>
    <w:rsid w:val="00D1331F"/>
    <w:rsid w:val="00D13401"/>
    <w:rsid w:val="00D136E3"/>
    <w:rsid w:val="00D13BEB"/>
    <w:rsid w:val="00D1449B"/>
    <w:rsid w:val="00D153E6"/>
    <w:rsid w:val="00D15F9C"/>
    <w:rsid w:val="00D163FC"/>
    <w:rsid w:val="00D164DD"/>
    <w:rsid w:val="00D169A9"/>
    <w:rsid w:val="00D16E57"/>
    <w:rsid w:val="00D16FB2"/>
    <w:rsid w:val="00D17021"/>
    <w:rsid w:val="00D17097"/>
    <w:rsid w:val="00D17372"/>
    <w:rsid w:val="00D17A7D"/>
    <w:rsid w:val="00D17B95"/>
    <w:rsid w:val="00D17FBC"/>
    <w:rsid w:val="00D20422"/>
    <w:rsid w:val="00D206E0"/>
    <w:rsid w:val="00D208F2"/>
    <w:rsid w:val="00D20AB4"/>
    <w:rsid w:val="00D20B73"/>
    <w:rsid w:val="00D20E0E"/>
    <w:rsid w:val="00D2183C"/>
    <w:rsid w:val="00D21F48"/>
    <w:rsid w:val="00D21F77"/>
    <w:rsid w:val="00D22269"/>
    <w:rsid w:val="00D2229B"/>
    <w:rsid w:val="00D22B5D"/>
    <w:rsid w:val="00D22D39"/>
    <w:rsid w:val="00D23838"/>
    <w:rsid w:val="00D24769"/>
    <w:rsid w:val="00D25067"/>
    <w:rsid w:val="00D2515D"/>
    <w:rsid w:val="00D264FC"/>
    <w:rsid w:val="00D26C65"/>
    <w:rsid w:val="00D26C96"/>
    <w:rsid w:val="00D26E43"/>
    <w:rsid w:val="00D2732B"/>
    <w:rsid w:val="00D279EE"/>
    <w:rsid w:val="00D27D83"/>
    <w:rsid w:val="00D27E73"/>
    <w:rsid w:val="00D30166"/>
    <w:rsid w:val="00D30639"/>
    <w:rsid w:val="00D30EE8"/>
    <w:rsid w:val="00D315F6"/>
    <w:rsid w:val="00D31CE5"/>
    <w:rsid w:val="00D31FAD"/>
    <w:rsid w:val="00D32156"/>
    <w:rsid w:val="00D33062"/>
    <w:rsid w:val="00D3312F"/>
    <w:rsid w:val="00D335D3"/>
    <w:rsid w:val="00D3472E"/>
    <w:rsid w:val="00D36073"/>
    <w:rsid w:val="00D3609C"/>
    <w:rsid w:val="00D37023"/>
    <w:rsid w:val="00D37878"/>
    <w:rsid w:val="00D4021E"/>
    <w:rsid w:val="00D40420"/>
    <w:rsid w:val="00D40839"/>
    <w:rsid w:val="00D40A44"/>
    <w:rsid w:val="00D40A75"/>
    <w:rsid w:val="00D4103B"/>
    <w:rsid w:val="00D41822"/>
    <w:rsid w:val="00D41A7F"/>
    <w:rsid w:val="00D41AC6"/>
    <w:rsid w:val="00D41D57"/>
    <w:rsid w:val="00D42500"/>
    <w:rsid w:val="00D42729"/>
    <w:rsid w:val="00D42A67"/>
    <w:rsid w:val="00D42B36"/>
    <w:rsid w:val="00D42CEB"/>
    <w:rsid w:val="00D435F6"/>
    <w:rsid w:val="00D43828"/>
    <w:rsid w:val="00D43956"/>
    <w:rsid w:val="00D44965"/>
    <w:rsid w:val="00D44F73"/>
    <w:rsid w:val="00D454D1"/>
    <w:rsid w:val="00D45B76"/>
    <w:rsid w:val="00D45EC2"/>
    <w:rsid w:val="00D46146"/>
    <w:rsid w:val="00D46922"/>
    <w:rsid w:val="00D46B56"/>
    <w:rsid w:val="00D47A2F"/>
    <w:rsid w:val="00D506F5"/>
    <w:rsid w:val="00D51CAE"/>
    <w:rsid w:val="00D52692"/>
    <w:rsid w:val="00D5303C"/>
    <w:rsid w:val="00D537FA"/>
    <w:rsid w:val="00D539B3"/>
    <w:rsid w:val="00D53C81"/>
    <w:rsid w:val="00D54836"/>
    <w:rsid w:val="00D5566D"/>
    <w:rsid w:val="00D558D5"/>
    <w:rsid w:val="00D55DC0"/>
    <w:rsid w:val="00D56BF9"/>
    <w:rsid w:val="00D56EF7"/>
    <w:rsid w:val="00D578C3"/>
    <w:rsid w:val="00D57B41"/>
    <w:rsid w:val="00D57EC5"/>
    <w:rsid w:val="00D60447"/>
    <w:rsid w:val="00D60B9B"/>
    <w:rsid w:val="00D62177"/>
    <w:rsid w:val="00D62770"/>
    <w:rsid w:val="00D636A4"/>
    <w:rsid w:val="00D63A1C"/>
    <w:rsid w:val="00D64308"/>
    <w:rsid w:val="00D645BA"/>
    <w:rsid w:val="00D64B84"/>
    <w:rsid w:val="00D65111"/>
    <w:rsid w:val="00D652F3"/>
    <w:rsid w:val="00D6536A"/>
    <w:rsid w:val="00D65548"/>
    <w:rsid w:val="00D6560E"/>
    <w:rsid w:val="00D65A54"/>
    <w:rsid w:val="00D6641A"/>
    <w:rsid w:val="00D665BF"/>
    <w:rsid w:val="00D66B25"/>
    <w:rsid w:val="00D670C8"/>
    <w:rsid w:val="00D67459"/>
    <w:rsid w:val="00D70C15"/>
    <w:rsid w:val="00D70F1C"/>
    <w:rsid w:val="00D71558"/>
    <w:rsid w:val="00D7182C"/>
    <w:rsid w:val="00D71EAB"/>
    <w:rsid w:val="00D7207E"/>
    <w:rsid w:val="00D7356B"/>
    <w:rsid w:val="00D73AC9"/>
    <w:rsid w:val="00D73AE3"/>
    <w:rsid w:val="00D74E82"/>
    <w:rsid w:val="00D751C8"/>
    <w:rsid w:val="00D766C2"/>
    <w:rsid w:val="00D7689C"/>
    <w:rsid w:val="00D7714B"/>
    <w:rsid w:val="00D77743"/>
    <w:rsid w:val="00D77C81"/>
    <w:rsid w:val="00D80005"/>
    <w:rsid w:val="00D8005B"/>
    <w:rsid w:val="00D80D99"/>
    <w:rsid w:val="00D80E27"/>
    <w:rsid w:val="00D810F7"/>
    <w:rsid w:val="00D81B03"/>
    <w:rsid w:val="00D82F63"/>
    <w:rsid w:val="00D830E2"/>
    <w:rsid w:val="00D83B01"/>
    <w:rsid w:val="00D846FE"/>
    <w:rsid w:val="00D84A41"/>
    <w:rsid w:val="00D8558D"/>
    <w:rsid w:val="00D876B0"/>
    <w:rsid w:val="00D879EA"/>
    <w:rsid w:val="00D87FBB"/>
    <w:rsid w:val="00D908FC"/>
    <w:rsid w:val="00D90D4B"/>
    <w:rsid w:val="00D90D95"/>
    <w:rsid w:val="00D9105D"/>
    <w:rsid w:val="00D9122A"/>
    <w:rsid w:val="00D915C2"/>
    <w:rsid w:val="00D915C4"/>
    <w:rsid w:val="00D9202C"/>
    <w:rsid w:val="00D9503C"/>
    <w:rsid w:val="00D9559F"/>
    <w:rsid w:val="00D955C6"/>
    <w:rsid w:val="00DA0051"/>
    <w:rsid w:val="00DA02E2"/>
    <w:rsid w:val="00DA0477"/>
    <w:rsid w:val="00DA0FEA"/>
    <w:rsid w:val="00DA1943"/>
    <w:rsid w:val="00DA1AE7"/>
    <w:rsid w:val="00DA3483"/>
    <w:rsid w:val="00DA3609"/>
    <w:rsid w:val="00DA3D67"/>
    <w:rsid w:val="00DA4FF4"/>
    <w:rsid w:val="00DA5B6C"/>
    <w:rsid w:val="00DA5C93"/>
    <w:rsid w:val="00DA6082"/>
    <w:rsid w:val="00DA65CD"/>
    <w:rsid w:val="00DA6BA0"/>
    <w:rsid w:val="00DA6D0E"/>
    <w:rsid w:val="00DA72D1"/>
    <w:rsid w:val="00DA77EA"/>
    <w:rsid w:val="00DB0D09"/>
    <w:rsid w:val="00DB1850"/>
    <w:rsid w:val="00DB1E33"/>
    <w:rsid w:val="00DB21AD"/>
    <w:rsid w:val="00DB27B5"/>
    <w:rsid w:val="00DB2961"/>
    <w:rsid w:val="00DB29A4"/>
    <w:rsid w:val="00DB29FC"/>
    <w:rsid w:val="00DB30C5"/>
    <w:rsid w:val="00DB30C7"/>
    <w:rsid w:val="00DB356D"/>
    <w:rsid w:val="00DB3FB7"/>
    <w:rsid w:val="00DB4AF0"/>
    <w:rsid w:val="00DB4D18"/>
    <w:rsid w:val="00DB5047"/>
    <w:rsid w:val="00DB56C4"/>
    <w:rsid w:val="00DB5713"/>
    <w:rsid w:val="00DB575D"/>
    <w:rsid w:val="00DB651F"/>
    <w:rsid w:val="00DB67AF"/>
    <w:rsid w:val="00DB67E3"/>
    <w:rsid w:val="00DB67FB"/>
    <w:rsid w:val="00DB6B3B"/>
    <w:rsid w:val="00DC0608"/>
    <w:rsid w:val="00DC13EA"/>
    <w:rsid w:val="00DC1C42"/>
    <w:rsid w:val="00DC30BB"/>
    <w:rsid w:val="00DC3805"/>
    <w:rsid w:val="00DC3B50"/>
    <w:rsid w:val="00DC4338"/>
    <w:rsid w:val="00DC442C"/>
    <w:rsid w:val="00DC46A6"/>
    <w:rsid w:val="00DC48A1"/>
    <w:rsid w:val="00DC4A95"/>
    <w:rsid w:val="00DC4C0A"/>
    <w:rsid w:val="00DC5EC8"/>
    <w:rsid w:val="00DC64F4"/>
    <w:rsid w:val="00DC6E14"/>
    <w:rsid w:val="00DC7269"/>
    <w:rsid w:val="00DC76A5"/>
    <w:rsid w:val="00DC7A26"/>
    <w:rsid w:val="00DD071B"/>
    <w:rsid w:val="00DD08A8"/>
    <w:rsid w:val="00DD0918"/>
    <w:rsid w:val="00DD0B14"/>
    <w:rsid w:val="00DD12DA"/>
    <w:rsid w:val="00DD1C25"/>
    <w:rsid w:val="00DD1DE8"/>
    <w:rsid w:val="00DD1EBB"/>
    <w:rsid w:val="00DD24D1"/>
    <w:rsid w:val="00DD383A"/>
    <w:rsid w:val="00DD3BE4"/>
    <w:rsid w:val="00DD4740"/>
    <w:rsid w:val="00DD47B7"/>
    <w:rsid w:val="00DD6E2E"/>
    <w:rsid w:val="00DD7075"/>
    <w:rsid w:val="00DD73EF"/>
    <w:rsid w:val="00DD7CE8"/>
    <w:rsid w:val="00DE03DA"/>
    <w:rsid w:val="00DE1AB9"/>
    <w:rsid w:val="00DE23E8"/>
    <w:rsid w:val="00DE3563"/>
    <w:rsid w:val="00DE3640"/>
    <w:rsid w:val="00DE3B5C"/>
    <w:rsid w:val="00DE41AB"/>
    <w:rsid w:val="00DE41E0"/>
    <w:rsid w:val="00DE4347"/>
    <w:rsid w:val="00DE455C"/>
    <w:rsid w:val="00DE46A6"/>
    <w:rsid w:val="00DE48BF"/>
    <w:rsid w:val="00DE571A"/>
    <w:rsid w:val="00DE586A"/>
    <w:rsid w:val="00DE6111"/>
    <w:rsid w:val="00DE6174"/>
    <w:rsid w:val="00DE6295"/>
    <w:rsid w:val="00DE692E"/>
    <w:rsid w:val="00DE694A"/>
    <w:rsid w:val="00DE6B99"/>
    <w:rsid w:val="00DE6CDD"/>
    <w:rsid w:val="00DE6EE9"/>
    <w:rsid w:val="00DE6F86"/>
    <w:rsid w:val="00DE7506"/>
    <w:rsid w:val="00DE7573"/>
    <w:rsid w:val="00DE7A28"/>
    <w:rsid w:val="00DF02A9"/>
    <w:rsid w:val="00DF04F8"/>
    <w:rsid w:val="00DF0BA8"/>
    <w:rsid w:val="00DF10B4"/>
    <w:rsid w:val="00DF13E5"/>
    <w:rsid w:val="00DF147F"/>
    <w:rsid w:val="00DF187F"/>
    <w:rsid w:val="00DF2E77"/>
    <w:rsid w:val="00DF353C"/>
    <w:rsid w:val="00DF39CD"/>
    <w:rsid w:val="00DF3F11"/>
    <w:rsid w:val="00DF42A9"/>
    <w:rsid w:val="00DF4A93"/>
    <w:rsid w:val="00DF4D38"/>
    <w:rsid w:val="00DF5146"/>
    <w:rsid w:val="00DF58C7"/>
    <w:rsid w:val="00DF59D4"/>
    <w:rsid w:val="00DF5AB1"/>
    <w:rsid w:val="00DF6166"/>
    <w:rsid w:val="00DF6817"/>
    <w:rsid w:val="00DF68EC"/>
    <w:rsid w:val="00DF697B"/>
    <w:rsid w:val="00DF6A49"/>
    <w:rsid w:val="00DF70C4"/>
    <w:rsid w:val="00DF763A"/>
    <w:rsid w:val="00DF77DB"/>
    <w:rsid w:val="00DF7CD6"/>
    <w:rsid w:val="00DF7F80"/>
    <w:rsid w:val="00E00575"/>
    <w:rsid w:val="00E006AA"/>
    <w:rsid w:val="00E00CEC"/>
    <w:rsid w:val="00E0128B"/>
    <w:rsid w:val="00E01541"/>
    <w:rsid w:val="00E01651"/>
    <w:rsid w:val="00E01A57"/>
    <w:rsid w:val="00E01C2F"/>
    <w:rsid w:val="00E01E73"/>
    <w:rsid w:val="00E021A0"/>
    <w:rsid w:val="00E0275E"/>
    <w:rsid w:val="00E03293"/>
    <w:rsid w:val="00E0387A"/>
    <w:rsid w:val="00E039D4"/>
    <w:rsid w:val="00E03AA6"/>
    <w:rsid w:val="00E04008"/>
    <w:rsid w:val="00E0415D"/>
    <w:rsid w:val="00E047FC"/>
    <w:rsid w:val="00E0583D"/>
    <w:rsid w:val="00E05919"/>
    <w:rsid w:val="00E06E83"/>
    <w:rsid w:val="00E06ED3"/>
    <w:rsid w:val="00E0711C"/>
    <w:rsid w:val="00E07EF4"/>
    <w:rsid w:val="00E100FB"/>
    <w:rsid w:val="00E112C4"/>
    <w:rsid w:val="00E113C5"/>
    <w:rsid w:val="00E117C8"/>
    <w:rsid w:val="00E11C78"/>
    <w:rsid w:val="00E11CB3"/>
    <w:rsid w:val="00E1280B"/>
    <w:rsid w:val="00E12B53"/>
    <w:rsid w:val="00E13070"/>
    <w:rsid w:val="00E13810"/>
    <w:rsid w:val="00E1394A"/>
    <w:rsid w:val="00E139C7"/>
    <w:rsid w:val="00E13DDE"/>
    <w:rsid w:val="00E13F09"/>
    <w:rsid w:val="00E13F2E"/>
    <w:rsid w:val="00E13FD3"/>
    <w:rsid w:val="00E14290"/>
    <w:rsid w:val="00E1429F"/>
    <w:rsid w:val="00E14846"/>
    <w:rsid w:val="00E148D3"/>
    <w:rsid w:val="00E15EB0"/>
    <w:rsid w:val="00E15F25"/>
    <w:rsid w:val="00E15F60"/>
    <w:rsid w:val="00E173FF"/>
    <w:rsid w:val="00E1783F"/>
    <w:rsid w:val="00E179E6"/>
    <w:rsid w:val="00E20984"/>
    <w:rsid w:val="00E20D2F"/>
    <w:rsid w:val="00E20F71"/>
    <w:rsid w:val="00E212B5"/>
    <w:rsid w:val="00E217F2"/>
    <w:rsid w:val="00E21910"/>
    <w:rsid w:val="00E21AED"/>
    <w:rsid w:val="00E21AF9"/>
    <w:rsid w:val="00E21B20"/>
    <w:rsid w:val="00E223A0"/>
    <w:rsid w:val="00E22F28"/>
    <w:rsid w:val="00E2345F"/>
    <w:rsid w:val="00E23887"/>
    <w:rsid w:val="00E24657"/>
    <w:rsid w:val="00E24DBD"/>
    <w:rsid w:val="00E259AF"/>
    <w:rsid w:val="00E2660A"/>
    <w:rsid w:val="00E279BB"/>
    <w:rsid w:val="00E27CCB"/>
    <w:rsid w:val="00E27E41"/>
    <w:rsid w:val="00E30859"/>
    <w:rsid w:val="00E31004"/>
    <w:rsid w:val="00E31633"/>
    <w:rsid w:val="00E31764"/>
    <w:rsid w:val="00E3187A"/>
    <w:rsid w:val="00E31D9F"/>
    <w:rsid w:val="00E32210"/>
    <w:rsid w:val="00E32CF4"/>
    <w:rsid w:val="00E33052"/>
    <w:rsid w:val="00E330F1"/>
    <w:rsid w:val="00E33DE0"/>
    <w:rsid w:val="00E34D6E"/>
    <w:rsid w:val="00E360C2"/>
    <w:rsid w:val="00E36A98"/>
    <w:rsid w:val="00E36CFC"/>
    <w:rsid w:val="00E37A83"/>
    <w:rsid w:val="00E4054E"/>
    <w:rsid w:val="00E40650"/>
    <w:rsid w:val="00E40BEF"/>
    <w:rsid w:val="00E4224A"/>
    <w:rsid w:val="00E42466"/>
    <w:rsid w:val="00E4248C"/>
    <w:rsid w:val="00E42AC2"/>
    <w:rsid w:val="00E42C7F"/>
    <w:rsid w:val="00E430A9"/>
    <w:rsid w:val="00E432F1"/>
    <w:rsid w:val="00E434E9"/>
    <w:rsid w:val="00E4390A"/>
    <w:rsid w:val="00E43928"/>
    <w:rsid w:val="00E43EFA"/>
    <w:rsid w:val="00E441AB"/>
    <w:rsid w:val="00E44216"/>
    <w:rsid w:val="00E443D8"/>
    <w:rsid w:val="00E4483C"/>
    <w:rsid w:val="00E44853"/>
    <w:rsid w:val="00E44B39"/>
    <w:rsid w:val="00E4506C"/>
    <w:rsid w:val="00E4551C"/>
    <w:rsid w:val="00E45EF3"/>
    <w:rsid w:val="00E47680"/>
    <w:rsid w:val="00E47EF2"/>
    <w:rsid w:val="00E5189E"/>
    <w:rsid w:val="00E51DF6"/>
    <w:rsid w:val="00E5308C"/>
    <w:rsid w:val="00E535C9"/>
    <w:rsid w:val="00E535DB"/>
    <w:rsid w:val="00E537E8"/>
    <w:rsid w:val="00E5428E"/>
    <w:rsid w:val="00E5504E"/>
    <w:rsid w:val="00E55EBD"/>
    <w:rsid w:val="00E5601D"/>
    <w:rsid w:val="00E56496"/>
    <w:rsid w:val="00E56B4D"/>
    <w:rsid w:val="00E56C0F"/>
    <w:rsid w:val="00E61064"/>
    <w:rsid w:val="00E61623"/>
    <w:rsid w:val="00E61E7D"/>
    <w:rsid w:val="00E63AA3"/>
    <w:rsid w:val="00E641D4"/>
    <w:rsid w:val="00E644AB"/>
    <w:rsid w:val="00E64DD3"/>
    <w:rsid w:val="00E64E17"/>
    <w:rsid w:val="00E65AF8"/>
    <w:rsid w:val="00E663D7"/>
    <w:rsid w:val="00E66437"/>
    <w:rsid w:val="00E66672"/>
    <w:rsid w:val="00E6703C"/>
    <w:rsid w:val="00E67A83"/>
    <w:rsid w:val="00E67D59"/>
    <w:rsid w:val="00E67F0A"/>
    <w:rsid w:val="00E708C2"/>
    <w:rsid w:val="00E7099F"/>
    <w:rsid w:val="00E70F54"/>
    <w:rsid w:val="00E71294"/>
    <w:rsid w:val="00E71CCA"/>
    <w:rsid w:val="00E727EA"/>
    <w:rsid w:val="00E7298B"/>
    <w:rsid w:val="00E7341E"/>
    <w:rsid w:val="00E741ED"/>
    <w:rsid w:val="00E74E7C"/>
    <w:rsid w:val="00E75423"/>
    <w:rsid w:val="00E75994"/>
    <w:rsid w:val="00E7615A"/>
    <w:rsid w:val="00E7634B"/>
    <w:rsid w:val="00E77AE9"/>
    <w:rsid w:val="00E801D5"/>
    <w:rsid w:val="00E80969"/>
    <w:rsid w:val="00E80D47"/>
    <w:rsid w:val="00E81569"/>
    <w:rsid w:val="00E825E1"/>
    <w:rsid w:val="00E8264A"/>
    <w:rsid w:val="00E82B72"/>
    <w:rsid w:val="00E82E29"/>
    <w:rsid w:val="00E83ED9"/>
    <w:rsid w:val="00E84061"/>
    <w:rsid w:val="00E84FCB"/>
    <w:rsid w:val="00E850A2"/>
    <w:rsid w:val="00E852EA"/>
    <w:rsid w:val="00E85567"/>
    <w:rsid w:val="00E869F4"/>
    <w:rsid w:val="00E870F1"/>
    <w:rsid w:val="00E872C7"/>
    <w:rsid w:val="00E872FE"/>
    <w:rsid w:val="00E879F3"/>
    <w:rsid w:val="00E87A7B"/>
    <w:rsid w:val="00E91782"/>
    <w:rsid w:val="00E91943"/>
    <w:rsid w:val="00E91D5C"/>
    <w:rsid w:val="00E91E74"/>
    <w:rsid w:val="00E930EA"/>
    <w:rsid w:val="00E93739"/>
    <w:rsid w:val="00E93802"/>
    <w:rsid w:val="00E93D3D"/>
    <w:rsid w:val="00E93DC7"/>
    <w:rsid w:val="00E94769"/>
    <w:rsid w:val="00E95371"/>
    <w:rsid w:val="00E95A0A"/>
    <w:rsid w:val="00E963D0"/>
    <w:rsid w:val="00E96D90"/>
    <w:rsid w:val="00E9735D"/>
    <w:rsid w:val="00EA04AE"/>
    <w:rsid w:val="00EA051F"/>
    <w:rsid w:val="00EA0817"/>
    <w:rsid w:val="00EA0995"/>
    <w:rsid w:val="00EA126F"/>
    <w:rsid w:val="00EA13E3"/>
    <w:rsid w:val="00EA14A5"/>
    <w:rsid w:val="00EA18DC"/>
    <w:rsid w:val="00EA1A9D"/>
    <w:rsid w:val="00EA2283"/>
    <w:rsid w:val="00EA28C9"/>
    <w:rsid w:val="00EA33CB"/>
    <w:rsid w:val="00EA386F"/>
    <w:rsid w:val="00EA3979"/>
    <w:rsid w:val="00EA3BE8"/>
    <w:rsid w:val="00EA3CDB"/>
    <w:rsid w:val="00EA3D3C"/>
    <w:rsid w:val="00EA4D02"/>
    <w:rsid w:val="00EA4DC1"/>
    <w:rsid w:val="00EA5921"/>
    <w:rsid w:val="00EA63E9"/>
    <w:rsid w:val="00EA6D39"/>
    <w:rsid w:val="00EA6D6A"/>
    <w:rsid w:val="00EA730D"/>
    <w:rsid w:val="00EA7A8F"/>
    <w:rsid w:val="00EB007B"/>
    <w:rsid w:val="00EB0827"/>
    <w:rsid w:val="00EB0A6C"/>
    <w:rsid w:val="00EB11B3"/>
    <w:rsid w:val="00EB13EE"/>
    <w:rsid w:val="00EB141E"/>
    <w:rsid w:val="00EB2788"/>
    <w:rsid w:val="00EB4CB8"/>
    <w:rsid w:val="00EB567E"/>
    <w:rsid w:val="00EB5E25"/>
    <w:rsid w:val="00EB69AA"/>
    <w:rsid w:val="00EB6C59"/>
    <w:rsid w:val="00EB70E0"/>
    <w:rsid w:val="00EB7F1B"/>
    <w:rsid w:val="00EC003B"/>
    <w:rsid w:val="00EC12FE"/>
    <w:rsid w:val="00EC16FD"/>
    <w:rsid w:val="00EC1BCB"/>
    <w:rsid w:val="00EC1C99"/>
    <w:rsid w:val="00EC1FDA"/>
    <w:rsid w:val="00EC2149"/>
    <w:rsid w:val="00EC245D"/>
    <w:rsid w:val="00EC2CEC"/>
    <w:rsid w:val="00EC2E46"/>
    <w:rsid w:val="00EC384A"/>
    <w:rsid w:val="00EC3AE7"/>
    <w:rsid w:val="00EC3B5F"/>
    <w:rsid w:val="00EC5EAB"/>
    <w:rsid w:val="00EC6B25"/>
    <w:rsid w:val="00EC6D11"/>
    <w:rsid w:val="00EC74F6"/>
    <w:rsid w:val="00EC7AC2"/>
    <w:rsid w:val="00EC7CC3"/>
    <w:rsid w:val="00EC7F8A"/>
    <w:rsid w:val="00EC7FC3"/>
    <w:rsid w:val="00ED0A11"/>
    <w:rsid w:val="00ED10B6"/>
    <w:rsid w:val="00ED10E5"/>
    <w:rsid w:val="00ED14AD"/>
    <w:rsid w:val="00ED1784"/>
    <w:rsid w:val="00ED180A"/>
    <w:rsid w:val="00ED1C00"/>
    <w:rsid w:val="00ED24B5"/>
    <w:rsid w:val="00ED2EBB"/>
    <w:rsid w:val="00ED3BD6"/>
    <w:rsid w:val="00ED4008"/>
    <w:rsid w:val="00ED57CC"/>
    <w:rsid w:val="00ED66DB"/>
    <w:rsid w:val="00ED6EF7"/>
    <w:rsid w:val="00ED740A"/>
    <w:rsid w:val="00ED7B27"/>
    <w:rsid w:val="00EE0585"/>
    <w:rsid w:val="00EE0875"/>
    <w:rsid w:val="00EE1DA4"/>
    <w:rsid w:val="00EE2055"/>
    <w:rsid w:val="00EE228F"/>
    <w:rsid w:val="00EE2324"/>
    <w:rsid w:val="00EE2828"/>
    <w:rsid w:val="00EE2D91"/>
    <w:rsid w:val="00EE51FF"/>
    <w:rsid w:val="00EE5361"/>
    <w:rsid w:val="00EE57A9"/>
    <w:rsid w:val="00EE5D5E"/>
    <w:rsid w:val="00EE629D"/>
    <w:rsid w:val="00EE730D"/>
    <w:rsid w:val="00EF03C7"/>
    <w:rsid w:val="00EF070C"/>
    <w:rsid w:val="00EF112C"/>
    <w:rsid w:val="00EF1A53"/>
    <w:rsid w:val="00EF23AD"/>
    <w:rsid w:val="00EF298E"/>
    <w:rsid w:val="00EF2AC6"/>
    <w:rsid w:val="00EF2B07"/>
    <w:rsid w:val="00EF3382"/>
    <w:rsid w:val="00EF46D0"/>
    <w:rsid w:val="00EF47EB"/>
    <w:rsid w:val="00EF4DF7"/>
    <w:rsid w:val="00EF5F6D"/>
    <w:rsid w:val="00EF64E8"/>
    <w:rsid w:val="00EF6A11"/>
    <w:rsid w:val="00EF6DEA"/>
    <w:rsid w:val="00EF7D88"/>
    <w:rsid w:val="00EF7FA6"/>
    <w:rsid w:val="00F0041B"/>
    <w:rsid w:val="00F00E59"/>
    <w:rsid w:val="00F01245"/>
    <w:rsid w:val="00F01805"/>
    <w:rsid w:val="00F01F54"/>
    <w:rsid w:val="00F0210D"/>
    <w:rsid w:val="00F02417"/>
    <w:rsid w:val="00F02951"/>
    <w:rsid w:val="00F02F78"/>
    <w:rsid w:val="00F035ED"/>
    <w:rsid w:val="00F03EC0"/>
    <w:rsid w:val="00F049BB"/>
    <w:rsid w:val="00F04E01"/>
    <w:rsid w:val="00F04F41"/>
    <w:rsid w:val="00F05D17"/>
    <w:rsid w:val="00F07EEB"/>
    <w:rsid w:val="00F10D20"/>
    <w:rsid w:val="00F110E7"/>
    <w:rsid w:val="00F113BA"/>
    <w:rsid w:val="00F123CB"/>
    <w:rsid w:val="00F12612"/>
    <w:rsid w:val="00F14C75"/>
    <w:rsid w:val="00F15311"/>
    <w:rsid w:val="00F15B54"/>
    <w:rsid w:val="00F15CDE"/>
    <w:rsid w:val="00F165C4"/>
    <w:rsid w:val="00F16EDB"/>
    <w:rsid w:val="00F1710A"/>
    <w:rsid w:val="00F17390"/>
    <w:rsid w:val="00F178E8"/>
    <w:rsid w:val="00F2067D"/>
    <w:rsid w:val="00F209A9"/>
    <w:rsid w:val="00F20A6E"/>
    <w:rsid w:val="00F214D1"/>
    <w:rsid w:val="00F216DB"/>
    <w:rsid w:val="00F22406"/>
    <w:rsid w:val="00F22F0D"/>
    <w:rsid w:val="00F233C7"/>
    <w:rsid w:val="00F23C4A"/>
    <w:rsid w:val="00F23CDC"/>
    <w:rsid w:val="00F23D4B"/>
    <w:rsid w:val="00F23F87"/>
    <w:rsid w:val="00F24B9E"/>
    <w:rsid w:val="00F24F05"/>
    <w:rsid w:val="00F254A4"/>
    <w:rsid w:val="00F25D98"/>
    <w:rsid w:val="00F2641D"/>
    <w:rsid w:val="00F270D6"/>
    <w:rsid w:val="00F27A6D"/>
    <w:rsid w:val="00F300AB"/>
    <w:rsid w:val="00F30209"/>
    <w:rsid w:val="00F302BF"/>
    <w:rsid w:val="00F3038C"/>
    <w:rsid w:val="00F3071C"/>
    <w:rsid w:val="00F31125"/>
    <w:rsid w:val="00F3239C"/>
    <w:rsid w:val="00F32C05"/>
    <w:rsid w:val="00F32C94"/>
    <w:rsid w:val="00F33057"/>
    <w:rsid w:val="00F33570"/>
    <w:rsid w:val="00F33F3D"/>
    <w:rsid w:val="00F3410D"/>
    <w:rsid w:val="00F3439D"/>
    <w:rsid w:val="00F3485A"/>
    <w:rsid w:val="00F34C7E"/>
    <w:rsid w:val="00F35AB4"/>
    <w:rsid w:val="00F36665"/>
    <w:rsid w:val="00F36B67"/>
    <w:rsid w:val="00F37BF0"/>
    <w:rsid w:val="00F40FBD"/>
    <w:rsid w:val="00F42434"/>
    <w:rsid w:val="00F430AC"/>
    <w:rsid w:val="00F4359C"/>
    <w:rsid w:val="00F4379D"/>
    <w:rsid w:val="00F4453D"/>
    <w:rsid w:val="00F44DC0"/>
    <w:rsid w:val="00F4520D"/>
    <w:rsid w:val="00F4548E"/>
    <w:rsid w:val="00F45783"/>
    <w:rsid w:val="00F45958"/>
    <w:rsid w:val="00F45D94"/>
    <w:rsid w:val="00F46345"/>
    <w:rsid w:val="00F46494"/>
    <w:rsid w:val="00F477C6"/>
    <w:rsid w:val="00F4784A"/>
    <w:rsid w:val="00F50229"/>
    <w:rsid w:val="00F50875"/>
    <w:rsid w:val="00F515C6"/>
    <w:rsid w:val="00F53754"/>
    <w:rsid w:val="00F53CB0"/>
    <w:rsid w:val="00F5408C"/>
    <w:rsid w:val="00F54D2B"/>
    <w:rsid w:val="00F54FF1"/>
    <w:rsid w:val="00F55120"/>
    <w:rsid w:val="00F558AB"/>
    <w:rsid w:val="00F55CA8"/>
    <w:rsid w:val="00F55F4D"/>
    <w:rsid w:val="00F563AE"/>
    <w:rsid w:val="00F564A8"/>
    <w:rsid w:val="00F56938"/>
    <w:rsid w:val="00F569FA"/>
    <w:rsid w:val="00F56DB9"/>
    <w:rsid w:val="00F57AB9"/>
    <w:rsid w:val="00F57F32"/>
    <w:rsid w:val="00F61080"/>
    <w:rsid w:val="00F61D89"/>
    <w:rsid w:val="00F622DB"/>
    <w:rsid w:val="00F62392"/>
    <w:rsid w:val="00F6255E"/>
    <w:rsid w:val="00F62561"/>
    <w:rsid w:val="00F625DC"/>
    <w:rsid w:val="00F631FB"/>
    <w:rsid w:val="00F63AA0"/>
    <w:rsid w:val="00F63FB2"/>
    <w:rsid w:val="00F64EC7"/>
    <w:rsid w:val="00F64FD7"/>
    <w:rsid w:val="00F65E72"/>
    <w:rsid w:val="00F661A5"/>
    <w:rsid w:val="00F66929"/>
    <w:rsid w:val="00F66A97"/>
    <w:rsid w:val="00F66E48"/>
    <w:rsid w:val="00F67E1D"/>
    <w:rsid w:val="00F702B8"/>
    <w:rsid w:val="00F705DB"/>
    <w:rsid w:val="00F706BC"/>
    <w:rsid w:val="00F710B8"/>
    <w:rsid w:val="00F71126"/>
    <w:rsid w:val="00F713A4"/>
    <w:rsid w:val="00F714AD"/>
    <w:rsid w:val="00F72A1F"/>
    <w:rsid w:val="00F72B64"/>
    <w:rsid w:val="00F737EF"/>
    <w:rsid w:val="00F743A7"/>
    <w:rsid w:val="00F745B4"/>
    <w:rsid w:val="00F7467A"/>
    <w:rsid w:val="00F747CD"/>
    <w:rsid w:val="00F74D3F"/>
    <w:rsid w:val="00F75193"/>
    <w:rsid w:val="00F754D2"/>
    <w:rsid w:val="00F76C94"/>
    <w:rsid w:val="00F77293"/>
    <w:rsid w:val="00F778F7"/>
    <w:rsid w:val="00F77DB8"/>
    <w:rsid w:val="00F806AA"/>
    <w:rsid w:val="00F806CE"/>
    <w:rsid w:val="00F80889"/>
    <w:rsid w:val="00F808B2"/>
    <w:rsid w:val="00F8102B"/>
    <w:rsid w:val="00F8124F"/>
    <w:rsid w:val="00F8145D"/>
    <w:rsid w:val="00F81C28"/>
    <w:rsid w:val="00F81C92"/>
    <w:rsid w:val="00F82081"/>
    <w:rsid w:val="00F82177"/>
    <w:rsid w:val="00F839B0"/>
    <w:rsid w:val="00F83C62"/>
    <w:rsid w:val="00F83E2C"/>
    <w:rsid w:val="00F8451D"/>
    <w:rsid w:val="00F846FE"/>
    <w:rsid w:val="00F85945"/>
    <w:rsid w:val="00F85F89"/>
    <w:rsid w:val="00F86769"/>
    <w:rsid w:val="00F86ABB"/>
    <w:rsid w:val="00F871A0"/>
    <w:rsid w:val="00F903D1"/>
    <w:rsid w:val="00F9080F"/>
    <w:rsid w:val="00F91278"/>
    <w:rsid w:val="00F91451"/>
    <w:rsid w:val="00F92109"/>
    <w:rsid w:val="00F92670"/>
    <w:rsid w:val="00F92C56"/>
    <w:rsid w:val="00F92C61"/>
    <w:rsid w:val="00F931A5"/>
    <w:rsid w:val="00F93D0D"/>
    <w:rsid w:val="00F93ECF"/>
    <w:rsid w:val="00F9485C"/>
    <w:rsid w:val="00F948A8"/>
    <w:rsid w:val="00F94C23"/>
    <w:rsid w:val="00F94D04"/>
    <w:rsid w:val="00F954F0"/>
    <w:rsid w:val="00F95D13"/>
    <w:rsid w:val="00F963FE"/>
    <w:rsid w:val="00F97039"/>
    <w:rsid w:val="00F972C8"/>
    <w:rsid w:val="00F978F3"/>
    <w:rsid w:val="00FA0159"/>
    <w:rsid w:val="00FA05A7"/>
    <w:rsid w:val="00FA0644"/>
    <w:rsid w:val="00FA1305"/>
    <w:rsid w:val="00FA1A87"/>
    <w:rsid w:val="00FA1C06"/>
    <w:rsid w:val="00FA31DD"/>
    <w:rsid w:val="00FA3363"/>
    <w:rsid w:val="00FA35F7"/>
    <w:rsid w:val="00FA3D15"/>
    <w:rsid w:val="00FA4730"/>
    <w:rsid w:val="00FA4737"/>
    <w:rsid w:val="00FA5080"/>
    <w:rsid w:val="00FA55A2"/>
    <w:rsid w:val="00FA5985"/>
    <w:rsid w:val="00FA637D"/>
    <w:rsid w:val="00FA6893"/>
    <w:rsid w:val="00FA6A4C"/>
    <w:rsid w:val="00FA6E7D"/>
    <w:rsid w:val="00FA708D"/>
    <w:rsid w:val="00FA75D9"/>
    <w:rsid w:val="00FB051D"/>
    <w:rsid w:val="00FB0C61"/>
    <w:rsid w:val="00FB15F9"/>
    <w:rsid w:val="00FB1EC7"/>
    <w:rsid w:val="00FB23C8"/>
    <w:rsid w:val="00FB2F39"/>
    <w:rsid w:val="00FB31C3"/>
    <w:rsid w:val="00FB3684"/>
    <w:rsid w:val="00FB46E1"/>
    <w:rsid w:val="00FB4AE4"/>
    <w:rsid w:val="00FB56E2"/>
    <w:rsid w:val="00FB61A5"/>
    <w:rsid w:val="00FB65A0"/>
    <w:rsid w:val="00FB67CA"/>
    <w:rsid w:val="00FB67DA"/>
    <w:rsid w:val="00FB6F94"/>
    <w:rsid w:val="00FB7413"/>
    <w:rsid w:val="00FB7492"/>
    <w:rsid w:val="00FB7674"/>
    <w:rsid w:val="00FB76D7"/>
    <w:rsid w:val="00FB7B8D"/>
    <w:rsid w:val="00FC00CA"/>
    <w:rsid w:val="00FC0C29"/>
    <w:rsid w:val="00FC1380"/>
    <w:rsid w:val="00FC1501"/>
    <w:rsid w:val="00FC1617"/>
    <w:rsid w:val="00FC1C04"/>
    <w:rsid w:val="00FC2036"/>
    <w:rsid w:val="00FC2D4B"/>
    <w:rsid w:val="00FC380F"/>
    <w:rsid w:val="00FC390D"/>
    <w:rsid w:val="00FC3B95"/>
    <w:rsid w:val="00FC3D55"/>
    <w:rsid w:val="00FC42E9"/>
    <w:rsid w:val="00FC4943"/>
    <w:rsid w:val="00FC4C6C"/>
    <w:rsid w:val="00FC552C"/>
    <w:rsid w:val="00FC56F1"/>
    <w:rsid w:val="00FC5895"/>
    <w:rsid w:val="00FC5A39"/>
    <w:rsid w:val="00FC6B97"/>
    <w:rsid w:val="00FC70B4"/>
    <w:rsid w:val="00FC71B9"/>
    <w:rsid w:val="00FC7405"/>
    <w:rsid w:val="00FC7890"/>
    <w:rsid w:val="00FC7DB3"/>
    <w:rsid w:val="00FD0632"/>
    <w:rsid w:val="00FD21C8"/>
    <w:rsid w:val="00FD2D45"/>
    <w:rsid w:val="00FD2DC5"/>
    <w:rsid w:val="00FD3529"/>
    <w:rsid w:val="00FD742C"/>
    <w:rsid w:val="00FD7648"/>
    <w:rsid w:val="00FD7EB4"/>
    <w:rsid w:val="00FE0B55"/>
    <w:rsid w:val="00FE0CC7"/>
    <w:rsid w:val="00FE0F78"/>
    <w:rsid w:val="00FE14AA"/>
    <w:rsid w:val="00FE2074"/>
    <w:rsid w:val="00FE2770"/>
    <w:rsid w:val="00FE3473"/>
    <w:rsid w:val="00FE4269"/>
    <w:rsid w:val="00FE4435"/>
    <w:rsid w:val="00FE445D"/>
    <w:rsid w:val="00FE4AD7"/>
    <w:rsid w:val="00FE56C0"/>
    <w:rsid w:val="00FE62A0"/>
    <w:rsid w:val="00FE635E"/>
    <w:rsid w:val="00FE6623"/>
    <w:rsid w:val="00FE685A"/>
    <w:rsid w:val="00FE7129"/>
    <w:rsid w:val="00FE74CB"/>
    <w:rsid w:val="00FE777E"/>
    <w:rsid w:val="00FF01E3"/>
    <w:rsid w:val="00FF0BF6"/>
    <w:rsid w:val="00FF1A51"/>
    <w:rsid w:val="00FF1EA7"/>
    <w:rsid w:val="00FF3F14"/>
    <w:rsid w:val="00FF63F6"/>
    <w:rsid w:val="00FF7B61"/>
    <w:rsid w:val="00FF7D31"/>
    <w:rsid w:val="041EACD1"/>
    <w:rsid w:val="30B7CE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BEA237"/>
  <w15:docId w15:val="{4D9E7ED3-5F3E-419B-9C9B-E5FEF8F42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ajorHAnsi" w:eastAsiaTheme="minorHAnsi" w:hAnsiTheme="maj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1E73"/>
    <w:pPr>
      <w:spacing w:before="120" w:after="240" w:line="240" w:lineRule="auto"/>
    </w:pPr>
    <w:rPr>
      <w:rFonts w:ascii="Times New Roman" w:hAnsi="Times New Roman"/>
      <w:sz w:val="24"/>
    </w:rPr>
  </w:style>
  <w:style w:type="paragraph" w:styleId="Ttulo1">
    <w:name w:val="heading 1"/>
    <w:basedOn w:val="Prrafodelista"/>
    <w:next w:val="Normal"/>
    <w:link w:val="Ttulo1Car"/>
    <w:uiPriority w:val="2"/>
    <w:qFormat/>
    <w:rsid w:val="00D80D99"/>
    <w:pPr>
      <w:numPr>
        <w:numId w:val="17"/>
      </w:numPr>
      <w:spacing w:before="240"/>
      <w:contextualSpacing w:val="0"/>
      <w:outlineLvl w:val="0"/>
    </w:pPr>
    <w:rPr>
      <w:b/>
    </w:rPr>
  </w:style>
  <w:style w:type="paragraph" w:styleId="Ttulo2">
    <w:name w:val="heading 2"/>
    <w:basedOn w:val="Ttulo1"/>
    <w:next w:val="Normal"/>
    <w:link w:val="Ttulo2Car"/>
    <w:uiPriority w:val="2"/>
    <w:qFormat/>
    <w:rsid w:val="00D80D99"/>
    <w:pPr>
      <w:numPr>
        <w:ilvl w:val="1"/>
      </w:numPr>
      <w:spacing w:after="200"/>
      <w:outlineLvl w:val="1"/>
    </w:pPr>
  </w:style>
  <w:style w:type="paragraph" w:styleId="Ttulo3">
    <w:name w:val="heading 3"/>
    <w:basedOn w:val="Normal"/>
    <w:next w:val="Normal"/>
    <w:link w:val="Ttulo3Car"/>
    <w:uiPriority w:val="2"/>
    <w:qFormat/>
    <w:rsid w:val="00D80D99"/>
    <w:pPr>
      <w:keepNext/>
      <w:keepLines/>
      <w:numPr>
        <w:ilvl w:val="2"/>
        <w:numId w:val="17"/>
      </w:numPr>
      <w:spacing w:before="40" w:after="120"/>
      <w:outlineLvl w:val="2"/>
    </w:pPr>
    <w:rPr>
      <w:rFonts w:eastAsiaTheme="majorEastAsia" w:cstheme="majorBidi"/>
      <w:b/>
      <w:szCs w:val="24"/>
    </w:rPr>
  </w:style>
  <w:style w:type="paragraph" w:styleId="Ttulo4">
    <w:name w:val="heading 4"/>
    <w:basedOn w:val="Ttulo3"/>
    <w:next w:val="Normal"/>
    <w:link w:val="Ttulo4Car"/>
    <w:uiPriority w:val="2"/>
    <w:qFormat/>
    <w:rsid w:val="00D80D99"/>
    <w:pPr>
      <w:numPr>
        <w:ilvl w:val="3"/>
      </w:numPr>
      <w:tabs>
        <w:tab w:val="clear" w:pos="567"/>
        <w:tab w:val="num" w:pos="360"/>
      </w:tabs>
      <w:outlineLvl w:val="3"/>
    </w:pPr>
    <w:rPr>
      <w:iCs/>
    </w:rPr>
  </w:style>
  <w:style w:type="paragraph" w:styleId="Ttulo5">
    <w:name w:val="heading 5"/>
    <w:basedOn w:val="Ttulo4"/>
    <w:next w:val="Normal"/>
    <w:link w:val="Ttulo5Car"/>
    <w:uiPriority w:val="2"/>
    <w:qFormat/>
    <w:rsid w:val="00D80D99"/>
    <w:pPr>
      <w:numPr>
        <w:ilvl w:val="4"/>
      </w:numPr>
      <w:tabs>
        <w:tab w:val="clear" w:pos="567"/>
        <w:tab w:val="num" w:pos="360"/>
      </w:tabs>
      <w:outlineLvl w:val="4"/>
    </w:p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2"/>
    <w:rsid w:val="00147395"/>
    <w:rPr>
      <w:rFonts w:ascii="Times New Roman" w:eastAsia="Cambria" w:hAnsi="Times New Roman" w:cs="Times New Roman"/>
      <w:b/>
      <w:sz w:val="24"/>
      <w:szCs w:val="24"/>
    </w:rPr>
  </w:style>
  <w:style w:type="character" w:customStyle="1" w:styleId="Ttulo2Car">
    <w:name w:val="Título 2 Car"/>
    <w:basedOn w:val="Fuentedeprrafopredeter"/>
    <w:link w:val="Ttulo2"/>
    <w:uiPriority w:val="2"/>
    <w:rsid w:val="00147395"/>
    <w:rPr>
      <w:rFonts w:ascii="Times New Roman" w:eastAsia="Cambria" w:hAnsi="Times New Roman" w:cs="Times New Roman"/>
      <w:b/>
      <w:sz w:val="24"/>
      <w:szCs w:val="24"/>
    </w:rPr>
  </w:style>
  <w:style w:type="character" w:styleId="nfasis">
    <w:name w:val="Emphasis"/>
    <w:basedOn w:val="Fuentedeprrafopredeter"/>
    <w:uiPriority w:val="20"/>
    <w:qFormat/>
    <w:rsid w:val="00C724CF"/>
    <w:rPr>
      <w:rFonts w:ascii="Times New Roman" w:hAnsi="Times New Roman"/>
      <w:i/>
      <w:iCs/>
    </w:rPr>
  </w:style>
  <w:style w:type="paragraph" w:styleId="Prrafodelista">
    <w:name w:val="List Paragraph"/>
    <w:basedOn w:val="Normal"/>
    <w:uiPriority w:val="3"/>
    <w:qFormat/>
    <w:rsid w:val="00310124"/>
    <w:pPr>
      <w:numPr>
        <w:numId w:val="14"/>
      </w:numPr>
      <w:ind w:left="1434" w:hanging="357"/>
      <w:contextualSpacing/>
    </w:pPr>
    <w:rPr>
      <w:rFonts w:eastAsia="Cambria" w:cs="Times New Roman"/>
      <w:szCs w:val="24"/>
    </w:rPr>
  </w:style>
  <w:style w:type="character" w:styleId="Textoennegrita">
    <w:name w:val="Strong"/>
    <w:basedOn w:val="Fuentedeprrafopredeter"/>
    <w:uiPriority w:val="22"/>
    <w:qFormat/>
    <w:rsid w:val="00C724CF"/>
    <w:rPr>
      <w:rFonts w:ascii="Times New Roman" w:hAnsi="Times New Roman"/>
      <w:b/>
      <w:bCs/>
    </w:rPr>
  </w:style>
  <w:style w:type="paragraph" w:styleId="NormalWeb">
    <w:name w:val="Normal (Web)"/>
    <w:basedOn w:val="Normal"/>
    <w:uiPriority w:val="99"/>
    <w:unhideWhenUsed/>
    <w:rsid w:val="00117666"/>
    <w:pPr>
      <w:spacing w:before="100" w:beforeAutospacing="1" w:after="100" w:afterAutospacing="1"/>
    </w:pPr>
    <w:rPr>
      <w:rFonts w:eastAsia="Times New Roman" w:cs="Times New Roman"/>
      <w:szCs w:val="24"/>
    </w:rPr>
  </w:style>
  <w:style w:type="paragraph" w:styleId="Encabezado">
    <w:name w:val="header"/>
    <w:basedOn w:val="Normal"/>
    <w:link w:val="EncabezadoCar"/>
    <w:uiPriority w:val="99"/>
    <w:unhideWhenUsed/>
    <w:rsid w:val="00A53000"/>
    <w:pPr>
      <w:tabs>
        <w:tab w:val="center" w:pos="4844"/>
        <w:tab w:val="right" w:pos="9689"/>
      </w:tabs>
    </w:pPr>
    <w:rPr>
      <w:b/>
    </w:rPr>
  </w:style>
  <w:style w:type="character" w:customStyle="1" w:styleId="EncabezadoCar">
    <w:name w:val="Encabezado Car"/>
    <w:basedOn w:val="Fuentedeprrafopredeter"/>
    <w:link w:val="Encabezado"/>
    <w:uiPriority w:val="99"/>
    <w:rsid w:val="00A53000"/>
    <w:rPr>
      <w:rFonts w:ascii="Times New Roman" w:hAnsi="Times New Roman"/>
      <w:b/>
      <w:sz w:val="24"/>
    </w:rPr>
  </w:style>
  <w:style w:type="paragraph" w:styleId="Piedepgina">
    <w:name w:val="footer"/>
    <w:basedOn w:val="Normal"/>
    <w:link w:val="PiedepginaCar"/>
    <w:uiPriority w:val="99"/>
    <w:unhideWhenUsed/>
    <w:rsid w:val="00117666"/>
    <w:pPr>
      <w:tabs>
        <w:tab w:val="center" w:pos="4844"/>
        <w:tab w:val="right" w:pos="9689"/>
      </w:tabs>
      <w:spacing w:after="0"/>
    </w:pPr>
  </w:style>
  <w:style w:type="character" w:customStyle="1" w:styleId="PiedepginaCar">
    <w:name w:val="Pie de página Car"/>
    <w:basedOn w:val="Fuentedeprrafopredeter"/>
    <w:link w:val="Piedepgina"/>
    <w:uiPriority w:val="99"/>
    <w:rsid w:val="00117666"/>
  </w:style>
  <w:style w:type="table" w:styleId="Tablaconcuadrcula">
    <w:name w:val="Table Grid"/>
    <w:basedOn w:val="Tablanormal"/>
    <w:uiPriority w:val="59"/>
    <w:rsid w:val="001176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unhideWhenUsed/>
    <w:rsid w:val="00117666"/>
    <w:pPr>
      <w:spacing w:after="0"/>
    </w:pPr>
    <w:rPr>
      <w:sz w:val="20"/>
      <w:szCs w:val="20"/>
    </w:rPr>
  </w:style>
  <w:style w:type="character" w:customStyle="1" w:styleId="TextonotapieCar">
    <w:name w:val="Texto nota pie Car"/>
    <w:basedOn w:val="Fuentedeprrafopredeter"/>
    <w:link w:val="Textonotapie"/>
    <w:uiPriority w:val="99"/>
    <w:semiHidden/>
    <w:rsid w:val="00117666"/>
    <w:rPr>
      <w:sz w:val="20"/>
      <w:szCs w:val="20"/>
    </w:rPr>
  </w:style>
  <w:style w:type="character" w:styleId="Refdenotaalpie">
    <w:name w:val="footnote reference"/>
    <w:basedOn w:val="Fuentedeprrafopredeter"/>
    <w:uiPriority w:val="99"/>
    <w:semiHidden/>
    <w:unhideWhenUsed/>
    <w:rsid w:val="00117666"/>
    <w:rPr>
      <w:vertAlign w:val="superscript"/>
    </w:rPr>
  </w:style>
  <w:style w:type="paragraph" w:styleId="Descripcin">
    <w:name w:val="caption"/>
    <w:basedOn w:val="Normal"/>
    <w:next w:val="Sinespaciado"/>
    <w:uiPriority w:val="35"/>
    <w:unhideWhenUsed/>
    <w:qFormat/>
    <w:rsid w:val="00A53000"/>
    <w:pPr>
      <w:keepNext/>
    </w:pPr>
    <w:rPr>
      <w:rFonts w:cs="Times New Roman"/>
      <w:b/>
      <w:bCs/>
      <w:szCs w:val="24"/>
    </w:rPr>
  </w:style>
  <w:style w:type="paragraph" w:styleId="Textodeglobo">
    <w:name w:val="Balloon Text"/>
    <w:basedOn w:val="Normal"/>
    <w:link w:val="TextodegloboCar"/>
    <w:uiPriority w:val="99"/>
    <w:semiHidden/>
    <w:unhideWhenUsed/>
    <w:rsid w:val="00117666"/>
    <w:pPr>
      <w:spacing w:after="0"/>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17666"/>
    <w:rPr>
      <w:rFonts w:ascii="Tahoma" w:hAnsi="Tahoma" w:cs="Tahoma"/>
      <w:sz w:val="16"/>
      <w:szCs w:val="16"/>
    </w:rPr>
  </w:style>
  <w:style w:type="character" w:styleId="Nmerodelnea">
    <w:name w:val="line number"/>
    <w:basedOn w:val="Fuentedeprrafopredeter"/>
    <w:uiPriority w:val="99"/>
    <w:semiHidden/>
    <w:unhideWhenUsed/>
    <w:rsid w:val="00117666"/>
  </w:style>
  <w:style w:type="paragraph" w:styleId="Textonotaalfinal">
    <w:name w:val="endnote text"/>
    <w:basedOn w:val="Normal"/>
    <w:link w:val="TextonotaalfinalCar"/>
    <w:uiPriority w:val="99"/>
    <w:semiHidden/>
    <w:unhideWhenUsed/>
    <w:rsid w:val="00CD066B"/>
    <w:pPr>
      <w:spacing w:after="0"/>
    </w:pPr>
    <w:rPr>
      <w:sz w:val="20"/>
      <w:szCs w:val="20"/>
    </w:rPr>
  </w:style>
  <w:style w:type="character" w:customStyle="1" w:styleId="TextonotaalfinalCar">
    <w:name w:val="Texto nota al final Car"/>
    <w:basedOn w:val="Fuentedeprrafopredeter"/>
    <w:link w:val="Textonotaalfinal"/>
    <w:uiPriority w:val="99"/>
    <w:semiHidden/>
    <w:rsid w:val="00CD066B"/>
    <w:rPr>
      <w:sz w:val="20"/>
      <w:szCs w:val="20"/>
    </w:rPr>
  </w:style>
  <w:style w:type="character" w:styleId="Refdenotaalfinal">
    <w:name w:val="endnote reference"/>
    <w:basedOn w:val="Fuentedeprrafopredeter"/>
    <w:uiPriority w:val="99"/>
    <w:semiHidden/>
    <w:unhideWhenUsed/>
    <w:rsid w:val="00CD066B"/>
    <w:rPr>
      <w:vertAlign w:val="superscript"/>
    </w:rPr>
  </w:style>
  <w:style w:type="character" w:styleId="Refdecomentario">
    <w:name w:val="annotation reference"/>
    <w:basedOn w:val="Fuentedeprrafopredeter"/>
    <w:uiPriority w:val="99"/>
    <w:semiHidden/>
    <w:unhideWhenUsed/>
    <w:rsid w:val="00725A7D"/>
    <w:rPr>
      <w:sz w:val="16"/>
      <w:szCs w:val="16"/>
    </w:rPr>
  </w:style>
  <w:style w:type="paragraph" w:styleId="Textocomentario">
    <w:name w:val="annotation text"/>
    <w:basedOn w:val="Normal"/>
    <w:link w:val="TextocomentarioCar"/>
    <w:uiPriority w:val="99"/>
    <w:unhideWhenUsed/>
    <w:rsid w:val="00725A7D"/>
    <w:rPr>
      <w:sz w:val="20"/>
      <w:szCs w:val="20"/>
    </w:rPr>
  </w:style>
  <w:style w:type="character" w:customStyle="1" w:styleId="TextocomentarioCar">
    <w:name w:val="Texto comentario Car"/>
    <w:basedOn w:val="Fuentedeprrafopredeter"/>
    <w:link w:val="Textocomentario"/>
    <w:uiPriority w:val="99"/>
    <w:rsid w:val="00725A7D"/>
    <w:rPr>
      <w:sz w:val="20"/>
      <w:szCs w:val="20"/>
    </w:rPr>
  </w:style>
  <w:style w:type="paragraph" w:styleId="Asuntodelcomentario">
    <w:name w:val="annotation subject"/>
    <w:basedOn w:val="Textocomentario"/>
    <w:next w:val="Textocomentario"/>
    <w:link w:val="AsuntodelcomentarioCar"/>
    <w:uiPriority w:val="99"/>
    <w:semiHidden/>
    <w:unhideWhenUsed/>
    <w:rsid w:val="00725A7D"/>
    <w:rPr>
      <w:b/>
      <w:bCs/>
    </w:rPr>
  </w:style>
  <w:style w:type="character" w:customStyle="1" w:styleId="AsuntodelcomentarioCar">
    <w:name w:val="Asunto del comentario Car"/>
    <w:basedOn w:val="TextocomentarioCar"/>
    <w:link w:val="Asuntodelcomentario"/>
    <w:uiPriority w:val="99"/>
    <w:semiHidden/>
    <w:rsid w:val="00725A7D"/>
    <w:rPr>
      <w:b/>
      <w:bCs/>
      <w:sz w:val="20"/>
      <w:szCs w:val="20"/>
    </w:rPr>
  </w:style>
  <w:style w:type="character" w:styleId="Hipervnculo">
    <w:name w:val="Hyperlink"/>
    <w:basedOn w:val="Fuentedeprrafopredeter"/>
    <w:uiPriority w:val="99"/>
    <w:unhideWhenUsed/>
    <w:rsid w:val="005A1D84"/>
    <w:rPr>
      <w:color w:val="0000FF"/>
      <w:u w:val="single"/>
    </w:rPr>
  </w:style>
  <w:style w:type="character" w:styleId="Hipervnculovisitado">
    <w:name w:val="FollowedHyperlink"/>
    <w:basedOn w:val="Fuentedeprrafopredeter"/>
    <w:uiPriority w:val="99"/>
    <w:semiHidden/>
    <w:unhideWhenUsed/>
    <w:rsid w:val="006D5B93"/>
    <w:rPr>
      <w:color w:val="800080" w:themeColor="followedHyperlink"/>
      <w:u w:val="single"/>
    </w:rPr>
  </w:style>
  <w:style w:type="paragraph" w:styleId="Ttulo">
    <w:name w:val="Title"/>
    <w:basedOn w:val="Normal"/>
    <w:next w:val="Normal"/>
    <w:link w:val="TtuloCar"/>
    <w:qFormat/>
    <w:rsid w:val="00D80D99"/>
    <w:pPr>
      <w:suppressLineNumbers/>
      <w:spacing w:before="240" w:after="360"/>
      <w:jc w:val="center"/>
    </w:pPr>
    <w:rPr>
      <w:rFonts w:cs="Times New Roman"/>
      <w:b/>
      <w:sz w:val="32"/>
      <w:szCs w:val="32"/>
    </w:rPr>
  </w:style>
  <w:style w:type="character" w:customStyle="1" w:styleId="TtuloCar">
    <w:name w:val="Título Car"/>
    <w:basedOn w:val="Fuentedeprrafopredeter"/>
    <w:link w:val="Ttulo"/>
    <w:rsid w:val="00D80D99"/>
    <w:rPr>
      <w:rFonts w:ascii="Times New Roman" w:hAnsi="Times New Roman" w:cs="Times New Roman"/>
      <w:b/>
      <w:sz w:val="32"/>
      <w:szCs w:val="32"/>
    </w:rPr>
  </w:style>
  <w:style w:type="paragraph" w:styleId="Subttulo">
    <w:name w:val="Subtitle"/>
    <w:basedOn w:val="Normal"/>
    <w:next w:val="Normal"/>
    <w:link w:val="SubttuloCar"/>
    <w:uiPriority w:val="99"/>
    <w:unhideWhenUsed/>
    <w:qFormat/>
    <w:rsid w:val="00AC0270"/>
    <w:pPr>
      <w:spacing w:before="240"/>
    </w:pPr>
    <w:rPr>
      <w:rFonts w:cs="Times New Roman"/>
      <w:b/>
      <w:szCs w:val="24"/>
    </w:rPr>
  </w:style>
  <w:style w:type="character" w:customStyle="1" w:styleId="SubttuloCar">
    <w:name w:val="Subtítulo Car"/>
    <w:basedOn w:val="Fuentedeprrafopredeter"/>
    <w:link w:val="Subttulo"/>
    <w:uiPriority w:val="99"/>
    <w:rsid w:val="00651CA2"/>
    <w:rPr>
      <w:rFonts w:ascii="Times New Roman" w:hAnsi="Times New Roman" w:cs="Times New Roman"/>
      <w:b/>
      <w:sz w:val="24"/>
      <w:szCs w:val="24"/>
    </w:rPr>
  </w:style>
  <w:style w:type="character" w:customStyle="1" w:styleId="Ttulo3Car">
    <w:name w:val="Título 3 Car"/>
    <w:basedOn w:val="Fuentedeprrafopredeter"/>
    <w:link w:val="Ttulo3"/>
    <w:uiPriority w:val="2"/>
    <w:rsid w:val="005D1840"/>
    <w:rPr>
      <w:rFonts w:ascii="Times New Roman" w:eastAsiaTheme="majorEastAsia" w:hAnsi="Times New Roman" w:cstheme="majorBidi"/>
      <w:b/>
      <w:sz w:val="24"/>
      <w:szCs w:val="24"/>
    </w:rPr>
  </w:style>
  <w:style w:type="paragraph" w:styleId="Sinespaciado">
    <w:name w:val="No Spacing"/>
    <w:uiPriority w:val="99"/>
    <w:unhideWhenUsed/>
    <w:qFormat/>
    <w:rsid w:val="00A53000"/>
    <w:pPr>
      <w:spacing w:after="0" w:line="240" w:lineRule="auto"/>
    </w:pPr>
    <w:rPr>
      <w:rFonts w:ascii="Times New Roman" w:hAnsi="Times New Roman"/>
      <w:sz w:val="24"/>
    </w:rPr>
  </w:style>
  <w:style w:type="character" w:customStyle="1" w:styleId="Ttulo4Car">
    <w:name w:val="Título 4 Car"/>
    <w:basedOn w:val="Fuentedeprrafopredeter"/>
    <w:link w:val="Ttulo4"/>
    <w:uiPriority w:val="2"/>
    <w:rsid w:val="005D1840"/>
    <w:rPr>
      <w:rFonts w:ascii="Times New Roman" w:eastAsiaTheme="majorEastAsia" w:hAnsi="Times New Roman" w:cstheme="majorBidi"/>
      <w:b/>
      <w:iCs/>
      <w:sz w:val="24"/>
      <w:szCs w:val="24"/>
    </w:rPr>
  </w:style>
  <w:style w:type="character" w:customStyle="1" w:styleId="Ttulo5Car">
    <w:name w:val="Título 5 Car"/>
    <w:basedOn w:val="Fuentedeprrafopredeter"/>
    <w:link w:val="Ttulo5"/>
    <w:uiPriority w:val="2"/>
    <w:rsid w:val="005D1840"/>
    <w:rPr>
      <w:rFonts w:ascii="Times New Roman" w:eastAsiaTheme="majorEastAsia" w:hAnsi="Times New Roman" w:cstheme="majorBidi"/>
      <w:b/>
      <w:iCs/>
      <w:sz w:val="24"/>
      <w:szCs w:val="24"/>
    </w:rPr>
  </w:style>
  <w:style w:type="paragraph" w:customStyle="1" w:styleId="AuthorList">
    <w:name w:val="Author List"/>
    <w:aliases w:val="Keywords,Abstract"/>
    <w:basedOn w:val="Subttulo"/>
    <w:next w:val="Normal"/>
    <w:uiPriority w:val="1"/>
    <w:qFormat/>
    <w:rsid w:val="00651CA2"/>
  </w:style>
  <w:style w:type="character" w:styleId="nfasissutil">
    <w:name w:val="Subtle Emphasis"/>
    <w:basedOn w:val="Fuentedeprrafopredeter"/>
    <w:uiPriority w:val="19"/>
    <w:qFormat/>
    <w:rsid w:val="00C724CF"/>
    <w:rPr>
      <w:rFonts w:ascii="Times New Roman" w:hAnsi="Times New Roman"/>
      <w:i/>
      <w:iCs/>
      <w:color w:val="404040" w:themeColor="text1" w:themeTint="BF"/>
    </w:rPr>
  </w:style>
  <w:style w:type="character" w:styleId="nfasisintenso">
    <w:name w:val="Intense Emphasis"/>
    <w:basedOn w:val="Fuentedeprrafopredeter"/>
    <w:uiPriority w:val="21"/>
    <w:unhideWhenUsed/>
    <w:rsid w:val="00C724CF"/>
    <w:rPr>
      <w:rFonts w:ascii="Times New Roman" w:hAnsi="Times New Roman"/>
      <w:i/>
      <w:iCs/>
      <w:color w:val="auto"/>
    </w:rPr>
  </w:style>
  <w:style w:type="paragraph" w:styleId="Cita">
    <w:name w:val="Quote"/>
    <w:basedOn w:val="Normal"/>
    <w:next w:val="Normal"/>
    <w:link w:val="CitaCar"/>
    <w:uiPriority w:val="29"/>
    <w:qFormat/>
    <w:rsid w:val="00C724CF"/>
    <w:pPr>
      <w:spacing w:before="200" w:after="160"/>
      <w:ind w:left="864" w:right="864"/>
      <w:jc w:val="center"/>
    </w:pPr>
    <w:rPr>
      <w:i/>
      <w:iCs/>
      <w:color w:val="404040" w:themeColor="text1" w:themeTint="BF"/>
    </w:rPr>
  </w:style>
  <w:style w:type="character" w:customStyle="1" w:styleId="CitaCar">
    <w:name w:val="Cita Car"/>
    <w:basedOn w:val="Fuentedeprrafopredeter"/>
    <w:link w:val="Cita"/>
    <w:uiPriority w:val="29"/>
    <w:rsid w:val="00C724CF"/>
    <w:rPr>
      <w:rFonts w:ascii="Times New Roman" w:hAnsi="Times New Roman"/>
      <w:i/>
      <w:iCs/>
      <w:color w:val="404040" w:themeColor="text1" w:themeTint="BF"/>
      <w:sz w:val="24"/>
    </w:rPr>
  </w:style>
  <w:style w:type="character" w:styleId="Referenciaintensa">
    <w:name w:val="Intense Reference"/>
    <w:basedOn w:val="Fuentedeprrafopredeter"/>
    <w:uiPriority w:val="32"/>
    <w:qFormat/>
    <w:rsid w:val="00C724CF"/>
    <w:rPr>
      <w:b/>
      <w:bCs/>
      <w:smallCaps/>
      <w:color w:val="auto"/>
      <w:spacing w:val="5"/>
    </w:rPr>
  </w:style>
  <w:style w:type="character" w:styleId="Ttulodellibro">
    <w:name w:val="Book Title"/>
    <w:basedOn w:val="Fuentedeprrafopredeter"/>
    <w:uiPriority w:val="33"/>
    <w:qFormat/>
    <w:rsid w:val="00C724CF"/>
    <w:rPr>
      <w:rFonts w:ascii="Times New Roman" w:hAnsi="Times New Roman"/>
      <w:b/>
      <w:bCs/>
      <w:i/>
      <w:iCs/>
      <w:spacing w:val="5"/>
    </w:rPr>
  </w:style>
  <w:style w:type="numbering" w:customStyle="1" w:styleId="Headings">
    <w:name w:val="Headings"/>
    <w:uiPriority w:val="99"/>
    <w:rsid w:val="00D80D99"/>
    <w:pPr>
      <w:numPr>
        <w:numId w:val="21"/>
      </w:numPr>
    </w:pPr>
  </w:style>
  <w:style w:type="paragraph" w:styleId="Revisin">
    <w:name w:val="Revision"/>
    <w:hidden/>
    <w:uiPriority w:val="99"/>
    <w:semiHidden/>
    <w:rsid w:val="00A545C6"/>
    <w:pPr>
      <w:spacing w:after="0" w:line="240" w:lineRule="auto"/>
    </w:pPr>
    <w:rPr>
      <w:rFonts w:ascii="Times New Roman" w:hAnsi="Times New Roman"/>
      <w:sz w:val="24"/>
    </w:rPr>
  </w:style>
  <w:style w:type="character" w:styleId="Mencinsinresolver">
    <w:name w:val="Unresolved Mention"/>
    <w:basedOn w:val="Fuentedeprrafopredeter"/>
    <w:uiPriority w:val="99"/>
    <w:semiHidden/>
    <w:unhideWhenUsed/>
    <w:rsid w:val="00895308"/>
    <w:rPr>
      <w:color w:val="605E5C"/>
      <w:shd w:val="clear" w:color="auto" w:fill="E1DFDD"/>
    </w:rPr>
  </w:style>
  <w:style w:type="paragraph" w:styleId="Bibliografa">
    <w:name w:val="Bibliography"/>
    <w:basedOn w:val="Normal"/>
    <w:next w:val="Normal"/>
    <w:uiPriority w:val="37"/>
    <w:unhideWhenUsed/>
    <w:rsid w:val="00DF147F"/>
    <w:pPr>
      <w:tabs>
        <w:tab w:val="left" w:pos="384"/>
      </w:tabs>
      <w:ind w:left="384" w:hanging="384"/>
    </w:pPr>
  </w:style>
  <w:style w:type="paragraph" w:customStyle="1" w:styleId="font8">
    <w:name w:val="font_8"/>
    <w:basedOn w:val="Normal"/>
    <w:rsid w:val="00B07728"/>
    <w:pPr>
      <w:spacing w:before="100" w:beforeAutospacing="1" w:after="100" w:afterAutospacing="1"/>
    </w:pPr>
    <w:rPr>
      <w:rFonts w:eastAsia="Times New Roman" w:cs="Times New Roman"/>
      <w:szCs w:val="24"/>
      <w:lang w:val="es-ES" w:eastAsia="es-ES_tradnl"/>
    </w:rPr>
  </w:style>
  <w:style w:type="character" w:customStyle="1" w:styleId="wixguard">
    <w:name w:val="wixguard"/>
    <w:basedOn w:val="Fuentedeprrafopredeter"/>
    <w:rsid w:val="00B07728"/>
  </w:style>
  <w:style w:type="character" w:customStyle="1" w:styleId="wixui-rich-texttext">
    <w:name w:val="wixui-rich-text__text"/>
    <w:basedOn w:val="Fuentedeprrafopredeter"/>
    <w:rsid w:val="00B07728"/>
  </w:style>
  <w:style w:type="character" w:customStyle="1" w:styleId="fontstyle01">
    <w:name w:val="fontstyle01"/>
    <w:basedOn w:val="Fuentedeprrafopredeter"/>
    <w:rsid w:val="001F15E9"/>
    <w:rPr>
      <w:rFonts w:ascii="MinionPro-Regular" w:hAnsi="MinionPro-Regular" w:hint="default"/>
      <w:b w:val="0"/>
      <w:bCs w:val="0"/>
      <w:i w:val="0"/>
      <w:iCs w:val="0"/>
      <w:color w:val="DA3034"/>
      <w:sz w:val="18"/>
      <w:szCs w:val="18"/>
    </w:rPr>
  </w:style>
  <w:style w:type="paragraph" w:customStyle="1" w:styleId="Default">
    <w:name w:val="Default"/>
    <w:rsid w:val="00C86CFC"/>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styleId="HTMLconformatoprevio">
    <w:name w:val="HTML Preformatted"/>
    <w:basedOn w:val="Normal"/>
    <w:link w:val="HTMLconformatoprevioCar"/>
    <w:uiPriority w:val="99"/>
    <w:semiHidden/>
    <w:unhideWhenUsed/>
    <w:rsid w:val="001A2B12"/>
    <w:pPr>
      <w:spacing w:before="0" w:after="0"/>
    </w:pPr>
    <w:rPr>
      <w:rFonts w:ascii="Consolas" w:hAnsi="Consolas"/>
      <w:sz w:val="20"/>
      <w:szCs w:val="20"/>
    </w:rPr>
  </w:style>
  <w:style w:type="character" w:customStyle="1" w:styleId="HTMLconformatoprevioCar">
    <w:name w:val="HTML con formato previo Car"/>
    <w:basedOn w:val="Fuentedeprrafopredeter"/>
    <w:link w:val="HTMLconformatoprevio"/>
    <w:uiPriority w:val="99"/>
    <w:semiHidden/>
    <w:rsid w:val="001A2B12"/>
    <w:rPr>
      <w:rFonts w:ascii="Consolas" w:hAnsi="Consolas"/>
      <w:sz w:val="20"/>
      <w:szCs w:val="20"/>
    </w:rPr>
  </w:style>
  <w:style w:type="paragraph" w:customStyle="1" w:styleId="Bibliografa1">
    <w:name w:val="Bibliografía1"/>
    <w:basedOn w:val="Normal"/>
    <w:link w:val="BibliographyCar"/>
    <w:rsid w:val="00CF680E"/>
    <w:pPr>
      <w:tabs>
        <w:tab w:val="left" w:pos="380"/>
      </w:tabs>
      <w:spacing w:before="0"/>
      <w:ind w:left="384" w:hanging="384"/>
      <w:jc w:val="both"/>
    </w:pPr>
  </w:style>
  <w:style w:type="character" w:customStyle="1" w:styleId="BibliographyCar">
    <w:name w:val="Bibliography Car"/>
    <w:basedOn w:val="Fuentedeprrafopredeter"/>
    <w:link w:val="Bibliografa1"/>
    <w:rsid w:val="00CF680E"/>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72575">
      <w:bodyDiv w:val="1"/>
      <w:marLeft w:val="0"/>
      <w:marRight w:val="0"/>
      <w:marTop w:val="0"/>
      <w:marBottom w:val="0"/>
      <w:divBdr>
        <w:top w:val="none" w:sz="0" w:space="0" w:color="auto"/>
        <w:left w:val="none" w:sz="0" w:space="0" w:color="auto"/>
        <w:bottom w:val="none" w:sz="0" w:space="0" w:color="auto"/>
        <w:right w:val="none" w:sz="0" w:space="0" w:color="auto"/>
      </w:divBdr>
    </w:div>
    <w:div w:id="4480614">
      <w:bodyDiv w:val="1"/>
      <w:marLeft w:val="0"/>
      <w:marRight w:val="0"/>
      <w:marTop w:val="0"/>
      <w:marBottom w:val="0"/>
      <w:divBdr>
        <w:top w:val="none" w:sz="0" w:space="0" w:color="auto"/>
        <w:left w:val="none" w:sz="0" w:space="0" w:color="auto"/>
        <w:bottom w:val="none" w:sz="0" w:space="0" w:color="auto"/>
        <w:right w:val="none" w:sz="0" w:space="0" w:color="auto"/>
      </w:divBdr>
    </w:div>
    <w:div w:id="12921210">
      <w:bodyDiv w:val="1"/>
      <w:marLeft w:val="0"/>
      <w:marRight w:val="0"/>
      <w:marTop w:val="0"/>
      <w:marBottom w:val="0"/>
      <w:divBdr>
        <w:top w:val="none" w:sz="0" w:space="0" w:color="auto"/>
        <w:left w:val="none" w:sz="0" w:space="0" w:color="auto"/>
        <w:bottom w:val="none" w:sz="0" w:space="0" w:color="auto"/>
        <w:right w:val="none" w:sz="0" w:space="0" w:color="auto"/>
      </w:divBdr>
    </w:div>
    <w:div w:id="27528837">
      <w:bodyDiv w:val="1"/>
      <w:marLeft w:val="0"/>
      <w:marRight w:val="0"/>
      <w:marTop w:val="0"/>
      <w:marBottom w:val="0"/>
      <w:divBdr>
        <w:top w:val="none" w:sz="0" w:space="0" w:color="auto"/>
        <w:left w:val="none" w:sz="0" w:space="0" w:color="auto"/>
        <w:bottom w:val="none" w:sz="0" w:space="0" w:color="auto"/>
        <w:right w:val="none" w:sz="0" w:space="0" w:color="auto"/>
      </w:divBdr>
      <w:divsChild>
        <w:div w:id="379017122">
          <w:marLeft w:val="0"/>
          <w:marRight w:val="0"/>
          <w:marTop w:val="0"/>
          <w:marBottom w:val="0"/>
          <w:divBdr>
            <w:top w:val="none" w:sz="0" w:space="0" w:color="auto"/>
            <w:left w:val="none" w:sz="0" w:space="0" w:color="auto"/>
            <w:bottom w:val="none" w:sz="0" w:space="0" w:color="auto"/>
            <w:right w:val="none" w:sz="0" w:space="0" w:color="auto"/>
          </w:divBdr>
          <w:divsChild>
            <w:div w:id="2124184322">
              <w:marLeft w:val="0"/>
              <w:marRight w:val="0"/>
              <w:marTop w:val="0"/>
              <w:marBottom w:val="0"/>
              <w:divBdr>
                <w:top w:val="none" w:sz="0" w:space="0" w:color="auto"/>
                <w:left w:val="none" w:sz="0" w:space="0" w:color="auto"/>
                <w:bottom w:val="none" w:sz="0" w:space="0" w:color="auto"/>
                <w:right w:val="none" w:sz="0" w:space="0" w:color="auto"/>
              </w:divBdr>
              <w:divsChild>
                <w:div w:id="137364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952381">
      <w:bodyDiv w:val="1"/>
      <w:marLeft w:val="0"/>
      <w:marRight w:val="0"/>
      <w:marTop w:val="0"/>
      <w:marBottom w:val="0"/>
      <w:divBdr>
        <w:top w:val="none" w:sz="0" w:space="0" w:color="auto"/>
        <w:left w:val="none" w:sz="0" w:space="0" w:color="auto"/>
        <w:bottom w:val="none" w:sz="0" w:space="0" w:color="auto"/>
        <w:right w:val="none" w:sz="0" w:space="0" w:color="auto"/>
      </w:divBdr>
    </w:div>
    <w:div w:id="56779802">
      <w:bodyDiv w:val="1"/>
      <w:marLeft w:val="0"/>
      <w:marRight w:val="0"/>
      <w:marTop w:val="0"/>
      <w:marBottom w:val="0"/>
      <w:divBdr>
        <w:top w:val="none" w:sz="0" w:space="0" w:color="auto"/>
        <w:left w:val="none" w:sz="0" w:space="0" w:color="auto"/>
        <w:bottom w:val="none" w:sz="0" w:space="0" w:color="auto"/>
        <w:right w:val="none" w:sz="0" w:space="0" w:color="auto"/>
      </w:divBdr>
      <w:divsChild>
        <w:div w:id="473329201">
          <w:marLeft w:val="0"/>
          <w:marRight w:val="0"/>
          <w:marTop w:val="0"/>
          <w:marBottom w:val="0"/>
          <w:divBdr>
            <w:top w:val="none" w:sz="0" w:space="0" w:color="auto"/>
            <w:left w:val="none" w:sz="0" w:space="0" w:color="auto"/>
            <w:bottom w:val="none" w:sz="0" w:space="0" w:color="auto"/>
            <w:right w:val="none" w:sz="0" w:space="0" w:color="auto"/>
          </w:divBdr>
          <w:divsChild>
            <w:div w:id="751006265">
              <w:marLeft w:val="0"/>
              <w:marRight w:val="0"/>
              <w:marTop w:val="0"/>
              <w:marBottom w:val="0"/>
              <w:divBdr>
                <w:top w:val="none" w:sz="0" w:space="0" w:color="auto"/>
                <w:left w:val="none" w:sz="0" w:space="0" w:color="auto"/>
                <w:bottom w:val="none" w:sz="0" w:space="0" w:color="auto"/>
                <w:right w:val="none" w:sz="0" w:space="0" w:color="auto"/>
              </w:divBdr>
              <w:divsChild>
                <w:div w:id="1866022334">
                  <w:marLeft w:val="0"/>
                  <w:marRight w:val="0"/>
                  <w:marTop w:val="0"/>
                  <w:marBottom w:val="0"/>
                  <w:divBdr>
                    <w:top w:val="none" w:sz="0" w:space="0" w:color="auto"/>
                    <w:left w:val="none" w:sz="0" w:space="0" w:color="auto"/>
                    <w:bottom w:val="none" w:sz="0" w:space="0" w:color="auto"/>
                    <w:right w:val="none" w:sz="0" w:space="0" w:color="auto"/>
                  </w:divBdr>
                  <w:divsChild>
                    <w:div w:id="136343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364722">
      <w:bodyDiv w:val="1"/>
      <w:marLeft w:val="0"/>
      <w:marRight w:val="0"/>
      <w:marTop w:val="0"/>
      <w:marBottom w:val="0"/>
      <w:divBdr>
        <w:top w:val="none" w:sz="0" w:space="0" w:color="auto"/>
        <w:left w:val="none" w:sz="0" w:space="0" w:color="auto"/>
        <w:bottom w:val="none" w:sz="0" w:space="0" w:color="auto"/>
        <w:right w:val="none" w:sz="0" w:space="0" w:color="auto"/>
      </w:divBdr>
    </w:div>
    <w:div w:id="83501254">
      <w:bodyDiv w:val="1"/>
      <w:marLeft w:val="0"/>
      <w:marRight w:val="0"/>
      <w:marTop w:val="0"/>
      <w:marBottom w:val="0"/>
      <w:divBdr>
        <w:top w:val="none" w:sz="0" w:space="0" w:color="auto"/>
        <w:left w:val="none" w:sz="0" w:space="0" w:color="auto"/>
        <w:bottom w:val="none" w:sz="0" w:space="0" w:color="auto"/>
        <w:right w:val="none" w:sz="0" w:space="0" w:color="auto"/>
      </w:divBdr>
    </w:div>
    <w:div w:id="88936283">
      <w:bodyDiv w:val="1"/>
      <w:marLeft w:val="0"/>
      <w:marRight w:val="0"/>
      <w:marTop w:val="0"/>
      <w:marBottom w:val="0"/>
      <w:divBdr>
        <w:top w:val="none" w:sz="0" w:space="0" w:color="auto"/>
        <w:left w:val="none" w:sz="0" w:space="0" w:color="auto"/>
        <w:bottom w:val="none" w:sz="0" w:space="0" w:color="auto"/>
        <w:right w:val="none" w:sz="0" w:space="0" w:color="auto"/>
      </w:divBdr>
      <w:divsChild>
        <w:div w:id="781265146">
          <w:marLeft w:val="0"/>
          <w:marRight w:val="108"/>
          <w:marTop w:val="108"/>
          <w:marBottom w:val="108"/>
          <w:divBdr>
            <w:top w:val="none" w:sz="0" w:space="0" w:color="auto"/>
            <w:left w:val="none" w:sz="0" w:space="0" w:color="auto"/>
            <w:bottom w:val="none" w:sz="0" w:space="0" w:color="auto"/>
            <w:right w:val="none" w:sz="0" w:space="0" w:color="auto"/>
          </w:divBdr>
          <w:divsChild>
            <w:div w:id="2125609632">
              <w:marLeft w:val="0"/>
              <w:marRight w:val="0"/>
              <w:marTop w:val="0"/>
              <w:marBottom w:val="0"/>
              <w:divBdr>
                <w:top w:val="none" w:sz="0" w:space="0" w:color="auto"/>
                <w:left w:val="none" w:sz="0" w:space="0" w:color="auto"/>
                <w:bottom w:val="none" w:sz="0" w:space="0" w:color="auto"/>
                <w:right w:val="none" w:sz="0" w:space="0" w:color="auto"/>
              </w:divBdr>
              <w:divsChild>
                <w:div w:id="608857829">
                  <w:marLeft w:val="0"/>
                  <w:marRight w:val="108"/>
                  <w:marTop w:val="18"/>
                  <w:marBottom w:val="108"/>
                  <w:divBdr>
                    <w:top w:val="none" w:sz="0" w:space="0" w:color="auto"/>
                    <w:left w:val="none" w:sz="0" w:space="0" w:color="auto"/>
                    <w:bottom w:val="none" w:sz="0" w:space="0" w:color="auto"/>
                    <w:right w:val="none" w:sz="0" w:space="0" w:color="auto"/>
                  </w:divBdr>
                  <w:divsChild>
                    <w:div w:id="2056538902">
                      <w:marLeft w:val="0"/>
                      <w:marRight w:val="0"/>
                      <w:marTop w:val="0"/>
                      <w:marBottom w:val="0"/>
                      <w:divBdr>
                        <w:top w:val="none" w:sz="0" w:space="0" w:color="auto"/>
                        <w:left w:val="none" w:sz="0" w:space="0" w:color="auto"/>
                        <w:bottom w:val="none" w:sz="0" w:space="0" w:color="auto"/>
                        <w:right w:val="none" w:sz="0" w:space="0" w:color="auto"/>
                      </w:divBdr>
                    </w:div>
                  </w:divsChild>
                </w:div>
                <w:div w:id="704215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72814">
      <w:bodyDiv w:val="1"/>
      <w:marLeft w:val="0"/>
      <w:marRight w:val="0"/>
      <w:marTop w:val="0"/>
      <w:marBottom w:val="0"/>
      <w:divBdr>
        <w:top w:val="none" w:sz="0" w:space="0" w:color="auto"/>
        <w:left w:val="none" w:sz="0" w:space="0" w:color="auto"/>
        <w:bottom w:val="none" w:sz="0" w:space="0" w:color="auto"/>
        <w:right w:val="none" w:sz="0" w:space="0" w:color="auto"/>
      </w:divBdr>
    </w:div>
    <w:div w:id="95178188">
      <w:bodyDiv w:val="1"/>
      <w:marLeft w:val="0"/>
      <w:marRight w:val="0"/>
      <w:marTop w:val="0"/>
      <w:marBottom w:val="0"/>
      <w:divBdr>
        <w:top w:val="none" w:sz="0" w:space="0" w:color="auto"/>
        <w:left w:val="none" w:sz="0" w:space="0" w:color="auto"/>
        <w:bottom w:val="none" w:sz="0" w:space="0" w:color="auto"/>
        <w:right w:val="none" w:sz="0" w:space="0" w:color="auto"/>
      </w:divBdr>
    </w:div>
    <w:div w:id="120928503">
      <w:bodyDiv w:val="1"/>
      <w:marLeft w:val="0"/>
      <w:marRight w:val="0"/>
      <w:marTop w:val="0"/>
      <w:marBottom w:val="0"/>
      <w:divBdr>
        <w:top w:val="none" w:sz="0" w:space="0" w:color="auto"/>
        <w:left w:val="none" w:sz="0" w:space="0" w:color="auto"/>
        <w:bottom w:val="none" w:sz="0" w:space="0" w:color="auto"/>
        <w:right w:val="none" w:sz="0" w:space="0" w:color="auto"/>
      </w:divBdr>
      <w:divsChild>
        <w:div w:id="1337270518">
          <w:marLeft w:val="0"/>
          <w:marRight w:val="0"/>
          <w:marTop w:val="0"/>
          <w:marBottom w:val="0"/>
          <w:divBdr>
            <w:top w:val="none" w:sz="0" w:space="0" w:color="auto"/>
            <w:left w:val="none" w:sz="0" w:space="0" w:color="auto"/>
            <w:bottom w:val="none" w:sz="0" w:space="0" w:color="auto"/>
            <w:right w:val="none" w:sz="0" w:space="0" w:color="auto"/>
          </w:divBdr>
          <w:divsChild>
            <w:div w:id="464467477">
              <w:marLeft w:val="0"/>
              <w:marRight w:val="0"/>
              <w:marTop w:val="0"/>
              <w:marBottom w:val="0"/>
              <w:divBdr>
                <w:top w:val="none" w:sz="0" w:space="0" w:color="auto"/>
                <w:left w:val="none" w:sz="0" w:space="0" w:color="auto"/>
                <w:bottom w:val="none" w:sz="0" w:space="0" w:color="auto"/>
                <w:right w:val="none" w:sz="0" w:space="0" w:color="auto"/>
              </w:divBdr>
              <w:divsChild>
                <w:div w:id="7289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64311">
      <w:bodyDiv w:val="1"/>
      <w:marLeft w:val="0"/>
      <w:marRight w:val="0"/>
      <w:marTop w:val="0"/>
      <w:marBottom w:val="0"/>
      <w:divBdr>
        <w:top w:val="none" w:sz="0" w:space="0" w:color="auto"/>
        <w:left w:val="none" w:sz="0" w:space="0" w:color="auto"/>
        <w:bottom w:val="none" w:sz="0" w:space="0" w:color="auto"/>
        <w:right w:val="none" w:sz="0" w:space="0" w:color="auto"/>
      </w:divBdr>
      <w:divsChild>
        <w:div w:id="1653555531">
          <w:marLeft w:val="0"/>
          <w:marRight w:val="0"/>
          <w:marTop w:val="0"/>
          <w:marBottom w:val="0"/>
          <w:divBdr>
            <w:top w:val="none" w:sz="0" w:space="0" w:color="auto"/>
            <w:left w:val="none" w:sz="0" w:space="0" w:color="auto"/>
            <w:bottom w:val="none" w:sz="0" w:space="0" w:color="auto"/>
            <w:right w:val="none" w:sz="0" w:space="0" w:color="auto"/>
          </w:divBdr>
          <w:divsChild>
            <w:div w:id="1613628752">
              <w:marLeft w:val="0"/>
              <w:marRight w:val="0"/>
              <w:marTop w:val="0"/>
              <w:marBottom w:val="0"/>
              <w:divBdr>
                <w:top w:val="none" w:sz="0" w:space="0" w:color="auto"/>
                <w:left w:val="none" w:sz="0" w:space="0" w:color="auto"/>
                <w:bottom w:val="none" w:sz="0" w:space="0" w:color="auto"/>
                <w:right w:val="none" w:sz="0" w:space="0" w:color="auto"/>
              </w:divBdr>
              <w:divsChild>
                <w:div w:id="1389454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488189">
      <w:bodyDiv w:val="1"/>
      <w:marLeft w:val="0"/>
      <w:marRight w:val="0"/>
      <w:marTop w:val="0"/>
      <w:marBottom w:val="0"/>
      <w:divBdr>
        <w:top w:val="none" w:sz="0" w:space="0" w:color="auto"/>
        <w:left w:val="none" w:sz="0" w:space="0" w:color="auto"/>
        <w:bottom w:val="none" w:sz="0" w:space="0" w:color="auto"/>
        <w:right w:val="none" w:sz="0" w:space="0" w:color="auto"/>
      </w:divBdr>
      <w:divsChild>
        <w:div w:id="2059821990">
          <w:marLeft w:val="0"/>
          <w:marRight w:val="0"/>
          <w:marTop w:val="0"/>
          <w:marBottom w:val="0"/>
          <w:divBdr>
            <w:top w:val="single" w:sz="2" w:space="0" w:color="E3E3E3"/>
            <w:left w:val="single" w:sz="2" w:space="0" w:color="E3E3E3"/>
            <w:bottom w:val="single" w:sz="2" w:space="0" w:color="E3E3E3"/>
            <w:right w:val="single" w:sz="2" w:space="0" w:color="E3E3E3"/>
          </w:divBdr>
          <w:divsChild>
            <w:div w:id="7101089">
              <w:marLeft w:val="0"/>
              <w:marRight w:val="0"/>
              <w:marTop w:val="100"/>
              <w:marBottom w:val="100"/>
              <w:divBdr>
                <w:top w:val="single" w:sz="2" w:space="0" w:color="E3E3E3"/>
                <w:left w:val="single" w:sz="2" w:space="0" w:color="E3E3E3"/>
                <w:bottom w:val="single" w:sz="2" w:space="0" w:color="E3E3E3"/>
                <w:right w:val="single" w:sz="2" w:space="0" w:color="E3E3E3"/>
              </w:divBdr>
              <w:divsChild>
                <w:div w:id="181207110">
                  <w:marLeft w:val="0"/>
                  <w:marRight w:val="0"/>
                  <w:marTop w:val="0"/>
                  <w:marBottom w:val="0"/>
                  <w:divBdr>
                    <w:top w:val="single" w:sz="2" w:space="0" w:color="E3E3E3"/>
                    <w:left w:val="single" w:sz="2" w:space="0" w:color="E3E3E3"/>
                    <w:bottom w:val="single" w:sz="2" w:space="0" w:color="E3E3E3"/>
                    <w:right w:val="single" w:sz="2" w:space="0" w:color="E3E3E3"/>
                  </w:divBdr>
                  <w:divsChild>
                    <w:div w:id="1868103840">
                      <w:marLeft w:val="0"/>
                      <w:marRight w:val="0"/>
                      <w:marTop w:val="0"/>
                      <w:marBottom w:val="0"/>
                      <w:divBdr>
                        <w:top w:val="single" w:sz="2" w:space="0" w:color="E3E3E3"/>
                        <w:left w:val="single" w:sz="2" w:space="0" w:color="E3E3E3"/>
                        <w:bottom w:val="single" w:sz="2" w:space="0" w:color="E3E3E3"/>
                        <w:right w:val="single" w:sz="2" w:space="0" w:color="E3E3E3"/>
                      </w:divBdr>
                      <w:divsChild>
                        <w:div w:id="293412986">
                          <w:marLeft w:val="0"/>
                          <w:marRight w:val="0"/>
                          <w:marTop w:val="0"/>
                          <w:marBottom w:val="0"/>
                          <w:divBdr>
                            <w:top w:val="single" w:sz="2" w:space="0" w:color="E3E3E3"/>
                            <w:left w:val="single" w:sz="2" w:space="0" w:color="E3E3E3"/>
                            <w:bottom w:val="single" w:sz="2" w:space="0" w:color="E3E3E3"/>
                            <w:right w:val="single" w:sz="2" w:space="0" w:color="E3E3E3"/>
                          </w:divBdr>
                          <w:divsChild>
                            <w:div w:id="1479303292">
                              <w:marLeft w:val="0"/>
                              <w:marRight w:val="0"/>
                              <w:marTop w:val="0"/>
                              <w:marBottom w:val="0"/>
                              <w:divBdr>
                                <w:top w:val="single" w:sz="2" w:space="0" w:color="E3E3E3"/>
                                <w:left w:val="single" w:sz="2" w:space="0" w:color="E3E3E3"/>
                                <w:bottom w:val="single" w:sz="2" w:space="0" w:color="E3E3E3"/>
                                <w:right w:val="single" w:sz="2" w:space="0" w:color="E3E3E3"/>
                              </w:divBdr>
                              <w:divsChild>
                                <w:div w:id="1516992452">
                                  <w:marLeft w:val="0"/>
                                  <w:marRight w:val="0"/>
                                  <w:marTop w:val="0"/>
                                  <w:marBottom w:val="0"/>
                                  <w:divBdr>
                                    <w:top w:val="single" w:sz="2" w:space="0" w:color="E3E3E3"/>
                                    <w:left w:val="single" w:sz="2" w:space="0" w:color="E3E3E3"/>
                                    <w:bottom w:val="single" w:sz="2" w:space="0" w:color="E3E3E3"/>
                                    <w:right w:val="single" w:sz="2" w:space="0" w:color="E3E3E3"/>
                                  </w:divBdr>
                                  <w:divsChild>
                                    <w:div w:id="114650945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154107688">
      <w:bodyDiv w:val="1"/>
      <w:marLeft w:val="0"/>
      <w:marRight w:val="0"/>
      <w:marTop w:val="0"/>
      <w:marBottom w:val="0"/>
      <w:divBdr>
        <w:top w:val="none" w:sz="0" w:space="0" w:color="auto"/>
        <w:left w:val="none" w:sz="0" w:space="0" w:color="auto"/>
        <w:bottom w:val="none" w:sz="0" w:space="0" w:color="auto"/>
        <w:right w:val="none" w:sz="0" w:space="0" w:color="auto"/>
      </w:divBdr>
      <w:divsChild>
        <w:div w:id="1981768481">
          <w:marLeft w:val="0"/>
          <w:marRight w:val="0"/>
          <w:marTop w:val="0"/>
          <w:marBottom w:val="0"/>
          <w:divBdr>
            <w:top w:val="none" w:sz="0" w:space="0" w:color="auto"/>
            <w:left w:val="none" w:sz="0" w:space="0" w:color="auto"/>
            <w:bottom w:val="none" w:sz="0" w:space="0" w:color="auto"/>
            <w:right w:val="none" w:sz="0" w:space="0" w:color="auto"/>
          </w:divBdr>
          <w:divsChild>
            <w:div w:id="926380460">
              <w:marLeft w:val="0"/>
              <w:marRight w:val="0"/>
              <w:marTop w:val="0"/>
              <w:marBottom w:val="0"/>
              <w:divBdr>
                <w:top w:val="none" w:sz="0" w:space="0" w:color="auto"/>
                <w:left w:val="none" w:sz="0" w:space="0" w:color="auto"/>
                <w:bottom w:val="none" w:sz="0" w:space="0" w:color="auto"/>
                <w:right w:val="none" w:sz="0" w:space="0" w:color="auto"/>
              </w:divBdr>
              <w:divsChild>
                <w:div w:id="1332758895">
                  <w:marLeft w:val="0"/>
                  <w:marRight w:val="0"/>
                  <w:marTop w:val="0"/>
                  <w:marBottom w:val="0"/>
                  <w:divBdr>
                    <w:top w:val="none" w:sz="0" w:space="0" w:color="auto"/>
                    <w:left w:val="none" w:sz="0" w:space="0" w:color="auto"/>
                    <w:bottom w:val="none" w:sz="0" w:space="0" w:color="auto"/>
                    <w:right w:val="none" w:sz="0" w:space="0" w:color="auto"/>
                  </w:divBdr>
                  <w:divsChild>
                    <w:div w:id="62573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666864">
      <w:bodyDiv w:val="1"/>
      <w:marLeft w:val="0"/>
      <w:marRight w:val="0"/>
      <w:marTop w:val="0"/>
      <w:marBottom w:val="0"/>
      <w:divBdr>
        <w:top w:val="none" w:sz="0" w:space="0" w:color="auto"/>
        <w:left w:val="none" w:sz="0" w:space="0" w:color="auto"/>
        <w:bottom w:val="none" w:sz="0" w:space="0" w:color="auto"/>
        <w:right w:val="none" w:sz="0" w:space="0" w:color="auto"/>
      </w:divBdr>
    </w:div>
    <w:div w:id="170461221">
      <w:bodyDiv w:val="1"/>
      <w:marLeft w:val="0"/>
      <w:marRight w:val="0"/>
      <w:marTop w:val="0"/>
      <w:marBottom w:val="0"/>
      <w:divBdr>
        <w:top w:val="none" w:sz="0" w:space="0" w:color="auto"/>
        <w:left w:val="none" w:sz="0" w:space="0" w:color="auto"/>
        <w:bottom w:val="none" w:sz="0" w:space="0" w:color="auto"/>
        <w:right w:val="none" w:sz="0" w:space="0" w:color="auto"/>
      </w:divBdr>
    </w:div>
    <w:div w:id="171993267">
      <w:bodyDiv w:val="1"/>
      <w:marLeft w:val="0"/>
      <w:marRight w:val="0"/>
      <w:marTop w:val="0"/>
      <w:marBottom w:val="0"/>
      <w:divBdr>
        <w:top w:val="none" w:sz="0" w:space="0" w:color="auto"/>
        <w:left w:val="none" w:sz="0" w:space="0" w:color="auto"/>
        <w:bottom w:val="none" w:sz="0" w:space="0" w:color="auto"/>
        <w:right w:val="none" w:sz="0" w:space="0" w:color="auto"/>
      </w:divBdr>
    </w:div>
    <w:div w:id="179052928">
      <w:bodyDiv w:val="1"/>
      <w:marLeft w:val="0"/>
      <w:marRight w:val="0"/>
      <w:marTop w:val="0"/>
      <w:marBottom w:val="0"/>
      <w:divBdr>
        <w:top w:val="none" w:sz="0" w:space="0" w:color="auto"/>
        <w:left w:val="none" w:sz="0" w:space="0" w:color="auto"/>
        <w:bottom w:val="none" w:sz="0" w:space="0" w:color="auto"/>
        <w:right w:val="none" w:sz="0" w:space="0" w:color="auto"/>
      </w:divBdr>
      <w:divsChild>
        <w:div w:id="1435056289">
          <w:marLeft w:val="0"/>
          <w:marRight w:val="0"/>
          <w:marTop w:val="0"/>
          <w:marBottom w:val="0"/>
          <w:divBdr>
            <w:top w:val="none" w:sz="0" w:space="0" w:color="auto"/>
            <w:left w:val="none" w:sz="0" w:space="0" w:color="auto"/>
            <w:bottom w:val="none" w:sz="0" w:space="0" w:color="auto"/>
            <w:right w:val="none" w:sz="0" w:space="0" w:color="auto"/>
          </w:divBdr>
          <w:divsChild>
            <w:div w:id="64304431">
              <w:marLeft w:val="0"/>
              <w:marRight w:val="0"/>
              <w:marTop w:val="0"/>
              <w:marBottom w:val="0"/>
              <w:divBdr>
                <w:top w:val="none" w:sz="0" w:space="0" w:color="auto"/>
                <w:left w:val="none" w:sz="0" w:space="0" w:color="auto"/>
                <w:bottom w:val="none" w:sz="0" w:space="0" w:color="auto"/>
                <w:right w:val="none" w:sz="0" w:space="0" w:color="auto"/>
              </w:divBdr>
              <w:divsChild>
                <w:div w:id="1891073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29338">
      <w:bodyDiv w:val="1"/>
      <w:marLeft w:val="0"/>
      <w:marRight w:val="0"/>
      <w:marTop w:val="0"/>
      <w:marBottom w:val="0"/>
      <w:divBdr>
        <w:top w:val="none" w:sz="0" w:space="0" w:color="auto"/>
        <w:left w:val="none" w:sz="0" w:space="0" w:color="auto"/>
        <w:bottom w:val="none" w:sz="0" w:space="0" w:color="auto"/>
        <w:right w:val="none" w:sz="0" w:space="0" w:color="auto"/>
      </w:divBdr>
      <w:divsChild>
        <w:div w:id="1799298781">
          <w:marLeft w:val="0"/>
          <w:marRight w:val="108"/>
          <w:marTop w:val="18"/>
          <w:marBottom w:val="108"/>
          <w:divBdr>
            <w:top w:val="none" w:sz="0" w:space="0" w:color="auto"/>
            <w:left w:val="none" w:sz="0" w:space="0" w:color="auto"/>
            <w:bottom w:val="none" w:sz="0" w:space="0" w:color="auto"/>
            <w:right w:val="none" w:sz="0" w:space="0" w:color="auto"/>
          </w:divBdr>
          <w:divsChild>
            <w:div w:id="1360662305">
              <w:marLeft w:val="0"/>
              <w:marRight w:val="0"/>
              <w:marTop w:val="0"/>
              <w:marBottom w:val="0"/>
              <w:divBdr>
                <w:top w:val="none" w:sz="0" w:space="0" w:color="auto"/>
                <w:left w:val="none" w:sz="0" w:space="0" w:color="auto"/>
                <w:bottom w:val="none" w:sz="0" w:space="0" w:color="auto"/>
                <w:right w:val="none" w:sz="0" w:space="0" w:color="auto"/>
              </w:divBdr>
              <w:divsChild>
                <w:div w:id="1859079072">
                  <w:marLeft w:val="0"/>
                  <w:marRight w:val="0"/>
                  <w:marTop w:val="0"/>
                  <w:marBottom w:val="0"/>
                  <w:divBdr>
                    <w:top w:val="none" w:sz="0" w:space="0" w:color="auto"/>
                    <w:left w:val="none" w:sz="0" w:space="0" w:color="auto"/>
                    <w:bottom w:val="none" w:sz="0" w:space="0" w:color="auto"/>
                    <w:right w:val="none" w:sz="0" w:space="0" w:color="auto"/>
                  </w:divBdr>
                  <w:divsChild>
                    <w:div w:id="1410300056">
                      <w:marLeft w:val="0"/>
                      <w:marRight w:val="0"/>
                      <w:marTop w:val="0"/>
                      <w:marBottom w:val="0"/>
                      <w:divBdr>
                        <w:top w:val="none" w:sz="0" w:space="0" w:color="auto"/>
                        <w:left w:val="none" w:sz="0" w:space="0" w:color="auto"/>
                        <w:bottom w:val="none" w:sz="0" w:space="0" w:color="auto"/>
                        <w:right w:val="none" w:sz="0" w:space="0" w:color="auto"/>
                      </w:divBdr>
                      <w:divsChild>
                        <w:div w:id="1252203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6429863">
      <w:bodyDiv w:val="1"/>
      <w:marLeft w:val="0"/>
      <w:marRight w:val="0"/>
      <w:marTop w:val="0"/>
      <w:marBottom w:val="0"/>
      <w:divBdr>
        <w:top w:val="none" w:sz="0" w:space="0" w:color="auto"/>
        <w:left w:val="none" w:sz="0" w:space="0" w:color="auto"/>
        <w:bottom w:val="none" w:sz="0" w:space="0" w:color="auto"/>
        <w:right w:val="none" w:sz="0" w:space="0" w:color="auto"/>
      </w:divBdr>
    </w:div>
    <w:div w:id="226575063">
      <w:bodyDiv w:val="1"/>
      <w:marLeft w:val="0"/>
      <w:marRight w:val="0"/>
      <w:marTop w:val="0"/>
      <w:marBottom w:val="0"/>
      <w:divBdr>
        <w:top w:val="none" w:sz="0" w:space="0" w:color="auto"/>
        <w:left w:val="none" w:sz="0" w:space="0" w:color="auto"/>
        <w:bottom w:val="none" w:sz="0" w:space="0" w:color="auto"/>
        <w:right w:val="none" w:sz="0" w:space="0" w:color="auto"/>
      </w:divBdr>
    </w:div>
    <w:div w:id="265580344">
      <w:bodyDiv w:val="1"/>
      <w:marLeft w:val="0"/>
      <w:marRight w:val="0"/>
      <w:marTop w:val="0"/>
      <w:marBottom w:val="0"/>
      <w:divBdr>
        <w:top w:val="none" w:sz="0" w:space="0" w:color="auto"/>
        <w:left w:val="none" w:sz="0" w:space="0" w:color="auto"/>
        <w:bottom w:val="none" w:sz="0" w:space="0" w:color="auto"/>
        <w:right w:val="none" w:sz="0" w:space="0" w:color="auto"/>
      </w:divBdr>
      <w:divsChild>
        <w:div w:id="38744785">
          <w:marLeft w:val="0"/>
          <w:marRight w:val="0"/>
          <w:marTop w:val="0"/>
          <w:marBottom w:val="0"/>
          <w:divBdr>
            <w:top w:val="none" w:sz="0" w:space="0" w:color="auto"/>
            <w:left w:val="none" w:sz="0" w:space="0" w:color="auto"/>
            <w:bottom w:val="none" w:sz="0" w:space="0" w:color="auto"/>
            <w:right w:val="none" w:sz="0" w:space="0" w:color="auto"/>
          </w:divBdr>
          <w:divsChild>
            <w:div w:id="1724135434">
              <w:marLeft w:val="0"/>
              <w:marRight w:val="0"/>
              <w:marTop w:val="0"/>
              <w:marBottom w:val="0"/>
              <w:divBdr>
                <w:top w:val="none" w:sz="0" w:space="0" w:color="auto"/>
                <w:left w:val="none" w:sz="0" w:space="0" w:color="auto"/>
                <w:bottom w:val="none" w:sz="0" w:space="0" w:color="auto"/>
                <w:right w:val="none" w:sz="0" w:space="0" w:color="auto"/>
              </w:divBdr>
              <w:divsChild>
                <w:div w:id="537860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2923728">
      <w:bodyDiv w:val="1"/>
      <w:marLeft w:val="0"/>
      <w:marRight w:val="0"/>
      <w:marTop w:val="0"/>
      <w:marBottom w:val="0"/>
      <w:divBdr>
        <w:top w:val="none" w:sz="0" w:space="0" w:color="auto"/>
        <w:left w:val="none" w:sz="0" w:space="0" w:color="auto"/>
        <w:bottom w:val="none" w:sz="0" w:space="0" w:color="auto"/>
        <w:right w:val="none" w:sz="0" w:space="0" w:color="auto"/>
      </w:divBdr>
    </w:div>
    <w:div w:id="283662744">
      <w:bodyDiv w:val="1"/>
      <w:marLeft w:val="0"/>
      <w:marRight w:val="0"/>
      <w:marTop w:val="0"/>
      <w:marBottom w:val="0"/>
      <w:divBdr>
        <w:top w:val="none" w:sz="0" w:space="0" w:color="auto"/>
        <w:left w:val="none" w:sz="0" w:space="0" w:color="auto"/>
        <w:bottom w:val="none" w:sz="0" w:space="0" w:color="auto"/>
        <w:right w:val="none" w:sz="0" w:space="0" w:color="auto"/>
      </w:divBdr>
    </w:div>
    <w:div w:id="312683755">
      <w:bodyDiv w:val="1"/>
      <w:marLeft w:val="0"/>
      <w:marRight w:val="0"/>
      <w:marTop w:val="0"/>
      <w:marBottom w:val="0"/>
      <w:divBdr>
        <w:top w:val="none" w:sz="0" w:space="0" w:color="auto"/>
        <w:left w:val="none" w:sz="0" w:space="0" w:color="auto"/>
        <w:bottom w:val="none" w:sz="0" w:space="0" w:color="auto"/>
        <w:right w:val="none" w:sz="0" w:space="0" w:color="auto"/>
      </w:divBdr>
      <w:divsChild>
        <w:div w:id="2078167343">
          <w:marLeft w:val="0"/>
          <w:marRight w:val="0"/>
          <w:marTop w:val="0"/>
          <w:marBottom w:val="0"/>
          <w:divBdr>
            <w:top w:val="none" w:sz="0" w:space="0" w:color="auto"/>
            <w:left w:val="none" w:sz="0" w:space="0" w:color="auto"/>
            <w:bottom w:val="none" w:sz="0" w:space="0" w:color="auto"/>
            <w:right w:val="none" w:sz="0" w:space="0" w:color="auto"/>
          </w:divBdr>
          <w:divsChild>
            <w:div w:id="180751971">
              <w:marLeft w:val="0"/>
              <w:marRight w:val="0"/>
              <w:marTop w:val="0"/>
              <w:marBottom w:val="0"/>
              <w:divBdr>
                <w:top w:val="none" w:sz="0" w:space="0" w:color="auto"/>
                <w:left w:val="none" w:sz="0" w:space="0" w:color="auto"/>
                <w:bottom w:val="none" w:sz="0" w:space="0" w:color="auto"/>
                <w:right w:val="none" w:sz="0" w:space="0" w:color="auto"/>
              </w:divBdr>
              <w:divsChild>
                <w:div w:id="766541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0254591">
      <w:bodyDiv w:val="1"/>
      <w:marLeft w:val="0"/>
      <w:marRight w:val="0"/>
      <w:marTop w:val="0"/>
      <w:marBottom w:val="0"/>
      <w:divBdr>
        <w:top w:val="none" w:sz="0" w:space="0" w:color="auto"/>
        <w:left w:val="none" w:sz="0" w:space="0" w:color="auto"/>
        <w:bottom w:val="none" w:sz="0" w:space="0" w:color="auto"/>
        <w:right w:val="none" w:sz="0" w:space="0" w:color="auto"/>
      </w:divBdr>
    </w:div>
    <w:div w:id="365713761">
      <w:bodyDiv w:val="1"/>
      <w:marLeft w:val="0"/>
      <w:marRight w:val="0"/>
      <w:marTop w:val="0"/>
      <w:marBottom w:val="0"/>
      <w:divBdr>
        <w:top w:val="none" w:sz="0" w:space="0" w:color="auto"/>
        <w:left w:val="none" w:sz="0" w:space="0" w:color="auto"/>
        <w:bottom w:val="none" w:sz="0" w:space="0" w:color="auto"/>
        <w:right w:val="none" w:sz="0" w:space="0" w:color="auto"/>
      </w:divBdr>
      <w:divsChild>
        <w:div w:id="1811241914">
          <w:marLeft w:val="0"/>
          <w:marRight w:val="108"/>
          <w:marTop w:val="18"/>
          <w:marBottom w:val="108"/>
          <w:divBdr>
            <w:top w:val="none" w:sz="0" w:space="0" w:color="auto"/>
            <w:left w:val="none" w:sz="0" w:space="0" w:color="auto"/>
            <w:bottom w:val="none" w:sz="0" w:space="0" w:color="auto"/>
            <w:right w:val="none" w:sz="0" w:space="0" w:color="auto"/>
          </w:divBdr>
          <w:divsChild>
            <w:div w:id="1564945644">
              <w:marLeft w:val="0"/>
              <w:marRight w:val="0"/>
              <w:marTop w:val="0"/>
              <w:marBottom w:val="0"/>
              <w:divBdr>
                <w:top w:val="none" w:sz="0" w:space="0" w:color="auto"/>
                <w:left w:val="none" w:sz="0" w:space="0" w:color="auto"/>
                <w:bottom w:val="none" w:sz="0" w:space="0" w:color="auto"/>
                <w:right w:val="none" w:sz="0" w:space="0" w:color="auto"/>
              </w:divBdr>
              <w:divsChild>
                <w:div w:id="1881701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335732">
      <w:bodyDiv w:val="1"/>
      <w:marLeft w:val="0"/>
      <w:marRight w:val="0"/>
      <w:marTop w:val="0"/>
      <w:marBottom w:val="0"/>
      <w:divBdr>
        <w:top w:val="none" w:sz="0" w:space="0" w:color="auto"/>
        <w:left w:val="none" w:sz="0" w:space="0" w:color="auto"/>
        <w:bottom w:val="none" w:sz="0" w:space="0" w:color="auto"/>
        <w:right w:val="none" w:sz="0" w:space="0" w:color="auto"/>
      </w:divBdr>
    </w:div>
    <w:div w:id="372387602">
      <w:bodyDiv w:val="1"/>
      <w:marLeft w:val="0"/>
      <w:marRight w:val="0"/>
      <w:marTop w:val="0"/>
      <w:marBottom w:val="0"/>
      <w:divBdr>
        <w:top w:val="none" w:sz="0" w:space="0" w:color="auto"/>
        <w:left w:val="none" w:sz="0" w:space="0" w:color="auto"/>
        <w:bottom w:val="none" w:sz="0" w:space="0" w:color="auto"/>
        <w:right w:val="none" w:sz="0" w:space="0" w:color="auto"/>
      </w:divBdr>
    </w:div>
    <w:div w:id="382994401">
      <w:bodyDiv w:val="1"/>
      <w:marLeft w:val="0"/>
      <w:marRight w:val="0"/>
      <w:marTop w:val="0"/>
      <w:marBottom w:val="0"/>
      <w:divBdr>
        <w:top w:val="none" w:sz="0" w:space="0" w:color="auto"/>
        <w:left w:val="none" w:sz="0" w:space="0" w:color="auto"/>
        <w:bottom w:val="none" w:sz="0" w:space="0" w:color="auto"/>
        <w:right w:val="none" w:sz="0" w:space="0" w:color="auto"/>
      </w:divBdr>
    </w:div>
    <w:div w:id="389039682">
      <w:bodyDiv w:val="1"/>
      <w:marLeft w:val="0"/>
      <w:marRight w:val="0"/>
      <w:marTop w:val="0"/>
      <w:marBottom w:val="0"/>
      <w:divBdr>
        <w:top w:val="none" w:sz="0" w:space="0" w:color="auto"/>
        <w:left w:val="none" w:sz="0" w:space="0" w:color="auto"/>
        <w:bottom w:val="none" w:sz="0" w:space="0" w:color="auto"/>
        <w:right w:val="none" w:sz="0" w:space="0" w:color="auto"/>
      </w:divBdr>
      <w:divsChild>
        <w:div w:id="254676994">
          <w:marLeft w:val="0"/>
          <w:marRight w:val="0"/>
          <w:marTop w:val="0"/>
          <w:marBottom w:val="0"/>
          <w:divBdr>
            <w:top w:val="none" w:sz="0" w:space="0" w:color="auto"/>
            <w:left w:val="none" w:sz="0" w:space="0" w:color="auto"/>
            <w:bottom w:val="none" w:sz="0" w:space="0" w:color="auto"/>
            <w:right w:val="none" w:sz="0" w:space="0" w:color="auto"/>
          </w:divBdr>
          <w:divsChild>
            <w:div w:id="254633411">
              <w:marLeft w:val="0"/>
              <w:marRight w:val="0"/>
              <w:marTop w:val="0"/>
              <w:marBottom w:val="0"/>
              <w:divBdr>
                <w:top w:val="none" w:sz="0" w:space="0" w:color="auto"/>
                <w:left w:val="none" w:sz="0" w:space="0" w:color="auto"/>
                <w:bottom w:val="none" w:sz="0" w:space="0" w:color="auto"/>
                <w:right w:val="none" w:sz="0" w:space="0" w:color="auto"/>
              </w:divBdr>
              <w:divsChild>
                <w:div w:id="625476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5977575">
      <w:bodyDiv w:val="1"/>
      <w:marLeft w:val="0"/>
      <w:marRight w:val="0"/>
      <w:marTop w:val="0"/>
      <w:marBottom w:val="0"/>
      <w:divBdr>
        <w:top w:val="none" w:sz="0" w:space="0" w:color="auto"/>
        <w:left w:val="none" w:sz="0" w:space="0" w:color="auto"/>
        <w:bottom w:val="none" w:sz="0" w:space="0" w:color="auto"/>
        <w:right w:val="none" w:sz="0" w:space="0" w:color="auto"/>
      </w:divBdr>
    </w:div>
    <w:div w:id="424159046">
      <w:bodyDiv w:val="1"/>
      <w:marLeft w:val="0"/>
      <w:marRight w:val="0"/>
      <w:marTop w:val="0"/>
      <w:marBottom w:val="0"/>
      <w:divBdr>
        <w:top w:val="none" w:sz="0" w:space="0" w:color="auto"/>
        <w:left w:val="none" w:sz="0" w:space="0" w:color="auto"/>
        <w:bottom w:val="none" w:sz="0" w:space="0" w:color="auto"/>
        <w:right w:val="none" w:sz="0" w:space="0" w:color="auto"/>
      </w:divBdr>
      <w:divsChild>
        <w:div w:id="410349686">
          <w:marLeft w:val="0"/>
          <w:marRight w:val="0"/>
          <w:marTop w:val="0"/>
          <w:marBottom w:val="0"/>
          <w:divBdr>
            <w:top w:val="none" w:sz="0" w:space="0" w:color="auto"/>
            <w:left w:val="none" w:sz="0" w:space="0" w:color="auto"/>
            <w:bottom w:val="none" w:sz="0" w:space="0" w:color="auto"/>
            <w:right w:val="none" w:sz="0" w:space="0" w:color="auto"/>
          </w:divBdr>
          <w:divsChild>
            <w:div w:id="1227912998">
              <w:marLeft w:val="0"/>
              <w:marRight w:val="0"/>
              <w:marTop w:val="0"/>
              <w:marBottom w:val="0"/>
              <w:divBdr>
                <w:top w:val="none" w:sz="0" w:space="0" w:color="auto"/>
                <w:left w:val="none" w:sz="0" w:space="0" w:color="auto"/>
                <w:bottom w:val="none" w:sz="0" w:space="0" w:color="auto"/>
                <w:right w:val="none" w:sz="0" w:space="0" w:color="auto"/>
              </w:divBdr>
              <w:divsChild>
                <w:div w:id="68074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262225">
      <w:bodyDiv w:val="1"/>
      <w:marLeft w:val="0"/>
      <w:marRight w:val="0"/>
      <w:marTop w:val="0"/>
      <w:marBottom w:val="0"/>
      <w:divBdr>
        <w:top w:val="none" w:sz="0" w:space="0" w:color="auto"/>
        <w:left w:val="none" w:sz="0" w:space="0" w:color="auto"/>
        <w:bottom w:val="none" w:sz="0" w:space="0" w:color="auto"/>
        <w:right w:val="none" w:sz="0" w:space="0" w:color="auto"/>
      </w:divBdr>
    </w:div>
    <w:div w:id="452099221">
      <w:bodyDiv w:val="1"/>
      <w:marLeft w:val="0"/>
      <w:marRight w:val="0"/>
      <w:marTop w:val="0"/>
      <w:marBottom w:val="0"/>
      <w:divBdr>
        <w:top w:val="none" w:sz="0" w:space="0" w:color="auto"/>
        <w:left w:val="none" w:sz="0" w:space="0" w:color="auto"/>
        <w:bottom w:val="none" w:sz="0" w:space="0" w:color="auto"/>
        <w:right w:val="none" w:sz="0" w:space="0" w:color="auto"/>
      </w:divBdr>
    </w:div>
    <w:div w:id="469056477">
      <w:bodyDiv w:val="1"/>
      <w:marLeft w:val="0"/>
      <w:marRight w:val="0"/>
      <w:marTop w:val="0"/>
      <w:marBottom w:val="0"/>
      <w:divBdr>
        <w:top w:val="none" w:sz="0" w:space="0" w:color="auto"/>
        <w:left w:val="none" w:sz="0" w:space="0" w:color="auto"/>
        <w:bottom w:val="none" w:sz="0" w:space="0" w:color="auto"/>
        <w:right w:val="none" w:sz="0" w:space="0" w:color="auto"/>
      </w:divBdr>
    </w:div>
    <w:div w:id="476724946">
      <w:bodyDiv w:val="1"/>
      <w:marLeft w:val="0"/>
      <w:marRight w:val="0"/>
      <w:marTop w:val="0"/>
      <w:marBottom w:val="0"/>
      <w:divBdr>
        <w:top w:val="none" w:sz="0" w:space="0" w:color="auto"/>
        <w:left w:val="none" w:sz="0" w:space="0" w:color="auto"/>
        <w:bottom w:val="none" w:sz="0" w:space="0" w:color="auto"/>
        <w:right w:val="none" w:sz="0" w:space="0" w:color="auto"/>
      </w:divBdr>
    </w:div>
    <w:div w:id="497503600">
      <w:bodyDiv w:val="1"/>
      <w:marLeft w:val="0"/>
      <w:marRight w:val="0"/>
      <w:marTop w:val="0"/>
      <w:marBottom w:val="0"/>
      <w:divBdr>
        <w:top w:val="none" w:sz="0" w:space="0" w:color="auto"/>
        <w:left w:val="none" w:sz="0" w:space="0" w:color="auto"/>
        <w:bottom w:val="none" w:sz="0" w:space="0" w:color="auto"/>
        <w:right w:val="none" w:sz="0" w:space="0" w:color="auto"/>
      </w:divBdr>
    </w:div>
    <w:div w:id="502672032">
      <w:bodyDiv w:val="1"/>
      <w:marLeft w:val="0"/>
      <w:marRight w:val="0"/>
      <w:marTop w:val="0"/>
      <w:marBottom w:val="0"/>
      <w:divBdr>
        <w:top w:val="none" w:sz="0" w:space="0" w:color="auto"/>
        <w:left w:val="none" w:sz="0" w:space="0" w:color="auto"/>
        <w:bottom w:val="none" w:sz="0" w:space="0" w:color="auto"/>
        <w:right w:val="none" w:sz="0" w:space="0" w:color="auto"/>
      </w:divBdr>
    </w:div>
    <w:div w:id="566258189">
      <w:bodyDiv w:val="1"/>
      <w:marLeft w:val="0"/>
      <w:marRight w:val="0"/>
      <w:marTop w:val="0"/>
      <w:marBottom w:val="0"/>
      <w:divBdr>
        <w:top w:val="none" w:sz="0" w:space="0" w:color="auto"/>
        <w:left w:val="none" w:sz="0" w:space="0" w:color="auto"/>
        <w:bottom w:val="none" w:sz="0" w:space="0" w:color="auto"/>
        <w:right w:val="none" w:sz="0" w:space="0" w:color="auto"/>
      </w:divBdr>
    </w:div>
    <w:div w:id="587077574">
      <w:bodyDiv w:val="1"/>
      <w:marLeft w:val="0"/>
      <w:marRight w:val="0"/>
      <w:marTop w:val="0"/>
      <w:marBottom w:val="0"/>
      <w:divBdr>
        <w:top w:val="none" w:sz="0" w:space="0" w:color="auto"/>
        <w:left w:val="none" w:sz="0" w:space="0" w:color="auto"/>
        <w:bottom w:val="none" w:sz="0" w:space="0" w:color="auto"/>
        <w:right w:val="none" w:sz="0" w:space="0" w:color="auto"/>
      </w:divBdr>
    </w:div>
    <w:div w:id="594049210">
      <w:bodyDiv w:val="1"/>
      <w:marLeft w:val="0"/>
      <w:marRight w:val="0"/>
      <w:marTop w:val="0"/>
      <w:marBottom w:val="0"/>
      <w:divBdr>
        <w:top w:val="none" w:sz="0" w:space="0" w:color="auto"/>
        <w:left w:val="none" w:sz="0" w:space="0" w:color="auto"/>
        <w:bottom w:val="none" w:sz="0" w:space="0" w:color="auto"/>
        <w:right w:val="none" w:sz="0" w:space="0" w:color="auto"/>
      </w:divBdr>
      <w:divsChild>
        <w:div w:id="437916290">
          <w:marLeft w:val="0"/>
          <w:marRight w:val="0"/>
          <w:marTop w:val="0"/>
          <w:marBottom w:val="0"/>
          <w:divBdr>
            <w:top w:val="none" w:sz="0" w:space="0" w:color="auto"/>
            <w:left w:val="none" w:sz="0" w:space="0" w:color="auto"/>
            <w:bottom w:val="none" w:sz="0" w:space="0" w:color="auto"/>
            <w:right w:val="none" w:sz="0" w:space="0" w:color="auto"/>
          </w:divBdr>
          <w:divsChild>
            <w:div w:id="832524324">
              <w:marLeft w:val="0"/>
              <w:marRight w:val="0"/>
              <w:marTop w:val="0"/>
              <w:marBottom w:val="0"/>
              <w:divBdr>
                <w:top w:val="none" w:sz="0" w:space="0" w:color="auto"/>
                <w:left w:val="none" w:sz="0" w:space="0" w:color="auto"/>
                <w:bottom w:val="none" w:sz="0" w:space="0" w:color="auto"/>
                <w:right w:val="none" w:sz="0" w:space="0" w:color="auto"/>
              </w:divBdr>
              <w:divsChild>
                <w:div w:id="595329913">
                  <w:marLeft w:val="0"/>
                  <w:marRight w:val="0"/>
                  <w:marTop w:val="0"/>
                  <w:marBottom w:val="0"/>
                  <w:divBdr>
                    <w:top w:val="none" w:sz="0" w:space="0" w:color="auto"/>
                    <w:left w:val="none" w:sz="0" w:space="0" w:color="auto"/>
                    <w:bottom w:val="none" w:sz="0" w:space="0" w:color="auto"/>
                    <w:right w:val="none" w:sz="0" w:space="0" w:color="auto"/>
                  </w:divBdr>
                  <w:divsChild>
                    <w:div w:id="594628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50920">
      <w:bodyDiv w:val="1"/>
      <w:marLeft w:val="0"/>
      <w:marRight w:val="0"/>
      <w:marTop w:val="0"/>
      <w:marBottom w:val="0"/>
      <w:divBdr>
        <w:top w:val="none" w:sz="0" w:space="0" w:color="auto"/>
        <w:left w:val="none" w:sz="0" w:space="0" w:color="auto"/>
        <w:bottom w:val="none" w:sz="0" w:space="0" w:color="auto"/>
        <w:right w:val="none" w:sz="0" w:space="0" w:color="auto"/>
      </w:divBdr>
    </w:div>
    <w:div w:id="625626042">
      <w:bodyDiv w:val="1"/>
      <w:marLeft w:val="0"/>
      <w:marRight w:val="0"/>
      <w:marTop w:val="0"/>
      <w:marBottom w:val="0"/>
      <w:divBdr>
        <w:top w:val="none" w:sz="0" w:space="0" w:color="auto"/>
        <w:left w:val="none" w:sz="0" w:space="0" w:color="auto"/>
        <w:bottom w:val="none" w:sz="0" w:space="0" w:color="auto"/>
        <w:right w:val="none" w:sz="0" w:space="0" w:color="auto"/>
      </w:divBdr>
    </w:div>
    <w:div w:id="650983488">
      <w:bodyDiv w:val="1"/>
      <w:marLeft w:val="0"/>
      <w:marRight w:val="0"/>
      <w:marTop w:val="0"/>
      <w:marBottom w:val="0"/>
      <w:divBdr>
        <w:top w:val="none" w:sz="0" w:space="0" w:color="auto"/>
        <w:left w:val="none" w:sz="0" w:space="0" w:color="auto"/>
        <w:bottom w:val="none" w:sz="0" w:space="0" w:color="auto"/>
        <w:right w:val="none" w:sz="0" w:space="0" w:color="auto"/>
      </w:divBdr>
    </w:div>
    <w:div w:id="671688885">
      <w:bodyDiv w:val="1"/>
      <w:marLeft w:val="0"/>
      <w:marRight w:val="0"/>
      <w:marTop w:val="0"/>
      <w:marBottom w:val="0"/>
      <w:divBdr>
        <w:top w:val="none" w:sz="0" w:space="0" w:color="auto"/>
        <w:left w:val="none" w:sz="0" w:space="0" w:color="auto"/>
        <w:bottom w:val="none" w:sz="0" w:space="0" w:color="auto"/>
        <w:right w:val="none" w:sz="0" w:space="0" w:color="auto"/>
      </w:divBdr>
    </w:div>
    <w:div w:id="679546202">
      <w:bodyDiv w:val="1"/>
      <w:marLeft w:val="0"/>
      <w:marRight w:val="0"/>
      <w:marTop w:val="0"/>
      <w:marBottom w:val="0"/>
      <w:divBdr>
        <w:top w:val="none" w:sz="0" w:space="0" w:color="auto"/>
        <w:left w:val="none" w:sz="0" w:space="0" w:color="auto"/>
        <w:bottom w:val="none" w:sz="0" w:space="0" w:color="auto"/>
        <w:right w:val="none" w:sz="0" w:space="0" w:color="auto"/>
      </w:divBdr>
    </w:div>
    <w:div w:id="701630584">
      <w:bodyDiv w:val="1"/>
      <w:marLeft w:val="0"/>
      <w:marRight w:val="0"/>
      <w:marTop w:val="0"/>
      <w:marBottom w:val="0"/>
      <w:divBdr>
        <w:top w:val="none" w:sz="0" w:space="0" w:color="auto"/>
        <w:left w:val="none" w:sz="0" w:space="0" w:color="auto"/>
        <w:bottom w:val="none" w:sz="0" w:space="0" w:color="auto"/>
        <w:right w:val="none" w:sz="0" w:space="0" w:color="auto"/>
      </w:divBdr>
    </w:div>
    <w:div w:id="723867378">
      <w:bodyDiv w:val="1"/>
      <w:marLeft w:val="0"/>
      <w:marRight w:val="0"/>
      <w:marTop w:val="0"/>
      <w:marBottom w:val="0"/>
      <w:divBdr>
        <w:top w:val="none" w:sz="0" w:space="0" w:color="auto"/>
        <w:left w:val="none" w:sz="0" w:space="0" w:color="auto"/>
        <w:bottom w:val="none" w:sz="0" w:space="0" w:color="auto"/>
        <w:right w:val="none" w:sz="0" w:space="0" w:color="auto"/>
      </w:divBdr>
    </w:div>
    <w:div w:id="733965209">
      <w:bodyDiv w:val="1"/>
      <w:marLeft w:val="0"/>
      <w:marRight w:val="0"/>
      <w:marTop w:val="0"/>
      <w:marBottom w:val="0"/>
      <w:divBdr>
        <w:top w:val="none" w:sz="0" w:space="0" w:color="auto"/>
        <w:left w:val="none" w:sz="0" w:space="0" w:color="auto"/>
        <w:bottom w:val="none" w:sz="0" w:space="0" w:color="auto"/>
        <w:right w:val="none" w:sz="0" w:space="0" w:color="auto"/>
      </w:divBdr>
    </w:div>
    <w:div w:id="743768719">
      <w:bodyDiv w:val="1"/>
      <w:marLeft w:val="0"/>
      <w:marRight w:val="0"/>
      <w:marTop w:val="0"/>
      <w:marBottom w:val="0"/>
      <w:divBdr>
        <w:top w:val="none" w:sz="0" w:space="0" w:color="auto"/>
        <w:left w:val="none" w:sz="0" w:space="0" w:color="auto"/>
        <w:bottom w:val="none" w:sz="0" w:space="0" w:color="auto"/>
        <w:right w:val="none" w:sz="0" w:space="0" w:color="auto"/>
      </w:divBdr>
    </w:div>
    <w:div w:id="746923139">
      <w:bodyDiv w:val="1"/>
      <w:marLeft w:val="0"/>
      <w:marRight w:val="0"/>
      <w:marTop w:val="0"/>
      <w:marBottom w:val="0"/>
      <w:divBdr>
        <w:top w:val="none" w:sz="0" w:space="0" w:color="auto"/>
        <w:left w:val="none" w:sz="0" w:space="0" w:color="auto"/>
        <w:bottom w:val="none" w:sz="0" w:space="0" w:color="auto"/>
        <w:right w:val="none" w:sz="0" w:space="0" w:color="auto"/>
      </w:divBdr>
      <w:divsChild>
        <w:div w:id="1509825939">
          <w:marLeft w:val="0"/>
          <w:marRight w:val="108"/>
          <w:marTop w:val="108"/>
          <w:marBottom w:val="108"/>
          <w:divBdr>
            <w:top w:val="none" w:sz="0" w:space="0" w:color="auto"/>
            <w:left w:val="none" w:sz="0" w:space="0" w:color="auto"/>
            <w:bottom w:val="none" w:sz="0" w:space="0" w:color="auto"/>
            <w:right w:val="none" w:sz="0" w:space="0" w:color="auto"/>
          </w:divBdr>
          <w:divsChild>
            <w:div w:id="968823718">
              <w:marLeft w:val="0"/>
              <w:marRight w:val="0"/>
              <w:marTop w:val="0"/>
              <w:marBottom w:val="0"/>
              <w:divBdr>
                <w:top w:val="none" w:sz="0" w:space="0" w:color="auto"/>
                <w:left w:val="none" w:sz="0" w:space="0" w:color="auto"/>
                <w:bottom w:val="none" w:sz="0" w:space="0" w:color="auto"/>
                <w:right w:val="none" w:sz="0" w:space="0" w:color="auto"/>
              </w:divBdr>
              <w:divsChild>
                <w:div w:id="539822941">
                  <w:marLeft w:val="0"/>
                  <w:marRight w:val="0"/>
                  <w:marTop w:val="0"/>
                  <w:marBottom w:val="0"/>
                  <w:divBdr>
                    <w:top w:val="none" w:sz="0" w:space="0" w:color="auto"/>
                    <w:left w:val="none" w:sz="0" w:space="0" w:color="auto"/>
                    <w:bottom w:val="none" w:sz="0" w:space="0" w:color="auto"/>
                    <w:right w:val="none" w:sz="0" w:space="0" w:color="auto"/>
                  </w:divBdr>
                </w:div>
                <w:div w:id="1120489526">
                  <w:marLeft w:val="0"/>
                  <w:marRight w:val="108"/>
                  <w:marTop w:val="18"/>
                  <w:marBottom w:val="108"/>
                  <w:divBdr>
                    <w:top w:val="none" w:sz="0" w:space="0" w:color="auto"/>
                    <w:left w:val="none" w:sz="0" w:space="0" w:color="auto"/>
                    <w:bottom w:val="none" w:sz="0" w:space="0" w:color="auto"/>
                    <w:right w:val="none" w:sz="0" w:space="0" w:color="auto"/>
                  </w:divBdr>
                  <w:divsChild>
                    <w:div w:id="96370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2382535">
      <w:bodyDiv w:val="1"/>
      <w:marLeft w:val="0"/>
      <w:marRight w:val="0"/>
      <w:marTop w:val="0"/>
      <w:marBottom w:val="0"/>
      <w:divBdr>
        <w:top w:val="none" w:sz="0" w:space="0" w:color="auto"/>
        <w:left w:val="none" w:sz="0" w:space="0" w:color="auto"/>
        <w:bottom w:val="none" w:sz="0" w:space="0" w:color="auto"/>
        <w:right w:val="none" w:sz="0" w:space="0" w:color="auto"/>
      </w:divBdr>
      <w:divsChild>
        <w:div w:id="530530536">
          <w:marLeft w:val="0"/>
          <w:marRight w:val="0"/>
          <w:marTop w:val="0"/>
          <w:marBottom w:val="0"/>
          <w:divBdr>
            <w:top w:val="none" w:sz="0" w:space="0" w:color="auto"/>
            <w:left w:val="none" w:sz="0" w:space="0" w:color="auto"/>
            <w:bottom w:val="none" w:sz="0" w:space="0" w:color="auto"/>
            <w:right w:val="none" w:sz="0" w:space="0" w:color="auto"/>
          </w:divBdr>
          <w:divsChild>
            <w:div w:id="2112779510">
              <w:marLeft w:val="0"/>
              <w:marRight w:val="0"/>
              <w:marTop w:val="0"/>
              <w:marBottom w:val="0"/>
              <w:divBdr>
                <w:top w:val="none" w:sz="0" w:space="0" w:color="auto"/>
                <w:left w:val="none" w:sz="0" w:space="0" w:color="auto"/>
                <w:bottom w:val="none" w:sz="0" w:space="0" w:color="auto"/>
                <w:right w:val="none" w:sz="0" w:space="0" w:color="auto"/>
              </w:divBdr>
              <w:divsChild>
                <w:div w:id="1274828372">
                  <w:marLeft w:val="0"/>
                  <w:marRight w:val="0"/>
                  <w:marTop w:val="0"/>
                  <w:marBottom w:val="0"/>
                  <w:divBdr>
                    <w:top w:val="none" w:sz="0" w:space="0" w:color="auto"/>
                    <w:left w:val="none" w:sz="0" w:space="0" w:color="auto"/>
                    <w:bottom w:val="none" w:sz="0" w:space="0" w:color="auto"/>
                    <w:right w:val="none" w:sz="0" w:space="0" w:color="auto"/>
                  </w:divBdr>
                  <w:divsChild>
                    <w:div w:id="147830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9102463">
      <w:bodyDiv w:val="1"/>
      <w:marLeft w:val="0"/>
      <w:marRight w:val="0"/>
      <w:marTop w:val="0"/>
      <w:marBottom w:val="0"/>
      <w:divBdr>
        <w:top w:val="none" w:sz="0" w:space="0" w:color="auto"/>
        <w:left w:val="none" w:sz="0" w:space="0" w:color="auto"/>
        <w:bottom w:val="none" w:sz="0" w:space="0" w:color="auto"/>
        <w:right w:val="none" w:sz="0" w:space="0" w:color="auto"/>
      </w:divBdr>
      <w:divsChild>
        <w:div w:id="9917330">
          <w:marLeft w:val="0"/>
          <w:marRight w:val="0"/>
          <w:marTop w:val="0"/>
          <w:marBottom w:val="0"/>
          <w:divBdr>
            <w:top w:val="none" w:sz="0" w:space="0" w:color="auto"/>
            <w:left w:val="none" w:sz="0" w:space="0" w:color="auto"/>
            <w:bottom w:val="none" w:sz="0" w:space="0" w:color="auto"/>
            <w:right w:val="none" w:sz="0" w:space="0" w:color="auto"/>
          </w:divBdr>
          <w:divsChild>
            <w:div w:id="257494734">
              <w:marLeft w:val="0"/>
              <w:marRight w:val="0"/>
              <w:marTop w:val="0"/>
              <w:marBottom w:val="0"/>
              <w:divBdr>
                <w:top w:val="none" w:sz="0" w:space="0" w:color="auto"/>
                <w:left w:val="none" w:sz="0" w:space="0" w:color="auto"/>
                <w:bottom w:val="none" w:sz="0" w:space="0" w:color="auto"/>
                <w:right w:val="none" w:sz="0" w:space="0" w:color="auto"/>
              </w:divBdr>
              <w:divsChild>
                <w:div w:id="186686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352101">
      <w:bodyDiv w:val="1"/>
      <w:marLeft w:val="0"/>
      <w:marRight w:val="0"/>
      <w:marTop w:val="0"/>
      <w:marBottom w:val="0"/>
      <w:divBdr>
        <w:top w:val="none" w:sz="0" w:space="0" w:color="auto"/>
        <w:left w:val="none" w:sz="0" w:space="0" w:color="auto"/>
        <w:bottom w:val="none" w:sz="0" w:space="0" w:color="auto"/>
        <w:right w:val="none" w:sz="0" w:space="0" w:color="auto"/>
      </w:divBdr>
    </w:div>
    <w:div w:id="786041911">
      <w:bodyDiv w:val="1"/>
      <w:marLeft w:val="0"/>
      <w:marRight w:val="0"/>
      <w:marTop w:val="0"/>
      <w:marBottom w:val="0"/>
      <w:divBdr>
        <w:top w:val="none" w:sz="0" w:space="0" w:color="auto"/>
        <w:left w:val="none" w:sz="0" w:space="0" w:color="auto"/>
        <w:bottom w:val="none" w:sz="0" w:space="0" w:color="auto"/>
        <w:right w:val="none" w:sz="0" w:space="0" w:color="auto"/>
      </w:divBdr>
    </w:div>
    <w:div w:id="866791478">
      <w:bodyDiv w:val="1"/>
      <w:marLeft w:val="0"/>
      <w:marRight w:val="0"/>
      <w:marTop w:val="0"/>
      <w:marBottom w:val="0"/>
      <w:divBdr>
        <w:top w:val="none" w:sz="0" w:space="0" w:color="auto"/>
        <w:left w:val="none" w:sz="0" w:space="0" w:color="auto"/>
        <w:bottom w:val="none" w:sz="0" w:space="0" w:color="auto"/>
        <w:right w:val="none" w:sz="0" w:space="0" w:color="auto"/>
      </w:divBdr>
      <w:divsChild>
        <w:div w:id="893927747">
          <w:marLeft w:val="0"/>
          <w:marRight w:val="0"/>
          <w:marTop w:val="0"/>
          <w:marBottom w:val="0"/>
          <w:divBdr>
            <w:top w:val="none" w:sz="0" w:space="0" w:color="auto"/>
            <w:left w:val="none" w:sz="0" w:space="0" w:color="auto"/>
            <w:bottom w:val="none" w:sz="0" w:space="0" w:color="auto"/>
            <w:right w:val="none" w:sz="0" w:space="0" w:color="auto"/>
          </w:divBdr>
          <w:divsChild>
            <w:div w:id="1920366094">
              <w:marLeft w:val="0"/>
              <w:marRight w:val="0"/>
              <w:marTop w:val="0"/>
              <w:marBottom w:val="0"/>
              <w:divBdr>
                <w:top w:val="none" w:sz="0" w:space="0" w:color="auto"/>
                <w:left w:val="none" w:sz="0" w:space="0" w:color="auto"/>
                <w:bottom w:val="none" w:sz="0" w:space="0" w:color="auto"/>
                <w:right w:val="none" w:sz="0" w:space="0" w:color="auto"/>
              </w:divBdr>
              <w:divsChild>
                <w:div w:id="1642298359">
                  <w:marLeft w:val="0"/>
                  <w:marRight w:val="0"/>
                  <w:marTop w:val="0"/>
                  <w:marBottom w:val="0"/>
                  <w:divBdr>
                    <w:top w:val="none" w:sz="0" w:space="0" w:color="auto"/>
                    <w:left w:val="none" w:sz="0" w:space="0" w:color="auto"/>
                    <w:bottom w:val="none" w:sz="0" w:space="0" w:color="auto"/>
                    <w:right w:val="none" w:sz="0" w:space="0" w:color="auto"/>
                  </w:divBdr>
                  <w:divsChild>
                    <w:div w:id="702175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1187840">
      <w:bodyDiv w:val="1"/>
      <w:marLeft w:val="0"/>
      <w:marRight w:val="0"/>
      <w:marTop w:val="0"/>
      <w:marBottom w:val="0"/>
      <w:divBdr>
        <w:top w:val="none" w:sz="0" w:space="0" w:color="auto"/>
        <w:left w:val="none" w:sz="0" w:space="0" w:color="auto"/>
        <w:bottom w:val="none" w:sz="0" w:space="0" w:color="auto"/>
        <w:right w:val="none" w:sz="0" w:space="0" w:color="auto"/>
      </w:divBdr>
    </w:div>
    <w:div w:id="895312042">
      <w:bodyDiv w:val="1"/>
      <w:marLeft w:val="0"/>
      <w:marRight w:val="0"/>
      <w:marTop w:val="0"/>
      <w:marBottom w:val="0"/>
      <w:divBdr>
        <w:top w:val="none" w:sz="0" w:space="0" w:color="auto"/>
        <w:left w:val="none" w:sz="0" w:space="0" w:color="auto"/>
        <w:bottom w:val="none" w:sz="0" w:space="0" w:color="auto"/>
        <w:right w:val="none" w:sz="0" w:space="0" w:color="auto"/>
      </w:divBdr>
    </w:div>
    <w:div w:id="932586212">
      <w:bodyDiv w:val="1"/>
      <w:marLeft w:val="0"/>
      <w:marRight w:val="0"/>
      <w:marTop w:val="0"/>
      <w:marBottom w:val="0"/>
      <w:divBdr>
        <w:top w:val="none" w:sz="0" w:space="0" w:color="auto"/>
        <w:left w:val="none" w:sz="0" w:space="0" w:color="auto"/>
        <w:bottom w:val="none" w:sz="0" w:space="0" w:color="auto"/>
        <w:right w:val="none" w:sz="0" w:space="0" w:color="auto"/>
      </w:divBdr>
      <w:divsChild>
        <w:div w:id="844058447">
          <w:marLeft w:val="0"/>
          <w:marRight w:val="108"/>
          <w:marTop w:val="18"/>
          <w:marBottom w:val="108"/>
          <w:divBdr>
            <w:top w:val="none" w:sz="0" w:space="0" w:color="auto"/>
            <w:left w:val="none" w:sz="0" w:space="0" w:color="auto"/>
            <w:bottom w:val="none" w:sz="0" w:space="0" w:color="auto"/>
            <w:right w:val="none" w:sz="0" w:space="0" w:color="auto"/>
          </w:divBdr>
          <w:divsChild>
            <w:div w:id="546527666">
              <w:marLeft w:val="0"/>
              <w:marRight w:val="0"/>
              <w:marTop w:val="0"/>
              <w:marBottom w:val="0"/>
              <w:divBdr>
                <w:top w:val="none" w:sz="0" w:space="0" w:color="auto"/>
                <w:left w:val="none" w:sz="0" w:space="0" w:color="auto"/>
                <w:bottom w:val="none" w:sz="0" w:space="0" w:color="auto"/>
                <w:right w:val="none" w:sz="0" w:space="0" w:color="auto"/>
              </w:divBdr>
              <w:divsChild>
                <w:div w:id="1535195000">
                  <w:marLeft w:val="0"/>
                  <w:marRight w:val="0"/>
                  <w:marTop w:val="0"/>
                  <w:marBottom w:val="0"/>
                  <w:divBdr>
                    <w:top w:val="none" w:sz="0" w:space="0" w:color="auto"/>
                    <w:left w:val="none" w:sz="0" w:space="0" w:color="auto"/>
                    <w:bottom w:val="none" w:sz="0" w:space="0" w:color="auto"/>
                    <w:right w:val="none" w:sz="0" w:space="0" w:color="auto"/>
                  </w:divBdr>
                  <w:divsChild>
                    <w:div w:id="109319233">
                      <w:marLeft w:val="0"/>
                      <w:marRight w:val="0"/>
                      <w:marTop w:val="0"/>
                      <w:marBottom w:val="0"/>
                      <w:divBdr>
                        <w:top w:val="none" w:sz="0" w:space="0" w:color="auto"/>
                        <w:left w:val="none" w:sz="0" w:space="0" w:color="auto"/>
                        <w:bottom w:val="none" w:sz="0" w:space="0" w:color="auto"/>
                        <w:right w:val="none" w:sz="0" w:space="0" w:color="auto"/>
                      </w:divBdr>
                      <w:divsChild>
                        <w:div w:id="1397312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3904621">
      <w:bodyDiv w:val="1"/>
      <w:marLeft w:val="0"/>
      <w:marRight w:val="0"/>
      <w:marTop w:val="0"/>
      <w:marBottom w:val="0"/>
      <w:divBdr>
        <w:top w:val="none" w:sz="0" w:space="0" w:color="auto"/>
        <w:left w:val="none" w:sz="0" w:space="0" w:color="auto"/>
        <w:bottom w:val="none" w:sz="0" w:space="0" w:color="auto"/>
        <w:right w:val="none" w:sz="0" w:space="0" w:color="auto"/>
      </w:divBdr>
    </w:div>
    <w:div w:id="935138230">
      <w:bodyDiv w:val="1"/>
      <w:marLeft w:val="0"/>
      <w:marRight w:val="0"/>
      <w:marTop w:val="0"/>
      <w:marBottom w:val="0"/>
      <w:divBdr>
        <w:top w:val="none" w:sz="0" w:space="0" w:color="auto"/>
        <w:left w:val="none" w:sz="0" w:space="0" w:color="auto"/>
        <w:bottom w:val="none" w:sz="0" w:space="0" w:color="auto"/>
        <w:right w:val="none" w:sz="0" w:space="0" w:color="auto"/>
      </w:divBdr>
    </w:div>
    <w:div w:id="936602378">
      <w:bodyDiv w:val="1"/>
      <w:marLeft w:val="0"/>
      <w:marRight w:val="0"/>
      <w:marTop w:val="0"/>
      <w:marBottom w:val="0"/>
      <w:divBdr>
        <w:top w:val="none" w:sz="0" w:space="0" w:color="auto"/>
        <w:left w:val="none" w:sz="0" w:space="0" w:color="auto"/>
        <w:bottom w:val="none" w:sz="0" w:space="0" w:color="auto"/>
        <w:right w:val="none" w:sz="0" w:space="0" w:color="auto"/>
      </w:divBdr>
    </w:div>
    <w:div w:id="939335833">
      <w:bodyDiv w:val="1"/>
      <w:marLeft w:val="0"/>
      <w:marRight w:val="0"/>
      <w:marTop w:val="0"/>
      <w:marBottom w:val="0"/>
      <w:divBdr>
        <w:top w:val="none" w:sz="0" w:space="0" w:color="auto"/>
        <w:left w:val="none" w:sz="0" w:space="0" w:color="auto"/>
        <w:bottom w:val="none" w:sz="0" w:space="0" w:color="auto"/>
        <w:right w:val="none" w:sz="0" w:space="0" w:color="auto"/>
      </w:divBdr>
      <w:divsChild>
        <w:div w:id="510142925">
          <w:marLeft w:val="0"/>
          <w:marRight w:val="108"/>
          <w:marTop w:val="18"/>
          <w:marBottom w:val="108"/>
          <w:divBdr>
            <w:top w:val="none" w:sz="0" w:space="0" w:color="auto"/>
            <w:left w:val="none" w:sz="0" w:space="0" w:color="auto"/>
            <w:bottom w:val="none" w:sz="0" w:space="0" w:color="auto"/>
            <w:right w:val="none" w:sz="0" w:space="0" w:color="auto"/>
          </w:divBdr>
          <w:divsChild>
            <w:div w:id="366411797">
              <w:marLeft w:val="0"/>
              <w:marRight w:val="0"/>
              <w:marTop w:val="0"/>
              <w:marBottom w:val="0"/>
              <w:divBdr>
                <w:top w:val="none" w:sz="0" w:space="0" w:color="auto"/>
                <w:left w:val="none" w:sz="0" w:space="0" w:color="auto"/>
                <w:bottom w:val="none" w:sz="0" w:space="0" w:color="auto"/>
                <w:right w:val="none" w:sz="0" w:space="0" w:color="auto"/>
              </w:divBdr>
              <w:divsChild>
                <w:div w:id="949551121">
                  <w:marLeft w:val="0"/>
                  <w:marRight w:val="0"/>
                  <w:marTop w:val="0"/>
                  <w:marBottom w:val="0"/>
                  <w:divBdr>
                    <w:top w:val="none" w:sz="0" w:space="0" w:color="auto"/>
                    <w:left w:val="none" w:sz="0" w:space="0" w:color="auto"/>
                    <w:bottom w:val="none" w:sz="0" w:space="0" w:color="auto"/>
                    <w:right w:val="none" w:sz="0" w:space="0" w:color="auto"/>
                  </w:divBdr>
                  <w:divsChild>
                    <w:div w:id="139855269">
                      <w:marLeft w:val="0"/>
                      <w:marRight w:val="0"/>
                      <w:marTop w:val="0"/>
                      <w:marBottom w:val="0"/>
                      <w:divBdr>
                        <w:top w:val="none" w:sz="0" w:space="0" w:color="auto"/>
                        <w:left w:val="none" w:sz="0" w:space="0" w:color="auto"/>
                        <w:bottom w:val="none" w:sz="0" w:space="0" w:color="auto"/>
                        <w:right w:val="none" w:sz="0" w:space="0" w:color="auto"/>
                      </w:divBdr>
                      <w:divsChild>
                        <w:div w:id="1579510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521191">
      <w:bodyDiv w:val="1"/>
      <w:marLeft w:val="0"/>
      <w:marRight w:val="0"/>
      <w:marTop w:val="0"/>
      <w:marBottom w:val="0"/>
      <w:divBdr>
        <w:top w:val="none" w:sz="0" w:space="0" w:color="auto"/>
        <w:left w:val="none" w:sz="0" w:space="0" w:color="auto"/>
        <w:bottom w:val="none" w:sz="0" w:space="0" w:color="auto"/>
        <w:right w:val="none" w:sz="0" w:space="0" w:color="auto"/>
      </w:divBdr>
    </w:div>
    <w:div w:id="956373365">
      <w:bodyDiv w:val="1"/>
      <w:marLeft w:val="0"/>
      <w:marRight w:val="0"/>
      <w:marTop w:val="0"/>
      <w:marBottom w:val="0"/>
      <w:divBdr>
        <w:top w:val="none" w:sz="0" w:space="0" w:color="auto"/>
        <w:left w:val="none" w:sz="0" w:space="0" w:color="auto"/>
        <w:bottom w:val="none" w:sz="0" w:space="0" w:color="auto"/>
        <w:right w:val="none" w:sz="0" w:space="0" w:color="auto"/>
      </w:divBdr>
    </w:div>
    <w:div w:id="959454797">
      <w:bodyDiv w:val="1"/>
      <w:marLeft w:val="0"/>
      <w:marRight w:val="0"/>
      <w:marTop w:val="0"/>
      <w:marBottom w:val="0"/>
      <w:divBdr>
        <w:top w:val="none" w:sz="0" w:space="0" w:color="auto"/>
        <w:left w:val="none" w:sz="0" w:space="0" w:color="auto"/>
        <w:bottom w:val="none" w:sz="0" w:space="0" w:color="auto"/>
        <w:right w:val="none" w:sz="0" w:space="0" w:color="auto"/>
      </w:divBdr>
    </w:div>
    <w:div w:id="986973667">
      <w:bodyDiv w:val="1"/>
      <w:marLeft w:val="0"/>
      <w:marRight w:val="0"/>
      <w:marTop w:val="0"/>
      <w:marBottom w:val="0"/>
      <w:divBdr>
        <w:top w:val="none" w:sz="0" w:space="0" w:color="auto"/>
        <w:left w:val="none" w:sz="0" w:space="0" w:color="auto"/>
        <w:bottom w:val="none" w:sz="0" w:space="0" w:color="auto"/>
        <w:right w:val="none" w:sz="0" w:space="0" w:color="auto"/>
      </w:divBdr>
    </w:div>
    <w:div w:id="991059931">
      <w:bodyDiv w:val="1"/>
      <w:marLeft w:val="0"/>
      <w:marRight w:val="0"/>
      <w:marTop w:val="0"/>
      <w:marBottom w:val="0"/>
      <w:divBdr>
        <w:top w:val="none" w:sz="0" w:space="0" w:color="auto"/>
        <w:left w:val="none" w:sz="0" w:space="0" w:color="auto"/>
        <w:bottom w:val="none" w:sz="0" w:space="0" w:color="auto"/>
        <w:right w:val="none" w:sz="0" w:space="0" w:color="auto"/>
      </w:divBdr>
    </w:div>
    <w:div w:id="993099256">
      <w:bodyDiv w:val="1"/>
      <w:marLeft w:val="0"/>
      <w:marRight w:val="0"/>
      <w:marTop w:val="0"/>
      <w:marBottom w:val="0"/>
      <w:divBdr>
        <w:top w:val="none" w:sz="0" w:space="0" w:color="auto"/>
        <w:left w:val="none" w:sz="0" w:space="0" w:color="auto"/>
        <w:bottom w:val="none" w:sz="0" w:space="0" w:color="auto"/>
        <w:right w:val="none" w:sz="0" w:space="0" w:color="auto"/>
      </w:divBdr>
      <w:divsChild>
        <w:div w:id="563099610">
          <w:marLeft w:val="0"/>
          <w:marRight w:val="0"/>
          <w:marTop w:val="0"/>
          <w:marBottom w:val="0"/>
          <w:divBdr>
            <w:top w:val="none" w:sz="0" w:space="0" w:color="auto"/>
            <w:left w:val="none" w:sz="0" w:space="0" w:color="auto"/>
            <w:bottom w:val="none" w:sz="0" w:space="0" w:color="auto"/>
            <w:right w:val="none" w:sz="0" w:space="0" w:color="auto"/>
          </w:divBdr>
          <w:divsChild>
            <w:div w:id="1834445732">
              <w:marLeft w:val="0"/>
              <w:marRight w:val="0"/>
              <w:marTop w:val="0"/>
              <w:marBottom w:val="0"/>
              <w:divBdr>
                <w:top w:val="none" w:sz="0" w:space="0" w:color="auto"/>
                <w:left w:val="none" w:sz="0" w:space="0" w:color="auto"/>
                <w:bottom w:val="none" w:sz="0" w:space="0" w:color="auto"/>
                <w:right w:val="none" w:sz="0" w:space="0" w:color="auto"/>
              </w:divBdr>
              <w:divsChild>
                <w:div w:id="109594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2313091">
      <w:bodyDiv w:val="1"/>
      <w:marLeft w:val="0"/>
      <w:marRight w:val="0"/>
      <w:marTop w:val="0"/>
      <w:marBottom w:val="0"/>
      <w:divBdr>
        <w:top w:val="none" w:sz="0" w:space="0" w:color="auto"/>
        <w:left w:val="none" w:sz="0" w:space="0" w:color="auto"/>
        <w:bottom w:val="none" w:sz="0" w:space="0" w:color="auto"/>
        <w:right w:val="none" w:sz="0" w:space="0" w:color="auto"/>
      </w:divBdr>
    </w:div>
    <w:div w:id="1003048602">
      <w:bodyDiv w:val="1"/>
      <w:marLeft w:val="0"/>
      <w:marRight w:val="0"/>
      <w:marTop w:val="0"/>
      <w:marBottom w:val="0"/>
      <w:divBdr>
        <w:top w:val="none" w:sz="0" w:space="0" w:color="auto"/>
        <w:left w:val="none" w:sz="0" w:space="0" w:color="auto"/>
        <w:bottom w:val="none" w:sz="0" w:space="0" w:color="auto"/>
        <w:right w:val="none" w:sz="0" w:space="0" w:color="auto"/>
      </w:divBdr>
    </w:div>
    <w:div w:id="1017580950">
      <w:bodyDiv w:val="1"/>
      <w:marLeft w:val="0"/>
      <w:marRight w:val="0"/>
      <w:marTop w:val="0"/>
      <w:marBottom w:val="0"/>
      <w:divBdr>
        <w:top w:val="none" w:sz="0" w:space="0" w:color="auto"/>
        <w:left w:val="none" w:sz="0" w:space="0" w:color="auto"/>
        <w:bottom w:val="none" w:sz="0" w:space="0" w:color="auto"/>
        <w:right w:val="none" w:sz="0" w:space="0" w:color="auto"/>
      </w:divBdr>
    </w:div>
    <w:div w:id="1030107142">
      <w:bodyDiv w:val="1"/>
      <w:marLeft w:val="0"/>
      <w:marRight w:val="0"/>
      <w:marTop w:val="0"/>
      <w:marBottom w:val="0"/>
      <w:divBdr>
        <w:top w:val="none" w:sz="0" w:space="0" w:color="auto"/>
        <w:left w:val="none" w:sz="0" w:space="0" w:color="auto"/>
        <w:bottom w:val="none" w:sz="0" w:space="0" w:color="auto"/>
        <w:right w:val="none" w:sz="0" w:space="0" w:color="auto"/>
      </w:divBdr>
    </w:div>
    <w:div w:id="1048644584">
      <w:bodyDiv w:val="1"/>
      <w:marLeft w:val="0"/>
      <w:marRight w:val="0"/>
      <w:marTop w:val="0"/>
      <w:marBottom w:val="0"/>
      <w:divBdr>
        <w:top w:val="none" w:sz="0" w:space="0" w:color="auto"/>
        <w:left w:val="none" w:sz="0" w:space="0" w:color="auto"/>
        <w:bottom w:val="none" w:sz="0" w:space="0" w:color="auto"/>
        <w:right w:val="none" w:sz="0" w:space="0" w:color="auto"/>
      </w:divBdr>
      <w:divsChild>
        <w:div w:id="2134249852">
          <w:marLeft w:val="0"/>
          <w:marRight w:val="0"/>
          <w:marTop w:val="0"/>
          <w:marBottom w:val="0"/>
          <w:divBdr>
            <w:top w:val="none" w:sz="0" w:space="0" w:color="auto"/>
            <w:left w:val="none" w:sz="0" w:space="0" w:color="auto"/>
            <w:bottom w:val="none" w:sz="0" w:space="0" w:color="auto"/>
            <w:right w:val="none" w:sz="0" w:space="0" w:color="auto"/>
          </w:divBdr>
          <w:divsChild>
            <w:div w:id="315257604">
              <w:marLeft w:val="0"/>
              <w:marRight w:val="0"/>
              <w:marTop w:val="0"/>
              <w:marBottom w:val="0"/>
              <w:divBdr>
                <w:top w:val="none" w:sz="0" w:space="0" w:color="auto"/>
                <w:left w:val="none" w:sz="0" w:space="0" w:color="auto"/>
                <w:bottom w:val="none" w:sz="0" w:space="0" w:color="auto"/>
                <w:right w:val="none" w:sz="0" w:space="0" w:color="auto"/>
              </w:divBdr>
              <w:divsChild>
                <w:div w:id="1151294054">
                  <w:marLeft w:val="0"/>
                  <w:marRight w:val="0"/>
                  <w:marTop w:val="0"/>
                  <w:marBottom w:val="0"/>
                  <w:divBdr>
                    <w:top w:val="none" w:sz="0" w:space="0" w:color="auto"/>
                    <w:left w:val="none" w:sz="0" w:space="0" w:color="auto"/>
                    <w:bottom w:val="none" w:sz="0" w:space="0" w:color="auto"/>
                    <w:right w:val="none" w:sz="0" w:space="0" w:color="auto"/>
                  </w:divBdr>
                  <w:divsChild>
                    <w:div w:id="993334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4692847">
      <w:bodyDiv w:val="1"/>
      <w:marLeft w:val="0"/>
      <w:marRight w:val="0"/>
      <w:marTop w:val="0"/>
      <w:marBottom w:val="0"/>
      <w:divBdr>
        <w:top w:val="none" w:sz="0" w:space="0" w:color="auto"/>
        <w:left w:val="none" w:sz="0" w:space="0" w:color="auto"/>
        <w:bottom w:val="none" w:sz="0" w:space="0" w:color="auto"/>
        <w:right w:val="none" w:sz="0" w:space="0" w:color="auto"/>
      </w:divBdr>
    </w:div>
    <w:div w:id="1059283423">
      <w:bodyDiv w:val="1"/>
      <w:marLeft w:val="0"/>
      <w:marRight w:val="0"/>
      <w:marTop w:val="0"/>
      <w:marBottom w:val="0"/>
      <w:divBdr>
        <w:top w:val="none" w:sz="0" w:space="0" w:color="auto"/>
        <w:left w:val="none" w:sz="0" w:space="0" w:color="auto"/>
        <w:bottom w:val="none" w:sz="0" w:space="0" w:color="auto"/>
        <w:right w:val="none" w:sz="0" w:space="0" w:color="auto"/>
      </w:divBdr>
      <w:divsChild>
        <w:div w:id="750468866">
          <w:marLeft w:val="0"/>
          <w:marRight w:val="108"/>
          <w:marTop w:val="18"/>
          <w:marBottom w:val="108"/>
          <w:divBdr>
            <w:top w:val="none" w:sz="0" w:space="0" w:color="auto"/>
            <w:left w:val="none" w:sz="0" w:space="0" w:color="auto"/>
            <w:bottom w:val="none" w:sz="0" w:space="0" w:color="auto"/>
            <w:right w:val="none" w:sz="0" w:space="0" w:color="auto"/>
          </w:divBdr>
          <w:divsChild>
            <w:div w:id="888956743">
              <w:marLeft w:val="0"/>
              <w:marRight w:val="0"/>
              <w:marTop w:val="0"/>
              <w:marBottom w:val="0"/>
              <w:divBdr>
                <w:top w:val="none" w:sz="0" w:space="0" w:color="auto"/>
                <w:left w:val="none" w:sz="0" w:space="0" w:color="auto"/>
                <w:bottom w:val="none" w:sz="0" w:space="0" w:color="auto"/>
                <w:right w:val="none" w:sz="0" w:space="0" w:color="auto"/>
              </w:divBdr>
              <w:divsChild>
                <w:div w:id="1087964879">
                  <w:marLeft w:val="0"/>
                  <w:marRight w:val="0"/>
                  <w:marTop w:val="0"/>
                  <w:marBottom w:val="0"/>
                  <w:divBdr>
                    <w:top w:val="none" w:sz="0" w:space="0" w:color="auto"/>
                    <w:left w:val="none" w:sz="0" w:space="0" w:color="auto"/>
                    <w:bottom w:val="none" w:sz="0" w:space="0" w:color="auto"/>
                    <w:right w:val="none" w:sz="0" w:space="0" w:color="auto"/>
                  </w:divBdr>
                  <w:divsChild>
                    <w:div w:id="1263756198">
                      <w:marLeft w:val="0"/>
                      <w:marRight w:val="0"/>
                      <w:marTop w:val="0"/>
                      <w:marBottom w:val="0"/>
                      <w:divBdr>
                        <w:top w:val="none" w:sz="0" w:space="0" w:color="auto"/>
                        <w:left w:val="none" w:sz="0" w:space="0" w:color="auto"/>
                        <w:bottom w:val="none" w:sz="0" w:space="0" w:color="auto"/>
                        <w:right w:val="none" w:sz="0" w:space="0" w:color="auto"/>
                      </w:divBdr>
                      <w:divsChild>
                        <w:div w:id="793256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2722634">
      <w:bodyDiv w:val="1"/>
      <w:marLeft w:val="0"/>
      <w:marRight w:val="0"/>
      <w:marTop w:val="0"/>
      <w:marBottom w:val="0"/>
      <w:divBdr>
        <w:top w:val="none" w:sz="0" w:space="0" w:color="auto"/>
        <w:left w:val="none" w:sz="0" w:space="0" w:color="auto"/>
        <w:bottom w:val="none" w:sz="0" w:space="0" w:color="auto"/>
        <w:right w:val="none" w:sz="0" w:space="0" w:color="auto"/>
      </w:divBdr>
    </w:div>
    <w:div w:id="1128813789">
      <w:bodyDiv w:val="1"/>
      <w:marLeft w:val="0"/>
      <w:marRight w:val="0"/>
      <w:marTop w:val="0"/>
      <w:marBottom w:val="0"/>
      <w:divBdr>
        <w:top w:val="none" w:sz="0" w:space="0" w:color="auto"/>
        <w:left w:val="none" w:sz="0" w:space="0" w:color="auto"/>
        <w:bottom w:val="none" w:sz="0" w:space="0" w:color="auto"/>
        <w:right w:val="none" w:sz="0" w:space="0" w:color="auto"/>
      </w:divBdr>
    </w:div>
    <w:div w:id="1138379442">
      <w:bodyDiv w:val="1"/>
      <w:marLeft w:val="0"/>
      <w:marRight w:val="0"/>
      <w:marTop w:val="0"/>
      <w:marBottom w:val="0"/>
      <w:divBdr>
        <w:top w:val="none" w:sz="0" w:space="0" w:color="auto"/>
        <w:left w:val="none" w:sz="0" w:space="0" w:color="auto"/>
        <w:bottom w:val="none" w:sz="0" w:space="0" w:color="auto"/>
        <w:right w:val="none" w:sz="0" w:space="0" w:color="auto"/>
      </w:divBdr>
    </w:div>
    <w:div w:id="1167358015">
      <w:bodyDiv w:val="1"/>
      <w:marLeft w:val="0"/>
      <w:marRight w:val="0"/>
      <w:marTop w:val="0"/>
      <w:marBottom w:val="0"/>
      <w:divBdr>
        <w:top w:val="none" w:sz="0" w:space="0" w:color="auto"/>
        <w:left w:val="none" w:sz="0" w:space="0" w:color="auto"/>
        <w:bottom w:val="none" w:sz="0" w:space="0" w:color="auto"/>
        <w:right w:val="none" w:sz="0" w:space="0" w:color="auto"/>
      </w:divBdr>
    </w:div>
    <w:div w:id="1204441854">
      <w:bodyDiv w:val="1"/>
      <w:marLeft w:val="0"/>
      <w:marRight w:val="0"/>
      <w:marTop w:val="0"/>
      <w:marBottom w:val="0"/>
      <w:divBdr>
        <w:top w:val="none" w:sz="0" w:space="0" w:color="auto"/>
        <w:left w:val="none" w:sz="0" w:space="0" w:color="auto"/>
        <w:bottom w:val="none" w:sz="0" w:space="0" w:color="auto"/>
        <w:right w:val="none" w:sz="0" w:space="0" w:color="auto"/>
      </w:divBdr>
      <w:divsChild>
        <w:div w:id="587270153">
          <w:marLeft w:val="0"/>
          <w:marRight w:val="108"/>
          <w:marTop w:val="18"/>
          <w:marBottom w:val="108"/>
          <w:divBdr>
            <w:top w:val="none" w:sz="0" w:space="0" w:color="auto"/>
            <w:left w:val="none" w:sz="0" w:space="0" w:color="auto"/>
            <w:bottom w:val="none" w:sz="0" w:space="0" w:color="auto"/>
            <w:right w:val="none" w:sz="0" w:space="0" w:color="auto"/>
          </w:divBdr>
          <w:divsChild>
            <w:div w:id="1095051214">
              <w:marLeft w:val="0"/>
              <w:marRight w:val="0"/>
              <w:marTop w:val="0"/>
              <w:marBottom w:val="0"/>
              <w:divBdr>
                <w:top w:val="none" w:sz="0" w:space="0" w:color="auto"/>
                <w:left w:val="none" w:sz="0" w:space="0" w:color="auto"/>
                <w:bottom w:val="none" w:sz="0" w:space="0" w:color="auto"/>
                <w:right w:val="none" w:sz="0" w:space="0" w:color="auto"/>
              </w:divBdr>
              <w:divsChild>
                <w:div w:id="1318805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1113880">
      <w:bodyDiv w:val="1"/>
      <w:marLeft w:val="0"/>
      <w:marRight w:val="0"/>
      <w:marTop w:val="0"/>
      <w:marBottom w:val="0"/>
      <w:divBdr>
        <w:top w:val="none" w:sz="0" w:space="0" w:color="auto"/>
        <w:left w:val="none" w:sz="0" w:space="0" w:color="auto"/>
        <w:bottom w:val="none" w:sz="0" w:space="0" w:color="auto"/>
        <w:right w:val="none" w:sz="0" w:space="0" w:color="auto"/>
      </w:divBdr>
    </w:div>
    <w:div w:id="1231111901">
      <w:bodyDiv w:val="1"/>
      <w:marLeft w:val="0"/>
      <w:marRight w:val="0"/>
      <w:marTop w:val="0"/>
      <w:marBottom w:val="0"/>
      <w:divBdr>
        <w:top w:val="none" w:sz="0" w:space="0" w:color="auto"/>
        <w:left w:val="none" w:sz="0" w:space="0" w:color="auto"/>
        <w:bottom w:val="none" w:sz="0" w:space="0" w:color="auto"/>
        <w:right w:val="none" w:sz="0" w:space="0" w:color="auto"/>
      </w:divBdr>
    </w:div>
    <w:div w:id="1260219553">
      <w:bodyDiv w:val="1"/>
      <w:marLeft w:val="0"/>
      <w:marRight w:val="0"/>
      <w:marTop w:val="0"/>
      <w:marBottom w:val="0"/>
      <w:divBdr>
        <w:top w:val="none" w:sz="0" w:space="0" w:color="auto"/>
        <w:left w:val="none" w:sz="0" w:space="0" w:color="auto"/>
        <w:bottom w:val="none" w:sz="0" w:space="0" w:color="auto"/>
        <w:right w:val="none" w:sz="0" w:space="0" w:color="auto"/>
      </w:divBdr>
    </w:div>
    <w:div w:id="1264612013">
      <w:bodyDiv w:val="1"/>
      <w:marLeft w:val="0"/>
      <w:marRight w:val="0"/>
      <w:marTop w:val="0"/>
      <w:marBottom w:val="0"/>
      <w:divBdr>
        <w:top w:val="none" w:sz="0" w:space="0" w:color="auto"/>
        <w:left w:val="none" w:sz="0" w:space="0" w:color="auto"/>
        <w:bottom w:val="none" w:sz="0" w:space="0" w:color="auto"/>
        <w:right w:val="none" w:sz="0" w:space="0" w:color="auto"/>
      </w:divBdr>
      <w:divsChild>
        <w:div w:id="88624826">
          <w:marLeft w:val="0"/>
          <w:marRight w:val="0"/>
          <w:marTop w:val="0"/>
          <w:marBottom w:val="0"/>
          <w:divBdr>
            <w:top w:val="none" w:sz="0" w:space="0" w:color="auto"/>
            <w:left w:val="none" w:sz="0" w:space="0" w:color="auto"/>
            <w:bottom w:val="none" w:sz="0" w:space="0" w:color="auto"/>
            <w:right w:val="none" w:sz="0" w:space="0" w:color="auto"/>
          </w:divBdr>
          <w:divsChild>
            <w:div w:id="1614484098">
              <w:marLeft w:val="0"/>
              <w:marRight w:val="0"/>
              <w:marTop w:val="0"/>
              <w:marBottom w:val="0"/>
              <w:divBdr>
                <w:top w:val="none" w:sz="0" w:space="0" w:color="auto"/>
                <w:left w:val="none" w:sz="0" w:space="0" w:color="auto"/>
                <w:bottom w:val="none" w:sz="0" w:space="0" w:color="auto"/>
                <w:right w:val="none" w:sz="0" w:space="0" w:color="auto"/>
              </w:divBdr>
              <w:divsChild>
                <w:div w:id="647050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8545121">
      <w:bodyDiv w:val="1"/>
      <w:marLeft w:val="0"/>
      <w:marRight w:val="0"/>
      <w:marTop w:val="0"/>
      <w:marBottom w:val="0"/>
      <w:divBdr>
        <w:top w:val="none" w:sz="0" w:space="0" w:color="auto"/>
        <w:left w:val="none" w:sz="0" w:space="0" w:color="auto"/>
        <w:bottom w:val="none" w:sz="0" w:space="0" w:color="auto"/>
        <w:right w:val="none" w:sz="0" w:space="0" w:color="auto"/>
      </w:divBdr>
      <w:divsChild>
        <w:div w:id="1278021138">
          <w:marLeft w:val="0"/>
          <w:marRight w:val="0"/>
          <w:marTop w:val="0"/>
          <w:marBottom w:val="0"/>
          <w:divBdr>
            <w:top w:val="none" w:sz="0" w:space="0" w:color="auto"/>
            <w:left w:val="none" w:sz="0" w:space="0" w:color="auto"/>
            <w:bottom w:val="none" w:sz="0" w:space="0" w:color="auto"/>
            <w:right w:val="none" w:sz="0" w:space="0" w:color="auto"/>
          </w:divBdr>
          <w:divsChild>
            <w:div w:id="1720591001">
              <w:marLeft w:val="0"/>
              <w:marRight w:val="0"/>
              <w:marTop w:val="0"/>
              <w:marBottom w:val="0"/>
              <w:divBdr>
                <w:top w:val="none" w:sz="0" w:space="0" w:color="auto"/>
                <w:left w:val="none" w:sz="0" w:space="0" w:color="auto"/>
                <w:bottom w:val="none" w:sz="0" w:space="0" w:color="auto"/>
                <w:right w:val="none" w:sz="0" w:space="0" w:color="auto"/>
              </w:divBdr>
              <w:divsChild>
                <w:div w:id="322467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102725">
      <w:bodyDiv w:val="1"/>
      <w:marLeft w:val="0"/>
      <w:marRight w:val="0"/>
      <w:marTop w:val="0"/>
      <w:marBottom w:val="0"/>
      <w:divBdr>
        <w:top w:val="none" w:sz="0" w:space="0" w:color="auto"/>
        <w:left w:val="none" w:sz="0" w:space="0" w:color="auto"/>
        <w:bottom w:val="none" w:sz="0" w:space="0" w:color="auto"/>
        <w:right w:val="none" w:sz="0" w:space="0" w:color="auto"/>
      </w:divBdr>
      <w:divsChild>
        <w:div w:id="289170014">
          <w:marLeft w:val="0"/>
          <w:marRight w:val="0"/>
          <w:marTop w:val="0"/>
          <w:marBottom w:val="0"/>
          <w:divBdr>
            <w:top w:val="none" w:sz="0" w:space="0" w:color="auto"/>
            <w:left w:val="none" w:sz="0" w:space="0" w:color="auto"/>
            <w:bottom w:val="none" w:sz="0" w:space="0" w:color="auto"/>
            <w:right w:val="none" w:sz="0" w:space="0" w:color="auto"/>
          </w:divBdr>
          <w:divsChild>
            <w:div w:id="2042439052">
              <w:marLeft w:val="0"/>
              <w:marRight w:val="0"/>
              <w:marTop w:val="0"/>
              <w:marBottom w:val="0"/>
              <w:divBdr>
                <w:top w:val="none" w:sz="0" w:space="0" w:color="auto"/>
                <w:left w:val="none" w:sz="0" w:space="0" w:color="auto"/>
                <w:bottom w:val="none" w:sz="0" w:space="0" w:color="auto"/>
                <w:right w:val="none" w:sz="0" w:space="0" w:color="auto"/>
              </w:divBdr>
              <w:divsChild>
                <w:div w:id="85543454">
                  <w:marLeft w:val="0"/>
                  <w:marRight w:val="0"/>
                  <w:marTop w:val="0"/>
                  <w:marBottom w:val="0"/>
                  <w:divBdr>
                    <w:top w:val="none" w:sz="0" w:space="0" w:color="auto"/>
                    <w:left w:val="none" w:sz="0" w:space="0" w:color="auto"/>
                    <w:bottom w:val="none" w:sz="0" w:space="0" w:color="auto"/>
                    <w:right w:val="none" w:sz="0" w:space="0" w:color="auto"/>
                  </w:divBdr>
                  <w:divsChild>
                    <w:div w:id="260454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0260536">
      <w:bodyDiv w:val="1"/>
      <w:marLeft w:val="0"/>
      <w:marRight w:val="0"/>
      <w:marTop w:val="0"/>
      <w:marBottom w:val="0"/>
      <w:divBdr>
        <w:top w:val="none" w:sz="0" w:space="0" w:color="auto"/>
        <w:left w:val="none" w:sz="0" w:space="0" w:color="auto"/>
        <w:bottom w:val="none" w:sz="0" w:space="0" w:color="auto"/>
        <w:right w:val="none" w:sz="0" w:space="0" w:color="auto"/>
      </w:divBdr>
    </w:div>
    <w:div w:id="1281767600">
      <w:bodyDiv w:val="1"/>
      <w:marLeft w:val="0"/>
      <w:marRight w:val="0"/>
      <w:marTop w:val="0"/>
      <w:marBottom w:val="0"/>
      <w:divBdr>
        <w:top w:val="none" w:sz="0" w:space="0" w:color="auto"/>
        <w:left w:val="none" w:sz="0" w:space="0" w:color="auto"/>
        <w:bottom w:val="none" w:sz="0" w:space="0" w:color="auto"/>
        <w:right w:val="none" w:sz="0" w:space="0" w:color="auto"/>
      </w:divBdr>
      <w:divsChild>
        <w:div w:id="1622416051">
          <w:marLeft w:val="0"/>
          <w:marRight w:val="0"/>
          <w:marTop w:val="0"/>
          <w:marBottom w:val="0"/>
          <w:divBdr>
            <w:top w:val="none" w:sz="0" w:space="0" w:color="auto"/>
            <w:left w:val="none" w:sz="0" w:space="0" w:color="auto"/>
            <w:bottom w:val="none" w:sz="0" w:space="0" w:color="auto"/>
            <w:right w:val="none" w:sz="0" w:space="0" w:color="auto"/>
          </w:divBdr>
          <w:divsChild>
            <w:div w:id="389501667">
              <w:marLeft w:val="0"/>
              <w:marRight w:val="0"/>
              <w:marTop w:val="0"/>
              <w:marBottom w:val="0"/>
              <w:divBdr>
                <w:top w:val="none" w:sz="0" w:space="0" w:color="auto"/>
                <w:left w:val="none" w:sz="0" w:space="0" w:color="auto"/>
                <w:bottom w:val="none" w:sz="0" w:space="0" w:color="auto"/>
                <w:right w:val="none" w:sz="0" w:space="0" w:color="auto"/>
              </w:divBdr>
              <w:divsChild>
                <w:div w:id="1575503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5771686">
      <w:bodyDiv w:val="1"/>
      <w:marLeft w:val="0"/>
      <w:marRight w:val="0"/>
      <w:marTop w:val="0"/>
      <w:marBottom w:val="0"/>
      <w:divBdr>
        <w:top w:val="none" w:sz="0" w:space="0" w:color="auto"/>
        <w:left w:val="none" w:sz="0" w:space="0" w:color="auto"/>
        <w:bottom w:val="none" w:sz="0" w:space="0" w:color="auto"/>
        <w:right w:val="none" w:sz="0" w:space="0" w:color="auto"/>
      </w:divBdr>
      <w:divsChild>
        <w:div w:id="1546016676">
          <w:marLeft w:val="0"/>
          <w:marRight w:val="0"/>
          <w:marTop w:val="0"/>
          <w:marBottom w:val="0"/>
          <w:divBdr>
            <w:top w:val="none" w:sz="0" w:space="0" w:color="auto"/>
            <w:left w:val="none" w:sz="0" w:space="0" w:color="auto"/>
            <w:bottom w:val="none" w:sz="0" w:space="0" w:color="auto"/>
            <w:right w:val="none" w:sz="0" w:space="0" w:color="auto"/>
          </w:divBdr>
          <w:divsChild>
            <w:div w:id="2007980187">
              <w:marLeft w:val="0"/>
              <w:marRight w:val="0"/>
              <w:marTop w:val="0"/>
              <w:marBottom w:val="0"/>
              <w:divBdr>
                <w:top w:val="none" w:sz="0" w:space="0" w:color="auto"/>
                <w:left w:val="none" w:sz="0" w:space="0" w:color="auto"/>
                <w:bottom w:val="none" w:sz="0" w:space="0" w:color="auto"/>
                <w:right w:val="none" w:sz="0" w:space="0" w:color="auto"/>
              </w:divBdr>
              <w:divsChild>
                <w:div w:id="723453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783114">
      <w:bodyDiv w:val="1"/>
      <w:marLeft w:val="0"/>
      <w:marRight w:val="0"/>
      <w:marTop w:val="0"/>
      <w:marBottom w:val="0"/>
      <w:divBdr>
        <w:top w:val="none" w:sz="0" w:space="0" w:color="auto"/>
        <w:left w:val="none" w:sz="0" w:space="0" w:color="auto"/>
        <w:bottom w:val="none" w:sz="0" w:space="0" w:color="auto"/>
        <w:right w:val="none" w:sz="0" w:space="0" w:color="auto"/>
      </w:divBdr>
      <w:divsChild>
        <w:div w:id="1291739271">
          <w:marLeft w:val="0"/>
          <w:marRight w:val="0"/>
          <w:marTop w:val="0"/>
          <w:marBottom w:val="0"/>
          <w:divBdr>
            <w:top w:val="none" w:sz="0" w:space="0" w:color="auto"/>
            <w:left w:val="none" w:sz="0" w:space="0" w:color="auto"/>
            <w:bottom w:val="none" w:sz="0" w:space="0" w:color="auto"/>
            <w:right w:val="none" w:sz="0" w:space="0" w:color="auto"/>
          </w:divBdr>
          <w:divsChild>
            <w:div w:id="1325622254">
              <w:marLeft w:val="0"/>
              <w:marRight w:val="0"/>
              <w:marTop w:val="0"/>
              <w:marBottom w:val="0"/>
              <w:divBdr>
                <w:top w:val="none" w:sz="0" w:space="0" w:color="auto"/>
                <w:left w:val="none" w:sz="0" w:space="0" w:color="auto"/>
                <w:bottom w:val="none" w:sz="0" w:space="0" w:color="auto"/>
                <w:right w:val="none" w:sz="0" w:space="0" w:color="auto"/>
              </w:divBdr>
              <w:divsChild>
                <w:div w:id="19480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412879">
      <w:bodyDiv w:val="1"/>
      <w:marLeft w:val="0"/>
      <w:marRight w:val="0"/>
      <w:marTop w:val="0"/>
      <w:marBottom w:val="0"/>
      <w:divBdr>
        <w:top w:val="none" w:sz="0" w:space="0" w:color="auto"/>
        <w:left w:val="none" w:sz="0" w:space="0" w:color="auto"/>
        <w:bottom w:val="none" w:sz="0" w:space="0" w:color="auto"/>
        <w:right w:val="none" w:sz="0" w:space="0" w:color="auto"/>
      </w:divBdr>
    </w:div>
    <w:div w:id="1313758429">
      <w:bodyDiv w:val="1"/>
      <w:marLeft w:val="0"/>
      <w:marRight w:val="0"/>
      <w:marTop w:val="0"/>
      <w:marBottom w:val="0"/>
      <w:divBdr>
        <w:top w:val="none" w:sz="0" w:space="0" w:color="auto"/>
        <w:left w:val="none" w:sz="0" w:space="0" w:color="auto"/>
        <w:bottom w:val="none" w:sz="0" w:space="0" w:color="auto"/>
        <w:right w:val="none" w:sz="0" w:space="0" w:color="auto"/>
      </w:divBdr>
    </w:div>
    <w:div w:id="1314524834">
      <w:bodyDiv w:val="1"/>
      <w:marLeft w:val="0"/>
      <w:marRight w:val="0"/>
      <w:marTop w:val="0"/>
      <w:marBottom w:val="0"/>
      <w:divBdr>
        <w:top w:val="none" w:sz="0" w:space="0" w:color="auto"/>
        <w:left w:val="none" w:sz="0" w:space="0" w:color="auto"/>
        <w:bottom w:val="none" w:sz="0" w:space="0" w:color="auto"/>
        <w:right w:val="none" w:sz="0" w:space="0" w:color="auto"/>
      </w:divBdr>
    </w:div>
    <w:div w:id="1327245951">
      <w:bodyDiv w:val="1"/>
      <w:marLeft w:val="0"/>
      <w:marRight w:val="0"/>
      <w:marTop w:val="0"/>
      <w:marBottom w:val="0"/>
      <w:divBdr>
        <w:top w:val="none" w:sz="0" w:space="0" w:color="auto"/>
        <w:left w:val="none" w:sz="0" w:space="0" w:color="auto"/>
        <w:bottom w:val="none" w:sz="0" w:space="0" w:color="auto"/>
        <w:right w:val="none" w:sz="0" w:space="0" w:color="auto"/>
      </w:divBdr>
      <w:divsChild>
        <w:div w:id="1047727647">
          <w:marLeft w:val="0"/>
          <w:marRight w:val="0"/>
          <w:marTop w:val="0"/>
          <w:marBottom w:val="0"/>
          <w:divBdr>
            <w:top w:val="none" w:sz="0" w:space="0" w:color="auto"/>
            <w:left w:val="none" w:sz="0" w:space="0" w:color="auto"/>
            <w:bottom w:val="none" w:sz="0" w:space="0" w:color="auto"/>
            <w:right w:val="none" w:sz="0" w:space="0" w:color="auto"/>
          </w:divBdr>
          <w:divsChild>
            <w:div w:id="893811912">
              <w:marLeft w:val="0"/>
              <w:marRight w:val="0"/>
              <w:marTop w:val="0"/>
              <w:marBottom w:val="0"/>
              <w:divBdr>
                <w:top w:val="none" w:sz="0" w:space="0" w:color="auto"/>
                <w:left w:val="none" w:sz="0" w:space="0" w:color="auto"/>
                <w:bottom w:val="none" w:sz="0" w:space="0" w:color="auto"/>
                <w:right w:val="none" w:sz="0" w:space="0" w:color="auto"/>
              </w:divBdr>
              <w:divsChild>
                <w:div w:id="469638437">
                  <w:marLeft w:val="0"/>
                  <w:marRight w:val="0"/>
                  <w:marTop w:val="0"/>
                  <w:marBottom w:val="0"/>
                  <w:divBdr>
                    <w:top w:val="none" w:sz="0" w:space="0" w:color="auto"/>
                    <w:left w:val="none" w:sz="0" w:space="0" w:color="auto"/>
                    <w:bottom w:val="none" w:sz="0" w:space="0" w:color="auto"/>
                    <w:right w:val="none" w:sz="0" w:space="0" w:color="auto"/>
                  </w:divBdr>
                  <w:divsChild>
                    <w:div w:id="49014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1928789">
      <w:bodyDiv w:val="1"/>
      <w:marLeft w:val="0"/>
      <w:marRight w:val="0"/>
      <w:marTop w:val="0"/>
      <w:marBottom w:val="0"/>
      <w:divBdr>
        <w:top w:val="none" w:sz="0" w:space="0" w:color="auto"/>
        <w:left w:val="none" w:sz="0" w:space="0" w:color="auto"/>
        <w:bottom w:val="none" w:sz="0" w:space="0" w:color="auto"/>
        <w:right w:val="none" w:sz="0" w:space="0" w:color="auto"/>
      </w:divBdr>
    </w:div>
    <w:div w:id="1354111766">
      <w:bodyDiv w:val="1"/>
      <w:marLeft w:val="0"/>
      <w:marRight w:val="0"/>
      <w:marTop w:val="0"/>
      <w:marBottom w:val="0"/>
      <w:divBdr>
        <w:top w:val="none" w:sz="0" w:space="0" w:color="auto"/>
        <w:left w:val="none" w:sz="0" w:space="0" w:color="auto"/>
        <w:bottom w:val="none" w:sz="0" w:space="0" w:color="auto"/>
        <w:right w:val="none" w:sz="0" w:space="0" w:color="auto"/>
      </w:divBdr>
    </w:div>
    <w:div w:id="1356737355">
      <w:bodyDiv w:val="1"/>
      <w:marLeft w:val="0"/>
      <w:marRight w:val="0"/>
      <w:marTop w:val="0"/>
      <w:marBottom w:val="0"/>
      <w:divBdr>
        <w:top w:val="none" w:sz="0" w:space="0" w:color="auto"/>
        <w:left w:val="none" w:sz="0" w:space="0" w:color="auto"/>
        <w:bottom w:val="none" w:sz="0" w:space="0" w:color="auto"/>
        <w:right w:val="none" w:sz="0" w:space="0" w:color="auto"/>
      </w:divBdr>
    </w:div>
    <w:div w:id="1369179498">
      <w:bodyDiv w:val="1"/>
      <w:marLeft w:val="0"/>
      <w:marRight w:val="0"/>
      <w:marTop w:val="0"/>
      <w:marBottom w:val="0"/>
      <w:divBdr>
        <w:top w:val="none" w:sz="0" w:space="0" w:color="auto"/>
        <w:left w:val="none" w:sz="0" w:space="0" w:color="auto"/>
        <w:bottom w:val="none" w:sz="0" w:space="0" w:color="auto"/>
        <w:right w:val="none" w:sz="0" w:space="0" w:color="auto"/>
      </w:divBdr>
    </w:div>
    <w:div w:id="1412656319">
      <w:bodyDiv w:val="1"/>
      <w:marLeft w:val="0"/>
      <w:marRight w:val="0"/>
      <w:marTop w:val="0"/>
      <w:marBottom w:val="0"/>
      <w:divBdr>
        <w:top w:val="none" w:sz="0" w:space="0" w:color="auto"/>
        <w:left w:val="none" w:sz="0" w:space="0" w:color="auto"/>
        <w:bottom w:val="none" w:sz="0" w:space="0" w:color="auto"/>
        <w:right w:val="none" w:sz="0" w:space="0" w:color="auto"/>
      </w:divBdr>
      <w:divsChild>
        <w:div w:id="100075699">
          <w:marLeft w:val="0"/>
          <w:marRight w:val="108"/>
          <w:marTop w:val="18"/>
          <w:marBottom w:val="108"/>
          <w:divBdr>
            <w:top w:val="none" w:sz="0" w:space="0" w:color="auto"/>
            <w:left w:val="none" w:sz="0" w:space="0" w:color="auto"/>
            <w:bottom w:val="none" w:sz="0" w:space="0" w:color="auto"/>
            <w:right w:val="none" w:sz="0" w:space="0" w:color="auto"/>
          </w:divBdr>
          <w:divsChild>
            <w:div w:id="473721980">
              <w:marLeft w:val="0"/>
              <w:marRight w:val="0"/>
              <w:marTop w:val="0"/>
              <w:marBottom w:val="0"/>
              <w:divBdr>
                <w:top w:val="none" w:sz="0" w:space="0" w:color="auto"/>
                <w:left w:val="none" w:sz="0" w:space="0" w:color="auto"/>
                <w:bottom w:val="none" w:sz="0" w:space="0" w:color="auto"/>
                <w:right w:val="none" w:sz="0" w:space="0" w:color="auto"/>
              </w:divBdr>
              <w:divsChild>
                <w:div w:id="891236479">
                  <w:marLeft w:val="0"/>
                  <w:marRight w:val="0"/>
                  <w:marTop w:val="0"/>
                  <w:marBottom w:val="0"/>
                  <w:divBdr>
                    <w:top w:val="none" w:sz="0" w:space="0" w:color="auto"/>
                    <w:left w:val="none" w:sz="0" w:space="0" w:color="auto"/>
                    <w:bottom w:val="none" w:sz="0" w:space="0" w:color="auto"/>
                    <w:right w:val="none" w:sz="0" w:space="0" w:color="auto"/>
                  </w:divBdr>
                  <w:divsChild>
                    <w:div w:id="613370460">
                      <w:marLeft w:val="0"/>
                      <w:marRight w:val="0"/>
                      <w:marTop w:val="0"/>
                      <w:marBottom w:val="0"/>
                      <w:divBdr>
                        <w:top w:val="none" w:sz="0" w:space="0" w:color="auto"/>
                        <w:left w:val="none" w:sz="0" w:space="0" w:color="auto"/>
                        <w:bottom w:val="none" w:sz="0" w:space="0" w:color="auto"/>
                        <w:right w:val="none" w:sz="0" w:space="0" w:color="auto"/>
                      </w:divBdr>
                      <w:divsChild>
                        <w:div w:id="190297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6242276">
      <w:bodyDiv w:val="1"/>
      <w:marLeft w:val="0"/>
      <w:marRight w:val="0"/>
      <w:marTop w:val="0"/>
      <w:marBottom w:val="0"/>
      <w:divBdr>
        <w:top w:val="none" w:sz="0" w:space="0" w:color="auto"/>
        <w:left w:val="none" w:sz="0" w:space="0" w:color="auto"/>
        <w:bottom w:val="none" w:sz="0" w:space="0" w:color="auto"/>
        <w:right w:val="none" w:sz="0" w:space="0" w:color="auto"/>
      </w:divBdr>
    </w:div>
    <w:div w:id="1416396015">
      <w:bodyDiv w:val="1"/>
      <w:marLeft w:val="0"/>
      <w:marRight w:val="0"/>
      <w:marTop w:val="0"/>
      <w:marBottom w:val="0"/>
      <w:divBdr>
        <w:top w:val="none" w:sz="0" w:space="0" w:color="auto"/>
        <w:left w:val="none" w:sz="0" w:space="0" w:color="auto"/>
        <w:bottom w:val="none" w:sz="0" w:space="0" w:color="auto"/>
        <w:right w:val="none" w:sz="0" w:space="0" w:color="auto"/>
      </w:divBdr>
    </w:div>
    <w:div w:id="1418358541">
      <w:bodyDiv w:val="1"/>
      <w:marLeft w:val="0"/>
      <w:marRight w:val="0"/>
      <w:marTop w:val="0"/>
      <w:marBottom w:val="0"/>
      <w:divBdr>
        <w:top w:val="none" w:sz="0" w:space="0" w:color="auto"/>
        <w:left w:val="none" w:sz="0" w:space="0" w:color="auto"/>
        <w:bottom w:val="none" w:sz="0" w:space="0" w:color="auto"/>
        <w:right w:val="none" w:sz="0" w:space="0" w:color="auto"/>
      </w:divBdr>
    </w:div>
    <w:div w:id="1423912148">
      <w:bodyDiv w:val="1"/>
      <w:marLeft w:val="0"/>
      <w:marRight w:val="0"/>
      <w:marTop w:val="0"/>
      <w:marBottom w:val="0"/>
      <w:divBdr>
        <w:top w:val="none" w:sz="0" w:space="0" w:color="auto"/>
        <w:left w:val="none" w:sz="0" w:space="0" w:color="auto"/>
        <w:bottom w:val="none" w:sz="0" w:space="0" w:color="auto"/>
        <w:right w:val="none" w:sz="0" w:space="0" w:color="auto"/>
      </w:divBdr>
    </w:div>
    <w:div w:id="1424107233">
      <w:bodyDiv w:val="1"/>
      <w:marLeft w:val="0"/>
      <w:marRight w:val="0"/>
      <w:marTop w:val="0"/>
      <w:marBottom w:val="0"/>
      <w:divBdr>
        <w:top w:val="none" w:sz="0" w:space="0" w:color="auto"/>
        <w:left w:val="none" w:sz="0" w:space="0" w:color="auto"/>
        <w:bottom w:val="none" w:sz="0" w:space="0" w:color="auto"/>
        <w:right w:val="none" w:sz="0" w:space="0" w:color="auto"/>
      </w:divBdr>
    </w:div>
    <w:div w:id="1424954771">
      <w:bodyDiv w:val="1"/>
      <w:marLeft w:val="0"/>
      <w:marRight w:val="0"/>
      <w:marTop w:val="0"/>
      <w:marBottom w:val="0"/>
      <w:divBdr>
        <w:top w:val="none" w:sz="0" w:space="0" w:color="auto"/>
        <w:left w:val="none" w:sz="0" w:space="0" w:color="auto"/>
        <w:bottom w:val="none" w:sz="0" w:space="0" w:color="auto"/>
        <w:right w:val="none" w:sz="0" w:space="0" w:color="auto"/>
      </w:divBdr>
    </w:div>
    <w:div w:id="1448040222">
      <w:bodyDiv w:val="1"/>
      <w:marLeft w:val="0"/>
      <w:marRight w:val="0"/>
      <w:marTop w:val="0"/>
      <w:marBottom w:val="0"/>
      <w:divBdr>
        <w:top w:val="none" w:sz="0" w:space="0" w:color="auto"/>
        <w:left w:val="none" w:sz="0" w:space="0" w:color="auto"/>
        <w:bottom w:val="none" w:sz="0" w:space="0" w:color="auto"/>
        <w:right w:val="none" w:sz="0" w:space="0" w:color="auto"/>
      </w:divBdr>
    </w:div>
    <w:div w:id="1448767963">
      <w:bodyDiv w:val="1"/>
      <w:marLeft w:val="0"/>
      <w:marRight w:val="0"/>
      <w:marTop w:val="0"/>
      <w:marBottom w:val="0"/>
      <w:divBdr>
        <w:top w:val="none" w:sz="0" w:space="0" w:color="auto"/>
        <w:left w:val="none" w:sz="0" w:space="0" w:color="auto"/>
        <w:bottom w:val="none" w:sz="0" w:space="0" w:color="auto"/>
        <w:right w:val="none" w:sz="0" w:space="0" w:color="auto"/>
      </w:divBdr>
    </w:div>
    <w:div w:id="1453938848">
      <w:bodyDiv w:val="1"/>
      <w:marLeft w:val="0"/>
      <w:marRight w:val="0"/>
      <w:marTop w:val="0"/>
      <w:marBottom w:val="0"/>
      <w:divBdr>
        <w:top w:val="none" w:sz="0" w:space="0" w:color="auto"/>
        <w:left w:val="none" w:sz="0" w:space="0" w:color="auto"/>
        <w:bottom w:val="none" w:sz="0" w:space="0" w:color="auto"/>
        <w:right w:val="none" w:sz="0" w:space="0" w:color="auto"/>
      </w:divBdr>
    </w:div>
    <w:div w:id="1464693585">
      <w:bodyDiv w:val="1"/>
      <w:marLeft w:val="0"/>
      <w:marRight w:val="0"/>
      <w:marTop w:val="0"/>
      <w:marBottom w:val="0"/>
      <w:divBdr>
        <w:top w:val="none" w:sz="0" w:space="0" w:color="auto"/>
        <w:left w:val="none" w:sz="0" w:space="0" w:color="auto"/>
        <w:bottom w:val="none" w:sz="0" w:space="0" w:color="auto"/>
        <w:right w:val="none" w:sz="0" w:space="0" w:color="auto"/>
      </w:divBdr>
    </w:div>
    <w:div w:id="1466387616">
      <w:bodyDiv w:val="1"/>
      <w:marLeft w:val="0"/>
      <w:marRight w:val="0"/>
      <w:marTop w:val="0"/>
      <w:marBottom w:val="0"/>
      <w:divBdr>
        <w:top w:val="none" w:sz="0" w:space="0" w:color="auto"/>
        <w:left w:val="none" w:sz="0" w:space="0" w:color="auto"/>
        <w:bottom w:val="none" w:sz="0" w:space="0" w:color="auto"/>
        <w:right w:val="none" w:sz="0" w:space="0" w:color="auto"/>
      </w:divBdr>
    </w:div>
    <w:div w:id="1467166483">
      <w:bodyDiv w:val="1"/>
      <w:marLeft w:val="0"/>
      <w:marRight w:val="0"/>
      <w:marTop w:val="0"/>
      <w:marBottom w:val="0"/>
      <w:divBdr>
        <w:top w:val="none" w:sz="0" w:space="0" w:color="auto"/>
        <w:left w:val="none" w:sz="0" w:space="0" w:color="auto"/>
        <w:bottom w:val="none" w:sz="0" w:space="0" w:color="auto"/>
        <w:right w:val="none" w:sz="0" w:space="0" w:color="auto"/>
      </w:divBdr>
    </w:div>
    <w:div w:id="1471315943">
      <w:bodyDiv w:val="1"/>
      <w:marLeft w:val="0"/>
      <w:marRight w:val="0"/>
      <w:marTop w:val="0"/>
      <w:marBottom w:val="0"/>
      <w:divBdr>
        <w:top w:val="none" w:sz="0" w:space="0" w:color="auto"/>
        <w:left w:val="none" w:sz="0" w:space="0" w:color="auto"/>
        <w:bottom w:val="none" w:sz="0" w:space="0" w:color="auto"/>
        <w:right w:val="none" w:sz="0" w:space="0" w:color="auto"/>
      </w:divBdr>
    </w:div>
    <w:div w:id="1477527714">
      <w:bodyDiv w:val="1"/>
      <w:marLeft w:val="0"/>
      <w:marRight w:val="0"/>
      <w:marTop w:val="0"/>
      <w:marBottom w:val="0"/>
      <w:divBdr>
        <w:top w:val="none" w:sz="0" w:space="0" w:color="auto"/>
        <w:left w:val="none" w:sz="0" w:space="0" w:color="auto"/>
        <w:bottom w:val="none" w:sz="0" w:space="0" w:color="auto"/>
        <w:right w:val="none" w:sz="0" w:space="0" w:color="auto"/>
      </w:divBdr>
      <w:divsChild>
        <w:div w:id="819231862">
          <w:marLeft w:val="0"/>
          <w:marRight w:val="0"/>
          <w:marTop w:val="0"/>
          <w:marBottom w:val="0"/>
          <w:divBdr>
            <w:top w:val="none" w:sz="0" w:space="0" w:color="auto"/>
            <w:left w:val="none" w:sz="0" w:space="0" w:color="auto"/>
            <w:bottom w:val="none" w:sz="0" w:space="0" w:color="auto"/>
            <w:right w:val="none" w:sz="0" w:space="0" w:color="auto"/>
          </w:divBdr>
          <w:divsChild>
            <w:div w:id="1291597072">
              <w:marLeft w:val="0"/>
              <w:marRight w:val="0"/>
              <w:marTop w:val="0"/>
              <w:marBottom w:val="0"/>
              <w:divBdr>
                <w:top w:val="none" w:sz="0" w:space="0" w:color="auto"/>
                <w:left w:val="none" w:sz="0" w:space="0" w:color="auto"/>
                <w:bottom w:val="none" w:sz="0" w:space="0" w:color="auto"/>
                <w:right w:val="none" w:sz="0" w:space="0" w:color="auto"/>
              </w:divBdr>
              <w:divsChild>
                <w:div w:id="909079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175303">
      <w:bodyDiv w:val="1"/>
      <w:marLeft w:val="0"/>
      <w:marRight w:val="0"/>
      <w:marTop w:val="0"/>
      <w:marBottom w:val="0"/>
      <w:divBdr>
        <w:top w:val="none" w:sz="0" w:space="0" w:color="auto"/>
        <w:left w:val="none" w:sz="0" w:space="0" w:color="auto"/>
        <w:bottom w:val="none" w:sz="0" w:space="0" w:color="auto"/>
        <w:right w:val="none" w:sz="0" w:space="0" w:color="auto"/>
      </w:divBdr>
    </w:div>
    <w:div w:id="1515264435">
      <w:bodyDiv w:val="1"/>
      <w:marLeft w:val="0"/>
      <w:marRight w:val="0"/>
      <w:marTop w:val="0"/>
      <w:marBottom w:val="0"/>
      <w:divBdr>
        <w:top w:val="none" w:sz="0" w:space="0" w:color="auto"/>
        <w:left w:val="none" w:sz="0" w:space="0" w:color="auto"/>
        <w:bottom w:val="none" w:sz="0" w:space="0" w:color="auto"/>
        <w:right w:val="none" w:sz="0" w:space="0" w:color="auto"/>
      </w:divBdr>
      <w:divsChild>
        <w:div w:id="482939100">
          <w:marLeft w:val="0"/>
          <w:marRight w:val="0"/>
          <w:marTop w:val="0"/>
          <w:marBottom w:val="0"/>
          <w:divBdr>
            <w:top w:val="none" w:sz="0" w:space="0" w:color="auto"/>
            <w:left w:val="none" w:sz="0" w:space="0" w:color="auto"/>
            <w:bottom w:val="none" w:sz="0" w:space="0" w:color="auto"/>
            <w:right w:val="none" w:sz="0" w:space="0" w:color="auto"/>
          </w:divBdr>
          <w:divsChild>
            <w:div w:id="188882283">
              <w:marLeft w:val="0"/>
              <w:marRight w:val="0"/>
              <w:marTop w:val="0"/>
              <w:marBottom w:val="0"/>
              <w:divBdr>
                <w:top w:val="none" w:sz="0" w:space="0" w:color="auto"/>
                <w:left w:val="none" w:sz="0" w:space="0" w:color="auto"/>
                <w:bottom w:val="none" w:sz="0" w:space="0" w:color="auto"/>
                <w:right w:val="none" w:sz="0" w:space="0" w:color="auto"/>
              </w:divBdr>
              <w:divsChild>
                <w:div w:id="887574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0197079">
      <w:bodyDiv w:val="1"/>
      <w:marLeft w:val="0"/>
      <w:marRight w:val="0"/>
      <w:marTop w:val="0"/>
      <w:marBottom w:val="0"/>
      <w:divBdr>
        <w:top w:val="none" w:sz="0" w:space="0" w:color="auto"/>
        <w:left w:val="none" w:sz="0" w:space="0" w:color="auto"/>
        <w:bottom w:val="none" w:sz="0" w:space="0" w:color="auto"/>
        <w:right w:val="none" w:sz="0" w:space="0" w:color="auto"/>
      </w:divBdr>
    </w:div>
    <w:div w:id="1527871208">
      <w:bodyDiv w:val="1"/>
      <w:marLeft w:val="0"/>
      <w:marRight w:val="0"/>
      <w:marTop w:val="0"/>
      <w:marBottom w:val="0"/>
      <w:divBdr>
        <w:top w:val="none" w:sz="0" w:space="0" w:color="auto"/>
        <w:left w:val="none" w:sz="0" w:space="0" w:color="auto"/>
        <w:bottom w:val="none" w:sz="0" w:space="0" w:color="auto"/>
        <w:right w:val="none" w:sz="0" w:space="0" w:color="auto"/>
      </w:divBdr>
    </w:div>
    <w:div w:id="1564483997">
      <w:bodyDiv w:val="1"/>
      <w:marLeft w:val="0"/>
      <w:marRight w:val="0"/>
      <w:marTop w:val="0"/>
      <w:marBottom w:val="0"/>
      <w:divBdr>
        <w:top w:val="none" w:sz="0" w:space="0" w:color="auto"/>
        <w:left w:val="none" w:sz="0" w:space="0" w:color="auto"/>
        <w:bottom w:val="none" w:sz="0" w:space="0" w:color="auto"/>
        <w:right w:val="none" w:sz="0" w:space="0" w:color="auto"/>
      </w:divBdr>
    </w:div>
    <w:div w:id="1564827377">
      <w:bodyDiv w:val="1"/>
      <w:marLeft w:val="0"/>
      <w:marRight w:val="0"/>
      <w:marTop w:val="0"/>
      <w:marBottom w:val="0"/>
      <w:divBdr>
        <w:top w:val="none" w:sz="0" w:space="0" w:color="auto"/>
        <w:left w:val="none" w:sz="0" w:space="0" w:color="auto"/>
        <w:bottom w:val="none" w:sz="0" w:space="0" w:color="auto"/>
        <w:right w:val="none" w:sz="0" w:space="0" w:color="auto"/>
      </w:divBdr>
    </w:div>
    <w:div w:id="1567493798">
      <w:bodyDiv w:val="1"/>
      <w:marLeft w:val="0"/>
      <w:marRight w:val="0"/>
      <w:marTop w:val="0"/>
      <w:marBottom w:val="0"/>
      <w:divBdr>
        <w:top w:val="none" w:sz="0" w:space="0" w:color="auto"/>
        <w:left w:val="none" w:sz="0" w:space="0" w:color="auto"/>
        <w:bottom w:val="none" w:sz="0" w:space="0" w:color="auto"/>
        <w:right w:val="none" w:sz="0" w:space="0" w:color="auto"/>
      </w:divBdr>
    </w:div>
    <w:div w:id="1569606273">
      <w:bodyDiv w:val="1"/>
      <w:marLeft w:val="0"/>
      <w:marRight w:val="0"/>
      <w:marTop w:val="0"/>
      <w:marBottom w:val="0"/>
      <w:divBdr>
        <w:top w:val="none" w:sz="0" w:space="0" w:color="auto"/>
        <w:left w:val="none" w:sz="0" w:space="0" w:color="auto"/>
        <w:bottom w:val="none" w:sz="0" w:space="0" w:color="auto"/>
        <w:right w:val="none" w:sz="0" w:space="0" w:color="auto"/>
      </w:divBdr>
      <w:divsChild>
        <w:div w:id="160392064">
          <w:marLeft w:val="0"/>
          <w:marRight w:val="0"/>
          <w:marTop w:val="0"/>
          <w:marBottom w:val="0"/>
          <w:divBdr>
            <w:top w:val="none" w:sz="0" w:space="0" w:color="auto"/>
            <w:left w:val="none" w:sz="0" w:space="0" w:color="auto"/>
            <w:bottom w:val="none" w:sz="0" w:space="0" w:color="auto"/>
            <w:right w:val="none" w:sz="0" w:space="0" w:color="auto"/>
          </w:divBdr>
          <w:divsChild>
            <w:div w:id="1317150719">
              <w:marLeft w:val="0"/>
              <w:marRight w:val="0"/>
              <w:marTop w:val="0"/>
              <w:marBottom w:val="0"/>
              <w:divBdr>
                <w:top w:val="none" w:sz="0" w:space="0" w:color="auto"/>
                <w:left w:val="none" w:sz="0" w:space="0" w:color="auto"/>
                <w:bottom w:val="none" w:sz="0" w:space="0" w:color="auto"/>
                <w:right w:val="none" w:sz="0" w:space="0" w:color="auto"/>
              </w:divBdr>
              <w:divsChild>
                <w:div w:id="1911233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305290">
      <w:bodyDiv w:val="1"/>
      <w:marLeft w:val="0"/>
      <w:marRight w:val="0"/>
      <w:marTop w:val="0"/>
      <w:marBottom w:val="0"/>
      <w:divBdr>
        <w:top w:val="none" w:sz="0" w:space="0" w:color="auto"/>
        <w:left w:val="none" w:sz="0" w:space="0" w:color="auto"/>
        <w:bottom w:val="none" w:sz="0" w:space="0" w:color="auto"/>
        <w:right w:val="none" w:sz="0" w:space="0" w:color="auto"/>
      </w:divBdr>
      <w:divsChild>
        <w:div w:id="405877601">
          <w:marLeft w:val="0"/>
          <w:marRight w:val="0"/>
          <w:marTop w:val="0"/>
          <w:marBottom w:val="0"/>
          <w:divBdr>
            <w:top w:val="single" w:sz="2" w:space="0" w:color="E3E3E3"/>
            <w:left w:val="single" w:sz="2" w:space="0" w:color="E3E3E3"/>
            <w:bottom w:val="single" w:sz="2" w:space="0" w:color="E3E3E3"/>
            <w:right w:val="single" w:sz="2" w:space="0" w:color="E3E3E3"/>
          </w:divBdr>
          <w:divsChild>
            <w:div w:id="54671735">
              <w:marLeft w:val="0"/>
              <w:marRight w:val="0"/>
              <w:marTop w:val="0"/>
              <w:marBottom w:val="0"/>
              <w:divBdr>
                <w:top w:val="single" w:sz="2" w:space="0" w:color="E3E3E3"/>
                <w:left w:val="single" w:sz="2" w:space="0" w:color="E3E3E3"/>
                <w:bottom w:val="single" w:sz="2" w:space="0" w:color="E3E3E3"/>
                <w:right w:val="single" w:sz="2" w:space="0" w:color="E3E3E3"/>
              </w:divBdr>
              <w:divsChild>
                <w:div w:id="167025305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1575627824">
      <w:bodyDiv w:val="1"/>
      <w:marLeft w:val="0"/>
      <w:marRight w:val="0"/>
      <w:marTop w:val="0"/>
      <w:marBottom w:val="0"/>
      <w:divBdr>
        <w:top w:val="none" w:sz="0" w:space="0" w:color="auto"/>
        <w:left w:val="none" w:sz="0" w:space="0" w:color="auto"/>
        <w:bottom w:val="none" w:sz="0" w:space="0" w:color="auto"/>
        <w:right w:val="none" w:sz="0" w:space="0" w:color="auto"/>
      </w:divBdr>
    </w:div>
    <w:div w:id="1581014509">
      <w:bodyDiv w:val="1"/>
      <w:marLeft w:val="0"/>
      <w:marRight w:val="0"/>
      <w:marTop w:val="0"/>
      <w:marBottom w:val="0"/>
      <w:divBdr>
        <w:top w:val="none" w:sz="0" w:space="0" w:color="auto"/>
        <w:left w:val="none" w:sz="0" w:space="0" w:color="auto"/>
        <w:bottom w:val="none" w:sz="0" w:space="0" w:color="auto"/>
        <w:right w:val="none" w:sz="0" w:space="0" w:color="auto"/>
      </w:divBdr>
      <w:divsChild>
        <w:div w:id="1659843196">
          <w:marLeft w:val="0"/>
          <w:marRight w:val="0"/>
          <w:marTop w:val="0"/>
          <w:marBottom w:val="0"/>
          <w:divBdr>
            <w:top w:val="none" w:sz="0" w:space="0" w:color="auto"/>
            <w:left w:val="none" w:sz="0" w:space="0" w:color="auto"/>
            <w:bottom w:val="none" w:sz="0" w:space="0" w:color="auto"/>
            <w:right w:val="none" w:sz="0" w:space="0" w:color="auto"/>
          </w:divBdr>
          <w:divsChild>
            <w:div w:id="128861485">
              <w:marLeft w:val="0"/>
              <w:marRight w:val="0"/>
              <w:marTop w:val="0"/>
              <w:marBottom w:val="0"/>
              <w:divBdr>
                <w:top w:val="none" w:sz="0" w:space="0" w:color="auto"/>
                <w:left w:val="none" w:sz="0" w:space="0" w:color="auto"/>
                <w:bottom w:val="none" w:sz="0" w:space="0" w:color="auto"/>
                <w:right w:val="none" w:sz="0" w:space="0" w:color="auto"/>
              </w:divBdr>
              <w:divsChild>
                <w:div w:id="97079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6571079">
      <w:bodyDiv w:val="1"/>
      <w:marLeft w:val="0"/>
      <w:marRight w:val="0"/>
      <w:marTop w:val="0"/>
      <w:marBottom w:val="0"/>
      <w:divBdr>
        <w:top w:val="none" w:sz="0" w:space="0" w:color="auto"/>
        <w:left w:val="none" w:sz="0" w:space="0" w:color="auto"/>
        <w:bottom w:val="none" w:sz="0" w:space="0" w:color="auto"/>
        <w:right w:val="none" w:sz="0" w:space="0" w:color="auto"/>
      </w:divBdr>
    </w:div>
    <w:div w:id="1706639777">
      <w:bodyDiv w:val="1"/>
      <w:marLeft w:val="0"/>
      <w:marRight w:val="0"/>
      <w:marTop w:val="0"/>
      <w:marBottom w:val="0"/>
      <w:divBdr>
        <w:top w:val="none" w:sz="0" w:space="0" w:color="auto"/>
        <w:left w:val="none" w:sz="0" w:space="0" w:color="auto"/>
        <w:bottom w:val="none" w:sz="0" w:space="0" w:color="auto"/>
        <w:right w:val="none" w:sz="0" w:space="0" w:color="auto"/>
      </w:divBdr>
    </w:div>
    <w:div w:id="1725636397">
      <w:bodyDiv w:val="1"/>
      <w:marLeft w:val="0"/>
      <w:marRight w:val="0"/>
      <w:marTop w:val="0"/>
      <w:marBottom w:val="0"/>
      <w:divBdr>
        <w:top w:val="none" w:sz="0" w:space="0" w:color="auto"/>
        <w:left w:val="none" w:sz="0" w:space="0" w:color="auto"/>
        <w:bottom w:val="none" w:sz="0" w:space="0" w:color="auto"/>
        <w:right w:val="none" w:sz="0" w:space="0" w:color="auto"/>
      </w:divBdr>
    </w:div>
    <w:div w:id="1726679986">
      <w:bodyDiv w:val="1"/>
      <w:marLeft w:val="0"/>
      <w:marRight w:val="0"/>
      <w:marTop w:val="0"/>
      <w:marBottom w:val="0"/>
      <w:divBdr>
        <w:top w:val="none" w:sz="0" w:space="0" w:color="auto"/>
        <w:left w:val="none" w:sz="0" w:space="0" w:color="auto"/>
        <w:bottom w:val="none" w:sz="0" w:space="0" w:color="auto"/>
        <w:right w:val="none" w:sz="0" w:space="0" w:color="auto"/>
      </w:divBdr>
    </w:div>
    <w:div w:id="1727409520">
      <w:bodyDiv w:val="1"/>
      <w:marLeft w:val="0"/>
      <w:marRight w:val="0"/>
      <w:marTop w:val="0"/>
      <w:marBottom w:val="0"/>
      <w:divBdr>
        <w:top w:val="none" w:sz="0" w:space="0" w:color="auto"/>
        <w:left w:val="none" w:sz="0" w:space="0" w:color="auto"/>
        <w:bottom w:val="none" w:sz="0" w:space="0" w:color="auto"/>
        <w:right w:val="none" w:sz="0" w:space="0" w:color="auto"/>
      </w:divBdr>
    </w:div>
    <w:div w:id="1743210660">
      <w:bodyDiv w:val="1"/>
      <w:marLeft w:val="0"/>
      <w:marRight w:val="0"/>
      <w:marTop w:val="0"/>
      <w:marBottom w:val="0"/>
      <w:divBdr>
        <w:top w:val="none" w:sz="0" w:space="0" w:color="auto"/>
        <w:left w:val="none" w:sz="0" w:space="0" w:color="auto"/>
        <w:bottom w:val="none" w:sz="0" w:space="0" w:color="auto"/>
        <w:right w:val="none" w:sz="0" w:space="0" w:color="auto"/>
      </w:divBdr>
      <w:divsChild>
        <w:div w:id="451360007">
          <w:marLeft w:val="0"/>
          <w:marRight w:val="0"/>
          <w:marTop w:val="0"/>
          <w:marBottom w:val="0"/>
          <w:divBdr>
            <w:top w:val="none" w:sz="0" w:space="0" w:color="auto"/>
            <w:left w:val="none" w:sz="0" w:space="0" w:color="auto"/>
            <w:bottom w:val="none" w:sz="0" w:space="0" w:color="auto"/>
            <w:right w:val="none" w:sz="0" w:space="0" w:color="auto"/>
          </w:divBdr>
          <w:divsChild>
            <w:div w:id="388966820">
              <w:marLeft w:val="0"/>
              <w:marRight w:val="0"/>
              <w:marTop w:val="0"/>
              <w:marBottom w:val="0"/>
              <w:divBdr>
                <w:top w:val="none" w:sz="0" w:space="0" w:color="auto"/>
                <w:left w:val="none" w:sz="0" w:space="0" w:color="auto"/>
                <w:bottom w:val="none" w:sz="0" w:space="0" w:color="auto"/>
                <w:right w:val="none" w:sz="0" w:space="0" w:color="auto"/>
              </w:divBdr>
              <w:divsChild>
                <w:div w:id="966008731">
                  <w:marLeft w:val="0"/>
                  <w:marRight w:val="0"/>
                  <w:marTop w:val="0"/>
                  <w:marBottom w:val="0"/>
                  <w:divBdr>
                    <w:top w:val="none" w:sz="0" w:space="0" w:color="auto"/>
                    <w:left w:val="none" w:sz="0" w:space="0" w:color="auto"/>
                    <w:bottom w:val="none" w:sz="0" w:space="0" w:color="auto"/>
                    <w:right w:val="none" w:sz="0" w:space="0" w:color="auto"/>
                  </w:divBdr>
                  <w:divsChild>
                    <w:div w:id="147128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278314">
      <w:bodyDiv w:val="1"/>
      <w:marLeft w:val="0"/>
      <w:marRight w:val="0"/>
      <w:marTop w:val="0"/>
      <w:marBottom w:val="0"/>
      <w:divBdr>
        <w:top w:val="none" w:sz="0" w:space="0" w:color="auto"/>
        <w:left w:val="none" w:sz="0" w:space="0" w:color="auto"/>
        <w:bottom w:val="none" w:sz="0" w:space="0" w:color="auto"/>
        <w:right w:val="none" w:sz="0" w:space="0" w:color="auto"/>
      </w:divBdr>
      <w:divsChild>
        <w:div w:id="729888684">
          <w:marLeft w:val="0"/>
          <w:marRight w:val="0"/>
          <w:marTop w:val="0"/>
          <w:marBottom w:val="0"/>
          <w:divBdr>
            <w:top w:val="none" w:sz="0" w:space="0" w:color="auto"/>
            <w:left w:val="none" w:sz="0" w:space="0" w:color="auto"/>
            <w:bottom w:val="none" w:sz="0" w:space="0" w:color="auto"/>
            <w:right w:val="none" w:sz="0" w:space="0" w:color="auto"/>
          </w:divBdr>
          <w:divsChild>
            <w:div w:id="703477865">
              <w:marLeft w:val="0"/>
              <w:marRight w:val="0"/>
              <w:marTop w:val="0"/>
              <w:marBottom w:val="0"/>
              <w:divBdr>
                <w:top w:val="none" w:sz="0" w:space="0" w:color="auto"/>
                <w:left w:val="none" w:sz="0" w:space="0" w:color="auto"/>
                <w:bottom w:val="none" w:sz="0" w:space="0" w:color="auto"/>
                <w:right w:val="none" w:sz="0" w:space="0" w:color="auto"/>
              </w:divBdr>
              <w:divsChild>
                <w:div w:id="15152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9451722">
      <w:bodyDiv w:val="1"/>
      <w:marLeft w:val="0"/>
      <w:marRight w:val="0"/>
      <w:marTop w:val="0"/>
      <w:marBottom w:val="0"/>
      <w:divBdr>
        <w:top w:val="none" w:sz="0" w:space="0" w:color="auto"/>
        <w:left w:val="none" w:sz="0" w:space="0" w:color="auto"/>
        <w:bottom w:val="none" w:sz="0" w:space="0" w:color="auto"/>
        <w:right w:val="none" w:sz="0" w:space="0" w:color="auto"/>
      </w:divBdr>
    </w:div>
    <w:div w:id="1800611504">
      <w:bodyDiv w:val="1"/>
      <w:marLeft w:val="0"/>
      <w:marRight w:val="0"/>
      <w:marTop w:val="0"/>
      <w:marBottom w:val="0"/>
      <w:divBdr>
        <w:top w:val="none" w:sz="0" w:space="0" w:color="auto"/>
        <w:left w:val="none" w:sz="0" w:space="0" w:color="auto"/>
        <w:bottom w:val="none" w:sz="0" w:space="0" w:color="auto"/>
        <w:right w:val="none" w:sz="0" w:space="0" w:color="auto"/>
      </w:divBdr>
      <w:divsChild>
        <w:div w:id="1932857348">
          <w:marLeft w:val="0"/>
          <w:marRight w:val="0"/>
          <w:marTop w:val="0"/>
          <w:marBottom w:val="0"/>
          <w:divBdr>
            <w:top w:val="none" w:sz="0" w:space="0" w:color="auto"/>
            <w:left w:val="none" w:sz="0" w:space="0" w:color="auto"/>
            <w:bottom w:val="none" w:sz="0" w:space="0" w:color="auto"/>
            <w:right w:val="none" w:sz="0" w:space="0" w:color="auto"/>
          </w:divBdr>
          <w:divsChild>
            <w:div w:id="813837862">
              <w:marLeft w:val="0"/>
              <w:marRight w:val="0"/>
              <w:marTop w:val="0"/>
              <w:marBottom w:val="0"/>
              <w:divBdr>
                <w:top w:val="none" w:sz="0" w:space="0" w:color="auto"/>
                <w:left w:val="none" w:sz="0" w:space="0" w:color="auto"/>
                <w:bottom w:val="none" w:sz="0" w:space="0" w:color="auto"/>
                <w:right w:val="none" w:sz="0" w:space="0" w:color="auto"/>
              </w:divBdr>
              <w:divsChild>
                <w:div w:id="839543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144813">
      <w:bodyDiv w:val="1"/>
      <w:marLeft w:val="0"/>
      <w:marRight w:val="0"/>
      <w:marTop w:val="0"/>
      <w:marBottom w:val="0"/>
      <w:divBdr>
        <w:top w:val="none" w:sz="0" w:space="0" w:color="auto"/>
        <w:left w:val="none" w:sz="0" w:space="0" w:color="auto"/>
        <w:bottom w:val="none" w:sz="0" w:space="0" w:color="auto"/>
        <w:right w:val="none" w:sz="0" w:space="0" w:color="auto"/>
      </w:divBdr>
    </w:div>
    <w:div w:id="1821724821">
      <w:bodyDiv w:val="1"/>
      <w:marLeft w:val="0"/>
      <w:marRight w:val="0"/>
      <w:marTop w:val="0"/>
      <w:marBottom w:val="0"/>
      <w:divBdr>
        <w:top w:val="none" w:sz="0" w:space="0" w:color="auto"/>
        <w:left w:val="none" w:sz="0" w:space="0" w:color="auto"/>
        <w:bottom w:val="none" w:sz="0" w:space="0" w:color="auto"/>
        <w:right w:val="none" w:sz="0" w:space="0" w:color="auto"/>
      </w:divBdr>
      <w:divsChild>
        <w:div w:id="794327638">
          <w:marLeft w:val="0"/>
          <w:marRight w:val="108"/>
          <w:marTop w:val="18"/>
          <w:marBottom w:val="108"/>
          <w:divBdr>
            <w:top w:val="none" w:sz="0" w:space="0" w:color="auto"/>
            <w:left w:val="none" w:sz="0" w:space="0" w:color="auto"/>
            <w:bottom w:val="none" w:sz="0" w:space="0" w:color="auto"/>
            <w:right w:val="none" w:sz="0" w:space="0" w:color="auto"/>
          </w:divBdr>
          <w:divsChild>
            <w:div w:id="1737511069">
              <w:marLeft w:val="0"/>
              <w:marRight w:val="0"/>
              <w:marTop w:val="0"/>
              <w:marBottom w:val="0"/>
              <w:divBdr>
                <w:top w:val="none" w:sz="0" w:space="0" w:color="auto"/>
                <w:left w:val="none" w:sz="0" w:space="0" w:color="auto"/>
                <w:bottom w:val="none" w:sz="0" w:space="0" w:color="auto"/>
                <w:right w:val="none" w:sz="0" w:space="0" w:color="auto"/>
              </w:divBdr>
              <w:divsChild>
                <w:div w:id="1906185010">
                  <w:marLeft w:val="0"/>
                  <w:marRight w:val="0"/>
                  <w:marTop w:val="0"/>
                  <w:marBottom w:val="0"/>
                  <w:divBdr>
                    <w:top w:val="none" w:sz="0" w:space="0" w:color="auto"/>
                    <w:left w:val="none" w:sz="0" w:space="0" w:color="auto"/>
                    <w:bottom w:val="none" w:sz="0" w:space="0" w:color="auto"/>
                    <w:right w:val="none" w:sz="0" w:space="0" w:color="auto"/>
                  </w:divBdr>
                  <w:divsChild>
                    <w:div w:id="1490248676">
                      <w:marLeft w:val="0"/>
                      <w:marRight w:val="0"/>
                      <w:marTop w:val="0"/>
                      <w:marBottom w:val="0"/>
                      <w:divBdr>
                        <w:top w:val="none" w:sz="0" w:space="0" w:color="auto"/>
                        <w:left w:val="none" w:sz="0" w:space="0" w:color="auto"/>
                        <w:bottom w:val="none" w:sz="0" w:space="0" w:color="auto"/>
                        <w:right w:val="none" w:sz="0" w:space="0" w:color="auto"/>
                      </w:divBdr>
                      <w:divsChild>
                        <w:div w:id="1505631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0095213">
      <w:bodyDiv w:val="1"/>
      <w:marLeft w:val="0"/>
      <w:marRight w:val="0"/>
      <w:marTop w:val="0"/>
      <w:marBottom w:val="0"/>
      <w:divBdr>
        <w:top w:val="none" w:sz="0" w:space="0" w:color="auto"/>
        <w:left w:val="none" w:sz="0" w:space="0" w:color="auto"/>
        <w:bottom w:val="none" w:sz="0" w:space="0" w:color="auto"/>
        <w:right w:val="none" w:sz="0" w:space="0" w:color="auto"/>
      </w:divBdr>
      <w:divsChild>
        <w:div w:id="2025326058">
          <w:marLeft w:val="0"/>
          <w:marRight w:val="0"/>
          <w:marTop w:val="0"/>
          <w:marBottom w:val="0"/>
          <w:divBdr>
            <w:top w:val="none" w:sz="0" w:space="0" w:color="auto"/>
            <w:left w:val="none" w:sz="0" w:space="0" w:color="auto"/>
            <w:bottom w:val="none" w:sz="0" w:space="0" w:color="auto"/>
            <w:right w:val="none" w:sz="0" w:space="0" w:color="auto"/>
          </w:divBdr>
          <w:divsChild>
            <w:div w:id="1649898320">
              <w:marLeft w:val="0"/>
              <w:marRight w:val="0"/>
              <w:marTop w:val="0"/>
              <w:marBottom w:val="0"/>
              <w:divBdr>
                <w:top w:val="none" w:sz="0" w:space="0" w:color="auto"/>
                <w:left w:val="none" w:sz="0" w:space="0" w:color="auto"/>
                <w:bottom w:val="none" w:sz="0" w:space="0" w:color="auto"/>
                <w:right w:val="none" w:sz="0" w:space="0" w:color="auto"/>
              </w:divBdr>
              <w:divsChild>
                <w:div w:id="575822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515124">
      <w:bodyDiv w:val="1"/>
      <w:marLeft w:val="0"/>
      <w:marRight w:val="0"/>
      <w:marTop w:val="0"/>
      <w:marBottom w:val="0"/>
      <w:divBdr>
        <w:top w:val="none" w:sz="0" w:space="0" w:color="auto"/>
        <w:left w:val="none" w:sz="0" w:space="0" w:color="auto"/>
        <w:bottom w:val="none" w:sz="0" w:space="0" w:color="auto"/>
        <w:right w:val="none" w:sz="0" w:space="0" w:color="auto"/>
      </w:divBdr>
    </w:div>
    <w:div w:id="1864856852">
      <w:bodyDiv w:val="1"/>
      <w:marLeft w:val="0"/>
      <w:marRight w:val="0"/>
      <w:marTop w:val="0"/>
      <w:marBottom w:val="0"/>
      <w:divBdr>
        <w:top w:val="none" w:sz="0" w:space="0" w:color="auto"/>
        <w:left w:val="none" w:sz="0" w:space="0" w:color="auto"/>
        <w:bottom w:val="none" w:sz="0" w:space="0" w:color="auto"/>
        <w:right w:val="none" w:sz="0" w:space="0" w:color="auto"/>
      </w:divBdr>
      <w:divsChild>
        <w:div w:id="17049445">
          <w:marLeft w:val="0"/>
          <w:marRight w:val="0"/>
          <w:marTop w:val="0"/>
          <w:marBottom w:val="0"/>
          <w:divBdr>
            <w:top w:val="none" w:sz="0" w:space="0" w:color="auto"/>
            <w:left w:val="none" w:sz="0" w:space="0" w:color="auto"/>
            <w:bottom w:val="none" w:sz="0" w:space="0" w:color="auto"/>
            <w:right w:val="none" w:sz="0" w:space="0" w:color="auto"/>
          </w:divBdr>
          <w:divsChild>
            <w:div w:id="1862930787">
              <w:marLeft w:val="0"/>
              <w:marRight w:val="0"/>
              <w:marTop w:val="0"/>
              <w:marBottom w:val="0"/>
              <w:divBdr>
                <w:top w:val="none" w:sz="0" w:space="0" w:color="auto"/>
                <w:left w:val="none" w:sz="0" w:space="0" w:color="auto"/>
                <w:bottom w:val="none" w:sz="0" w:space="0" w:color="auto"/>
                <w:right w:val="none" w:sz="0" w:space="0" w:color="auto"/>
              </w:divBdr>
              <w:divsChild>
                <w:div w:id="162958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6095875">
      <w:bodyDiv w:val="1"/>
      <w:marLeft w:val="0"/>
      <w:marRight w:val="0"/>
      <w:marTop w:val="0"/>
      <w:marBottom w:val="0"/>
      <w:divBdr>
        <w:top w:val="none" w:sz="0" w:space="0" w:color="auto"/>
        <w:left w:val="none" w:sz="0" w:space="0" w:color="auto"/>
        <w:bottom w:val="none" w:sz="0" w:space="0" w:color="auto"/>
        <w:right w:val="none" w:sz="0" w:space="0" w:color="auto"/>
      </w:divBdr>
    </w:div>
    <w:div w:id="1896350222">
      <w:bodyDiv w:val="1"/>
      <w:marLeft w:val="0"/>
      <w:marRight w:val="0"/>
      <w:marTop w:val="0"/>
      <w:marBottom w:val="0"/>
      <w:divBdr>
        <w:top w:val="none" w:sz="0" w:space="0" w:color="auto"/>
        <w:left w:val="none" w:sz="0" w:space="0" w:color="auto"/>
        <w:bottom w:val="none" w:sz="0" w:space="0" w:color="auto"/>
        <w:right w:val="none" w:sz="0" w:space="0" w:color="auto"/>
      </w:divBdr>
    </w:div>
    <w:div w:id="1923874989">
      <w:bodyDiv w:val="1"/>
      <w:marLeft w:val="0"/>
      <w:marRight w:val="0"/>
      <w:marTop w:val="0"/>
      <w:marBottom w:val="0"/>
      <w:divBdr>
        <w:top w:val="none" w:sz="0" w:space="0" w:color="auto"/>
        <w:left w:val="none" w:sz="0" w:space="0" w:color="auto"/>
        <w:bottom w:val="none" w:sz="0" w:space="0" w:color="auto"/>
        <w:right w:val="none" w:sz="0" w:space="0" w:color="auto"/>
      </w:divBdr>
    </w:div>
    <w:div w:id="1931742594">
      <w:bodyDiv w:val="1"/>
      <w:marLeft w:val="0"/>
      <w:marRight w:val="0"/>
      <w:marTop w:val="0"/>
      <w:marBottom w:val="0"/>
      <w:divBdr>
        <w:top w:val="none" w:sz="0" w:space="0" w:color="auto"/>
        <w:left w:val="none" w:sz="0" w:space="0" w:color="auto"/>
        <w:bottom w:val="none" w:sz="0" w:space="0" w:color="auto"/>
        <w:right w:val="none" w:sz="0" w:space="0" w:color="auto"/>
      </w:divBdr>
    </w:div>
    <w:div w:id="1958367533">
      <w:bodyDiv w:val="1"/>
      <w:marLeft w:val="0"/>
      <w:marRight w:val="0"/>
      <w:marTop w:val="0"/>
      <w:marBottom w:val="0"/>
      <w:divBdr>
        <w:top w:val="none" w:sz="0" w:space="0" w:color="auto"/>
        <w:left w:val="none" w:sz="0" w:space="0" w:color="auto"/>
        <w:bottom w:val="none" w:sz="0" w:space="0" w:color="auto"/>
        <w:right w:val="none" w:sz="0" w:space="0" w:color="auto"/>
      </w:divBdr>
    </w:div>
    <w:div w:id="1958875361">
      <w:bodyDiv w:val="1"/>
      <w:marLeft w:val="0"/>
      <w:marRight w:val="0"/>
      <w:marTop w:val="0"/>
      <w:marBottom w:val="0"/>
      <w:divBdr>
        <w:top w:val="none" w:sz="0" w:space="0" w:color="auto"/>
        <w:left w:val="none" w:sz="0" w:space="0" w:color="auto"/>
        <w:bottom w:val="none" w:sz="0" w:space="0" w:color="auto"/>
        <w:right w:val="none" w:sz="0" w:space="0" w:color="auto"/>
      </w:divBdr>
      <w:divsChild>
        <w:div w:id="1847481173">
          <w:marLeft w:val="0"/>
          <w:marRight w:val="0"/>
          <w:marTop w:val="0"/>
          <w:marBottom w:val="0"/>
          <w:divBdr>
            <w:top w:val="none" w:sz="0" w:space="0" w:color="auto"/>
            <w:left w:val="none" w:sz="0" w:space="0" w:color="auto"/>
            <w:bottom w:val="none" w:sz="0" w:space="0" w:color="auto"/>
            <w:right w:val="none" w:sz="0" w:space="0" w:color="auto"/>
          </w:divBdr>
        </w:div>
      </w:divsChild>
    </w:div>
    <w:div w:id="1973099514">
      <w:bodyDiv w:val="1"/>
      <w:marLeft w:val="0"/>
      <w:marRight w:val="0"/>
      <w:marTop w:val="0"/>
      <w:marBottom w:val="0"/>
      <w:divBdr>
        <w:top w:val="none" w:sz="0" w:space="0" w:color="auto"/>
        <w:left w:val="none" w:sz="0" w:space="0" w:color="auto"/>
        <w:bottom w:val="none" w:sz="0" w:space="0" w:color="auto"/>
        <w:right w:val="none" w:sz="0" w:space="0" w:color="auto"/>
      </w:divBdr>
    </w:div>
    <w:div w:id="1978297345">
      <w:bodyDiv w:val="1"/>
      <w:marLeft w:val="0"/>
      <w:marRight w:val="0"/>
      <w:marTop w:val="0"/>
      <w:marBottom w:val="0"/>
      <w:divBdr>
        <w:top w:val="none" w:sz="0" w:space="0" w:color="auto"/>
        <w:left w:val="none" w:sz="0" w:space="0" w:color="auto"/>
        <w:bottom w:val="none" w:sz="0" w:space="0" w:color="auto"/>
        <w:right w:val="none" w:sz="0" w:space="0" w:color="auto"/>
      </w:divBdr>
    </w:div>
    <w:div w:id="1982492402">
      <w:bodyDiv w:val="1"/>
      <w:marLeft w:val="0"/>
      <w:marRight w:val="0"/>
      <w:marTop w:val="0"/>
      <w:marBottom w:val="0"/>
      <w:divBdr>
        <w:top w:val="none" w:sz="0" w:space="0" w:color="auto"/>
        <w:left w:val="none" w:sz="0" w:space="0" w:color="auto"/>
        <w:bottom w:val="none" w:sz="0" w:space="0" w:color="auto"/>
        <w:right w:val="none" w:sz="0" w:space="0" w:color="auto"/>
      </w:divBdr>
      <w:divsChild>
        <w:div w:id="669792950">
          <w:marLeft w:val="0"/>
          <w:marRight w:val="0"/>
          <w:marTop w:val="0"/>
          <w:marBottom w:val="0"/>
          <w:divBdr>
            <w:top w:val="none" w:sz="0" w:space="0" w:color="auto"/>
            <w:left w:val="none" w:sz="0" w:space="0" w:color="auto"/>
            <w:bottom w:val="none" w:sz="0" w:space="0" w:color="auto"/>
            <w:right w:val="none" w:sz="0" w:space="0" w:color="auto"/>
          </w:divBdr>
          <w:divsChild>
            <w:div w:id="1623148156">
              <w:marLeft w:val="0"/>
              <w:marRight w:val="0"/>
              <w:marTop w:val="0"/>
              <w:marBottom w:val="0"/>
              <w:divBdr>
                <w:top w:val="none" w:sz="0" w:space="0" w:color="auto"/>
                <w:left w:val="none" w:sz="0" w:space="0" w:color="auto"/>
                <w:bottom w:val="none" w:sz="0" w:space="0" w:color="auto"/>
                <w:right w:val="none" w:sz="0" w:space="0" w:color="auto"/>
              </w:divBdr>
              <w:divsChild>
                <w:div w:id="134684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2496071">
      <w:bodyDiv w:val="1"/>
      <w:marLeft w:val="0"/>
      <w:marRight w:val="0"/>
      <w:marTop w:val="0"/>
      <w:marBottom w:val="0"/>
      <w:divBdr>
        <w:top w:val="none" w:sz="0" w:space="0" w:color="auto"/>
        <w:left w:val="none" w:sz="0" w:space="0" w:color="auto"/>
        <w:bottom w:val="none" w:sz="0" w:space="0" w:color="auto"/>
        <w:right w:val="none" w:sz="0" w:space="0" w:color="auto"/>
      </w:divBdr>
      <w:divsChild>
        <w:div w:id="2033996352">
          <w:marLeft w:val="0"/>
          <w:marRight w:val="0"/>
          <w:marTop w:val="0"/>
          <w:marBottom w:val="0"/>
          <w:divBdr>
            <w:top w:val="none" w:sz="0" w:space="0" w:color="auto"/>
            <w:left w:val="none" w:sz="0" w:space="0" w:color="auto"/>
            <w:bottom w:val="none" w:sz="0" w:space="0" w:color="auto"/>
            <w:right w:val="none" w:sz="0" w:space="0" w:color="auto"/>
          </w:divBdr>
          <w:divsChild>
            <w:div w:id="974412412">
              <w:marLeft w:val="0"/>
              <w:marRight w:val="0"/>
              <w:marTop w:val="0"/>
              <w:marBottom w:val="0"/>
              <w:divBdr>
                <w:top w:val="none" w:sz="0" w:space="0" w:color="auto"/>
                <w:left w:val="none" w:sz="0" w:space="0" w:color="auto"/>
                <w:bottom w:val="none" w:sz="0" w:space="0" w:color="auto"/>
                <w:right w:val="none" w:sz="0" w:space="0" w:color="auto"/>
              </w:divBdr>
              <w:divsChild>
                <w:div w:id="25179715">
                  <w:marLeft w:val="0"/>
                  <w:marRight w:val="0"/>
                  <w:marTop w:val="0"/>
                  <w:marBottom w:val="0"/>
                  <w:divBdr>
                    <w:top w:val="none" w:sz="0" w:space="0" w:color="auto"/>
                    <w:left w:val="none" w:sz="0" w:space="0" w:color="auto"/>
                    <w:bottom w:val="none" w:sz="0" w:space="0" w:color="auto"/>
                    <w:right w:val="none" w:sz="0" w:space="0" w:color="auto"/>
                  </w:divBdr>
                  <w:divsChild>
                    <w:div w:id="200280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0134071">
      <w:bodyDiv w:val="1"/>
      <w:marLeft w:val="0"/>
      <w:marRight w:val="0"/>
      <w:marTop w:val="0"/>
      <w:marBottom w:val="0"/>
      <w:divBdr>
        <w:top w:val="none" w:sz="0" w:space="0" w:color="auto"/>
        <w:left w:val="none" w:sz="0" w:space="0" w:color="auto"/>
        <w:bottom w:val="none" w:sz="0" w:space="0" w:color="auto"/>
        <w:right w:val="none" w:sz="0" w:space="0" w:color="auto"/>
      </w:divBdr>
      <w:divsChild>
        <w:div w:id="1963225533">
          <w:marLeft w:val="0"/>
          <w:marRight w:val="0"/>
          <w:marTop w:val="0"/>
          <w:marBottom w:val="0"/>
          <w:divBdr>
            <w:top w:val="none" w:sz="0" w:space="0" w:color="auto"/>
            <w:left w:val="none" w:sz="0" w:space="0" w:color="auto"/>
            <w:bottom w:val="none" w:sz="0" w:space="0" w:color="auto"/>
            <w:right w:val="none" w:sz="0" w:space="0" w:color="auto"/>
          </w:divBdr>
          <w:divsChild>
            <w:div w:id="1138885992">
              <w:marLeft w:val="0"/>
              <w:marRight w:val="0"/>
              <w:marTop w:val="0"/>
              <w:marBottom w:val="0"/>
              <w:divBdr>
                <w:top w:val="none" w:sz="0" w:space="0" w:color="auto"/>
                <w:left w:val="none" w:sz="0" w:space="0" w:color="auto"/>
                <w:bottom w:val="none" w:sz="0" w:space="0" w:color="auto"/>
                <w:right w:val="none" w:sz="0" w:space="0" w:color="auto"/>
              </w:divBdr>
              <w:divsChild>
                <w:div w:id="134204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816470">
      <w:bodyDiv w:val="1"/>
      <w:marLeft w:val="0"/>
      <w:marRight w:val="0"/>
      <w:marTop w:val="0"/>
      <w:marBottom w:val="0"/>
      <w:divBdr>
        <w:top w:val="none" w:sz="0" w:space="0" w:color="auto"/>
        <w:left w:val="none" w:sz="0" w:space="0" w:color="auto"/>
        <w:bottom w:val="none" w:sz="0" w:space="0" w:color="auto"/>
        <w:right w:val="none" w:sz="0" w:space="0" w:color="auto"/>
      </w:divBdr>
    </w:div>
    <w:div w:id="2009365699">
      <w:bodyDiv w:val="1"/>
      <w:marLeft w:val="0"/>
      <w:marRight w:val="0"/>
      <w:marTop w:val="0"/>
      <w:marBottom w:val="0"/>
      <w:divBdr>
        <w:top w:val="none" w:sz="0" w:space="0" w:color="auto"/>
        <w:left w:val="none" w:sz="0" w:space="0" w:color="auto"/>
        <w:bottom w:val="none" w:sz="0" w:space="0" w:color="auto"/>
        <w:right w:val="none" w:sz="0" w:space="0" w:color="auto"/>
      </w:divBdr>
      <w:divsChild>
        <w:div w:id="1550528462">
          <w:marLeft w:val="0"/>
          <w:marRight w:val="108"/>
          <w:marTop w:val="18"/>
          <w:marBottom w:val="108"/>
          <w:divBdr>
            <w:top w:val="none" w:sz="0" w:space="0" w:color="auto"/>
            <w:left w:val="none" w:sz="0" w:space="0" w:color="auto"/>
            <w:bottom w:val="none" w:sz="0" w:space="0" w:color="auto"/>
            <w:right w:val="none" w:sz="0" w:space="0" w:color="auto"/>
          </w:divBdr>
          <w:divsChild>
            <w:div w:id="2114206246">
              <w:marLeft w:val="0"/>
              <w:marRight w:val="0"/>
              <w:marTop w:val="0"/>
              <w:marBottom w:val="0"/>
              <w:divBdr>
                <w:top w:val="none" w:sz="0" w:space="0" w:color="auto"/>
                <w:left w:val="none" w:sz="0" w:space="0" w:color="auto"/>
                <w:bottom w:val="none" w:sz="0" w:space="0" w:color="auto"/>
                <w:right w:val="none" w:sz="0" w:space="0" w:color="auto"/>
              </w:divBdr>
              <w:divsChild>
                <w:div w:id="1127814576">
                  <w:marLeft w:val="0"/>
                  <w:marRight w:val="0"/>
                  <w:marTop w:val="0"/>
                  <w:marBottom w:val="0"/>
                  <w:divBdr>
                    <w:top w:val="none" w:sz="0" w:space="0" w:color="auto"/>
                    <w:left w:val="none" w:sz="0" w:space="0" w:color="auto"/>
                    <w:bottom w:val="none" w:sz="0" w:space="0" w:color="auto"/>
                    <w:right w:val="none" w:sz="0" w:space="0" w:color="auto"/>
                  </w:divBdr>
                  <w:divsChild>
                    <w:div w:id="1157185253">
                      <w:marLeft w:val="0"/>
                      <w:marRight w:val="0"/>
                      <w:marTop w:val="0"/>
                      <w:marBottom w:val="0"/>
                      <w:divBdr>
                        <w:top w:val="none" w:sz="0" w:space="0" w:color="auto"/>
                        <w:left w:val="none" w:sz="0" w:space="0" w:color="auto"/>
                        <w:bottom w:val="none" w:sz="0" w:space="0" w:color="auto"/>
                        <w:right w:val="none" w:sz="0" w:space="0" w:color="auto"/>
                      </w:divBdr>
                      <w:divsChild>
                        <w:div w:id="1440491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4209851">
      <w:bodyDiv w:val="1"/>
      <w:marLeft w:val="0"/>
      <w:marRight w:val="0"/>
      <w:marTop w:val="0"/>
      <w:marBottom w:val="0"/>
      <w:divBdr>
        <w:top w:val="none" w:sz="0" w:space="0" w:color="auto"/>
        <w:left w:val="none" w:sz="0" w:space="0" w:color="auto"/>
        <w:bottom w:val="none" w:sz="0" w:space="0" w:color="auto"/>
        <w:right w:val="none" w:sz="0" w:space="0" w:color="auto"/>
      </w:divBdr>
    </w:div>
    <w:div w:id="2061441255">
      <w:bodyDiv w:val="1"/>
      <w:marLeft w:val="0"/>
      <w:marRight w:val="0"/>
      <w:marTop w:val="0"/>
      <w:marBottom w:val="0"/>
      <w:divBdr>
        <w:top w:val="none" w:sz="0" w:space="0" w:color="auto"/>
        <w:left w:val="none" w:sz="0" w:space="0" w:color="auto"/>
        <w:bottom w:val="none" w:sz="0" w:space="0" w:color="auto"/>
        <w:right w:val="none" w:sz="0" w:space="0" w:color="auto"/>
      </w:divBdr>
      <w:divsChild>
        <w:div w:id="1349984672">
          <w:marLeft w:val="0"/>
          <w:marRight w:val="0"/>
          <w:marTop w:val="0"/>
          <w:marBottom w:val="0"/>
          <w:divBdr>
            <w:top w:val="none" w:sz="0" w:space="0" w:color="auto"/>
            <w:left w:val="none" w:sz="0" w:space="0" w:color="auto"/>
            <w:bottom w:val="none" w:sz="0" w:space="0" w:color="auto"/>
            <w:right w:val="none" w:sz="0" w:space="0" w:color="auto"/>
          </w:divBdr>
          <w:divsChild>
            <w:div w:id="2059473526">
              <w:marLeft w:val="0"/>
              <w:marRight w:val="0"/>
              <w:marTop w:val="0"/>
              <w:marBottom w:val="0"/>
              <w:divBdr>
                <w:top w:val="none" w:sz="0" w:space="0" w:color="auto"/>
                <w:left w:val="none" w:sz="0" w:space="0" w:color="auto"/>
                <w:bottom w:val="none" w:sz="0" w:space="0" w:color="auto"/>
                <w:right w:val="none" w:sz="0" w:space="0" w:color="auto"/>
              </w:divBdr>
              <w:divsChild>
                <w:div w:id="168096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4768271">
      <w:bodyDiv w:val="1"/>
      <w:marLeft w:val="0"/>
      <w:marRight w:val="0"/>
      <w:marTop w:val="0"/>
      <w:marBottom w:val="0"/>
      <w:divBdr>
        <w:top w:val="none" w:sz="0" w:space="0" w:color="auto"/>
        <w:left w:val="none" w:sz="0" w:space="0" w:color="auto"/>
        <w:bottom w:val="none" w:sz="0" w:space="0" w:color="auto"/>
        <w:right w:val="none" w:sz="0" w:space="0" w:color="auto"/>
      </w:divBdr>
      <w:divsChild>
        <w:div w:id="570969807">
          <w:marLeft w:val="0"/>
          <w:marRight w:val="0"/>
          <w:marTop w:val="0"/>
          <w:marBottom w:val="0"/>
          <w:divBdr>
            <w:top w:val="none" w:sz="0" w:space="0" w:color="auto"/>
            <w:left w:val="none" w:sz="0" w:space="0" w:color="auto"/>
            <w:bottom w:val="none" w:sz="0" w:space="0" w:color="auto"/>
            <w:right w:val="none" w:sz="0" w:space="0" w:color="auto"/>
          </w:divBdr>
          <w:divsChild>
            <w:div w:id="2007393915">
              <w:marLeft w:val="0"/>
              <w:marRight w:val="0"/>
              <w:marTop w:val="0"/>
              <w:marBottom w:val="0"/>
              <w:divBdr>
                <w:top w:val="none" w:sz="0" w:space="0" w:color="auto"/>
                <w:left w:val="none" w:sz="0" w:space="0" w:color="auto"/>
                <w:bottom w:val="none" w:sz="0" w:space="0" w:color="auto"/>
                <w:right w:val="none" w:sz="0" w:space="0" w:color="auto"/>
              </w:divBdr>
              <w:divsChild>
                <w:div w:id="1912426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245015">
      <w:bodyDiv w:val="1"/>
      <w:marLeft w:val="0"/>
      <w:marRight w:val="0"/>
      <w:marTop w:val="0"/>
      <w:marBottom w:val="0"/>
      <w:divBdr>
        <w:top w:val="none" w:sz="0" w:space="0" w:color="auto"/>
        <w:left w:val="none" w:sz="0" w:space="0" w:color="auto"/>
        <w:bottom w:val="none" w:sz="0" w:space="0" w:color="auto"/>
        <w:right w:val="none" w:sz="0" w:space="0" w:color="auto"/>
      </w:divBdr>
    </w:div>
    <w:div w:id="2101366938">
      <w:bodyDiv w:val="1"/>
      <w:marLeft w:val="0"/>
      <w:marRight w:val="0"/>
      <w:marTop w:val="0"/>
      <w:marBottom w:val="0"/>
      <w:divBdr>
        <w:top w:val="none" w:sz="0" w:space="0" w:color="auto"/>
        <w:left w:val="none" w:sz="0" w:space="0" w:color="auto"/>
        <w:bottom w:val="none" w:sz="0" w:space="0" w:color="auto"/>
        <w:right w:val="none" w:sz="0" w:space="0" w:color="auto"/>
      </w:divBdr>
      <w:divsChild>
        <w:div w:id="1324354214">
          <w:marLeft w:val="0"/>
          <w:marRight w:val="108"/>
          <w:marTop w:val="18"/>
          <w:marBottom w:val="108"/>
          <w:divBdr>
            <w:top w:val="none" w:sz="0" w:space="0" w:color="auto"/>
            <w:left w:val="none" w:sz="0" w:space="0" w:color="auto"/>
            <w:bottom w:val="none" w:sz="0" w:space="0" w:color="auto"/>
            <w:right w:val="none" w:sz="0" w:space="0" w:color="auto"/>
          </w:divBdr>
          <w:divsChild>
            <w:div w:id="2016493755">
              <w:marLeft w:val="0"/>
              <w:marRight w:val="0"/>
              <w:marTop w:val="0"/>
              <w:marBottom w:val="0"/>
              <w:divBdr>
                <w:top w:val="none" w:sz="0" w:space="0" w:color="auto"/>
                <w:left w:val="none" w:sz="0" w:space="0" w:color="auto"/>
                <w:bottom w:val="none" w:sz="0" w:space="0" w:color="auto"/>
                <w:right w:val="none" w:sz="0" w:space="0" w:color="auto"/>
              </w:divBdr>
              <w:divsChild>
                <w:div w:id="1580746413">
                  <w:marLeft w:val="0"/>
                  <w:marRight w:val="0"/>
                  <w:marTop w:val="0"/>
                  <w:marBottom w:val="0"/>
                  <w:divBdr>
                    <w:top w:val="none" w:sz="0" w:space="0" w:color="auto"/>
                    <w:left w:val="none" w:sz="0" w:space="0" w:color="auto"/>
                    <w:bottom w:val="none" w:sz="0" w:space="0" w:color="auto"/>
                    <w:right w:val="none" w:sz="0" w:space="0" w:color="auto"/>
                  </w:divBdr>
                  <w:divsChild>
                    <w:div w:id="1595283284">
                      <w:marLeft w:val="0"/>
                      <w:marRight w:val="0"/>
                      <w:marTop w:val="0"/>
                      <w:marBottom w:val="0"/>
                      <w:divBdr>
                        <w:top w:val="none" w:sz="0" w:space="0" w:color="auto"/>
                        <w:left w:val="none" w:sz="0" w:space="0" w:color="auto"/>
                        <w:bottom w:val="none" w:sz="0" w:space="0" w:color="auto"/>
                        <w:right w:val="none" w:sz="0" w:space="0" w:color="auto"/>
                      </w:divBdr>
                      <w:divsChild>
                        <w:div w:id="2123835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8455780">
      <w:bodyDiv w:val="1"/>
      <w:marLeft w:val="0"/>
      <w:marRight w:val="0"/>
      <w:marTop w:val="0"/>
      <w:marBottom w:val="0"/>
      <w:divBdr>
        <w:top w:val="none" w:sz="0" w:space="0" w:color="auto"/>
        <w:left w:val="none" w:sz="0" w:space="0" w:color="auto"/>
        <w:bottom w:val="none" w:sz="0" w:space="0" w:color="auto"/>
        <w:right w:val="none" w:sz="0" w:space="0" w:color="auto"/>
      </w:divBdr>
    </w:div>
    <w:div w:id="2130515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nnah.eccles\OneDrive%20-%20Frontiers%20Media%20SA\Documents\Latex%20work\Sep%202022_link%20updates\frontiers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445AF306EBB441B7A6158762C40D43" ma:contentTypeVersion="28" ma:contentTypeDescription="Create a new document." ma:contentTypeScope="" ma:versionID="6fd1d3709ebdae3c6e0eeb2d23db798b">
  <xsd:schema xmlns:xsd="http://www.w3.org/2001/XMLSchema" xmlns:xs="http://www.w3.org/2001/XMLSchema" xmlns:p="http://schemas.microsoft.com/office/2006/metadata/properties" xmlns:ns2="26005759-6815-4540-b8ea-913958d74f23" xmlns:ns3="970c08f3-bdc0-46be-888b-e62464d9f78c" targetNamespace="http://schemas.microsoft.com/office/2006/metadata/properties" ma:root="true" ma:fieldsID="830d6d9b807b871f8ec19ed92d251fd0" ns2:_="" ns3:_="">
    <xsd:import namespace="26005759-6815-4540-b8ea-913958d74f23"/>
    <xsd:import namespace="970c08f3-bdc0-46be-888b-e62464d9f78c"/>
    <xsd:element name="properties">
      <xsd:complexType>
        <xsd:sequence>
          <xsd:element name="documentManagement">
            <xsd:complexType>
              <xsd:all>
                <xsd:element ref="ns2:_dlc_DocIdUrl" minOccurs="0"/>
                <xsd:element ref="ns2:_dlc_DocId"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element ref="ns3:MediaServiceDateTaken" minOccurs="0"/>
                <xsd:element ref="ns3:Status" minOccurs="0"/>
                <xsd:element ref="ns3:Lead" minOccurs="0"/>
                <xsd:element ref="ns3:Description" minOccurs="0"/>
                <xsd:element ref="ns3:_Flow_SignoffStatus"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005759-6815-4540-b8ea-913958d74f23" elementFormDefault="qualified">
    <xsd:import namespace="http://schemas.microsoft.com/office/2006/documentManagement/types"/>
    <xsd:import namespace="http://schemas.microsoft.com/office/infopath/2007/PartnerControls"/>
    <xsd:element name="_dlc_DocIdUrl" ma:index="2" nillable="true" ma:displayName="Document ID" ma:description="Permanent link to this document." ma:hidden="true" ma:internalName="_dlc_DocId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7" nillable="true" ma:displayName="Document ID Value" ma:description="The value of the document ID assigned to this item." ma:hidden="true" ma:internalName="_dlc_DocId" ma:readOnly="false">
      <xsd:simpleType>
        <xsd:restriction base="dms:Text"/>
      </xsd:simpleType>
    </xsd:element>
    <xsd:element name="_dlc_DocIdPersistId" ma:index="9" nillable="true" ma:displayName="Persist ID" ma:description="Keep ID on add." ma:hidden="true" ma:internalName="_dlc_DocIdPersistId" ma:readOnly="false">
      <xsd:simpleType>
        <xsd:restriction base="dms:Boolean"/>
      </xsd:simpleType>
    </xsd:element>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element name="TaxCatchAll" ma:index="29" nillable="true" ma:displayName="Taxonomy Catch All Column" ma:hidden="true" ma:list="{43fa7804-5c1f-47ca-a814-a80f2ff05ca7}" ma:internalName="TaxCatchAll" ma:showField="CatchAllData" ma:web="26005759-6815-4540-b8ea-913958d74f2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70c08f3-bdc0-46be-888b-e62464d9f78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hidden="true" ma:internalName="MediaServiceKeyPoints" ma:readOnly="true">
      <xsd:simpleType>
        <xsd:restriction base="dms:Note"/>
      </xsd:simpleType>
    </xsd:element>
    <xsd:element name="MediaServiceDateTaken" ma:index="16" nillable="true" ma:displayName="MediaServiceDateTaken" ma:hidden="true" ma:internalName="MediaServiceDateTaken" ma:readOnly="true">
      <xsd:simpleType>
        <xsd:restriction base="dms:Text"/>
      </xsd:simpleType>
    </xsd:element>
    <xsd:element name="Status" ma:index="18" nillable="true" ma:displayName="Status" ma:default="New" ma:description="Archive function" ma:format="Dropdown" ma:internalName="Status">
      <xsd:simpleType>
        <xsd:restriction base="dms:Choice">
          <xsd:enumeration value="New"/>
          <xsd:enumeration value="Ongoing"/>
          <xsd:enumeration value="Finished"/>
        </xsd:restriction>
      </xsd:simpleType>
    </xsd:element>
    <xsd:element name="Lead" ma:index="19" nillable="true" ma:displayName="Lead" ma:format="Dropdown" ma:list="UserInfo" ma:SharePointGroup="0" ma:internalName="Lead">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scription" ma:index="20" nillable="true" ma:displayName="Description" ma:format="Dropdown" ma:internalName="Description">
      <xsd:simpleType>
        <xsd:restriction base="dms:Note">
          <xsd:maxLength value="255"/>
        </xsd:restriction>
      </xsd:simpleType>
    </xsd:element>
    <xsd:element name="_Flow_SignoffStatus" ma:index="21" nillable="true" ma:displayName="Sign-off status" ma:internalName="Sign_x002d_off_x0020_status">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Location" ma:index="25" nillable="true" ma:displayName="Location" ma:internalName="MediaServiceLocation" ma:readOnly="true">
      <xsd:simpleType>
        <xsd:restriction base="dms:Text"/>
      </xsd:simpleType>
    </xsd:element>
    <xsd:element name="MediaLengthInSeconds" ma:index="26" nillable="true" ma:displayName="Length (seconds)" ma:internalName="MediaLengthInSeconds" ma:readOnly="true">
      <xsd:simpleType>
        <xsd:restriction base="dms:Unknown"/>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465d274b-74f9-43c9-a5ca-fb7fe75b76de"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b:Sources xmlns:b="http://schemas.openxmlformats.org/officeDocument/2006/bibliography" xmlns="http://schemas.openxmlformats.org/officeDocument/2006/bibliography" SelectedStyle="\CHICAGO.XSL" StyleName="Chicago"/>
</file>

<file path=customXml/item4.xml><?xml version="1.0" encoding="utf-8"?>
<p:properties xmlns:p="http://schemas.microsoft.com/office/2006/metadata/properties" xmlns:xsi="http://www.w3.org/2001/XMLSchema-instance" xmlns:pc="http://schemas.microsoft.com/office/infopath/2007/PartnerControls">
  <documentManagement>
    <_dlc_DocId xmlns="26005759-6815-4540-b8ea-913958d74f23">FRONDOC-1086935359-10120</_dlc_DocId>
    <_dlc_DocIdUrl xmlns="26005759-6815-4540-b8ea-913958d74f23">
      <Url>https://frontiersin.sharepoint.com/Publishing/PubOps/Production/_layouts/15/DocIdRedir.aspx?ID=FRONDOC-1086935359-10120</Url>
      <Description>FRONDOC-1086935359-10120</Description>
    </_dlc_DocIdUrl>
    <_dlc_DocIdPersistId xmlns="26005759-6815-4540-b8ea-913958d74f23">false</_dlc_DocIdPersistId>
    <Description xmlns="970c08f3-bdc0-46be-888b-e62464d9f78c" xsi:nil="true"/>
    <Lead xmlns="970c08f3-bdc0-46be-888b-e62464d9f78c">
      <UserInfo>
        <DisplayName/>
        <AccountId xsi:nil="true"/>
        <AccountType/>
      </UserInfo>
    </Lead>
    <Status xmlns="970c08f3-bdc0-46be-888b-e62464d9f78c">New</Status>
    <_Flow_SignoffStatus xmlns="970c08f3-bdc0-46be-888b-e62464d9f78c" xsi:nil="true"/>
    <SharedWithUsers xmlns="26005759-6815-4540-b8ea-913958d74f23">
      <UserInfo>
        <DisplayName/>
        <AccountId xsi:nil="true"/>
        <AccountType/>
      </UserInfo>
    </SharedWithUsers>
    <lcf76f155ced4ddcb4097134ff3c332f xmlns="970c08f3-bdc0-46be-888b-e62464d9f78c">
      <Terms xmlns="http://schemas.microsoft.com/office/infopath/2007/PartnerControls"/>
    </lcf76f155ced4ddcb4097134ff3c332f>
    <TaxCatchAll xmlns="26005759-6815-4540-b8ea-913958d74f23"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7D19558-80B8-407F-9A85-A5582859BF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005759-6815-4540-b8ea-913958d74f23"/>
    <ds:schemaRef ds:uri="970c08f3-bdc0-46be-888b-e62464d9f78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1F9E78B-9130-4244-A349-202827F2937E}">
  <ds:schemaRefs>
    <ds:schemaRef ds:uri="http://schemas.microsoft.com/sharepoint/events"/>
  </ds:schemaRefs>
</ds:datastoreItem>
</file>

<file path=customXml/itemProps3.xml><?xml version="1.0" encoding="utf-8"?>
<ds:datastoreItem xmlns:ds="http://schemas.openxmlformats.org/officeDocument/2006/customXml" ds:itemID="{5F9F80FA-172A-49E6-812C-44A6388DD2F9}">
  <ds:schemaRefs>
    <ds:schemaRef ds:uri="http://schemas.openxmlformats.org/officeDocument/2006/bibliography"/>
  </ds:schemaRefs>
</ds:datastoreItem>
</file>

<file path=customXml/itemProps4.xml><?xml version="1.0" encoding="utf-8"?>
<ds:datastoreItem xmlns:ds="http://schemas.openxmlformats.org/officeDocument/2006/customXml" ds:itemID="{C80633FE-2C4D-43D3-9027-7B70B5BC8799}">
  <ds:schemaRefs>
    <ds:schemaRef ds:uri="http://schemas.microsoft.com/office/2006/metadata/properties"/>
    <ds:schemaRef ds:uri="http://schemas.microsoft.com/office/infopath/2007/PartnerControls"/>
    <ds:schemaRef ds:uri="26005759-6815-4540-b8ea-913958d74f23"/>
    <ds:schemaRef ds:uri="970c08f3-bdc0-46be-888b-e62464d9f78c"/>
  </ds:schemaRefs>
</ds:datastoreItem>
</file>

<file path=customXml/itemProps5.xml><?xml version="1.0" encoding="utf-8"?>
<ds:datastoreItem xmlns:ds="http://schemas.openxmlformats.org/officeDocument/2006/customXml" ds:itemID="{A547FD6E-73F0-4542-8474-D6680317EFD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frontiers_template.dotx</Template>
  <TotalTime>670</TotalTime>
  <Pages>6</Pages>
  <Words>18700</Words>
  <Characters>102856</Characters>
  <Application>Microsoft Office Word</Application>
  <DocSecurity>0</DocSecurity>
  <Lines>857</Lines>
  <Paragraphs>242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121314</CharactersWithSpaces>
  <SharedDoc>false</SharedDoc>
  <HLinks>
    <vt:vector size="18" baseType="variant">
      <vt:variant>
        <vt:i4>4587592</vt:i4>
      </vt:variant>
      <vt:variant>
        <vt:i4>6</vt:i4>
      </vt:variant>
      <vt:variant>
        <vt:i4>0</vt:i4>
      </vt:variant>
      <vt:variant>
        <vt:i4>5</vt:i4>
      </vt:variant>
      <vt:variant>
        <vt:lpwstr>https://www.sciencedirect.com/journal/brain-stimulation/publish/guide-for-authors</vt:lpwstr>
      </vt:variant>
      <vt:variant>
        <vt:lpwstr/>
      </vt:variant>
      <vt:variant>
        <vt:i4>2621481</vt:i4>
      </vt:variant>
      <vt:variant>
        <vt:i4>3</vt:i4>
      </vt:variant>
      <vt:variant>
        <vt:i4>0</vt:i4>
      </vt:variant>
      <vt:variant>
        <vt:i4>5</vt:i4>
      </vt:variant>
      <vt:variant>
        <vt:lpwstr>https://www.frontiersin.org/journals/systems-neuroscience/articles/10.3389/fnsys.2023.919977/full</vt:lpwstr>
      </vt:variant>
      <vt:variant>
        <vt:lpwstr>B69</vt:lpwstr>
      </vt:variant>
      <vt:variant>
        <vt:i4>196631</vt:i4>
      </vt:variant>
      <vt:variant>
        <vt:i4>0</vt:i4>
      </vt:variant>
      <vt:variant>
        <vt:i4>0</vt:i4>
      </vt:variant>
      <vt:variant>
        <vt:i4>5</vt:i4>
      </vt:variant>
      <vt:variant>
        <vt:lpwstr>https://lifewp.bgu.ac.il/wp/azangen/wp-content/CDEPTHcalculator.html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Frontiers</dc:creator>
  <cp:keywords/>
  <dc:description/>
  <cp:lastModifiedBy>Ruben Romero Marin</cp:lastModifiedBy>
  <cp:revision>225</cp:revision>
  <cp:lastPrinted>2024-10-24T18:44:00Z</cp:lastPrinted>
  <dcterms:created xsi:type="dcterms:W3CDTF">2025-03-16T17:52:00Z</dcterms:created>
  <dcterms:modified xsi:type="dcterms:W3CDTF">2025-10-03T09:37:00Z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0x01010026445AF306EBB441B7A6158762C40D43</vt:lpwstr>
  </property>
  <property fmtid="{D5CDD505-2E9C-101B-9397-08002B2CF9AE}" pid="3" name="_dlc_DocIdItemGuid">
    <vt:lpwstr>1f20ac40-4545-4ae8-9e88-2ffc72570862</vt:lpwstr>
  </property>
  <property fmtid="{D5CDD505-2E9C-101B-9397-08002B2CF9AE}" pid="4" name="Order">
    <vt:r8>1012000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MediaServiceImageTags">
    <vt:lpwstr/>
  </property>
  <property fmtid="{D5CDD505-2E9C-101B-9397-08002B2CF9AE}" pid="10" name="ZOTERO_PREF_1">
    <vt:lpwstr>&lt;data data-version="3" zotero-version="7.0.24"&gt;&lt;session id="sOD9B0cy"/&gt;&lt;style id="http://www.zotero.org/styles/vancouver" locale="en-US" hasBibliography="1" bibliographyStyleHasBeenSet="1"/&gt;&lt;prefs&gt;&lt;pref name="fieldType" value="Field"/&gt;&lt;pref name="automati</vt:lpwstr>
  </property>
  <property fmtid="{D5CDD505-2E9C-101B-9397-08002B2CF9AE}" pid="11" name="ZOTERO_PREF_2">
    <vt:lpwstr>cJournalAbbreviations" value="true"/&gt;&lt;/prefs&gt;&lt;/data&gt;</vt:lpwstr>
  </property>
</Properties>
</file>