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SEPSIS AND STROKE SUPPLEMENTARY TABLES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Table 1</w:t>
      </w:r>
      <w:r w:rsidDel="00000000" w:rsidR="00000000" w:rsidRPr="00000000">
        <w:rPr>
          <w:b w:val="1"/>
          <w:sz w:val="42"/>
          <w:szCs w:val="42"/>
          <w:rtl w:val="0"/>
        </w:rPr>
        <w:t xml:space="preserve">.</w:t>
      </w:r>
      <w:r w:rsidDel="00000000" w:rsidR="00000000" w:rsidRPr="00000000">
        <w:rPr>
          <w:b w:val="1"/>
          <w:sz w:val="26"/>
          <w:szCs w:val="26"/>
          <w:rtl w:val="0"/>
        </w:rPr>
        <w:t xml:space="preserve">Demographic Characteristics of Age-Adjusted Mortality Rates of Sepsis and Acute Stroke events in the United States from 1999 to 2020:</w:t>
      </w: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8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505"/>
        <w:gridCol w:w="3420"/>
        <w:gridCol w:w="3090"/>
        <w:tblGridChange w:id="0">
          <w:tblGrid>
            <w:gridCol w:w="2025"/>
            <w:gridCol w:w="2505"/>
            <w:gridCol w:w="3420"/>
            <w:gridCol w:w="309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AAMR(95%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177836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5409649211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92081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2775657334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85755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2633991877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Race/Ethnicity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American Indian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42536402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 white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117892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3644401586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 black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659572487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7.37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Hispanic/Latino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13968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Asian/Pacific Islander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287111166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2.99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Census 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Northeast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989744746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2.85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Midwest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1174560460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76375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1998181533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1247162472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Urban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145866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4594969437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3.06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Rural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814672274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3.17</w:t>
            </w:r>
          </w:p>
        </w:tc>
      </w:tr>
    </w:tbl>
    <w:p w:rsidR="00000000" w:rsidDel="00000000" w:rsidP="00000000" w:rsidRDefault="00000000" w:rsidRPr="00000000" w14:paraId="00000050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Abbreviations: AAMR: age-adjusted mortality rate; CI: confidence interval; NH: non-Hispanic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1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Table 2.</w:t>
      </w:r>
      <w:r w:rsidDel="00000000" w:rsidR="00000000" w:rsidRPr="00000000">
        <w:rPr>
          <w:b w:val="1"/>
          <w:sz w:val="26"/>
          <w:szCs w:val="26"/>
          <w:rtl w:val="0"/>
        </w:rPr>
        <w:t xml:space="preserve"> Demographic Characteristics of Age-Adjusted Mortality Rates of Sepsis and  Acute Stroke events in the United States from 2021 to 2023 :</w:t>
      </w:r>
    </w:p>
    <w:tbl>
      <w:tblPr>
        <w:tblStyle w:val="Table2"/>
        <w:tblW w:w="1095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gridCol w:w="1005"/>
        <w:gridCol w:w="1395"/>
        <w:gridCol w:w="5895"/>
        <w:tblGridChange w:id="0">
          <w:tblGrid>
            <w:gridCol w:w="2655"/>
            <w:gridCol w:w="1005"/>
            <w:gridCol w:w="1395"/>
            <w:gridCol w:w="589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AAMR(95% 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820593659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417005628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16927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403588031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3.81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Race/Ethnicity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American Indian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5910254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 white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501405551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 black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101300713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6.82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Hispanic/Latino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144707532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3.27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Asian/Pacific Islander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50605818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2.79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Census 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Northeast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142729481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Midwest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168988630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315075525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3.85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6970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193800023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Urban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Rural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9E">
      <w:pPr>
        <w:spacing w:before="240" w:lineRule="auto"/>
        <w:rPr/>
      </w:pPr>
      <w:r w:rsidDel="00000000" w:rsidR="00000000" w:rsidRPr="00000000">
        <w:rPr>
          <w:rtl w:val="0"/>
        </w:rPr>
        <w:t xml:space="preserve">Abbreviations: AAMR: age-adjusted mortality rate; CI: confidence interval; NH: non-Hispanic</w:t>
      </w:r>
    </w:p>
    <w:p w:rsidR="00000000" w:rsidDel="00000000" w:rsidP="00000000" w:rsidRDefault="00000000" w:rsidRPr="00000000" w14:paraId="0000009F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_______________________________________</w:t>
      </w:r>
    </w:p>
    <w:p w:rsidR="00000000" w:rsidDel="00000000" w:rsidP="00000000" w:rsidRDefault="00000000" w:rsidRPr="00000000" w14:paraId="000000A0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before="240" w:lineRule="auto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Table 3.</w:t>
      </w:r>
      <w:r w:rsidDel="00000000" w:rsidR="00000000" w:rsidRPr="00000000">
        <w:rPr>
          <w:b w:val="1"/>
          <w:sz w:val="26"/>
          <w:szCs w:val="26"/>
          <w:rtl w:val="0"/>
        </w:rPr>
        <w:t xml:space="preserve"> Annual Percentage Changes (APCs) of Sepsis and  Acute Stroke Events in the United States Population from 1999 to 2023:</w:t>
      </w:r>
      <w:r w:rsidDel="00000000" w:rsidR="00000000" w:rsidRPr="00000000">
        <w:rPr>
          <w:rtl w:val="0"/>
        </w:rPr>
      </w:r>
    </w:p>
    <w:tbl>
      <w:tblPr>
        <w:tblStyle w:val="Table3"/>
        <w:tblW w:w="11100.0" w:type="dxa"/>
        <w:jc w:val="left"/>
        <w:tblInd w:w="-8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095"/>
        <w:gridCol w:w="1140"/>
        <w:gridCol w:w="1095"/>
        <w:gridCol w:w="1050"/>
        <w:gridCol w:w="1065"/>
        <w:gridCol w:w="1095"/>
        <w:gridCol w:w="1140"/>
        <w:gridCol w:w="1410"/>
        <w:tblGridChange w:id="0">
          <w:tblGrid>
            <w:gridCol w:w="2010"/>
            <w:gridCol w:w="1095"/>
            <w:gridCol w:w="1140"/>
            <w:gridCol w:w="1095"/>
            <w:gridCol w:w="1050"/>
            <w:gridCol w:w="1065"/>
            <w:gridCol w:w="1095"/>
            <w:gridCol w:w="1140"/>
            <w:gridCol w:w="141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Lower 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Upper 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Lower 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Upper 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Test Statistic (t)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Prob &gt; |t|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Overall Mortality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overall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-5.1191*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-5.4339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-4.8032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-33.9138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overall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0.5016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-0.1931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1.5471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0.144144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overall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7.4371*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2.3347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12.794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3.1621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0.006924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overall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-3.9577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-8.0831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0.3529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-1.9727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0.06861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Female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-4.8158*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-5.3817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-4.2464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-17.2626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Female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2.2601*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1.4322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3.0948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5.7349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0.000013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Male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-5.2821*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-5.7256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-4.8366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-24.8004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Male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1.1228*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0.1842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2.0702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0.022322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Male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7.2909*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0.6889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14.3259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2.3766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0.03228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Male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-4.1087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-9.4902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1.5927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-1.558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0.141546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Young adults - 0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2.8605*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1.3515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4.392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3.9477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0.00064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Early 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-2.2084*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-3.9919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-0.3918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-2.6023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0.020886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Early 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1.9163*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0.5135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3.3386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2.9373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0.010814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Early 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15.919*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0.2593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34.0248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2.1831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0.046555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Early 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-8.9247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-19.584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3.1479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-1.6107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0.129543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-4.3403*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-4.6446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-4.0351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-29.8768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2.1144*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1.2581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2.9779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0.000106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9.9832*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5.1883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14.9966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4.5786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0.00043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Middle aged adults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-3.9285*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-7.5857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-0.1267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-2.2148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0.043862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Older adults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-5.6543*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-6.127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-5.1793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-24.1752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Older adults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0.7526*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0.2182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1.2899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2.9407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0.008084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CENSUS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1: Northeast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-5.4752*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-6.1273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-4.8186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-17.1624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1: Northeast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-0.2498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-1.4752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0.9908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-0.4269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0.674775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1: Northeast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3.6208*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0.0208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7.3503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2.1222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0.048809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2: Midwest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-4.6761*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-5.329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-4.0186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-14.5331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2: Midwest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2.2527*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1.3102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3.2039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5.0184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0.000066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3: South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-5.4517*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-5.7132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-5.1895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-43.4211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3: South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1.6417*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0.8778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2.4114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4.6296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0.00039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3: South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7.8988*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3.3165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12.6843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3.7573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0.002122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3: South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-5.6450*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-9.3601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-1.7776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-3.1024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0.007795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4: West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-3.7160*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-4.6994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-2.7224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-7.6945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Census Region 4: West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2.3263*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1.4319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3.2286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5.464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0.000024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Urbanization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Metropolitan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-4.7981*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-5.2617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-4.3322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-21.2506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Metropolitan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2.0261*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1.0841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2.9769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4.5624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0.000276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Non- Metropolitan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-4.2115*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-4.7853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-3.6342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-15.1086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Non- Metropolitan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2.7304*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1.7349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3.7356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5.8367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0.00002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Race/Ethnicity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AMERICANS - 0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0.7316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-0.1141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1.5844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1.7886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0.086868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Asians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-3.5685*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-4.1268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-3.0069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-13.2026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Asians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11.58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-4.532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30.4112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1.4824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0.156543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Asians - 2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-12.130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-24.337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-1.8242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0.085742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Blacks or Africans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-5.9457*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-6.3451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-5.5446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-30.8964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Blacks or Africans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-1.1179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-3.0317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0.8336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-1.2337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0.237621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Blacks or Africans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8.2091*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0.0029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17.0888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2.1456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0.049927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Blacks or Africans - 3 Joinpoints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-1.6847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-8.5565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5.7034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-0.5029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0.622825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WHITES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-4.9076*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-5.4618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-4.3501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-17.9568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WHITES - 1 Joinpoint     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2.5091*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1.9168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3.1049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8.9203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Hispanic or Latino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-4.4631*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-5.6284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-3.2833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-7.7599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Hispanic or Latino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1.4856*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0.2615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2.7246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2.5349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0.019704</w:t>
            </w:r>
          </w:p>
        </w:tc>
      </w:tr>
    </w:tbl>
    <w:p w:rsidR="00000000" w:rsidDel="00000000" w:rsidP="00000000" w:rsidRDefault="00000000" w:rsidRPr="00000000" w14:paraId="00000291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Abbreviations: APC, annual percent change; CI, confidence interval</w:t>
      </w:r>
    </w:p>
    <w:p w:rsidR="00000000" w:rsidDel="00000000" w:rsidP="00000000" w:rsidRDefault="00000000" w:rsidRPr="00000000" w14:paraId="00000292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Indicates that the APC significantly differs from zero at the alpha = 0.05 level.</w:t>
      </w:r>
    </w:p>
    <w:p w:rsidR="00000000" w:rsidDel="00000000" w:rsidP="00000000" w:rsidRDefault="00000000" w:rsidRPr="00000000" w14:paraId="0000029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294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Table 4. </w:t>
      </w:r>
      <w:r w:rsidDel="00000000" w:rsidR="00000000" w:rsidRPr="00000000">
        <w:rPr>
          <w:b w:val="1"/>
          <w:sz w:val="26"/>
          <w:szCs w:val="26"/>
          <w:rtl w:val="0"/>
        </w:rPr>
        <w:t xml:space="preserve">Sepsis and  Acute Stroke events related Age-Adjusted Mortality Rates per 1,000,000 in the United States, 1999 – 2023</w:t>
      </w:r>
    </w:p>
    <w:p w:rsidR="00000000" w:rsidDel="00000000" w:rsidP="00000000" w:rsidRDefault="00000000" w:rsidRPr="00000000" w14:paraId="00000295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296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4A</w:t>
      </w:r>
      <w:r w:rsidDel="00000000" w:rsidR="00000000" w:rsidRPr="00000000">
        <w:rPr>
          <w:b w:val="1"/>
          <w:sz w:val="26"/>
          <w:szCs w:val="26"/>
          <w:rtl w:val="0"/>
        </w:rPr>
        <w:t xml:space="preserve">. Overall Mortality, Sex, Races:</w:t>
      </w:r>
      <w:r w:rsidDel="00000000" w:rsidR="00000000" w:rsidRPr="00000000">
        <w:rPr>
          <w:rtl w:val="0"/>
        </w:rPr>
      </w:r>
    </w:p>
    <w:tbl>
      <w:tblPr>
        <w:tblStyle w:val="Table4"/>
        <w:tblW w:w="10875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5"/>
        <w:gridCol w:w="1290"/>
        <w:gridCol w:w="1005"/>
        <w:gridCol w:w="810"/>
        <w:gridCol w:w="1410"/>
        <w:gridCol w:w="1980"/>
        <w:gridCol w:w="1080"/>
        <w:gridCol w:w="870"/>
        <w:gridCol w:w="1365"/>
        <w:tblGridChange w:id="0">
          <w:tblGrid>
            <w:gridCol w:w="1065"/>
            <w:gridCol w:w="1290"/>
            <w:gridCol w:w="1005"/>
            <w:gridCol w:w="810"/>
            <w:gridCol w:w="1410"/>
            <w:gridCol w:w="1980"/>
            <w:gridCol w:w="1080"/>
            <w:gridCol w:w="870"/>
            <w:gridCol w:w="136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Overall Mortality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American Indian or Alaska 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4.95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4.63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</w:t>
            </w:r>
          </w:p>
        </w:tc>
      </w:tr>
    </w:tbl>
    <w:p w:rsidR="00000000" w:rsidDel="00000000" w:rsidP="00000000" w:rsidRDefault="00000000" w:rsidRPr="00000000" w14:paraId="00000381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38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4B. </w:t>
      </w:r>
      <w:r w:rsidDel="00000000" w:rsidR="00000000" w:rsidRPr="00000000">
        <w:rPr>
          <w:b w:val="1"/>
          <w:sz w:val="26"/>
          <w:szCs w:val="26"/>
          <w:rtl w:val="0"/>
        </w:rPr>
        <w:t xml:space="preserve">Census Region:</w:t>
      </w:r>
      <w:r w:rsidDel="00000000" w:rsidR="00000000" w:rsidRPr="00000000">
        <w:rPr>
          <w:rtl w:val="0"/>
        </w:rPr>
      </w:r>
    </w:p>
    <w:tbl>
      <w:tblPr>
        <w:tblStyle w:val="Table5"/>
        <w:tblW w:w="10680.0" w:type="dxa"/>
        <w:jc w:val="left"/>
        <w:tblInd w:w="-8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145"/>
        <w:gridCol w:w="2100"/>
        <w:gridCol w:w="2310"/>
        <w:gridCol w:w="2100"/>
        <w:tblGridChange w:id="0">
          <w:tblGrid>
            <w:gridCol w:w="2025"/>
            <w:gridCol w:w="2145"/>
            <w:gridCol w:w="2100"/>
            <w:gridCol w:w="2310"/>
            <w:gridCol w:w="210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Northeast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Midwest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2.93</w:t>
            </w:r>
          </w:p>
        </w:tc>
      </w:tr>
    </w:tbl>
    <w:p w:rsidR="00000000" w:rsidDel="00000000" w:rsidP="00000000" w:rsidRDefault="00000000" w:rsidRPr="00000000" w14:paraId="000004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4C</w:t>
      </w:r>
      <w:r w:rsidDel="00000000" w:rsidR="00000000" w:rsidRPr="00000000">
        <w:rPr>
          <w:b w:val="1"/>
          <w:sz w:val="34"/>
          <w:szCs w:val="34"/>
          <w:rtl w:val="0"/>
        </w:rPr>
        <w:t xml:space="preserve">.</w:t>
      </w:r>
      <w:r w:rsidDel="00000000" w:rsidR="00000000" w:rsidRPr="00000000">
        <w:rPr>
          <w:b w:val="1"/>
          <w:sz w:val="26"/>
          <w:szCs w:val="26"/>
          <w:rtl w:val="0"/>
        </w:rPr>
        <w:t xml:space="preserve">Age and Urbanization: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-9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45"/>
        <w:gridCol w:w="1890"/>
        <w:gridCol w:w="1665"/>
        <w:gridCol w:w="1080"/>
        <w:gridCol w:w="1575"/>
        <w:gridCol w:w="2100"/>
        <w:tblGridChange w:id="0">
          <w:tblGrid>
            <w:gridCol w:w="1245"/>
            <w:gridCol w:w="1245"/>
            <w:gridCol w:w="1890"/>
            <w:gridCol w:w="1665"/>
            <w:gridCol w:w="1080"/>
            <w:gridCol w:w="1575"/>
            <w:gridCol w:w="210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Young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Early Middle Aged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Middle Aged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Older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Metropolitan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Non-metropolitan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39.52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36.19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29.28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20.28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19.54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20.25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4B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before="240" w:lineRule="auto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Table 5.</w:t>
      </w:r>
      <w:r w:rsidDel="00000000" w:rsidR="00000000" w:rsidRPr="00000000">
        <w:rPr>
          <w:b w:val="1"/>
          <w:sz w:val="26"/>
          <w:szCs w:val="26"/>
          <w:rtl w:val="0"/>
        </w:rPr>
        <w:t xml:space="preserve"> Sepsis and  Acute Stroke events Related Age-Adjusted Mortality Rates per 1,000,000, Stratified by States in the United States, 1999 – 2020:</w:t>
      </w:r>
      <w:r w:rsidDel="00000000" w:rsidR="00000000" w:rsidRPr="00000000">
        <w:rPr>
          <w:rtl w:val="0"/>
        </w:rPr>
      </w:r>
    </w:p>
    <w:tbl>
      <w:tblPr>
        <w:tblStyle w:val="Table7"/>
        <w:tblW w:w="10890.0" w:type="dxa"/>
        <w:jc w:val="left"/>
        <w:tblInd w:w="-8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815"/>
        <w:gridCol w:w="3720"/>
        <w:gridCol w:w="3105"/>
        <w:tblGridChange w:id="0">
          <w:tblGrid>
            <w:gridCol w:w="2250"/>
            <w:gridCol w:w="1815"/>
            <w:gridCol w:w="3720"/>
            <w:gridCol w:w="310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Age Adjusted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Age Adjusted Rate Lower 95% Confidence Interval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240" w:befor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Age Adjusted Rate Upper 95% Confidence Interval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252929687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Maine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0.48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0.31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0.72</w:t>
            </w:r>
          </w:p>
        </w:tc>
      </w:tr>
      <w:tr>
        <w:trPr>
          <w:cantSplit w:val="0"/>
          <w:trHeight w:val="785.9252929687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Rhode Island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1.63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1.24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Hampshire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1.33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Arizona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1.72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1.89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Mexico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1.84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Hawaii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1.86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Connecticut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1.69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Wyoming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1.46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Iowa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1.83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Vermont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1.55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2.85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Montana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Oregon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Wisconsin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Massachusetts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Idaho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Missouri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2.26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York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North Dakota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Utah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2.16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Illinois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Ohio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2.43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South Dakota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2.05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Kansas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3.05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Alaska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1.96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Virginia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Nebraska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2.83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2.38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Florida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2.86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Michigan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2.87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2.68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3.06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North Carolina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Pennsylvania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Indiana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2.98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Colorado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3.01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Minnesota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3.04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Delaware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2.54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West Virginia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3.26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2.79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New Jersey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3.41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3.19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Nevada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3.11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3.89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Georgia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3.56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3.34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California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3.75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3.87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Alabama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3.97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3.65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4.29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Texas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4.07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3.92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4.22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Tennessee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4.12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3.84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South Carolina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4.07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4.73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Arkansas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4.83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4.37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Louisiana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4.83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4.45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5.22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Maryland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5.12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4.78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5.45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Kentucky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5.98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6.41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Oklahoma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6.04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5.58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Mississippi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7.04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6.47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7.62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4472c4" w:space="0" w:sz="4" w:val="single"/>
              <w:left w:color="4472c4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District of Columbia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7.86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6.47</w:t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000000" w:space="0" w:sz="0" w:val="nil"/>
              <w:right w:color="4472c4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9.26</w:t>
            </w:r>
          </w:p>
        </w:tc>
      </w:tr>
    </w:tbl>
    <w:p w:rsidR="00000000" w:rsidDel="00000000" w:rsidP="00000000" w:rsidRDefault="00000000" w:rsidRPr="00000000" w14:paraId="0000059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Table 6</w:t>
      </w:r>
      <w:r w:rsidDel="00000000" w:rsidR="00000000" w:rsidRPr="00000000">
        <w:rPr>
          <w:b w:val="1"/>
          <w:sz w:val="26"/>
          <w:szCs w:val="26"/>
          <w:rtl w:val="0"/>
        </w:rPr>
        <w:t xml:space="preserve">. Sepsis and  Acute Stroke events Related deaths, Stratified by Overall Mortality, sex, races in the United States, 1999 – 2023:</w:t>
      </w:r>
      <w:r w:rsidDel="00000000" w:rsidR="00000000" w:rsidRPr="00000000">
        <w:rPr>
          <w:rtl w:val="0"/>
        </w:rPr>
      </w:r>
    </w:p>
    <w:tbl>
      <w:tblPr>
        <w:tblStyle w:val="Table8"/>
        <w:tblW w:w="10950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1215"/>
        <w:gridCol w:w="990"/>
        <w:gridCol w:w="810"/>
        <w:gridCol w:w="1290"/>
        <w:gridCol w:w="2070"/>
        <w:gridCol w:w="1020"/>
        <w:gridCol w:w="825"/>
        <w:gridCol w:w="1545"/>
        <w:tblGridChange w:id="0">
          <w:tblGrid>
            <w:gridCol w:w="1185"/>
            <w:gridCol w:w="1215"/>
            <w:gridCol w:w="990"/>
            <w:gridCol w:w="810"/>
            <w:gridCol w:w="1290"/>
            <w:gridCol w:w="2070"/>
            <w:gridCol w:w="1020"/>
            <w:gridCol w:w="825"/>
            <w:gridCol w:w="15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Overall Mortality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Hispanic or Latino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American Indian or Alaska 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shd w:fill="15608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NH 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9858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4462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2188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6897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6512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6164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6052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5874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5499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8103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4293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5371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3598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4810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7161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3805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4738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3238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4515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4413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3340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4566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6869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4539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3449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4653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7358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3680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4802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7943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3870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8176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4056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1632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5326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4341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5545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8611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4436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1678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5652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4435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1685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5512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9980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5309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6230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10814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5053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2237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6746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10875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5718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461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2288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000000" w:space="0" w:sz="0" w:val="nil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6763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156082" w:space="0" w:sz="4" w:val="single"/>
              <w:left w:color="156082" w:space="0" w:sz="4" w:val="single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10274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4826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5448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434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2187</w:t>
            </w:r>
          </w:p>
        </w:tc>
        <w:tc>
          <w:tcPr>
            <w:tcBorders>
              <w:top w:color="156082" w:space="0" w:sz="4" w:val="single"/>
              <w:left w:color="000000" w:space="0" w:sz="0" w:val="nil"/>
              <w:bottom w:color="156082" w:space="0" w:sz="4" w:val="single"/>
              <w:right w:color="156082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6367</w:t>
            </w:r>
          </w:p>
        </w:tc>
      </w:tr>
    </w:tbl>
    <w:p w:rsidR="00000000" w:rsidDel="00000000" w:rsidP="00000000" w:rsidRDefault="00000000" w:rsidRPr="00000000" w14:paraId="0000067F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NH= non-Hispanic; N/A=not available (unreliable or suppressed)</w:t>
      </w:r>
    </w:p>
    <w:p w:rsidR="00000000" w:rsidDel="00000000" w:rsidP="00000000" w:rsidRDefault="00000000" w:rsidRPr="00000000" w14:paraId="000006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8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