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0B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jc w:val="center"/>
        <w:textAlignment w:val="auto"/>
        <w:rPr>
          <w:rFonts w:hint="default" w:ascii="Times New Roman" w:hAnsi="Times New Roman" w:eastAsia="DengXian" w:cs="Times New Roman"/>
          <w:b/>
          <w:bCs/>
          <w:sz w:val="24"/>
          <w:szCs w:val="24"/>
          <w:lang w:eastAsia="zh-CN"/>
          <w14:ligatures w14:val="none"/>
        </w:rPr>
      </w:pPr>
      <w:r>
        <w:rPr>
          <w:rFonts w:hint="default" w:ascii="Times New Roman" w:hAnsi="Times New Roman" w:eastAsia="DengXian" w:cs="Times New Roman"/>
          <w:b/>
          <w:bCs/>
          <w:sz w:val="24"/>
          <w:szCs w:val="24"/>
          <w:lang w:eastAsia="zh-CN"/>
          <w14:ligatures w14:val="none"/>
        </w:rPr>
        <w:t>Supplementary information</w:t>
      </w:r>
    </w:p>
    <w:p w14:paraId="3DD59986">
      <w:pPr>
        <w:pStyle w:val="6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Nitrogen-doped Carbon-coated Al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O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 xml:space="preserve"> supported Co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O</w:t>
      </w:r>
      <w:r>
        <w:rPr>
          <w:rFonts w:hint="default" w:ascii="Times New Roman" w:hAnsi="Times New Roman" w:cs="Times New Roman" w:eastAsiaTheme="minorEastAsia"/>
          <w:sz w:val="24"/>
          <w:szCs w:val="24"/>
          <w:vertAlign w:val="subscript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 xml:space="preserve"> nanoparticles for Fischer-Tropsch synthesis: Boosting durability and Olefins selectivity</w:t>
      </w:r>
    </w:p>
    <w:p w14:paraId="3CF8EF4D">
      <w:pPr>
        <w:pStyle w:val="66"/>
        <w:rPr>
          <w:rFonts w:hint="default" w:ascii="Times New Roman" w:hAnsi="Times New Roman" w:cs="Times New Roman" w:eastAsiaTheme="minorEastAsia"/>
          <w:color w:val="FF0000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>Lili</w:t>
      </w:r>
      <w:r>
        <w:rPr>
          <w:rFonts w:hint="default" w:ascii="Times New Roman" w:hAnsi="Times New Roman" w:cs="Times New Roman"/>
          <w:lang w:val="en-GB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Wu</w:t>
      </w:r>
      <w:r>
        <w:rPr>
          <w:rFonts w:hint="default" w:ascii="Times New Roman" w:hAnsi="Times New Roman" w:cs="Times New Roman"/>
        </w:rPr>
        <w:t xml:space="preserve"> • </w:t>
      </w:r>
      <w:r>
        <w:rPr>
          <w:rFonts w:hint="default" w:ascii="Times New Roman" w:hAnsi="Times New Roman" w:cs="Times New Roman"/>
          <w:lang w:val="en-US" w:eastAsia="zh-CN"/>
        </w:rPr>
        <w:t>Shuying</w:t>
      </w:r>
      <w:r>
        <w:rPr>
          <w:rFonts w:hint="default" w:ascii="Times New Roman" w:hAnsi="Times New Roman" w:cs="Times New Roman"/>
          <w:lang w:val="en-GB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Ren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• </w:t>
      </w:r>
      <w:r>
        <w:rPr>
          <w:rFonts w:hint="default" w:ascii="Times New Roman" w:hAnsi="Times New Roman" w:cs="Times New Roman"/>
          <w:lang w:val="en-GB"/>
        </w:rPr>
        <w:t>Chengchao Liu</w:t>
      </w:r>
    </w:p>
    <w:p w14:paraId="35013DDB">
      <w:pPr>
        <w:pStyle w:val="6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firstLine="0" w:firstLineChars="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Key Laboratory of Catalysis and Energy Materials Chemistry of Ministry of Education &amp; Hubei Key Laboratory of Catalysis and Materials Science, South-Central Minzu University, Wuhan 430074, China.</w:t>
      </w:r>
    </w:p>
    <w:p w14:paraId="146ED333">
      <w:pPr>
        <w:pStyle w:val="68"/>
        <w:spacing w:before="326" w:after="32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GB"/>
        </w:rPr>
        <w:t>Chengchao Liu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liuchchao@scuec.edu.cn</w:t>
      </w:r>
    </w:p>
    <w:p w14:paraId="27DAC53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25D62E54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0D46C85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56E054AD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2BBBFC38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03866CCE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67D499DA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24FFEF2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019A6638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37C0E0A1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</w:p>
    <w:p w14:paraId="788A7B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3345180" cy="2879725"/>
            <wp:effectExtent l="0" t="0" r="7620" b="15875"/>
            <wp:docPr id="1" name="图片 1" descr="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2B22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b/>
          <w:bCs/>
          <w:highlight w:val="none"/>
        </w:rPr>
        <w:t xml:space="preserve">Fig. </w:t>
      </w:r>
      <w:r>
        <w:rPr>
          <w:rFonts w:hint="eastAsia" w:eastAsia="宋体"/>
          <w:b/>
          <w:bCs/>
          <w:highlight w:val="none"/>
          <w:lang w:val="en-US" w:eastAsia="zh-CN"/>
        </w:rPr>
        <w:t>S</w:t>
      </w:r>
      <w:r>
        <w:rPr>
          <w:rFonts w:hint="default"/>
          <w:b/>
          <w:bCs/>
          <w:highlight w:val="none"/>
        </w:rPr>
        <w:t>1</w:t>
      </w:r>
      <w:r>
        <w:rPr>
          <w:rFonts w:hint="default"/>
          <w:highlight w:val="none"/>
        </w:rPr>
        <w:t xml:space="preserve"> </w:t>
      </w:r>
      <w:r>
        <w:rPr>
          <w:rFonts w:hint="default"/>
          <w:highlight w:val="none"/>
          <w:lang w:val="en-US" w:eastAsia="zh-CN"/>
        </w:rPr>
        <w:t>FT-IR spectra of the</w:t>
      </w:r>
      <w:r>
        <w:rPr>
          <w:rFonts w:hint="eastAsia"/>
          <w:highlight w:val="none"/>
          <w:lang w:val="en-US" w:eastAsia="zh-CN"/>
        </w:rPr>
        <w:t xml:space="preserve"> resh</w:t>
      </w:r>
      <w:r>
        <w:rPr>
          <w:rFonts w:hint="default"/>
          <w:highlight w:val="none"/>
          <w:lang w:val="en-US" w:eastAsia="zh-CN"/>
        </w:rPr>
        <w:t xml:space="preserve"> catalysts</w:t>
      </w:r>
    </w:p>
    <w:p w14:paraId="50825D47">
      <w:pPr>
        <w:pStyle w:val="69"/>
        <w:bidi w:val="0"/>
        <w:rPr>
          <w:rFonts w:hint="default"/>
          <w:highlight w:val="none"/>
          <w:lang w:val="en-US" w:eastAsia="zh-CN"/>
        </w:rPr>
      </w:pPr>
    </w:p>
    <w:p w14:paraId="0E7DF6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4989195" cy="4104005"/>
            <wp:effectExtent l="0" t="0" r="1905" b="10795"/>
            <wp:docPr id="17" name="图片 17" descr="S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 1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A3C8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b/>
          <w:bCs/>
        </w:rPr>
        <w:t>Fig. S</w:t>
      </w:r>
      <w:r>
        <w:rPr>
          <w:rFonts w:hint="eastAsia" w:eastAsia="宋体"/>
          <w:b/>
          <w:bCs/>
          <w:lang w:val="en-US" w:eastAsia="zh-CN"/>
        </w:rPr>
        <w:t>2</w:t>
      </w:r>
      <w:r>
        <w:rPr>
          <w:rFonts w:hint="default"/>
          <w:b/>
          <w:bCs/>
          <w:lang w:val="en-US" w:eastAsia="zh-CN"/>
        </w:rPr>
        <w:t xml:space="preserve"> </w:t>
      </w:r>
      <w:r>
        <w:rPr>
          <w:rFonts w:hint="default"/>
          <w:highlight w:val="none"/>
          <w:lang w:val="en-US" w:eastAsia="zh-CN"/>
        </w:rPr>
        <w:t>TG curves (in air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default"/>
          <w:highlight w:val="none"/>
          <w:lang w:val="en-US" w:eastAsia="zh-CN"/>
        </w:rPr>
        <w:t>atmosphere)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eastAsia"/>
          <w:b/>
          <w:bCs/>
          <w:highlight w:val="none"/>
          <w:lang w:val="en-US" w:eastAsia="zh-CN"/>
        </w:rPr>
        <w:t>a</w:t>
      </w:r>
      <w:r>
        <w:rPr>
          <w:rFonts w:hint="default"/>
          <w:highlight w:val="none"/>
          <w:lang w:val="en-US" w:eastAsia="zh-CN"/>
        </w:rPr>
        <w:t xml:space="preserve"> Catalyst precursor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eastAsia"/>
          <w:b/>
          <w:bCs/>
          <w:highlight w:val="none"/>
          <w:lang w:val="en-US" w:eastAsia="zh-CN"/>
        </w:rPr>
        <w:t>b</w:t>
      </w:r>
      <w:r>
        <w:rPr>
          <w:rFonts w:hint="default"/>
          <w:highlight w:val="none"/>
          <w:lang w:val="en-US" w:eastAsia="zh-CN"/>
        </w:rPr>
        <w:t xml:space="preserve"> Co/NC-Al</w:t>
      </w:r>
      <w:r>
        <w:rPr>
          <w:rFonts w:hint="default"/>
          <w:highlight w:val="none"/>
          <w:vertAlign w:val="subscript"/>
          <w:lang w:val="en-US" w:eastAsia="zh-CN"/>
        </w:rPr>
        <w:t>2</w:t>
      </w:r>
      <w:r>
        <w:rPr>
          <w:rFonts w:hint="default"/>
          <w:highlight w:val="none"/>
          <w:lang w:val="en-US" w:eastAsia="zh-CN"/>
        </w:rPr>
        <w:t>O</w:t>
      </w:r>
      <w:r>
        <w:rPr>
          <w:rFonts w:hint="default"/>
          <w:highlight w:val="none"/>
          <w:vertAlign w:val="subscript"/>
          <w:lang w:val="en-US" w:eastAsia="zh-CN"/>
        </w:rPr>
        <w:t>3</w:t>
      </w:r>
      <w:r>
        <w:rPr>
          <w:rFonts w:hint="eastAsia"/>
          <w:highlight w:val="none"/>
          <w:vertAlign w:val="subscript"/>
          <w:lang w:val="en-US" w:eastAsia="zh-CN"/>
        </w:rPr>
        <w:t xml:space="preserve"> </w:t>
      </w:r>
      <w:r>
        <w:rPr>
          <w:rFonts w:hint="default"/>
          <w:highlight w:val="none"/>
          <w:lang w:val="en-US" w:eastAsia="zh-CN"/>
        </w:rPr>
        <w:t>catalyst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default"/>
          <w:lang w:val="en-US" w:eastAsia="zh-CN"/>
        </w:rPr>
        <w:t>D</w:t>
      </w:r>
      <w:r>
        <w:rPr>
          <w:rFonts w:hint="default"/>
        </w:rPr>
        <w:t>TG curves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in air atmosphere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c </w:t>
      </w:r>
      <w:r>
        <w:rPr>
          <w:rFonts w:hint="default"/>
          <w:lang w:eastAsia="zh-CN"/>
        </w:rPr>
        <w:t xml:space="preserve">the </w:t>
      </w:r>
      <w:r>
        <w:rPr>
          <w:rFonts w:hint="default"/>
        </w:rPr>
        <w:t>catalyst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precursor</w:t>
      </w:r>
      <w:r>
        <w:rPr>
          <w:rFonts w:hint="eastAsia"/>
          <w:lang w:val="en-US" w:eastAsia="zh-CN"/>
        </w:rPr>
        <w:t xml:space="preserve">. </w:t>
      </w:r>
      <w:r>
        <w:rPr>
          <w:rFonts w:hint="eastAsia" w:eastAsia="宋体"/>
          <w:b/>
          <w:bCs/>
          <w:lang w:val="en-US" w:eastAsia="zh-CN"/>
        </w:rPr>
        <w:t>d</w:t>
      </w:r>
      <w:r>
        <w:rPr>
          <w:rFonts w:hint="default"/>
          <w:lang w:eastAsia="zh-CN"/>
        </w:rPr>
        <w:t xml:space="preserve"> </w:t>
      </w:r>
      <w:r>
        <w:rPr>
          <w:rFonts w:hint="default"/>
        </w:rPr>
        <w:t>Co/</w:t>
      </w:r>
      <w:r>
        <w:rPr>
          <w:rFonts w:hint="default"/>
          <w:lang w:val="en-US" w:eastAsia="zh-CN"/>
        </w:rPr>
        <w:t>N</w:t>
      </w:r>
      <w:r>
        <w:rPr>
          <w:rFonts w:hint="default"/>
        </w:rPr>
        <w:t>C-Al</w:t>
      </w:r>
      <w:r>
        <w:rPr>
          <w:rFonts w:hint="default"/>
          <w:vertAlign w:val="subscript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</w:rPr>
        <w:t>3</w:t>
      </w:r>
      <w:r>
        <w:rPr>
          <w:rFonts w:hint="default"/>
        </w:rPr>
        <w:t xml:space="preserve"> catalyst</w:t>
      </w:r>
    </w:p>
    <w:p w14:paraId="6ACACD0F"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0" w:line="240" w:lineRule="auto"/>
        <w:ind w:firstLine="0"/>
        <w:jc w:val="center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drawing>
          <wp:inline distT="0" distB="0" distL="114300" distR="114300">
            <wp:extent cx="5206365" cy="4319905"/>
            <wp:effectExtent l="0" t="0" r="13335" b="4445"/>
            <wp:docPr id="2" name="图片 2" descr="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CEAF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</w:rPr>
      </w:pPr>
      <w:r>
        <w:rPr>
          <w:rFonts w:hint="default"/>
          <w:b/>
          <w:bCs/>
        </w:rPr>
        <w:t>Fig. S</w:t>
      </w:r>
      <w:r>
        <w:rPr>
          <w:rFonts w:hint="eastAsia" w:eastAsia="宋体"/>
          <w:b/>
          <w:bCs/>
          <w:lang w:val="en-US" w:eastAsia="zh-CN"/>
        </w:rPr>
        <w:t>3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a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The </w:t>
      </w:r>
      <w:r>
        <w:rPr>
          <w:rFonts w:hint="eastAsia"/>
          <w:lang w:val="en-US" w:eastAsia="zh-CN"/>
        </w:rPr>
        <w:t>reduced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Co/Al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</w:rPr>
        <w:t xml:space="preserve"> catalyst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val="en-US" w:eastAsia="zh-CN"/>
        </w:rPr>
        <w:t xml:space="preserve"> The spent </w:t>
      </w:r>
      <w:r>
        <w:rPr>
          <w:rFonts w:hint="default"/>
        </w:rPr>
        <w:t>Co/</w:t>
      </w:r>
      <w:r>
        <w:rPr>
          <w:rFonts w:hint="default"/>
          <w:lang w:val="en-US" w:eastAsia="zh-CN"/>
        </w:rPr>
        <w:t>N</w:t>
      </w:r>
      <w:r>
        <w:rPr>
          <w:rFonts w:hint="default"/>
        </w:rPr>
        <w:t>C-Al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</w:rPr>
        <w:t xml:space="preserve"> catalyst</w:t>
      </w:r>
      <w:r>
        <w:rPr>
          <w:rFonts w:hint="default"/>
          <w:lang w:val="en-US" w:eastAsia="zh-CN"/>
        </w:rPr>
        <w:t>: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b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Representative bright-field TEM image</w:t>
      </w:r>
      <w:r>
        <w:rPr>
          <w:rFonts w:hint="eastAsia"/>
          <w:lang w:val="en-US" w:eastAsia="zh-CN"/>
        </w:rPr>
        <w:t xml:space="preserve">. </w:t>
      </w:r>
      <w:r>
        <w:rPr>
          <w:rFonts w:hint="default"/>
          <w:b/>
          <w:bCs/>
          <w:lang w:val="en-US" w:eastAsia="zh-CN"/>
        </w:rPr>
        <w:t>c</w:t>
      </w:r>
      <w:r>
        <w:rPr>
          <w:rFonts w:hint="default"/>
        </w:rPr>
        <w:t xml:space="preserve"> Representative high-angle annular dark-field TEM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image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d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the corresponding ED spectrum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Co and Al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f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N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g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C</w:t>
      </w:r>
      <w:r>
        <w:rPr>
          <w:rFonts w:hint="eastAsia"/>
          <w:lang w:val="en-US" w:eastAsia="zh-CN"/>
        </w:rPr>
        <w:t xml:space="preserve">. </w:t>
      </w:r>
      <w:r>
        <w:rPr>
          <w:rFonts w:hint="default"/>
          <w:b/>
          <w:bCs/>
          <w:lang w:val="en-US" w:eastAsia="zh-CN"/>
        </w:rPr>
        <w:t>h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 xml:space="preserve">of </w:t>
      </w:r>
      <w:r>
        <w:rPr>
          <w:rFonts w:hint="default"/>
          <w:lang w:val="en-US" w:eastAsia="zh-CN"/>
        </w:rPr>
        <w:t>O</w:t>
      </w:r>
    </w:p>
    <w:p w14:paraId="4180D8DE">
      <w:pPr>
        <w:rPr>
          <w:rFonts w:hint="default"/>
        </w:rPr>
      </w:pPr>
    </w:p>
    <w:p w14:paraId="11E37246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515485" cy="2160270"/>
            <wp:effectExtent l="0" t="0" r="18415" b="11430"/>
            <wp:docPr id="9" name="图片 9" descr="S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 2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0940">
      <w:pPr>
        <w:pStyle w:val="69"/>
        <w:bidi w:val="0"/>
        <w:rPr>
          <w:rFonts w:hint="default"/>
          <w:lang w:val="en-US" w:eastAsia="zh-CN"/>
        </w:rPr>
      </w:pPr>
      <w:r>
        <w:rPr>
          <w:rFonts w:hint="default"/>
          <w:b/>
          <w:bCs/>
        </w:rPr>
        <w:t>Fig. S</w:t>
      </w:r>
      <w:r>
        <w:rPr>
          <w:rFonts w:hint="eastAsia" w:eastAsia="宋体"/>
          <w:b/>
          <w:bCs/>
          <w:lang w:val="en-US" w:eastAsia="zh-CN"/>
        </w:rPr>
        <w:t>4</w:t>
      </w:r>
      <w:r>
        <w:rPr>
          <w:rFonts w:hint="default"/>
        </w:rPr>
        <w:t xml:space="preserve"> </w:t>
      </w:r>
      <w:r>
        <w:rPr>
          <w:rFonts w:hint="default"/>
          <w:lang w:val="en-US" w:eastAsia="zh-CN"/>
        </w:rPr>
        <w:t>Co Particle size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b/>
          <w:bCs/>
          <w:vertAlign w:val="baseline"/>
          <w:lang w:val="en-US" w:eastAsia="zh-CN"/>
        </w:rPr>
        <w:t>a</w:t>
      </w:r>
      <w:r>
        <w:rPr>
          <w:rFonts w:hint="eastAsia"/>
          <w:b/>
          <w:bCs/>
          <w:vertAlign w:val="baseline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the </w:t>
      </w:r>
      <w:r>
        <w:rPr>
          <w:rFonts w:hint="default"/>
        </w:rPr>
        <w:t>reduced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Co/Al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catalyst</w:t>
      </w:r>
      <w:r>
        <w:rPr>
          <w:rFonts w:hint="eastAsia"/>
          <w:lang w:val="en-US" w:eastAsia="zh-CN"/>
        </w:rPr>
        <w:t xml:space="preserve">. </w:t>
      </w:r>
      <w:r>
        <w:rPr>
          <w:rFonts w:hint="default"/>
          <w:b/>
          <w:bCs/>
          <w:vertAlign w:val="baseline"/>
          <w:lang w:val="en-US" w:eastAsia="zh-CN"/>
        </w:rPr>
        <w:t>b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the </w:t>
      </w:r>
      <w:r>
        <w:rPr>
          <w:rFonts w:hint="default"/>
        </w:rPr>
        <w:t>reduced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Co/</w:t>
      </w:r>
      <w:r>
        <w:rPr>
          <w:rFonts w:hint="default"/>
          <w:lang w:val="en-US" w:eastAsia="zh-CN"/>
        </w:rPr>
        <w:t>NC-</w:t>
      </w:r>
      <w:r>
        <w:rPr>
          <w:rFonts w:hint="default"/>
        </w:rPr>
        <w:t>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catalyst</w:t>
      </w:r>
      <w:r>
        <w:rPr>
          <w:rFonts w:hint="default"/>
          <w:lang w:val="en-US" w:eastAsia="zh-CN"/>
        </w:rPr>
        <w:t xml:space="preserve"> </w:t>
      </w:r>
    </w:p>
    <w:p w14:paraId="491BBF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auto"/>
        <w:rPr>
          <w:rFonts w:hint="default"/>
          <w:lang w:val="en-US" w:eastAsia="zh-CN"/>
        </w:rPr>
      </w:pPr>
    </w:p>
    <w:p w14:paraId="2A4DE8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highlight w:val="none"/>
          <w:lang w:eastAsia="zh-CN"/>
        </w:rPr>
      </w:pPr>
      <w:r>
        <w:rPr>
          <w:rFonts w:hint="default"/>
          <w:b/>
          <w:bCs/>
          <w:highlight w:val="none"/>
          <w:lang w:eastAsia="zh-CN"/>
        </w:rPr>
        <w:drawing>
          <wp:inline distT="0" distB="0" distL="114300" distR="114300">
            <wp:extent cx="5123180" cy="4140200"/>
            <wp:effectExtent l="0" t="0" r="1270" b="12700"/>
            <wp:docPr id="3" name="图片 3" descr="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33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highlight w:val="none"/>
          <w:lang w:eastAsia="zh-CN"/>
        </w:rPr>
        <w:t xml:space="preserve">Fig. </w:t>
      </w:r>
      <w:r>
        <w:rPr>
          <w:rFonts w:hint="eastAsia"/>
          <w:b/>
          <w:bCs/>
          <w:highlight w:val="none"/>
          <w:lang w:val="en-US" w:eastAsia="zh-CN"/>
        </w:rPr>
        <w:t>S5</w:t>
      </w:r>
      <w:r>
        <w:rPr>
          <w:rFonts w:hint="default"/>
          <w:highlight w:val="none"/>
          <w:lang w:eastAsia="zh-CN"/>
        </w:rPr>
        <w:t xml:space="preserve"> H</w:t>
      </w:r>
      <w:r>
        <w:rPr>
          <w:rFonts w:hint="default"/>
          <w:highlight w:val="none"/>
          <w:vertAlign w:val="subscript"/>
          <w:lang w:eastAsia="zh-CN"/>
        </w:rPr>
        <w:t>2</w:t>
      </w:r>
      <w:r>
        <w:rPr>
          <w:rFonts w:hint="default"/>
          <w:highlight w:val="none"/>
          <w:lang w:eastAsia="zh-CN"/>
        </w:rPr>
        <w:t>-TPR profiles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default"/>
          <w:b/>
          <w:bCs/>
          <w:highlight w:val="none"/>
          <w:lang w:eastAsia="zh-CN"/>
        </w:rPr>
        <w:t>a</w:t>
      </w:r>
      <w:r>
        <w:rPr>
          <w:rFonts w:hint="default"/>
          <w:highlight w:val="none"/>
          <w:lang w:eastAsia="zh-CN"/>
        </w:rPr>
        <w:t xml:space="preserve"> Co/</w:t>
      </w:r>
      <w:r>
        <w:rPr>
          <w:rFonts w:hint="default"/>
          <w:highlight w:val="none"/>
          <w:lang w:val="en-US" w:eastAsia="zh-CN"/>
        </w:rPr>
        <w:t>Al</w:t>
      </w:r>
      <w:r>
        <w:rPr>
          <w:rFonts w:hint="default"/>
          <w:highlight w:val="none"/>
          <w:vertAlign w:val="subscript"/>
          <w:lang w:val="en-US" w:eastAsia="zh-CN"/>
        </w:rPr>
        <w:t>2</w:t>
      </w:r>
      <w:r>
        <w:rPr>
          <w:rFonts w:hint="default"/>
          <w:highlight w:val="none"/>
          <w:lang w:val="en-US" w:eastAsia="zh-CN"/>
        </w:rPr>
        <w:t>O</w:t>
      </w:r>
      <w:r>
        <w:rPr>
          <w:rFonts w:hint="default"/>
          <w:highlight w:val="none"/>
          <w:vertAlign w:val="subscript"/>
          <w:lang w:val="en-US" w:eastAsia="zh-CN"/>
        </w:rPr>
        <w:t>3</w:t>
      </w:r>
      <w:r>
        <w:rPr>
          <w:rFonts w:hint="default"/>
          <w:highlight w:val="none"/>
          <w:lang w:eastAsia="zh-CN"/>
        </w:rPr>
        <w:t xml:space="preserve"> catalyst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eastAsia"/>
          <w:b/>
          <w:bCs/>
          <w:highlight w:val="none"/>
          <w:lang w:val="en-US" w:eastAsia="zh-CN"/>
        </w:rPr>
        <w:t>b</w:t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rFonts w:hint="default"/>
          <w:highlight w:val="none"/>
          <w:lang w:eastAsia="zh-CN"/>
        </w:rPr>
        <w:t>Co/NC-</w:t>
      </w:r>
      <w:r>
        <w:rPr>
          <w:rFonts w:hint="default"/>
          <w:highlight w:val="none"/>
          <w:lang w:val="en-US" w:eastAsia="zh-CN"/>
        </w:rPr>
        <w:t>Al</w:t>
      </w:r>
      <w:r>
        <w:rPr>
          <w:rFonts w:hint="default"/>
          <w:highlight w:val="none"/>
          <w:vertAlign w:val="subscript"/>
          <w:lang w:val="en-US" w:eastAsia="zh-CN"/>
        </w:rPr>
        <w:t>2</w:t>
      </w:r>
      <w:r>
        <w:rPr>
          <w:rFonts w:hint="default"/>
          <w:highlight w:val="none"/>
          <w:lang w:val="en-US" w:eastAsia="zh-CN"/>
        </w:rPr>
        <w:t>O</w:t>
      </w:r>
      <w:r>
        <w:rPr>
          <w:rFonts w:hint="default"/>
          <w:highlight w:val="none"/>
          <w:vertAlign w:val="subscript"/>
          <w:lang w:val="en-US" w:eastAsia="zh-CN"/>
        </w:rPr>
        <w:t>3</w:t>
      </w:r>
      <w:r>
        <w:rPr>
          <w:rFonts w:hint="default"/>
          <w:highlight w:val="none"/>
          <w:lang w:eastAsia="zh-CN"/>
        </w:rPr>
        <w:t xml:space="preserve"> catalyst</w:t>
      </w:r>
      <w:r>
        <w:rPr>
          <w:rFonts w:hint="eastAsia"/>
          <w:highlight w:val="none"/>
          <w:lang w:val="en-US" w:eastAsia="zh-CN"/>
        </w:rPr>
        <w:t xml:space="preserve">. </w:t>
      </w:r>
      <w:r>
        <w:rPr>
          <w:rFonts w:hint="eastAsia"/>
          <w:b/>
          <w:bCs/>
          <w:lang w:val="en-US" w:eastAsia="zh-CN"/>
        </w:rPr>
        <w:t xml:space="preserve">c </w:t>
      </w:r>
      <w:r>
        <w:rPr>
          <w:rFonts w:hint="default"/>
          <w:lang w:val="en-US" w:eastAsia="zh-CN"/>
        </w:rPr>
        <w:t>Mass spectrometric signal peaks of oleylamine molecules</w:t>
      </w:r>
      <w:r>
        <w:rPr>
          <w:rFonts w:hint="eastAsia"/>
          <w:lang w:val="en-US" w:eastAsia="zh-CN"/>
        </w:rPr>
        <w:t xml:space="preserve">. </w:t>
      </w:r>
      <w:r>
        <w:rPr>
          <w:rFonts w:hint="eastAsia"/>
          <w:b/>
          <w:bCs/>
          <w:lang w:val="en-US" w:eastAsia="zh-CN"/>
        </w:rPr>
        <w:t xml:space="preserve">d </w:t>
      </w:r>
      <w:r>
        <w:rPr>
          <w:rFonts w:hint="default"/>
        </w:rPr>
        <w:t xml:space="preserve">MS profiles of </w:t>
      </w:r>
      <w:r>
        <w:rPr>
          <w:rFonts w:hint="default"/>
          <w:lang w:val="en-US" w:eastAsia="zh-CN"/>
        </w:rPr>
        <w:t>[C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  <w:lang w:val="en-US" w:eastAsia="zh-CN"/>
        </w:rPr>
        <w:t>H</w:t>
      </w:r>
      <w:r>
        <w:rPr>
          <w:rFonts w:hint="default"/>
          <w:vertAlign w:val="subscript"/>
          <w:lang w:val="en-US" w:eastAsia="zh-CN"/>
        </w:rPr>
        <w:t>7</w:t>
      </w:r>
      <w:r>
        <w:rPr>
          <w:rFonts w:hint="default"/>
          <w:lang w:val="en-US" w:eastAsia="zh-CN"/>
        </w:rPr>
        <w:t>N]</w:t>
      </w:r>
      <w:r>
        <w:rPr>
          <w:rFonts w:hint="default"/>
          <w:vertAlign w:val="superscript"/>
          <w:lang w:val="en-US" w:eastAsia="zh-CN"/>
        </w:rPr>
        <w:t>+</w:t>
      </w:r>
      <w:r>
        <w:rPr>
          <w:rFonts w:hint="eastAsia"/>
          <w:vertAlign w:val="baseline"/>
          <w:lang w:val="en-US" w:eastAsia="zh-CN"/>
        </w:rPr>
        <w:t>.</w:t>
      </w:r>
    </w:p>
    <w:p w14:paraId="71081A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 w14:paraId="728D062E"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201285" cy="2160270"/>
            <wp:effectExtent l="0" t="0" r="18415" b="11430"/>
            <wp:docPr id="12" name="图片 12" descr="S 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 6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33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</w:rPr>
        <w:t>Fig</w:t>
      </w:r>
      <w:r>
        <w:rPr>
          <w:rFonts w:hint="default"/>
          <w:b/>
          <w:bCs/>
          <w:lang w:val="en-US" w:eastAsia="zh-CN"/>
        </w:rPr>
        <w:t>.</w:t>
      </w:r>
      <w:r>
        <w:rPr>
          <w:rFonts w:hint="default"/>
          <w:b/>
          <w:bCs/>
        </w:rPr>
        <w:t xml:space="preserve"> S</w:t>
      </w:r>
      <w:r>
        <w:rPr>
          <w:rFonts w:hint="default"/>
          <w:b/>
          <w:bCs/>
          <w:lang w:val="en-US" w:eastAsia="zh-CN"/>
        </w:rPr>
        <w:t>6</w:t>
      </w:r>
      <w:r>
        <w:rPr>
          <w:rFonts w:hint="default"/>
        </w:rPr>
        <w:t xml:space="preserve"> Nitrogen physics adsorption-desorption of the catalysts: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b/>
          <w:bCs/>
        </w:rPr>
        <w:t>a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rFonts w:hint="default"/>
        </w:rPr>
        <w:t>adsorption-desorption isotherms</w:t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default"/>
          <w:b/>
          <w:bCs/>
        </w:rPr>
        <w:t>b</w:t>
      </w:r>
      <w:r>
        <w:rPr>
          <w:rFonts w:hint="default"/>
        </w:rPr>
        <w:t xml:space="preserve"> pore size distribution</w:t>
      </w:r>
    </w:p>
    <w:p w14:paraId="16CF2A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304155" cy="2160270"/>
            <wp:effectExtent l="0" t="0" r="10795" b="11430"/>
            <wp:docPr id="14" name="图片 14" descr="S 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 7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21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</w:rPr>
        <w:t>Fig. S</w:t>
      </w:r>
      <w:r>
        <w:rPr>
          <w:rFonts w:hint="default"/>
          <w:b/>
          <w:bCs/>
          <w:lang w:val="en-US" w:eastAsia="zh-CN"/>
        </w:rPr>
        <w:t>7</w:t>
      </w:r>
      <w:r>
        <w:rPr>
          <w:rFonts w:hint="default"/>
          <w:b/>
          <w:bCs/>
        </w:rPr>
        <w:t xml:space="preserve"> </w:t>
      </w:r>
      <w:r>
        <w:rPr>
          <w:rFonts w:hint="default"/>
        </w:rPr>
        <w:t>ASF product distribution curves and chain growth factor (α value) of the catalysts</w:t>
      </w:r>
    </w:p>
    <w:p w14:paraId="44879C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auto"/>
        <w:rPr>
          <w:rFonts w:hint="default"/>
          <w:lang w:val="en-US" w:eastAsia="zh-CN"/>
        </w:rPr>
      </w:pPr>
    </w:p>
    <w:p w14:paraId="1566C9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jc w:val="center"/>
        <w:textAlignment w:val="auto"/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144770" cy="4319905"/>
            <wp:effectExtent l="0" t="0" r="17780" b="4445"/>
            <wp:docPr id="13" name="图片 13" descr="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6B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auto"/>
        <w:rPr>
          <w:rFonts w:hint="default"/>
        </w:rPr>
      </w:pPr>
      <w:r>
        <w:rPr>
          <w:rFonts w:hint="default"/>
          <w:b/>
          <w:bCs/>
        </w:rPr>
        <w:t>Fig. S</w:t>
      </w:r>
      <w:r>
        <w:rPr>
          <w:rFonts w:hint="eastAsia"/>
          <w:b/>
          <w:bCs/>
          <w:lang w:val="en-US" w:eastAsia="zh-CN"/>
        </w:rPr>
        <w:t>8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a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The spent </w:t>
      </w:r>
      <w:r>
        <w:rPr>
          <w:rFonts w:hint="default"/>
        </w:rPr>
        <w:t>Co/Al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</w:rPr>
        <w:t xml:space="preserve"> catalyst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val="en-US" w:eastAsia="zh-CN"/>
        </w:rPr>
        <w:t xml:space="preserve"> The spent </w:t>
      </w:r>
      <w:r>
        <w:rPr>
          <w:rFonts w:hint="default"/>
        </w:rPr>
        <w:t>Co/</w:t>
      </w:r>
      <w:r>
        <w:rPr>
          <w:rFonts w:hint="default"/>
          <w:lang w:val="en-US" w:eastAsia="zh-CN"/>
        </w:rPr>
        <w:t>N</w:t>
      </w:r>
      <w:r>
        <w:rPr>
          <w:rFonts w:hint="default"/>
        </w:rPr>
        <w:t>C-Al</w:t>
      </w:r>
      <w:r>
        <w:rPr>
          <w:rFonts w:hint="default"/>
          <w:vertAlign w:val="subscript"/>
          <w:lang w:val="en-US" w:eastAsia="zh-CN"/>
        </w:rPr>
        <w:t>2</w:t>
      </w:r>
      <w:r>
        <w:rPr>
          <w:rFonts w:hint="default"/>
        </w:rPr>
        <w:t>O</w:t>
      </w:r>
      <w:r>
        <w:rPr>
          <w:rFonts w:hint="default"/>
          <w:vertAlign w:val="subscript"/>
          <w:lang w:val="en-US" w:eastAsia="zh-CN"/>
        </w:rPr>
        <w:t>3</w:t>
      </w:r>
      <w:r>
        <w:rPr>
          <w:rFonts w:hint="default"/>
        </w:rPr>
        <w:t xml:space="preserve"> catalyst</w:t>
      </w:r>
      <w:r>
        <w:rPr>
          <w:rFonts w:hint="default"/>
          <w:lang w:val="en-US" w:eastAsia="zh-CN"/>
        </w:rPr>
        <w:t>: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b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Representative bright-field TEM image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c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Representative high-angle annular dark-field TEM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image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d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the corresponding ED spectrum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e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Co and Al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f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N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g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 of C</w:t>
      </w:r>
      <w:r>
        <w:rPr>
          <w:rFonts w:hint="eastAsia"/>
          <w:lang w:val="en-US" w:eastAsia="zh-CN"/>
        </w:rPr>
        <w:t>.</w:t>
      </w:r>
      <w:r>
        <w:rPr>
          <w:rFonts w:hint="default"/>
        </w:rPr>
        <w:t xml:space="preserve"> </w:t>
      </w:r>
      <w:r>
        <w:rPr>
          <w:rFonts w:hint="default"/>
          <w:b/>
          <w:bCs/>
          <w:lang w:val="en-US" w:eastAsia="zh-CN"/>
        </w:rPr>
        <w:t>h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</w:rPr>
        <w:t>Elemental mapping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 xml:space="preserve">of </w:t>
      </w:r>
      <w:r>
        <w:rPr>
          <w:rFonts w:hint="default"/>
          <w:lang w:val="en-US" w:eastAsia="zh-CN"/>
        </w:rPr>
        <w:t>O</w:t>
      </w:r>
      <w:bookmarkStart w:id="1" w:name="_GoBack"/>
      <w:bookmarkEnd w:id="1"/>
    </w:p>
    <w:p w14:paraId="454FCDB6">
      <w:pPr>
        <w:bidi w:val="0"/>
        <w:rPr>
          <w:rFonts w:hint="default"/>
        </w:rPr>
      </w:pPr>
    </w:p>
    <w:p w14:paraId="328455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</w:rPr>
      </w:pPr>
      <w:r>
        <w:rPr>
          <w:rFonts w:hint="default"/>
          <w:b/>
          <w:bCs/>
        </w:rPr>
        <w:t xml:space="preserve">Table </w:t>
      </w:r>
      <w:r>
        <w:rPr>
          <w:rFonts w:hint="default"/>
          <w:b/>
          <w:bCs/>
          <w:lang w:val="en-US" w:eastAsia="zh-CN"/>
        </w:rPr>
        <w:t>S1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</w:rPr>
        <w:t>Elemental surface compositions of the reduced catalysts by XPS</w:t>
      </w:r>
    </w:p>
    <w:tbl>
      <w:tblPr>
        <w:tblStyle w:val="9"/>
        <w:tblW w:w="4263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632"/>
        <w:gridCol w:w="1633"/>
        <w:gridCol w:w="1633"/>
        <w:gridCol w:w="1633"/>
      </w:tblGrid>
      <w:tr w14:paraId="03649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000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FFD4B7D">
            <w:pPr>
              <w:bidi w:val="0"/>
              <w:jc w:val="center"/>
              <w:rPr>
                <w:rFonts w:hint="default"/>
                <w:lang w:val="zh-CN"/>
              </w:rPr>
            </w:pPr>
            <w:r>
              <w:rPr>
                <w:rFonts w:hint="default"/>
                <w:lang w:val="de-DE" w:eastAsia="ja-JP"/>
              </w:rPr>
              <w:t>Catalysts</w:t>
            </w:r>
          </w:p>
        </w:tc>
        <w:tc>
          <w:tcPr>
            <w:tcW w:w="999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1517CE0">
            <w:pPr>
              <w:bidi w:val="0"/>
              <w:jc w:val="center"/>
              <w:rPr>
                <w:rFonts w:hint="default"/>
                <w:lang w:val="de-DE" w:eastAsia="ja-JP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lang w:val="de-DE"/>
              </w:rPr>
              <w:t xml:space="preserve"> </w:t>
            </w:r>
            <w:r>
              <w:rPr>
                <w:rFonts w:hint="default"/>
                <w:lang w:val="de-DE" w:eastAsia="ja-JP"/>
              </w:rPr>
              <w:t>(atomic %)</w:t>
            </w:r>
          </w:p>
        </w:tc>
        <w:tc>
          <w:tcPr>
            <w:tcW w:w="999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122EF023">
            <w:pPr>
              <w:bidi w:val="0"/>
              <w:jc w:val="center"/>
              <w:rPr>
                <w:rFonts w:hint="default"/>
                <w:lang w:val="de-DE" w:eastAsia="ja-JP"/>
              </w:rPr>
            </w:pPr>
            <w:r>
              <w:rPr>
                <w:rFonts w:hint="default"/>
                <w:lang w:val="de-DE" w:eastAsia="ja-JP"/>
              </w:rPr>
              <w:t>O</w:t>
            </w:r>
            <w:r>
              <w:rPr>
                <w:rFonts w:hint="default"/>
                <w:lang w:val="de-DE"/>
              </w:rPr>
              <w:t xml:space="preserve"> </w:t>
            </w:r>
            <w:r>
              <w:rPr>
                <w:rFonts w:hint="default"/>
                <w:lang w:val="de-DE" w:eastAsia="ja-JP"/>
              </w:rPr>
              <w:t>(atomic %)</w:t>
            </w:r>
          </w:p>
        </w:tc>
        <w:tc>
          <w:tcPr>
            <w:tcW w:w="999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EB01024">
            <w:pPr>
              <w:bidi w:val="0"/>
              <w:jc w:val="center"/>
              <w:rPr>
                <w:rFonts w:hint="default"/>
                <w:lang w:val="de-DE" w:eastAsia="ja-JP"/>
              </w:rPr>
            </w:pPr>
            <w:r>
              <w:rPr>
                <w:rFonts w:hint="default"/>
              </w:rPr>
              <w:t>C</w:t>
            </w:r>
            <w:r>
              <w:rPr>
                <w:rFonts w:hint="default"/>
                <w:lang w:val="de-DE"/>
              </w:rPr>
              <w:t xml:space="preserve"> </w:t>
            </w:r>
            <w:r>
              <w:rPr>
                <w:rFonts w:hint="default"/>
                <w:lang w:val="de-DE" w:eastAsia="ja-JP"/>
              </w:rPr>
              <w:t>(atomic %)</w:t>
            </w:r>
          </w:p>
        </w:tc>
        <w:tc>
          <w:tcPr>
            <w:tcW w:w="999" w:type="pc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3A88E595">
            <w:pPr>
              <w:bidi w:val="0"/>
              <w:jc w:val="center"/>
              <w:rPr>
                <w:rFonts w:hint="default"/>
                <w:lang w:val="de-DE" w:eastAsia="ja-JP"/>
              </w:rPr>
            </w:pPr>
            <w:r>
              <w:rPr>
                <w:rFonts w:hint="default"/>
                <w:lang w:val="de-DE" w:eastAsia="ja-JP"/>
              </w:rPr>
              <w:t>N</w:t>
            </w:r>
            <w:r>
              <w:rPr>
                <w:rFonts w:hint="default"/>
                <w:lang w:val="de-DE"/>
              </w:rPr>
              <w:t xml:space="preserve"> </w:t>
            </w:r>
            <w:r>
              <w:rPr>
                <w:rFonts w:hint="default"/>
                <w:lang w:val="de-DE" w:eastAsia="ja-JP"/>
              </w:rPr>
              <w:t>(atomic %)</w:t>
            </w:r>
          </w:p>
        </w:tc>
      </w:tr>
      <w:tr w14:paraId="0ECA2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00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5C0CCBA">
            <w:pPr>
              <w:bidi w:val="0"/>
              <w:jc w:val="center"/>
              <w:rPr>
                <w:rFonts w:hint="default"/>
                <w:lang w:val="zh-CN"/>
              </w:rPr>
            </w:pPr>
            <w:r>
              <w:rPr>
                <w:rFonts w:hint="default"/>
              </w:rPr>
              <w:t>Co/</w:t>
            </w:r>
            <w:r>
              <w:rPr>
                <w:rFonts w:hint="default"/>
                <w:lang w:val="en-US" w:eastAsia="zh-CN"/>
              </w:rPr>
              <w:t>N</w:t>
            </w:r>
            <w:r>
              <w:rPr>
                <w:rFonts w:hint="default"/>
              </w:rPr>
              <w:t>C-Al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1E67CC18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5.14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3EB97B40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67.63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2E442A39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26.50</w:t>
            </w:r>
          </w:p>
        </w:tc>
        <w:tc>
          <w:tcPr>
            <w:tcW w:w="99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6B6ABA5A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0.73</w:t>
            </w:r>
          </w:p>
        </w:tc>
      </w:tr>
    </w:tbl>
    <w:p w14:paraId="666280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textAlignment w:val="auto"/>
        <w:rPr>
          <w:rFonts w:hint="default"/>
        </w:rPr>
      </w:pPr>
    </w:p>
    <w:p w14:paraId="64B422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</w:rPr>
      </w:pPr>
      <w:r>
        <w:rPr>
          <w:rFonts w:hint="default"/>
          <w:b/>
          <w:bCs/>
        </w:rPr>
        <w:t xml:space="preserve">Table </w:t>
      </w:r>
      <w:r>
        <w:rPr>
          <w:rFonts w:hint="default"/>
          <w:b/>
          <w:bCs/>
          <w:lang w:val="en-US" w:eastAsia="zh-CN"/>
        </w:rPr>
        <w:t>S2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</w:rPr>
        <w:t>Peaks of Co 2p</w:t>
      </w:r>
      <w:r>
        <w:rPr>
          <w:rFonts w:hint="default"/>
          <w:vertAlign w:val="subscript"/>
        </w:rPr>
        <w:t>3/2</w:t>
      </w:r>
      <w:r>
        <w:rPr>
          <w:rFonts w:hint="default"/>
        </w:rPr>
        <w:t xml:space="preserve"> binding energy position</w:t>
      </w:r>
      <w:r>
        <w:rPr>
          <w:rFonts w:hint="default"/>
          <w:lang w:val="en-US" w:eastAsia="zh-CN"/>
        </w:rPr>
        <w:t xml:space="preserve"> and p</w:t>
      </w:r>
      <w:r>
        <w:rPr>
          <w:rFonts w:hint="default"/>
        </w:rPr>
        <w:t>ercentage of cobalt in each valence state</w:t>
      </w:r>
      <w:r>
        <w:rPr>
          <w:rFonts w:hint="default"/>
          <w:lang w:val="en-US" w:eastAsia="zh-CN"/>
        </w:rPr>
        <w:t xml:space="preserve"> of</w:t>
      </w:r>
      <w:r>
        <w:rPr>
          <w:rFonts w:hint="default"/>
        </w:rPr>
        <w:t xml:space="preserve"> the catalysts after reduction</w:t>
      </w:r>
    </w:p>
    <w:tbl>
      <w:tblPr>
        <w:tblStyle w:val="9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1134"/>
        <w:gridCol w:w="1134"/>
        <w:gridCol w:w="1134"/>
        <w:gridCol w:w="283"/>
        <w:gridCol w:w="1134"/>
        <w:gridCol w:w="1134"/>
        <w:gridCol w:w="1134"/>
      </w:tblGrid>
      <w:tr w14:paraId="46B0D0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vMerge w:val="restart"/>
            <w:tcBorders>
              <w:bottom w:val="single" w:color="auto" w:sz="12" w:space="0"/>
            </w:tcBorders>
          </w:tcPr>
          <w:p w14:paraId="6643703B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Catalysts</w:t>
            </w:r>
          </w:p>
        </w:tc>
        <w:tc>
          <w:tcPr>
            <w:tcW w:w="3402" w:type="dxa"/>
            <w:gridSpan w:val="3"/>
            <w:tcBorders>
              <w:bottom w:val="single" w:color="auto" w:sz="12" w:space="0"/>
            </w:tcBorders>
          </w:tcPr>
          <w:p w14:paraId="52B9BB8B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 2p</w:t>
            </w:r>
            <w:r>
              <w:rPr>
                <w:rFonts w:hint="default"/>
                <w:vertAlign w:val="subscript"/>
              </w:rPr>
              <w:t>3/2</w:t>
            </w:r>
            <w:r>
              <w:rPr>
                <w:rFonts w:hint="default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Binding Energy (eV)</w:t>
            </w:r>
          </w:p>
        </w:tc>
        <w:tc>
          <w:tcPr>
            <w:tcW w:w="283" w:type="dxa"/>
            <w:tcBorders>
              <w:bottom w:val="single" w:color="auto" w:sz="12" w:space="0"/>
            </w:tcBorders>
          </w:tcPr>
          <w:p w14:paraId="7775E7FC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3402" w:type="dxa"/>
            <w:gridSpan w:val="3"/>
            <w:tcBorders>
              <w:bottom w:val="single" w:color="auto" w:sz="12" w:space="0"/>
            </w:tcBorders>
          </w:tcPr>
          <w:p w14:paraId="4017343F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Percentage (%)</w:t>
            </w:r>
          </w:p>
        </w:tc>
      </w:tr>
      <w:tr w14:paraId="6A9B9F4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vMerge w:val="continue"/>
            <w:tcBorders>
              <w:top w:val="single" w:color="auto" w:sz="12" w:space="0"/>
              <w:bottom w:val="single" w:color="auto" w:sz="12" w:space="0"/>
            </w:tcBorders>
          </w:tcPr>
          <w:p w14:paraId="0AD9B1BC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0BA70815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2+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24AF087B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3+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58E5E72E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0</w:t>
            </w:r>
          </w:p>
        </w:tc>
        <w:tc>
          <w:tcPr>
            <w:tcW w:w="283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663A60F8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33A93F2B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2+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0DEFE8F7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3+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5554A1A1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</w:t>
            </w:r>
            <w:r>
              <w:rPr>
                <w:rFonts w:hint="default"/>
                <w:vertAlign w:val="superscript"/>
              </w:rPr>
              <w:t>0</w:t>
            </w:r>
          </w:p>
        </w:tc>
      </w:tr>
      <w:tr w14:paraId="49E881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shd w:val="clear" w:color="auto" w:fill="auto"/>
            <w:vAlign w:val="center"/>
          </w:tcPr>
          <w:p w14:paraId="0B6AE7DD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Co/Al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222321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782.</w:t>
            </w:r>
            <w:r>
              <w:rPr>
                <w:rFonts w:hint="default"/>
                <w:lang w:val="en-US" w:eastAsia="zh-CN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7C8772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781.</w:t>
            </w:r>
            <w:r>
              <w:rPr>
                <w:rFonts w:hint="default"/>
                <w:lang w:val="en-US" w:eastAsia="zh-CN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008CF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780.</w:t>
            </w:r>
            <w:r>
              <w:rPr>
                <w:rFonts w:hint="default"/>
                <w:lang w:val="en-US" w:eastAsia="zh-CN"/>
              </w:rPr>
              <w:t>4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9D8587F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0C81325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0.41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80AB58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0.23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2BC1C0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0.33</w:t>
            </w:r>
          </w:p>
        </w:tc>
      </w:tr>
      <w:tr w14:paraId="7D017D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8" w:type="dxa"/>
            <w:shd w:val="clear" w:color="auto" w:fill="auto"/>
            <w:vAlign w:val="center"/>
          </w:tcPr>
          <w:p w14:paraId="542BD753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Co/</w:t>
            </w:r>
            <w:r>
              <w:rPr>
                <w:rFonts w:hint="default"/>
                <w:lang w:val="en-US" w:eastAsia="zh-CN"/>
              </w:rPr>
              <w:t>N</w:t>
            </w:r>
            <w:r>
              <w:rPr>
                <w:rFonts w:hint="default"/>
              </w:rPr>
              <w:t>C-Al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BD82C6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782.</w:t>
            </w:r>
            <w:r>
              <w:rPr>
                <w:rFonts w:hint="default"/>
                <w:lang w:val="en-US" w:eastAsia="zh-CN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CBA38F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78</w:t>
            </w:r>
            <w:r>
              <w:rPr>
                <w:rFonts w:hint="default"/>
                <w:lang w:val="en-US" w:eastAsia="zh-CN"/>
              </w:rPr>
              <w:t>1.0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FDBD7D">
            <w:pPr>
              <w:bidi w:val="0"/>
              <w:jc w:val="center"/>
              <w:rPr>
                <w:rFonts w:hint="default"/>
                <w:lang w:val="en-US" w:eastAsia="en-US"/>
              </w:rPr>
            </w:pPr>
            <w:r>
              <w:rPr>
                <w:rFonts w:hint="default"/>
              </w:rPr>
              <w:t>779.5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205ABEB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9F5D25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0.</w:t>
            </w:r>
            <w:r>
              <w:rPr>
                <w:rFonts w:hint="default"/>
                <w:lang w:val="en-US" w:eastAsia="zh-CN"/>
              </w:rPr>
              <w:t>47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A3A277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0.</w:t>
            </w:r>
            <w:r>
              <w:rPr>
                <w:rFonts w:hint="default"/>
                <w:lang w:val="en-US" w:eastAsia="zh-CN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5F7E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0.</w:t>
            </w:r>
            <w:r>
              <w:rPr>
                <w:rFonts w:hint="default"/>
                <w:lang w:val="en-US" w:eastAsia="zh-CN"/>
              </w:rPr>
              <w:t>17</w:t>
            </w:r>
          </w:p>
        </w:tc>
      </w:tr>
    </w:tbl>
    <w:p w14:paraId="516C44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textAlignment w:val="auto"/>
        <w:rPr>
          <w:rFonts w:hint="default"/>
        </w:rPr>
      </w:pPr>
    </w:p>
    <w:p w14:paraId="6A191071">
      <w:pPr>
        <w:bidi w:val="0"/>
        <w:jc w:val="center"/>
        <w:rPr>
          <w:rFonts w:hint="default"/>
        </w:rPr>
      </w:pPr>
      <w:r>
        <w:rPr>
          <w:rFonts w:hint="default"/>
          <w:b/>
          <w:bCs/>
        </w:rPr>
        <w:t>Table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>S</w:t>
      </w:r>
      <w:r>
        <w:rPr>
          <w:rFonts w:hint="default"/>
          <w:b/>
          <w:bCs/>
        </w:rPr>
        <w:t>3</w:t>
      </w:r>
      <w:r>
        <w:rPr>
          <w:rFonts w:hint="default"/>
        </w:rPr>
        <w:t xml:space="preserve"> Quantitative distribution of nitrogen species in the catalysts after reduction</w:t>
      </w:r>
    </w:p>
    <w:tbl>
      <w:tblPr>
        <w:tblStyle w:val="9"/>
        <w:tblW w:w="70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4"/>
        <w:gridCol w:w="1361"/>
        <w:gridCol w:w="1361"/>
        <w:gridCol w:w="1361"/>
        <w:gridCol w:w="1360"/>
        <w:gridCol w:w="1"/>
      </w:tblGrid>
      <w:tr w14:paraId="72B4E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  <w:trHeight w:val="476" w:hRule="atLeast"/>
          <w:jc w:val="center"/>
        </w:trPr>
        <w:tc>
          <w:tcPr>
            <w:tcW w:w="1634" w:type="dxa"/>
            <w:vMerge w:val="restart"/>
            <w:tcBorders>
              <w:top w:val="single" w:color="auto" w:sz="12" w:space="0"/>
              <w:left w:val="nil"/>
              <w:right w:val="nil"/>
            </w:tcBorders>
          </w:tcPr>
          <w:p w14:paraId="125AAAE6">
            <w:pPr>
              <w:bidi w:val="0"/>
              <w:jc w:val="center"/>
              <w:rPr>
                <w:rFonts w:hint="default"/>
              </w:rPr>
            </w:pPr>
          </w:p>
          <w:p w14:paraId="3E3A4C56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Catalysts</w:t>
            </w:r>
          </w:p>
        </w:tc>
        <w:tc>
          <w:tcPr>
            <w:tcW w:w="5443" w:type="dxa"/>
            <w:gridSpan w:val="4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 w14:paraId="7D2D164E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Reduction (%)</w:t>
            </w:r>
          </w:p>
        </w:tc>
      </w:tr>
      <w:tr w14:paraId="0B1E1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634" w:type="dxa"/>
            <w:vMerge w:val="continue"/>
            <w:tcBorders>
              <w:left w:val="nil"/>
              <w:bottom w:val="single" w:color="auto" w:sz="12" w:space="0"/>
              <w:right w:val="nil"/>
            </w:tcBorders>
          </w:tcPr>
          <w:p w14:paraId="5FA78470">
            <w:pPr>
              <w:bidi w:val="0"/>
              <w:jc w:val="center"/>
              <w:rPr>
                <w:rFonts w:hint="default"/>
              </w:rPr>
            </w:pPr>
          </w:p>
        </w:tc>
        <w:tc>
          <w:tcPr>
            <w:tcW w:w="1361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 w14:paraId="46FCAAB1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Pyridinic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N</w:t>
            </w:r>
          </w:p>
        </w:tc>
        <w:tc>
          <w:tcPr>
            <w:tcW w:w="1361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 w14:paraId="5B508248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Co-N</w:t>
            </w:r>
          </w:p>
        </w:tc>
        <w:tc>
          <w:tcPr>
            <w:tcW w:w="1361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 w14:paraId="721E0BAF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Pyrrolic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N</w:t>
            </w:r>
          </w:p>
        </w:tc>
        <w:tc>
          <w:tcPr>
            <w:tcW w:w="1361" w:type="dxa"/>
            <w:gridSpan w:val="2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</w:tcPr>
          <w:p w14:paraId="42A87233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Graphitic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N</w:t>
            </w:r>
          </w:p>
        </w:tc>
      </w:tr>
      <w:tr w14:paraId="0250F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63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F8AEF7F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Co/</w:t>
            </w:r>
            <w:r>
              <w:rPr>
                <w:rFonts w:hint="default"/>
                <w:lang w:val="en-US" w:eastAsia="zh-CN"/>
              </w:rPr>
              <w:t>N</w:t>
            </w:r>
            <w:r>
              <w:rPr>
                <w:rFonts w:hint="default"/>
              </w:rPr>
              <w:t>C-Al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BCB3112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15.9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7D3D2AE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22.1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6A2DA09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33.7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13900BF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28.4</w:t>
            </w:r>
          </w:p>
        </w:tc>
      </w:tr>
    </w:tbl>
    <w:p w14:paraId="46BB56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textAlignment w:val="auto"/>
        <w:rPr>
          <w:rFonts w:hint="default"/>
        </w:rPr>
      </w:pPr>
    </w:p>
    <w:p w14:paraId="0D651748">
      <w:pPr>
        <w:bidi w:val="0"/>
        <w:jc w:val="center"/>
        <w:rPr>
          <w:rFonts w:hint="default"/>
        </w:rPr>
      </w:pPr>
      <w:bookmarkStart w:id="0" w:name="_Toc7612"/>
      <w:r>
        <w:rPr>
          <w:rFonts w:hint="default"/>
          <w:b/>
          <w:bCs/>
        </w:rPr>
        <w:t>Table</w:t>
      </w:r>
      <w:r>
        <w:rPr>
          <w:rFonts w:hint="eastAsia" w:eastAsia="宋体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t>S4</w:t>
      </w:r>
      <w:r>
        <w:rPr>
          <w:rFonts w:hint="default"/>
        </w:rPr>
        <w:t xml:space="preserve"> Pore structure parameters of the catalyst</w:t>
      </w:r>
      <w:bookmarkEnd w:id="0"/>
      <w:r>
        <w:rPr>
          <w:rFonts w:hint="default"/>
        </w:rPr>
        <w:t>s</w:t>
      </w:r>
    </w:p>
    <w:tbl>
      <w:tblPr>
        <w:tblStyle w:val="8"/>
        <w:tblW w:w="5208" w:type="pct"/>
        <w:jc w:val="center"/>
        <w:tblBorders>
          <w:top w:val="none" w:color="auto" w:sz="0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4"/>
        <w:gridCol w:w="2494"/>
        <w:gridCol w:w="2494"/>
        <w:gridCol w:w="2494"/>
      </w:tblGrid>
      <w:tr w14:paraId="7FD11B05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0" w:type="pct"/>
            <w:tcBorders>
              <w:top w:val="single" w:color="auto" w:sz="12" w:space="0"/>
            </w:tcBorders>
            <w:vAlign w:val="center"/>
          </w:tcPr>
          <w:p w14:paraId="198B3F33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Catalyst</w:t>
            </w:r>
          </w:p>
        </w:tc>
        <w:tc>
          <w:tcPr>
            <w:tcW w:w="1250" w:type="pct"/>
            <w:tcBorders>
              <w:top w:val="single" w:color="auto" w:sz="12" w:space="0"/>
            </w:tcBorders>
            <w:vAlign w:val="center"/>
          </w:tcPr>
          <w:p w14:paraId="3B237644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Surface area (m</w:t>
            </w:r>
            <w:r>
              <w:rPr>
                <w:rFonts w:hint="default"/>
                <w:vertAlign w:val="superscript"/>
              </w:rPr>
              <w:t>2</w:t>
            </w:r>
            <w:r>
              <w:rPr>
                <w:rFonts w:hint="default"/>
              </w:rPr>
              <w:t>/g)</w:t>
            </w:r>
          </w:p>
        </w:tc>
        <w:tc>
          <w:tcPr>
            <w:tcW w:w="1250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4D78E2A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Pore volume (cm</w:t>
            </w:r>
            <w:r>
              <w:rPr>
                <w:rFonts w:hint="default"/>
                <w:vertAlign w:val="superscript"/>
              </w:rPr>
              <w:t>3</w:t>
            </w:r>
            <w:r>
              <w:rPr>
                <w:rFonts w:hint="default"/>
              </w:rPr>
              <w:t>/g)</w:t>
            </w:r>
          </w:p>
        </w:tc>
        <w:tc>
          <w:tcPr>
            <w:tcW w:w="1250" w:type="pct"/>
            <w:tcBorders>
              <w:top w:val="single" w:color="auto" w:sz="12" w:space="0"/>
            </w:tcBorders>
            <w:vAlign w:val="center"/>
          </w:tcPr>
          <w:p w14:paraId="635223B3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Average pore size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default"/>
              </w:rPr>
              <w:t>(nm)</w:t>
            </w:r>
          </w:p>
        </w:tc>
      </w:tr>
      <w:tr w14:paraId="697EEC76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0" w:type="pct"/>
            <w:tcBorders>
              <w:top w:val="single" w:color="auto" w:sz="12" w:space="0"/>
              <w:bottom w:val="nil"/>
            </w:tcBorders>
            <w:vAlign w:val="center"/>
          </w:tcPr>
          <w:p w14:paraId="373A6577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Co/Al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1250" w:type="pct"/>
            <w:tcBorders>
              <w:top w:val="single" w:color="auto" w:sz="12" w:space="0"/>
              <w:bottom w:val="nil"/>
            </w:tcBorders>
            <w:vAlign w:val="center"/>
          </w:tcPr>
          <w:p w14:paraId="044CBA1C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254.6</w:t>
            </w:r>
          </w:p>
        </w:tc>
        <w:tc>
          <w:tcPr>
            <w:tcW w:w="1250" w:type="pct"/>
            <w:tcBorders>
              <w:top w:val="single" w:color="auto" w:sz="12" w:space="0"/>
              <w:bottom w:val="nil"/>
            </w:tcBorders>
            <w:vAlign w:val="center"/>
          </w:tcPr>
          <w:p w14:paraId="2D8ED5DA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1250" w:type="pct"/>
            <w:tcBorders>
              <w:top w:val="single" w:color="auto" w:sz="12" w:space="0"/>
              <w:bottom w:val="nil"/>
            </w:tcBorders>
            <w:vAlign w:val="center"/>
          </w:tcPr>
          <w:p w14:paraId="1C4C2203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8.1</w:t>
            </w:r>
          </w:p>
        </w:tc>
      </w:tr>
      <w:tr w14:paraId="12D2BC97">
        <w:tblPrEx>
          <w:tblBorders>
            <w:top w:val="none" w:color="auto" w:sz="0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0" w:type="pct"/>
            <w:vAlign w:val="center"/>
          </w:tcPr>
          <w:p w14:paraId="65226158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Co/</w:t>
            </w:r>
            <w:r>
              <w:rPr>
                <w:rFonts w:hint="default"/>
                <w:lang w:val="en-US" w:eastAsia="zh-CN"/>
              </w:rPr>
              <w:t>N</w:t>
            </w:r>
            <w:r>
              <w:rPr>
                <w:rFonts w:hint="default"/>
              </w:rPr>
              <w:t>C-Al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1250" w:type="pct"/>
            <w:vAlign w:val="center"/>
          </w:tcPr>
          <w:p w14:paraId="2DCB6AB5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246.0</w:t>
            </w:r>
          </w:p>
        </w:tc>
        <w:tc>
          <w:tcPr>
            <w:tcW w:w="1250" w:type="pct"/>
            <w:vAlign w:val="center"/>
          </w:tcPr>
          <w:p w14:paraId="33A7CAC4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0.6</w:t>
            </w:r>
          </w:p>
        </w:tc>
        <w:tc>
          <w:tcPr>
            <w:tcW w:w="1250" w:type="pct"/>
            <w:vAlign w:val="center"/>
          </w:tcPr>
          <w:p w14:paraId="42806C44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10.3</w:t>
            </w:r>
          </w:p>
        </w:tc>
      </w:tr>
    </w:tbl>
    <w:p w14:paraId="59B700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textAlignment w:val="auto"/>
        <w:rPr>
          <w:rFonts w:hint="default"/>
        </w:rPr>
      </w:pPr>
    </w:p>
    <w:p w14:paraId="72D038E2">
      <w:pPr>
        <w:bidi w:val="0"/>
        <w:jc w:val="center"/>
        <w:rPr>
          <w:rFonts w:hint="default"/>
          <w:lang w:val="en-US"/>
        </w:rPr>
      </w:pPr>
      <w:r>
        <w:rPr>
          <w:rFonts w:hint="default"/>
          <w:b/>
          <w:bCs/>
        </w:rPr>
        <w:t xml:space="preserve">Table </w:t>
      </w:r>
      <w:r>
        <w:rPr>
          <w:rFonts w:hint="default"/>
          <w:b/>
          <w:bCs/>
          <w:lang w:val="en-US" w:eastAsia="zh-CN"/>
        </w:rPr>
        <w:t>S5</w:t>
      </w:r>
      <w:r>
        <w:rPr>
          <w:rFonts w:hint="default"/>
          <w:lang w:val="en-US"/>
        </w:rPr>
        <w:t xml:space="preserve"> CO adsorption of catalysts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</w:tblGrid>
      <w:tr w14:paraId="2E1894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4169D0B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Catalysts</w:t>
            </w:r>
          </w:p>
        </w:tc>
        <w:tc>
          <w:tcPr>
            <w:tcW w:w="31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BA11398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 xml:space="preserve">Total </w:t>
            </w:r>
            <w:r>
              <w:rPr>
                <w:rFonts w:hint="default"/>
                <w:lang w:val="en-US" w:eastAsia="zh-CN"/>
              </w:rPr>
              <w:t>CO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/>
                <w:lang w:val="en-US"/>
              </w:rPr>
              <w:t>adsorption</w:t>
            </w:r>
            <w:r>
              <w:rPr>
                <w:rFonts w:hint="default"/>
              </w:rPr>
              <w:t xml:space="preserve"> (µmol/g)</w:t>
            </w:r>
          </w:p>
        </w:tc>
      </w:tr>
      <w:tr w14:paraId="6BAD9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18" w:type="dxa"/>
            <w:tcBorders>
              <w:top w:val="single" w:color="auto" w:sz="12" w:space="0"/>
            </w:tcBorders>
            <w:vAlign w:val="center"/>
          </w:tcPr>
          <w:p w14:paraId="41DB6210">
            <w:pPr>
              <w:bidi w:val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Co/Al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3118" w:type="dxa"/>
            <w:tcBorders>
              <w:top w:val="single" w:color="auto" w:sz="12" w:space="0"/>
            </w:tcBorders>
            <w:vAlign w:val="center"/>
          </w:tcPr>
          <w:p w14:paraId="30A2F765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553.2</w:t>
            </w:r>
          </w:p>
        </w:tc>
      </w:tr>
      <w:tr w14:paraId="36F18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18" w:type="dxa"/>
            <w:tcBorders>
              <w:bottom w:val="single" w:color="auto" w:sz="12" w:space="0"/>
            </w:tcBorders>
            <w:vAlign w:val="center"/>
          </w:tcPr>
          <w:p w14:paraId="4E70F03F">
            <w:pPr>
              <w:bidi w:val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</w:rPr>
              <w:t>Co/</w:t>
            </w:r>
            <w:r>
              <w:rPr>
                <w:rFonts w:hint="default"/>
                <w:lang w:val="en-US" w:eastAsia="zh-CN"/>
              </w:rPr>
              <w:t>N</w:t>
            </w:r>
            <w:r>
              <w:rPr>
                <w:rFonts w:hint="default"/>
              </w:rPr>
              <w:t>C-Al</w:t>
            </w:r>
            <w:r>
              <w:rPr>
                <w:rFonts w:hint="default"/>
                <w:vertAlign w:val="subscript"/>
              </w:rPr>
              <w:t>2</w:t>
            </w:r>
            <w:r>
              <w:rPr>
                <w:rFonts w:hint="default"/>
              </w:rPr>
              <w:t>O</w:t>
            </w:r>
            <w:r>
              <w:rPr>
                <w:rFonts w:hint="default"/>
                <w:vertAlign w:val="subscript"/>
              </w:rPr>
              <w:t>3</w:t>
            </w:r>
          </w:p>
        </w:tc>
        <w:tc>
          <w:tcPr>
            <w:tcW w:w="3118" w:type="dxa"/>
            <w:tcBorders>
              <w:bottom w:val="single" w:color="auto" w:sz="12" w:space="0"/>
            </w:tcBorders>
            <w:vAlign w:val="center"/>
          </w:tcPr>
          <w:p w14:paraId="7C64AC4F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1115.8</w:t>
            </w:r>
          </w:p>
        </w:tc>
      </w:tr>
    </w:tbl>
    <w:p w14:paraId="0C37D2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auto"/>
        <w:rPr>
          <w:rFonts w:hint="default"/>
        </w:rPr>
      </w:pPr>
    </w:p>
    <w:p w14:paraId="01018FCB">
      <w:pPr>
        <w:pStyle w:val="45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20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2"/>
          <w:szCs w:val="22"/>
        </w:rPr>
        <w:t xml:space="preserve">Table </w:t>
      </w:r>
      <w:r>
        <w:rPr>
          <w:rFonts w:hint="default" w:ascii="Times New Roman" w:hAnsi="Times New Roman" w:cs="Times New Roman"/>
          <w:b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eastAsia" w:cs="Times New Roman"/>
          <w:b/>
          <w:bCs w:val="0"/>
          <w:color w:val="auto"/>
          <w:sz w:val="22"/>
          <w:szCs w:val="22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Comparison of catalytic performances with the typical Co-based FTS catalysts published in references for olefins</w:t>
      </w:r>
    </w:p>
    <w:tbl>
      <w:tblPr>
        <w:tblStyle w:val="9"/>
        <w:tblW w:w="11076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8"/>
        <w:gridCol w:w="645"/>
        <w:gridCol w:w="850"/>
        <w:gridCol w:w="907"/>
        <w:gridCol w:w="1247"/>
        <w:gridCol w:w="1304"/>
        <w:gridCol w:w="680"/>
        <w:gridCol w:w="680"/>
        <w:gridCol w:w="1361"/>
        <w:gridCol w:w="907"/>
        <w:gridCol w:w="57"/>
      </w:tblGrid>
      <w:tr w14:paraId="6B0D3BC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7" w:type="dxa"/>
          <w:trHeight w:val="346" w:hRule="atLeast"/>
          <w:jc w:val="center"/>
        </w:trPr>
        <w:tc>
          <w:tcPr>
            <w:tcW w:w="2438" w:type="dxa"/>
            <w:vMerge w:val="restart"/>
            <w:tcBorders>
              <w:top w:val="single" w:color="auto" w:sz="12" w:space="0"/>
            </w:tcBorders>
            <w:vAlign w:val="center"/>
          </w:tcPr>
          <w:p w14:paraId="27145FFA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Catalyst</w:t>
            </w:r>
          </w:p>
        </w:tc>
        <w:tc>
          <w:tcPr>
            <w:tcW w:w="645" w:type="dxa"/>
            <w:vMerge w:val="restart"/>
            <w:tcBorders>
              <w:top w:val="single" w:color="auto" w:sz="12" w:space="0"/>
            </w:tcBorders>
            <w:vAlign w:val="center"/>
          </w:tcPr>
          <w:p w14:paraId="77223F4D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T</w:t>
            </w:r>
          </w:p>
          <w:p w14:paraId="05B153E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(℃)</w:t>
            </w:r>
          </w:p>
        </w:tc>
        <w:tc>
          <w:tcPr>
            <w:tcW w:w="850" w:type="dxa"/>
            <w:vMerge w:val="restart"/>
            <w:tcBorders>
              <w:top w:val="single" w:color="auto" w:sz="12" w:space="0"/>
            </w:tcBorders>
            <w:vAlign w:val="center"/>
          </w:tcPr>
          <w:p w14:paraId="6688B1A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P</w:t>
            </w:r>
          </w:p>
          <w:p w14:paraId="75903B92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(MPa)</w:t>
            </w:r>
          </w:p>
        </w:tc>
        <w:tc>
          <w:tcPr>
            <w:tcW w:w="907" w:type="dxa"/>
            <w:vMerge w:val="restart"/>
            <w:tcBorders>
              <w:top w:val="single" w:color="auto" w:sz="12" w:space="0"/>
            </w:tcBorders>
            <w:vAlign w:val="center"/>
          </w:tcPr>
          <w:p w14:paraId="1D09AAC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/CO</w:t>
            </w:r>
          </w:p>
        </w:tc>
        <w:tc>
          <w:tcPr>
            <w:tcW w:w="1247" w:type="dxa"/>
            <w:vMerge w:val="restart"/>
            <w:tcBorders>
              <w:top w:val="single" w:color="auto" w:sz="12" w:space="0"/>
            </w:tcBorders>
            <w:vAlign w:val="center"/>
          </w:tcPr>
          <w:p w14:paraId="1117450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WHSV (L/gcat./h)</w:t>
            </w:r>
          </w:p>
        </w:tc>
        <w:tc>
          <w:tcPr>
            <w:tcW w:w="1304" w:type="dxa"/>
            <w:vMerge w:val="restart"/>
            <w:tcBorders>
              <w:top w:val="single" w:color="auto" w:sz="12" w:space="0"/>
            </w:tcBorders>
            <w:vAlign w:val="center"/>
          </w:tcPr>
          <w:p w14:paraId="0E25884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 Conve.</w:t>
            </w:r>
          </w:p>
          <w:p w14:paraId="5F10529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(%)</w:t>
            </w:r>
          </w:p>
        </w:tc>
        <w:tc>
          <w:tcPr>
            <w:tcW w:w="3628" w:type="dxa"/>
            <w:gridSpan w:val="4"/>
            <w:tcBorders>
              <w:top w:val="single" w:color="auto" w:sz="12" w:space="0"/>
            </w:tcBorders>
            <w:vAlign w:val="center"/>
          </w:tcPr>
          <w:p w14:paraId="576E48E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Product Selectivity (%)</w:t>
            </w:r>
          </w:p>
        </w:tc>
      </w:tr>
      <w:tr w14:paraId="628E42B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2438" w:type="dxa"/>
            <w:vMerge w:val="continue"/>
            <w:tcBorders>
              <w:bottom w:val="single" w:color="auto" w:sz="12" w:space="0"/>
            </w:tcBorders>
            <w:vAlign w:val="center"/>
          </w:tcPr>
          <w:p w14:paraId="65A9C85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645" w:type="dxa"/>
            <w:vMerge w:val="continue"/>
            <w:tcBorders>
              <w:bottom w:val="single" w:color="auto" w:sz="12" w:space="0"/>
            </w:tcBorders>
            <w:vAlign w:val="center"/>
          </w:tcPr>
          <w:p w14:paraId="028E93A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12" w:space="0"/>
            </w:tcBorders>
            <w:vAlign w:val="center"/>
          </w:tcPr>
          <w:p w14:paraId="6AB3D6B2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07" w:type="dxa"/>
            <w:vMerge w:val="continue"/>
            <w:tcBorders>
              <w:bottom w:val="single" w:color="auto" w:sz="12" w:space="0"/>
            </w:tcBorders>
            <w:vAlign w:val="center"/>
          </w:tcPr>
          <w:p w14:paraId="6BF31DBB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247" w:type="dxa"/>
            <w:vMerge w:val="continue"/>
            <w:tcBorders>
              <w:bottom w:val="single" w:color="auto" w:sz="12" w:space="0"/>
            </w:tcBorders>
            <w:vAlign w:val="center"/>
          </w:tcPr>
          <w:p w14:paraId="716B8A3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304" w:type="dxa"/>
            <w:vMerge w:val="continue"/>
            <w:tcBorders>
              <w:bottom w:val="single" w:color="auto" w:sz="12" w:space="0"/>
            </w:tcBorders>
            <w:vAlign w:val="center"/>
          </w:tcPr>
          <w:p w14:paraId="4497C118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68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194A318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68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39C43C5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CH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4</w:t>
            </w:r>
          </w:p>
        </w:tc>
        <w:tc>
          <w:tcPr>
            <w:tcW w:w="1361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2B7B3B8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C1</w:t>
            </w:r>
          </w:p>
          <w:p w14:paraId="7747CD2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(CO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+CH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)</w:t>
            </w:r>
          </w:p>
        </w:tc>
        <w:tc>
          <w:tcPr>
            <w:tcW w:w="964" w:type="dxa"/>
            <w:gridSpan w:val="2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4429FB2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Olefins</w:t>
            </w:r>
          </w:p>
        </w:tc>
      </w:tr>
      <w:tr w14:paraId="57AFB4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tcBorders>
              <w:top w:val="single" w:color="auto" w:sz="12" w:space="0"/>
            </w:tcBorders>
            <w:vAlign w:val="center"/>
          </w:tcPr>
          <w:p w14:paraId="2DF54E0A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Mn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-Na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instrText xml:space="preserve"> ADDIN EN.CITE &lt;EndNote&gt;&lt;Cite&gt;&lt;Author&gt;Zhuo&lt;/Author&gt;&lt;Year&gt;2019&lt;/Year&gt;&lt;RecNum&gt;47&lt;/RecNum&gt;&lt;DisplayText&gt;[1]&lt;/DisplayText&gt;&lt;record&gt;&lt;rec-number&gt;47&lt;/rec-number&gt;&lt;foreign-keys&gt;&lt;key app="EN" db-id="wa0xx55tc52vz5eafesvdxeif2xw09aezasa" timestamp="1752166523"&gt;47&lt;/key&gt;&lt;/foreign-keys&gt;&lt;ref-type name="Journal Article"&gt;17&lt;/ref-type&gt;&lt;contributors&gt;&lt;authors&gt;&lt;author&gt;Zhuo, Ou&lt;/author&gt;&lt;author&gt;Yang, Lijun&lt;/author&gt;&lt;author&gt;Gao, Fujie&lt;/author&gt;&lt;author&gt;Xu, Bolian&lt;/author&gt;&lt;author&gt;Wu, Qiang&lt;/author&gt;&lt;author&gt;Fan, Yining&lt;/author&gt;&lt;author&gt;Zhang, Yu&lt;/author&gt;&lt;author&gt;Jiang, Yufei&lt;/author&gt;&lt;author&gt;Huang, Runsheng&lt;/author&gt;&lt;author&gt;Wang, Xizhang %J Chemical science&lt;/author&gt;&lt;/authors&gt;&lt;/contributors&gt;&lt;titles&gt;&lt;title&gt;Stabilizing the active phase of iron-based Fischer–Tropsch catalysts for lower olefins: mechanism and strategy&lt;/title&gt;&lt;/titles&gt;&lt;pages&gt;6083-6090&lt;/pages&gt;&lt;volume&gt;10&lt;/volume&gt;&lt;number&gt;24&lt;/number&gt;&lt;dates&gt;&lt;year&gt;2019&lt;/year&gt;&lt;/dates&gt;&lt;urls&gt;&lt;/urls&gt;&lt;/record&gt;&lt;/Cite&gt;&lt;/EndNote&gt;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 w:bidi="ar-SA"/>
              </w:rPr>
              <w:t>[1]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tcBorders>
              <w:top w:val="single" w:color="auto" w:sz="12" w:space="0"/>
            </w:tcBorders>
            <w:vAlign w:val="center"/>
          </w:tcPr>
          <w:p w14:paraId="7E3441C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240</w:t>
            </w:r>
          </w:p>
        </w:tc>
        <w:tc>
          <w:tcPr>
            <w:tcW w:w="850" w:type="dxa"/>
            <w:tcBorders>
              <w:top w:val="single" w:color="auto" w:sz="12" w:space="0"/>
            </w:tcBorders>
            <w:vAlign w:val="center"/>
          </w:tcPr>
          <w:p w14:paraId="5B0A8A6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249565B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tcBorders>
              <w:top w:val="single" w:color="auto" w:sz="12" w:space="0"/>
            </w:tcBorders>
            <w:vAlign w:val="center"/>
          </w:tcPr>
          <w:p w14:paraId="65AE5F9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04" w:type="dxa"/>
            <w:tcBorders>
              <w:top w:val="single" w:color="auto" w:sz="12" w:space="0"/>
            </w:tcBorders>
            <w:vAlign w:val="center"/>
          </w:tcPr>
          <w:p w14:paraId="44CC64FD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0.8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76A2536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17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531C5C7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20.0</w:t>
            </w:r>
          </w:p>
        </w:tc>
        <w:tc>
          <w:tcPr>
            <w:tcW w:w="1361" w:type="dxa"/>
            <w:tcBorders>
              <w:top w:val="single" w:color="auto" w:sz="12" w:space="0"/>
            </w:tcBorders>
            <w:vAlign w:val="center"/>
          </w:tcPr>
          <w:p w14:paraId="01BB0E1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964" w:type="dxa"/>
            <w:gridSpan w:val="2"/>
            <w:tcBorders>
              <w:top w:val="single" w:color="auto" w:sz="12" w:space="0"/>
            </w:tcBorders>
            <w:vAlign w:val="center"/>
          </w:tcPr>
          <w:p w14:paraId="68F10732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54.0</w:t>
            </w:r>
          </w:p>
        </w:tc>
      </w:tr>
      <w:tr w14:paraId="2CEF3B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vAlign w:val="center"/>
          </w:tcPr>
          <w:p w14:paraId="475E463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Co/SiO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-1Na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instrText xml:space="preserve"> ADDIN EN.CITE &lt;EndNote&gt;&lt;Cite&gt;&lt;Author&gt;Dai&lt;/Author&gt;&lt;Year&gt;2017&lt;/Year&gt;&lt;RecNum&gt;48&lt;/RecNum&gt;&lt;DisplayText&gt;[2]&lt;/DisplayText&gt;&lt;record&gt;&lt;rec-number&gt;48&lt;/rec-number&gt;&lt;foreign-keys&gt;&lt;key app="EN" db-id="wa0xx55tc52vz5eafesvdxeif2xw09aezasa" timestamp="1752166730"&gt;48&lt;/key&gt;&lt;/foreign-keys&gt;&lt;ref-type name="Journal Article"&gt;17&lt;/ref-type&gt;&lt;contributors&gt;&lt;authors&gt;&lt;author&gt;Dai, Yuanyuan&lt;/author&gt;&lt;author&gt;Yu, Fei&lt;/author&gt;&lt;author&gt;Li, Zhengjia&lt;/author&gt;&lt;author&gt;An, Yunlei&lt;/author&gt;&lt;author&gt;Lin, Tiejun&lt;/author&gt;&lt;author&gt;Yang, Yanzhang&lt;/author&gt;&lt;author&gt;Zhong, Liangshu&lt;/author&gt;&lt;author&gt;Wang, Hui&lt;/author&gt;&lt;author&gt;Sun, Yuhan %J Chinese Journal of Chemistry&lt;/author&gt;&lt;/authors&gt;&lt;/contributors&gt;&lt;titles&gt;&lt;title&gt;Effect of Sodium on the Structure‐Performance Relationship of Co/SiO2 for Fischer‐Tropsch Synthesis&lt;/title&gt;&lt;/titles&gt;&lt;pages&gt;918-926&lt;/pages&gt;&lt;volume&gt;35&lt;/volume&gt;&lt;number&gt;6&lt;/number&gt;&lt;dates&gt;&lt;year&gt;2017&lt;/year&gt;&lt;/dates&gt;&lt;isbn&gt;1001-604X&lt;/isbn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 w:bidi="ar-SA"/>
              </w:rPr>
              <w:t>[2]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vAlign w:val="center"/>
          </w:tcPr>
          <w:p w14:paraId="6F7E77E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850" w:type="dxa"/>
            <w:vAlign w:val="center"/>
          </w:tcPr>
          <w:p w14:paraId="7B9E4D7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907" w:type="dxa"/>
            <w:vAlign w:val="center"/>
          </w:tcPr>
          <w:p w14:paraId="27C22E4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vAlign w:val="center"/>
          </w:tcPr>
          <w:p w14:paraId="03CFB24D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1304" w:type="dxa"/>
            <w:vAlign w:val="center"/>
          </w:tcPr>
          <w:p w14:paraId="2E9DC0C7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2.8</w:t>
            </w:r>
          </w:p>
        </w:tc>
        <w:tc>
          <w:tcPr>
            <w:tcW w:w="680" w:type="dxa"/>
            <w:vAlign w:val="center"/>
          </w:tcPr>
          <w:p w14:paraId="0606615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10.2</w:t>
            </w:r>
          </w:p>
        </w:tc>
        <w:tc>
          <w:tcPr>
            <w:tcW w:w="680" w:type="dxa"/>
            <w:vAlign w:val="center"/>
          </w:tcPr>
          <w:p w14:paraId="430B7D0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1361" w:type="dxa"/>
            <w:vAlign w:val="center"/>
          </w:tcPr>
          <w:p w14:paraId="2A06B3B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964" w:type="dxa"/>
            <w:gridSpan w:val="2"/>
            <w:vAlign w:val="center"/>
          </w:tcPr>
          <w:p w14:paraId="044734DD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27.6</w:t>
            </w:r>
          </w:p>
        </w:tc>
      </w:tr>
      <w:tr w14:paraId="548DE0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vAlign w:val="center"/>
          </w:tcPr>
          <w:p w14:paraId="462A7907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1.0PrCoRu/AOmM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instrText xml:space="preserve"> ADDIN EN.CITE &lt;EndNote&gt;&lt;Cite&gt;&lt;Author&gt;Jeske&lt;/Author&gt;&lt;Year&gt;2021&lt;/Year&gt;&lt;RecNum&gt;49&lt;/RecNum&gt;&lt;DisplayText&gt;[3]&lt;/DisplayText&gt;&lt;record&gt;&lt;rec-number&gt;49&lt;/rec-number&gt;&lt;foreign-keys&gt;&lt;key app="EN" db-id="wa0xx55tc52vz5eafesvdxeif2xw09aezasa" timestamp="1752166926"&gt;49&lt;/key&gt;&lt;/foreign-keys&gt;&lt;ref-type name="Journal Article"&gt;17&lt;/ref-type&gt;&lt;contributors&gt;&lt;authors&gt;&lt;author&gt;Jeske, Kai&lt;/author&gt;&lt;author&gt;Kizilkaya, Ali Can&lt;/author&gt;&lt;author&gt;López-Luque, Iván&lt;/author&gt;&lt;author&gt;Pfänder, Norbert&lt;/author&gt;&lt;author&gt;Bartsch, Mathias&lt;/author&gt;&lt;author&gt;Concepción, Patricia&lt;/author&gt;&lt;author&gt;Prieto, Gonzalo %J ACS catalysis&lt;/author&gt;&lt;/authors&gt;&lt;/contributors&gt;&lt;titles&gt;&lt;title&gt;Design of cobalt Fischer–Tropsch catalysts for the combined production of liquid fuels and olefin chemicals from hydrogen-rich syngas&lt;/title&gt;&lt;/titles&gt;&lt;pages&gt;4784-4798&lt;/pages&gt;&lt;volume&gt;11&lt;/volume&gt;&lt;number&gt;8&lt;/number&gt;&lt;dates&gt;&lt;year&gt;2021&lt;/year&gt;&lt;/dates&gt;&lt;isbn&gt;2155-5435&lt;/isbn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 w:bidi="ar-SA"/>
              </w:rPr>
              <w:t>[3]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vAlign w:val="center"/>
          </w:tcPr>
          <w:p w14:paraId="59759BD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850" w:type="dxa"/>
            <w:vAlign w:val="center"/>
          </w:tcPr>
          <w:p w14:paraId="56F18DB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907" w:type="dxa"/>
            <w:vAlign w:val="center"/>
          </w:tcPr>
          <w:p w14:paraId="3F91B88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vAlign w:val="center"/>
          </w:tcPr>
          <w:p w14:paraId="6D089A4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5.1-11.0</w:t>
            </w:r>
          </w:p>
        </w:tc>
        <w:tc>
          <w:tcPr>
            <w:tcW w:w="1304" w:type="dxa"/>
            <w:vAlign w:val="center"/>
          </w:tcPr>
          <w:p w14:paraId="7271BD5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-23.0</w:t>
            </w:r>
          </w:p>
        </w:tc>
        <w:tc>
          <w:tcPr>
            <w:tcW w:w="680" w:type="dxa"/>
            <w:vAlign w:val="center"/>
          </w:tcPr>
          <w:p w14:paraId="145A00CE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8.4</w:t>
            </w:r>
          </w:p>
        </w:tc>
        <w:tc>
          <w:tcPr>
            <w:tcW w:w="680" w:type="dxa"/>
            <w:vAlign w:val="center"/>
          </w:tcPr>
          <w:p w14:paraId="40B765F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9.3</w:t>
            </w:r>
          </w:p>
        </w:tc>
        <w:tc>
          <w:tcPr>
            <w:tcW w:w="1361" w:type="dxa"/>
            <w:vAlign w:val="center"/>
          </w:tcPr>
          <w:p w14:paraId="2C33243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31.7</w:t>
            </w:r>
          </w:p>
        </w:tc>
        <w:tc>
          <w:tcPr>
            <w:tcW w:w="964" w:type="dxa"/>
            <w:gridSpan w:val="2"/>
            <w:vAlign w:val="center"/>
          </w:tcPr>
          <w:p w14:paraId="7838110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31.7</w:t>
            </w:r>
          </w:p>
        </w:tc>
      </w:tr>
      <w:tr w14:paraId="320042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vAlign w:val="center"/>
          </w:tcPr>
          <w:p w14:paraId="76E4B654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Co-MnO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subscript"/>
                <w:lang w:val="en-US" w:eastAsia="zh-CN"/>
              </w:rPr>
              <w:t>x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-(C)/SiO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instrText xml:space="preserve"> ADDIN EN.CITE &lt;EndNote&gt;&lt;Cite&gt;&lt;Author&gt;Zhu&lt;/Author&gt;&lt;Year&gt;2024&lt;/Year&gt;&lt;RecNum&gt;50&lt;/RecNum&gt;&lt;DisplayText&gt;[4]&lt;/DisplayText&gt;&lt;record&gt;&lt;rec-number&gt;50&lt;/rec-number&gt;&lt;foreign-keys&gt;&lt;key app="EN" db-id="wa0xx55tc52vz5eafesvdxeif2xw09aezasa" timestamp="1752167041"&gt;50&lt;/key&gt;&lt;/foreign-keys&gt;&lt;ref-type name="Journal Article"&gt;17&lt;/ref-type&gt;&lt;contributors&gt;&lt;authors&gt;&lt;author&gt;Zhu, Min-Li&lt;/author&gt;&lt;author&gt;Liu, Xingwu&lt;/author&gt;&lt;author&gt;Niu, Yiming&lt;/author&gt;&lt;author&gt;Yang, Guo-Qing&lt;/author&gt;&lt;author&gt;Bao, Jun&lt;/author&gt;&lt;author&gt;Song, Yong-Hong&lt;/author&gt;&lt;author&gt;Yan, Yi-Fan&lt;/author&gt;&lt;author&gt;Du, Ning&lt;/author&gt;&lt;author&gt;Shui, Mei-Ling&lt;/author&gt;&lt;author&gt;Zhu, Kaiyu %J Applied Catalysis B: Environment&lt;/author&gt;&lt;author&gt;Energy&lt;/author&gt;&lt;/authors&gt;&lt;/contributors&gt;&lt;titles&gt;&lt;title&gt;Long-chain α-olefins production over Co-MnOx catalyst with optimized interface&lt;/title&gt;&lt;/titles&gt;&lt;pages&gt;123783&lt;/pages&gt;&lt;volume&gt;346&lt;/volume&gt;&lt;dates&gt;&lt;year&gt;2024&lt;/year&gt;&lt;/dates&gt;&lt;isbn&gt;0926-3373&lt;/isbn&gt;&lt;urls&gt;&lt;/urls&gt;&lt;/record&gt;&lt;/Cite&gt;&lt;/EndNote&gt;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[4]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vAlign w:val="center"/>
          </w:tcPr>
          <w:p w14:paraId="04B62F0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210</w:t>
            </w:r>
          </w:p>
        </w:tc>
        <w:tc>
          <w:tcPr>
            <w:tcW w:w="850" w:type="dxa"/>
            <w:vAlign w:val="center"/>
          </w:tcPr>
          <w:p w14:paraId="70466939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907" w:type="dxa"/>
            <w:vAlign w:val="center"/>
          </w:tcPr>
          <w:p w14:paraId="4DD74FE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vAlign w:val="center"/>
          </w:tcPr>
          <w:p w14:paraId="35A4E8A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4.8</w:t>
            </w:r>
          </w:p>
        </w:tc>
        <w:tc>
          <w:tcPr>
            <w:tcW w:w="1304" w:type="dxa"/>
            <w:vAlign w:val="center"/>
          </w:tcPr>
          <w:p w14:paraId="5D96382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47.7</w:t>
            </w:r>
          </w:p>
        </w:tc>
        <w:tc>
          <w:tcPr>
            <w:tcW w:w="680" w:type="dxa"/>
            <w:vAlign w:val="center"/>
          </w:tcPr>
          <w:p w14:paraId="45905A5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680" w:type="dxa"/>
            <w:vAlign w:val="center"/>
          </w:tcPr>
          <w:p w14:paraId="48698957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1361" w:type="dxa"/>
            <w:vAlign w:val="center"/>
          </w:tcPr>
          <w:p w14:paraId="1E4C3496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31.8</w:t>
            </w:r>
          </w:p>
        </w:tc>
        <w:tc>
          <w:tcPr>
            <w:tcW w:w="964" w:type="dxa"/>
            <w:gridSpan w:val="2"/>
            <w:vAlign w:val="center"/>
          </w:tcPr>
          <w:p w14:paraId="2B4D084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50.1</w:t>
            </w:r>
          </w:p>
        </w:tc>
      </w:tr>
      <w:tr w14:paraId="02A4279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vAlign w:val="center"/>
          </w:tcPr>
          <w:p w14:paraId="0339447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instrText xml:space="preserve"> HYPERLINK "mailto:Co@Co2C" \o "mailto:Co@Co2C"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Style w:val="14"/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  <w:t>Co@Co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vertAlign w:val="subscript"/>
              </w:rPr>
              <w:t>2</w:t>
            </w:r>
            <w:r>
              <w:rPr>
                <w:rStyle w:val="14"/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end"/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instrText xml:space="preserve"> ADDIN EN.CITE &lt;EndNote&gt;&lt;Cite&gt;&lt;Author&gt;Zhao&lt;/Author&gt;&lt;Year&gt;2018&lt;/Year&gt;&lt;RecNum&gt;51&lt;/RecNum&gt;&lt;DisplayText&gt;[5]&lt;/DisplayText&gt;&lt;record&gt;&lt;rec-number&gt;51&lt;/rec-number&gt;&lt;foreign-keys&gt;&lt;key app="EN" db-id="wa0xx55tc52vz5eafesvdxeif2xw09aezasa" timestamp="1752167260"&gt;51&lt;/key&gt;&lt;/foreign-keys&gt;&lt;ref-type name="Journal Article"&gt;17&lt;/ref-type&gt;&lt;contributors&gt;&lt;authors&gt;&lt;author&gt;Zhao, Ziang&lt;/author&gt;&lt;author&gt;Lu, Wei&lt;/author&gt;&lt;author&gt;Yang, Ruoou&lt;/author&gt;&lt;author&gt;Zhu, Hejun&lt;/author&gt;&lt;author&gt;Dong, Wenda&lt;/author&gt;&lt;author&gt;Sun, Fanfei&lt;/author&gt;&lt;author&gt;Jiang, Zheng&lt;/author&gt;&lt;author&gt;Lyu, Yuan&lt;/author&gt;&lt;author&gt;Liu, Tao&lt;/author&gt;&lt;author&gt;Du, Hong %J ACS catalysis&lt;/author&gt;&lt;/authors&gt;&lt;/contributors&gt;&lt;titles&gt;&lt;title&gt;Insight into the formation of Co@ Co2C catalysts for direct synthesis of higher alcohols and olefins from syngas&lt;/title&gt;&lt;/titles&gt;&lt;pages&gt;228-241&lt;/pages&gt;&lt;volume&gt;8&lt;/volume&gt;&lt;number&gt;1&lt;/number&gt;&lt;dates&gt;&lt;year&gt;2018&lt;/year&gt;&lt;/dates&gt;&lt;isbn&gt;2155-5435&lt;/isbn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 w:bidi="ar-SA"/>
              </w:rPr>
              <w:t>[5]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vAlign w:val="center"/>
          </w:tcPr>
          <w:p w14:paraId="59F756C9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220</w:t>
            </w:r>
          </w:p>
        </w:tc>
        <w:tc>
          <w:tcPr>
            <w:tcW w:w="850" w:type="dxa"/>
            <w:vAlign w:val="center"/>
          </w:tcPr>
          <w:p w14:paraId="09B4A8D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907" w:type="dxa"/>
            <w:vAlign w:val="center"/>
          </w:tcPr>
          <w:p w14:paraId="4D883A3E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vAlign w:val="center"/>
          </w:tcPr>
          <w:p w14:paraId="2A54236E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1304" w:type="dxa"/>
            <w:vAlign w:val="center"/>
          </w:tcPr>
          <w:p w14:paraId="6ACAC0E8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29.1</w:t>
            </w:r>
          </w:p>
        </w:tc>
        <w:tc>
          <w:tcPr>
            <w:tcW w:w="680" w:type="dxa"/>
            <w:vAlign w:val="center"/>
          </w:tcPr>
          <w:p w14:paraId="2989CD6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8.1</w:t>
            </w:r>
          </w:p>
        </w:tc>
        <w:tc>
          <w:tcPr>
            <w:tcW w:w="680" w:type="dxa"/>
            <w:vAlign w:val="center"/>
          </w:tcPr>
          <w:p w14:paraId="485C47D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10.5</w:t>
            </w:r>
          </w:p>
        </w:tc>
        <w:tc>
          <w:tcPr>
            <w:tcW w:w="1361" w:type="dxa"/>
            <w:vAlign w:val="center"/>
          </w:tcPr>
          <w:p w14:paraId="6845828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38.5</w:t>
            </w:r>
          </w:p>
        </w:tc>
        <w:tc>
          <w:tcPr>
            <w:tcW w:w="964" w:type="dxa"/>
            <w:gridSpan w:val="2"/>
            <w:vAlign w:val="center"/>
          </w:tcPr>
          <w:p w14:paraId="2BED9134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38.5</w:t>
            </w:r>
          </w:p>
        </w:tc>
      </w:tr>
      <w:tr w14:paraId="1AAAE2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tcBorders>
              <w:bottom w:val="single" w:color="auto" w:sz="12" w:space="0"/>
            </w:tcBorders>
            <w:vAlign w:val="center"/>
          </w:tcPr>
          <w:p w14:paraId="5A345E6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CoMn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instrText xml:space="preserve"> ADDIN EN.CITE &lt;EndNote&gt;&lt;Cite&gt;&lt;Author&gt;Lu&lt;/Author&gt;&lt;Year&gt;2014&lt;/Year&gt;&lt;RecNum&gt;52&lt;/RecNum&gt;&lt;DisplayText&gt;[6]&lt;/DisplayText&gt;&lt;record&gt;&lt;rec-number&gt;52&lt;/rec-number&gt;&lt;foreign-keys&gt;&lt;key app="EN" db-id="wa0xx55tc52vz5eafesvdxeif2xw09aezasa" timestamp="1752167451"&gt;52&lt;/key&gt;&lt;/foreign-keys&gt;&lt;ref-type name="Journal Article"&gt;17&lt;/ref-type&gt;&lt;contributors&gt;&lt;authors&gt;&lt;author&gt;Lu, Jinzhao&lt;/author&gt;&lt;author&gt;Yang, Lijun&lt;/author&gt;&lt;author&gt;Xu, Bolian&lt;/author&gt;&lt;author&gt;Wu, Qiang&lt;/author&gt;&lt;author&gt;Zhang, Dong&lt;/author&gt;&lt;author&gt;Yuan, Shijun&lt;/author&gt;&lt;author&gt;Zhai, Ya&lt;/author&gt;&lt;author&gt;Wang, Xizhang&lt;/author&gt;&lt;author&gt;Fan, Yining&lt;/author&gt;&lt;author&gt;Hu, Zheng %J ACS catalysis&lt;/author&gt;&lt;/authors&gt;&lt;/contributors&gt;&lt;titles&gt;&lt;title&gt;Promotion effects of nitrogen doping into carbon nanotubes on supported iron Fischer–Tropsch catalysts for lower olefins&lt;/title&gt;&lt;/titles&gt;&lt;pages&gt;613-621&lt;/pages&gt;&lt;volume&gt;4&lt;/volume&gt;&lt;number&gt;2&lt;/number&gt;&lt;dates&gt;&lt;year&gt;2014&lt;/year&gt;&lt;/dates&gt;&lt;isbn&gt;2155-5435&lt;/isbn&gt;&lt;urls&gt;&lt;/urls&gt;&lt;/record&gt;&lt;/Cite&gt;&lt;/EndNote&gt;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 w:bidi="ar-SA"/>
              </w:rPr>
              <w:t>[6]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fldChar w:fldCharType="end"/>
            </w:r>
          </w:p>
        </w:tc>
        <w:tc>
          <w:tcPr>
            <w:tcW w:w="645" w:type="dxa"/>
            <w:tcBorders>
              <w:bottom w:val="single" w:color="auto" w:sz="12" w:space="0"/>
            </w:tcBorders>
            <w:vAlign w:val="center"/>
          </w:tcPr>
          <w:p w14:paraId="7AD4103D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250</w:t>
            </w:r>
          </w:p>
        </w:tc>
        <w:tc>
          <w:tcPr>
            <w:tcW w:w="850" w:type="dxa"/>
            <w:tcBorders>
              <w:bottom w:val="single" w:color="auto" w:sz="12" w:space="0"/>
            </w:tcBorders>
            <w:vAlign w:val="center"/>
          </w:tcPr>
          <w:p w14:paraId="170831A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0.1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1914FD0A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tcBorders>
              <w:bottom w:val="single" w:color="auto" w:sz="12" w:space="0"/>
            </w:tcBorders>
            <w:vAlign w:val="center"/>
          </w:tcPr>
          <w:p w14:paraId="763728F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1304" w:type="dxa"/>
            <w:tcBorders>
              <w:bottom w:val="single" w:color="auto" w:sz="12" w:space="0"/>
            </w:tcBorders>
            <w:vAlign w:val="center"/>
          </w:tcPr>
          <w:p w14:paraId="5105E04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31.8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67E4EBF4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2.6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45D8E49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49.9</w:t>
            </w:r>
          </w:p>
        </w:tc>
        <w:tc>
          <w:tcPr>
            <w:tcW w:w="1361" w:type="dxa"/>
            <w:tcBorders>
              <w:bottom w:val="single" w:color="auto" w:sz="12" w:space="0"/>
            </w:tcBorders>
            <w:vAlign w:val="center"/>
          </w:tcPr>
          <w:p w14:paraId="5722C639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-</w:t>
            </w:r>
          </w:p>
        </w:tc>
        <w:tc>
          <w:tcPr>
            <w:tcW w:w="964" w:type="dxa"/>
            <w:gridSpan w:val="2"/>
            <w:tcBorders>
              <w:bottom w:val="single" w:color="auto" w:sz="12" w:space="0"/>
            </w:tcBorders>
            <w:vAlign w:val="center"/>
          </w:tcPr>
          <w:p w14:paraId="2907C5DC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32.0</w:t>
            </w:r>
          </w:p>
        </w:tc>
      </w:tr>
      <w:tr w14:paraId="42C8C6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38" w:type="dxa"/>
            <w:tcBorders>
              <w:top w:val="single" w:color="auto" w:sz="12" w:space="0"/>
            </w:tcBorders>
            <w:vAlign w:val="center"/>
          </w:tcPr>
          <w:p w14:paraId="359C94D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Co/NC-Al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vertAlign w:val="subscript"/>
                <w:lang w:val="en-US" w:eastAsia="zh-CN"/>
              </w:rPr>
              <w:t>3</w:t>
            </w:r>
          </w:p>
          <w:p w14:paraId="074252C2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(this work)</w:t>
            </w:r>
          </w:p>
        </w:tc>
        <w:tc>
          <w:tcPr>
            <w:tcW w:w="645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2E928190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230</w:t>
            </w:r>
          </w:p>
        </w:tc>
        <w:tc>
          <w:tcPr>
            <w:tcW w:w="85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0C6DF4CE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7CFAC804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247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4AEC45A4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.0</w:t>
            </w:r>
          </w:p>
        </w:tc>
        <w:tc>
          <w:tcPr>
            <w:tcW w:w="1304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2EF879C5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20.3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5EB65C6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8.9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572F967F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9.8</w:t>
            </w:r>
          </w:p>
        </w:tc>
        <w:tc>
          <w:tcPr>
            <w:tcW w:w="1361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716BCC13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34.4</w:t>
            </w:r>
          </w:p>
        </w:tc>
        <w:tc>
          <w:tcPr>
            <w:tcW w:w="964" w:type="dxa"/>
            <w:gridSpan w:val="2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1FE9E038"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Times New Roman" w:cs="Times New Roman"/>
                <w:b w:val="0"/>
                <w:bCs w:val="0"/>
                <w:sz w:val="24"/>
                <w:szCs w:val="24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34.4</w:t>
            </w:r>
          </w:p>
        </w:tc>
      </w:tr>
    </w:tbl>
    <w:p w14:paraId="46981A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27" w:afterLines="100"/>
        <w:textAlignment w:val="auto"/>
        <w:rPr>
          <w:rFonts w:hint="default"/>
          <w:lang w:eastAsia="zh-CN"/>
        </w:rPr>
      </w:pPr>
    </w:p>
    <w:p w14:paraId="782FD289">
      <w:pPr>
        <w:pStyle w:val="35"/>
        <w:spacing w:after="240"/>
        <w:jc w:val="left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Notes and references：</w:t>
      </w:r>
    </w:p>
    <w:p w14:paraId="12FD0D3D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hint="eastAsia" w:ascii="Times New Roman" w:hAnsi="Times New Roman" w:eastAsia="宋体" w:cs="Times New Roman"/>
          <w:sz w:val="24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instrText xml:space="preserve"> ADDIN EN.REFLIST </w:instrTex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fldChar w:fldCharType="separate"/>
      </w: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1.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Zhuo O, Yang L, Gao F et al (2019) Stabilizing the active phase of iron-based Fischer-Tropsch catalysts for lower olefins: mechanism and strategy. Chem. Sci 10(24):6083-6090. https://doi.org/10.1039/c9sc01210a</w:t>
      </w:r>
    </w:p>
    <w:p w14:paraId="3DFED6CD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lang w:val="en-US" w:eastAsia="en-US" w:bidi="ar-SA"/>
        </w:rPr>
      </w:pP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2.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Dai Y, Yu F, Li Z et al (2017) Effect of Sodium on the Structure-Performance Relationship of Co/SiO</w:t>
      </w:r>
      <w:r>
        <w:rPr>
          <w:rFonts w:hint="eastAsia" w:ascii="Times New Roman" w:hAnsi="Times New Roman" w:eastAsia="Times New Roman" w:cs="Times New Roman"/>
          <w:sz w:val="24"/>
          <w:vertAlign w:val="subscript"/>
          <w:lang w:val="en-US" w:eastAsia="en-US" w:bidi="ar-SA"/>
        </w:rPr>
        <w:t>2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 xml:space="preserve"> for Fischer-Tropsch Synthesis. Chin J Chem 35(6):918-926.</w:t>
      </w:r>
      <w:r>
        <w:rPr>
          <w:rFonts w:hint="eastAsia" w:eastAsia="宋体" w:cs="Times New Roman"/>
          <w:sz w:val="24"/>
          <w:lang w:val="en-US" w:eastAsia="zh-CN" w:bidi="ar-SA"/>
        </w:rPr>
        <w:t xml:space="preserve">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https://doi.org/10.1002/cjoc.201600748</w:t>
      </w:r>
    </w:p>
    <w:p w14:paraId="1D6213E6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lang w:val="en-US" w:eastAsia="en-US" w:bidi="ar-SA"/>
        </w:rPr>
      </w:pP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3.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Jeske K, Kizilkaya AC, López-Luque I et al (2021) Design of cobalt Fischer-Tropsch catalysts for the combined production of liquid fuels and olefin chemicals from hydrogen-rich syngas. ACS Catal 11(8):4784-4798. https://doi.org/10.1021/acscatal.0c05027</w:t>
      </w:r>
    </w:p>
    <w:p w14:paraId="6A067439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lang w:val="en-US" w:eastAsia="en-US" w:bidi="ar-SA"/>
        </w:rPr>
      </w:pP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4.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Zhu M-L, Liu X, Niu Y et al (2024) Long-chain α-olefins production over Co-MnO</w:t>
      </w:r>
      <w:r>
        <w:rPr>
          <w:rFonts w:hint="eastAsia" w:ascii="Times New Roman" w:hAnsi="Times New Roman" w:eastAsia="Times New Roman" w:cs="Times New Roman"/>
          <w:sz w:val="24"/>
          <w:vertAlign w:val="subscript"/>
          <w:lang w:val="en-US" w:eastAsia="en-US" w:bidi="ar-SA"/>
        </w:rPr>
        <w:t>x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 xml:space="preserve"> catalyst with optimized interface. Appl Catal B 346:123783. https://doi.org/10.1016/j.apcatb.2024.123783</w:t>
      </w:r>
    </w:p>
    <w:p w14:paraId="583472C5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lang w:val="en-US" w:eastAsia="en-US" w:bidi="ar-SA"/>
        </w:rPr>
      </w:pP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5.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Zhao Z, Lu W, Yang R et al (2018) Insight into the formation of Co@Co</w:t>
      </w:r>
      <w:r>
        <w:rPr>
          <w:rFonts w:hint="eastAsia" w:ascii="Times New Roman" w:hAnsi="Times New Roman" w:eastAsia="Times New Roman" w:cs="Times New Roman"/>
          <w:sz w:val="24"/>
          <w:vertAlign w:val="subscript"/>
          <w:lang w:val="en-US" w:eastAsia="en-US" w:bidi="ar-SA"/>
        </w:rPr>
        <w:t>2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C catalysts for direct synthesis of higher alcohols and olefins from syngas. ACS Catal 8(1):228-241. https://doi.org/10.1021/acscatal.7b02403</w:t>
      </w:r>
    </w:p>
    <w:p w14:paraId="6C64D339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firstLine="0"/>
        <w:textAlignment w:val="auto"/>
        <w:rPr>
          <w:rFonts w:hint="eastAsia" w:ascii="Times New Roman" w:hAnsi="Times New Roman" w:eastAsia="宋体" w:cs="Times New Roman"/>
          <w:sz w:val="24"/>
          <w:lang w:val="en-US" w:eastAsia="zh-CN" w:bidi="ar-SA"/>
        </w:rPr>
      </w:pPr>
      <w:r>
        <w:rPr>
          <w:rFonts w:ascii="Times New Roman" w:hAnsi="Times New Roman" w:eastAsia="Times New Roman" w:cs="Times New Roman"/>
          <w:sz w:val="24"/>
          <w:lang w:val="en-US" w:eastAsia="en-US" w:bidi="ar-SA"/>
        </w:rPr>
        <w:t xml:space="preserve">6. </w:t>
      </w:r>
      <w:r>
        <w:rPr>
          <w:rFonts w:hint="eastAsia" w:ascii="Times New Roman" w:hAnsi="Times New Roman" w:eastAsia="Times New Roman" w:cs="Times New Roman"/>
          <w:sz w:val="24"/>
          <w:lang w:val="en-US" w:eastAsia="en-US" w:bidi="ar-SA"/>
        </w:rPr>
        <w:t>Lu J, Yang L, Xu B, Wu Q et al (2014) Promotion effects of nitrogen doping into carbon nanotubes on supported iron Fischer-Tropsch catalysts for lower olefins. ACS Catal 4(2):613-621. https://doi.org/10.1021/cs400931z</w:t>
      </w:r>
    </w:p>
    <w:p w14:paraId="61FD1C9F">
      <w:pPr>
        <w:pStyle w:val="35"/>
        <w:spacing w:after="240"/>
        <w:jc w:val="left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fldChar w:fldCharType="end"/>
      </w:r>
    </w:p>
    <w:sectPr>
      <w:footerReference r:id="rId4" w:type="default"/>
      <w:type w:val="continuous"/>
      <w:pgSz w:w="12240" w:h="15840"/>
      <w:pgMar w:top="1440" w:right="1440" w:bottom="1440" w:left="1440" w:header="0" w:footer="0" w:gutter="0"/>
      <w:cols w:space="425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no Pro">
    <w:altName w:val="Times New Roman"/>
    <w:panose1 w:val="00000000000000000000"/>
    <w:charset w:val="00"/>
    <w:family w:val="roman"/>
    <w:pitch w:val="default"/>
    <w:sig w:usb0="00000000" w:usb1="00000000" w:usb2="00000000" w:usb3="00000000" w:csb0="0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C12B5">
    <w:pPr>
      <w:pStyle w:val="4"/>
      <w:framePr w:wrap="around" w:vAnchor="text" w:hAnchor="margin" w:xAlign="right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 w14:paraId="4A0676A1">
    <w:pPr>
      <w:pStyle w:val="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495673"/>
    <w:multiLevelType w:val="multilevel"/>
    <w:tmpl w:val="14495673"/>
    <w:lvl w:ilvl="0" w:tentative="0">
      <w:start w:val="4"/>
      <w:numFmt w:val="bullet"/>
      <w:pStyle w:val="68"/>
      <w:lvlText w:val=""/>
      <w:lvlJc w:val="left"/>
      <w:pPr>
        <w:ind w:left="360" w:hanging="360"/>
      </w:pPr>
      <w:rPr>
        <w:rFonts w:hint="default" w:ascii="Wingdings" w:hAnsi="Wingdings" w:eastAsia="宋体" w:cs="Calibr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C2B0EBB"/>
    <w:multiLevelType w:val="multilevel"/>
    <w:tmpl w:val="3C2B0EBB"/>
    <w:lvl w:ilvl="0" w:tentative="0">
      <w:start w:val="1"/>
      <w:numFmt w:val="lowerLetter"/>
      <w:pStyle w:val="60"/>
      <w:lvlText w:val="%1."/>
      <w:lvlJc w:val="left"/>
      <w:pPr>
        <w:ind w:left="720" w:hanging="360"/>
      </w:pPr>
      <w:rPr>
        <w:rFonts w:hint="default" w:ascii="Calibri" w:hAnsi="Calibri"/>
        <w:b w:val="0"/>
        <w:i/>
        <w:vertAlign w:val="superscrip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0"/>
  <w:doNotHyphenateCaps/>
  <w:drawingGridHorizontalSpacing w:val="0"/>
  <w:drawingGridVerticalSpacing w:val="0"/>
  <w:displayHorizontalDrawingGridEvery w:val="1"/>
  <w:displayVerticalDrawingGridEvery w:val="1"/>
  <w:doNotUseMarginsForDrawingGridOrigin w:val="1"/>
  <w:drawingGridHorizontalOrigin w:val="0"/>
  <w:drawingGridVerticalOrigin w:val="0"/>
  <w:doNotShadeFormData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opics in Catalysi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0xx55tc52vz5eafesvdxeif2xw09aezasa&quot;&gt;文件库&lt;record-ids&gt;&lt;item&gt;47&lt;/item&gt;&lt;item&gt;48&lt;/item&gt;&lt;item&gt;49&lt;/item&gt;&lt;item&gt;50&lt;/item&gt;&lt;item&gt;51&lt;/item&gt;&lt;item&gt;52&lt;/item&gt;&lt;/record-ids&gt;&lt;/item&gt;&lt;/Libraries&gt;"/>
  </w:docVars>
  <w:rsids>
    <w:rsidRoot w:val="6F665984"/>
    <w:rsid w:val="0005660F"/>
    <w:rsid w:val="000702AD"/>
    <w:rsid w:val="000B5610"/>
    <w:rsid w:val="000C05CC"/>
    <w:rsid w:val="001A7A90"/>
    <w:rsid w:val="001B27E6"/>
    <w:rsid w:val="00212B1D"/>
    <w:rsid w:val="00235458"/>
    <w:rsid w:val="002A7493"/>
    <w:rsid w:val="002C3431"/>
    <w:rsid w:val="003664E9"/>
    <w:rsid w:val="003679A1"/>
    <w:rsid w:val="003B4AF3"/>
    <w:rsid w:val="003B61E0"/>
    <w:rsid w:val="003F5F2A"/>
    <w:rsid w:val="00475AC3"/>
    <w:rsid w:val="00475FD2"/>
    <w:rsid w:val="004E7185"/>
    <w:rsid w:val="00591A57"/>
    <w:rsid w:val="005D0C10"/>
    <w:rsid w:val="006455A5"/>
    <w:rsid w:val="006B2581"/>
    <w:rsid w:val="007629D3"/>
    <w:rsid w:val="008047DE"/>
    <w:rsid w:val="00812CB6"/>
    <w:rsid w:val="00824A69"/>
    <w:rsid w:val="008655C0"/>
    <w:rsid w:val="00912169"/>
    <w:rsid w:val="0092037A"/>
    <w:rsid w:val="009246AD"/>
    <w:rsid w:val="009F2E7E"/>
    <w:rsid w:val="00A02D62"/>
    <w:rsid w:val="00A20EB5"/>
    <w:rsid w:val="00A764EF"/>
    <w:rsid w:val="00AB34C5"/>
    <w:rsid w:val="00B73527"/>
    <w:rsid w:val="00B7618D"/>
    <w:rsid w:val="00BD2C44"/>
    <w:rsid w:val="00C10EE0"/>
    <w:rsid w:val="00C12556"/>
    <w:rsid w:val="00D2061A"/>
    <w:rsid w:val="00D32E24"/>
    <w:rsid w:val="00D52100"/>
    <w:rsid w:val="00DD6DBB"/>
    <w:rsid w:val="00E074F2"/>
    <w:rsid w:val="00E91482"/>
    <w:rsid w:val="00E96302"/>
    <w:rsid w:val="00F134F5"/>
    <w:rsid w:val="00F47B85"/>
    <w:rsid w:val="00F5645C"/>
    <w:rsid w:val="00FE6219"/>
    <w:rsid w:val="011006C1"/>
    <w:rsid w:val="01542A44"/>
    <w:rsid w:val="01761F1A"/>
    <w:rsid w:val="01C25044"/>
    <w:rsid w:val="023C3E8A"/>
    <w:rsid w:val="026305F6"/>
    <w:rsid w:val="0284386F"/>
    <w:rsid w:val="05127DB7"/>
    <w:rsid w:val="05E76E48"/>
    <w:rsid w:val="065E4B6F"/>
    <w:rsid w:val="06690B1C"/>
    <w:rsid w:val="070A5AEC"/>
    <w:rsid w:val="07350087"/>
    <w:rsid w:val="078915E0"/>
    <w:rsid w:val="07ED3B04"/>
    <w:rsid w:val="086E2A81"/>
    <w:rsid w:val="088D3C3A"/>
    <w:rsid w:val="0926237D"/>
    <w:rsid w:val="097A7FD3"/>
    <w:rsid w:val="0A0A04AD"/>
    <w:rsid w:val="0A27015B"/>
    <w:rsid w:val="0A6E7376"/>
    <w:rsid w:val="0C246346"/>
    <w:rsid w:val="0C333E9F"/>
    <w:rsid w:val="0C721436"/>
    <w:rsid w:val="0CAA18F8"/>
    <w:rsid w:val="0CF76C8E"/>
    <w:rsid w:val="0E6D45AA"/>
    <w:rsid w:val="0FBA55CD"/>
    <w:rsid w:val="10577187"/>
    <w:rsid w:val="10C156F8"/>
    <w:rsid w:val="10F50171"/>
    <w:rsid w:val="128F1681"/>
    <w:rsid w:val="12A6008B"/>
    <w:rsid w:val="137912FC"/>
    <w:rsid w:val="16770E54"/>
    <w:rsid w:val="17440049"/>
    <w:rsid w:val="19143CAF"/>
    <w:rsid w:val="1AAB787A"/>
    <w:rsid w:val="1B8F5B60"/>
    <w:rsid w:val="1B9C5E0F"/>
    <w:rsid w:val="1C3F5DAD"/>
    <w:rsid w:val="1C44476B"/>
    <w:rsid w:val="1CBE09ED"/>
    <w:rsid w:val="1DD6604A"/>
    <w:rsid w:val="1E686308"/>
    <w:rsid w:val="1ED77DDF"/>
    <w:rsid w:val="1F2A62DB"/>
    <w:rsid w:val="1FAA11BB"/>
    <w:rsid w:val="1FD9384E"/>
    <w:rsid w:val="2045033D"/>
    <w:rsid w:val="20CF13CE"/>
    <w:rsid w:val="21E06F88"/>
    <w:rsid w:val="22573F67"/>
    <w:rsid w:val="22575365"/>
    <w:rsid w:val="226D313D"/>
    <w:rsid w:val="22950C0E"/>
    <w:rsid w:val="23757D31"/>
    <w:rsid w:val="241435C8"/>
    <w:rsid w:val="24FD016A"/>
    <w:rsid w:val="25CC50FC"/>
    <w:rsid w:val="25EB7E37"/>
    <w:rsid w:val="27975B88"/>
    <w:rsid w:val="293C0993"/>
    <w:rsid w:val="29791DE7"/>
    <w:rsid w:val="2AD47242"/>
    <w:rsid w:val="2C1616BC"/>
    <w:rsid w:val="2C176A7E"/>
    <w:rsid w:val="2C1D20C9"/>
    <w:rsid w:val="2C763C56"/>
    <w:rsid w:val="2CDB3168"/>
    <w:rsid w:val="2D2B320F"/>
    <w:rsid w:val="2D76527F"/>
    <w:rsid w:val="2DD27AAB"/>
    <w:rsid w:val="2EE37990"/>
    <w:rsid w:val="2F0E4B96"/>
    <w:rsid w:val="2FA36C97"/>
    <w:rsid w:val="301C5E0D"/>
    <w:rsid w:val="31A462B5"/>
    <w:rsid w:val="31AF7E1C"/>
    <w:rsid w:val="3428163C"/>
    <w:rsid w:val="354D73C8"/>
    <w:rsid w:val="36254176"/>
    <w:rsid w:val="37436A1E"/>
    <w:rsid w:val="38762786"/>
    <w:rsid w:val="38803213"/>
    <w:rsid w:val="388A1731"/>
    <w:rsid w:val="38AC3DD1"/>
    <w:rsid w:val="38C144CD"/>
    <w:rsid w:val="38C2711D"/>
    <w:rsid w:val="39B34B94"/>
    <w:rsid w:val="3A3A5061"/>
    <w:rsid w:val="3BC71397"/>
    <w:rsid w:val="3BD418BA"/>
    <w:rsid w:val="3CD44A75"/>
    <w:rsid w:val="3DA908AC"/>
    <w:rsid w:val="3EE81ED6"/>
    <w:rsid w:val="3FBA6DA0"/>
    <w:rsid w:val="406356BE"/>
    <w:rsid w:val="4083315E"/>
    <w:rsid w:val="40844CB8"/>
    <w:rsid w:val="410308AD"/>
    <w:rsid w:val="41097D9F"/>
    <w:rsid w:val="430A1DED"/>
    <w:rsid w:val="434626F9"/>
    <w:rsid w:val="45201722"/>
    <w:rsid w:val="452643D6"/>
    <w:rsid w:val="46D52711"/>
    <w:rsid w:val="46E83A49"/>
    <w:rsid w:val="473E6D8D"/>
    <w:rsid w:val="47655843"/>
    <w:rsid w:val="48CE566A"/>
    <w:rsid w:val="498966DE"/>
    <w:rsid w:val="49B00BDC"/>
    <w:rsid w:val="4A2A57EB"/>
    <w:rsid w:val="4A5E483E"/>
    <w:rsid w:val="4B1A06F3"/>
    <w:rsid w:val="4C797598"/>
    <w:rsid w:val="4D536C8C"/>
    <w:rsid w:val="4DF146DD"/>
    <w:rsid w:val="4DF16F16"/>
    <w:rsid w:val="4DFB759C"/>
    <w:rsid w:val="4E263853"/>
    <w:rsid w:val="4E7A0D51"/>
    <w:rsid w:val="4F255848"/>
    <w:rsid w:val="4FDB6D6F"/>
    <w:rsid w:val="4FF14039"/>
    <w:rsid w:val="50A938B2"/>
    <w:rsid w:val="50AF79B5"/>
    <w:rsid w:val="50C105AA"/>
    <w:rsid w:val="511A58F1"/>
    <w:rsid w:val="51730D9D"/>
    <w:rsid w:val="52107615"/>
    <w:rsid w:val="537B63EF"/>
    <w:rsid w:val="53FC0782"/>
    <w:rsid w:val="55E04A27"/>
    <w:rsid w:val="565F4EB3"/>
    <w:rsid w:val="56AB2B47"/>
    <w:rsid w:val="57DD0A91"/>
    <w:rsid w:val="58A957AC"/>
    <w:rsid w:val="59A52A8B"/>
    <w:rsid w:val="5A2F1A14"/>
    <w:rsid w:val="5AAC5A28"/>
    <w:rsid w:val="5B4A4658"/>
    <w:rsid w:val="5F1E0A47"/>
    <w:rsid w:val="5F602E9B"/>
    <w:rsid w:val="61477910"/>
    <w:rsid w:val="616D55C9"/>
    <w:rsid w:val="61740303"/>
    <w:rsid w:val="624411E2"/>
    <w:rsid w:val="62F12229"/>
    <w:rsid w:val="63520C52"/>
    <w:rsid w:val="63913F53"/>
    <w:rsid w:val="648D1ADE"/>
    <w:rsid w:val="65071890"/>
    <w:rsid w:val="653F3760"/>
    <w:rsid w:val="65584538"/>
    <w:rsid w:val="65DA51F7"/>
    <w:rsid w:val="65F74FD5"/>
    <w:rsid w:val="66817EF2"/>
    <w:rsid w:val="67B533F0"/>
    <w:rsid w:val="686113F1"/>
    <w:rsid w:val="68755A41"/>
    <w:rsid w:val="693E7462"/>
    <w:rsid w:val="69C02083"/>
    <w:rsid w:val="6A232922"/>
    <w:rsid w:val="6A67152E"/>
    <w:rsid w:val="6B214AA5"/>
    <w:rsid w:val="6B974A7B"/>
    <w:rsid w:val="6C197908"/>
    <w:rsid w:val="6CAB6EDC"/>
    <w:rsid w:val="6D0D1D19"/>
    <w:rsid w:val="6D501675"/>
    <w:rsid w:val="6D594475"/>
    <w:rsid w:val="6F665984"/>
    <w:rsid w:val="6F71097A"/>
    <w:rsid w:val="707D4CEA"/>
    <w:rsid w:val="7130255A"/>
    <w:rsid w:val="71724535"/>
    <w:rsid w:val="71B25D9B"/>
    <w:rsid w:val="724C6C12"/>
    <w:rsid w:val="733A7431"/>
    <w:rsid w:val="73CD2827"/>
    <w:rsid w:val="743338B5"/>
    <w:rsid w:val="74435A84"/>
    <w:rsid w:val="744F3ECE"/>
    <w:rsid w:val="746C72F8"/>
    <w:rsid w:val="754E2975"/>
    <w:rsid w:val="75D132BF"/>
    <w:rsid w:val="76D36023"/>
    <w:rsid w:val="76EA0712"/>
    <w:rsid w:val="76FA6093"/>
    <w:rsid w:val="770D4A92"/>
    <w:rsid w:val="780A371A"/>
    <w:rsid w:val="783D222D"/>
    <w:rsid w:val="785312D3"/>
    <w:rsid w:val="78CD481A"/>
    <w:rsid w:val="7900183A"/>
    <w:rsid w:val="7904460D"/>
    <w:rsid w:val="791648F9"/>
    <w:rsid w:val="792A2BFB"/>
    <w:rsid w:val="794021C8"/>
    <w:rsid w:val="7B8E523A"/>
    <w:rsid w:val="7BE20509"/>
    <w:rsid w:val="7C412DCE"/>
    <w:rsid w:val="7E1B0471"/>
    <w:rsid w:val="7E9A4376"/>
    <w:rsid w:val="7ED379A0"/>
    <w:rsid w:val="7EEF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9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  <w:jc w:val="both"/>
    </w:pPr>
    <w:rPr>
      <w:rFonts w:ascii="Times" w:hAnsi="Times" w:eastAsia="Times New Roman" w:cs="Times New Roman"/>
      <w:sz w:val="24"/>
      <w:lang w:val="en-US" w:eastAsia="en-US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b/>
      <w:sz w:val="40"/>
    </w:rPr>
  </w:style>
  <w:style w:type="paragraph" w:styleId="3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4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5">
    <w:name w:val="footnote text"/>
    <w:basedOn w:val="1"/>
    <w:next w:val="6"/>
    <w:semiHidden/>
    <w:qFormat/>
    <w:uiPriority w:val="0"/>
  </w:style>
  <w:style w:type="paragraph" w:customStyle="1" w:styleId="6">
    <w:name w:val="TF_References_Section"/>
    <w:basedOn w:val="1"/>
    <w:qFormat/>
    <w:uiPriority w:val="0"/>
    <w:pPr>
      <w:spacing w:line="480" w:lineRule="auto"/>
      <w:ind w:firstLine="187"/>
    </w:p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basedOn w:val="10"/>
    <w:qFormat/>
    <w:uiPriority w:val="0"/>
    <w:rPr>
      <w:i/>
    </w:rPr>
  </w:style>
  <w:style w:type="character" w:styleId="14">
    <w:name w:val="Hyperlink"/>
    <w:qFormat/>
    <w:uiPriority w:val="0"/>
    <w:rPr>
      <w:color w:val="0000FF"/>
      <w:u w:val="single"/>
    </w:rPr>
  </w:style>
  <w:style w:type="paragraph" w:customStyle="1" w:styleId="15">
    <w:name w:val="TA_Main_Text"/>
    <w:basedOn w:val="1"/>
    <w:qFormat/>
    <w:uiPriority w:val="0"/>
    <w:pPr>
      <w:spacing w:after="0" w:line="480" w:lineRule="auto"/>
      <w:ind w:firstLine="202"/>
    </w:pPr>
  </w:style>
  <w:style w:type="paragraph" w:customStyle="1" w:styleId="16">
    <w:name w:val="BA_Title"/>
    <w:basedOn w:val="1"/>
    <w:next w:val="17"/>
    <w:qFormat/>
    <w:uiPriority w:val="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17">
    <w:name w:val="BB_Author_Name"/>
    <w:basedOn w:val="1"/>
    <w:next w:val="18"/>
    <w:qFormat/>
    <w:uiPriority w:val="0"/>
    <w:pPr>
      <w:spacing w:after="240" w:line="480" w:lineRule="auto"/>
      <w:jc w:val="center"/>
    </w:pPr>
    <w:rPr>
      <w:i/>
    </w:rPr>
  </w:style>
  <w:style w:type="paragraph" w:customStyle="1" w:styleId="18">
    <w:name w:val="BC_Author_Address"/>
    <w:basedOn w:val="1"/>
    <w:next w:val="19"/>
    <w:qFormat/>
    <w:uiPriority w:val="0"/>
    <w:pPr>
      <w:spacing w:after="240" w:line="480" w:lineRule="auto"/>
      <w:jc w:val="center"/>
    </w:pPr>
  </w:style>
  <w:style w:type="paragraph" w:customStyle="1" w:styleId="19">
    <w:name w:val="BI_Email_Address"/>
    <w:basedOn w:val="1"/>
    <w:next w:val="20"/>
    <w:qFormat/>
    <w:uiPriority w:val="0"/>
    <w:pPr>
      <w:spacing w:line="480" w:lineRule="auto"/>
    </w:pPr>
  </w:style>
  <w:style w:type="paragraph" w:customStyle="1" w:styleId="20">
    <w:name w:val="AI_Received_Date"/>
    <w:basedOn w:val="1"/>
    <w:next w:val="21"/>
    <w:qFormat/>
    <w:uiPriority w:val="0"/>
    <w:pPr>
      <w:spacing w:after="240" w:line="480" w:lineRule="auto"/>
    </w:pPr>
    <w:rPr>
      <w:b/>
    </w:rPr>
  </w:style>
  <w:style w:type="paragraph" w:customStyle="1" w:styleId="21">
    <w:name w:val="BD_Abstract"/>
    <w:basedOn w:val="1"/>
    <w:next w:val="15"/>
    <w:qFormat/>
    <w:uiPriority w:val="0"/>
    <w:pPr>
      <w:spacing w:before="360" w:after="360" w:line="480" w:lineRule="auto"/>
    </w:pPr>
  </w:style>
  <w:style w:type="paragraph" w:customStyle="1" w:styleId="22">
    <w:name w:val="TD_Acknowledgments"/>
    <w:basedOn w:val="1"/>
    <w:next w:val="1"/>
    <w:qFormat/>
    <w:uiPriority w:val="0"/>
    <w:pPr>
      <w:spacing w:before="200" w:line="480" w:lineRule="auto"/>
      <w:ind w:firstLine="202"/>
    </w:pPr>
  </w:style>
  <w:style w:type="paragraph" w:customStyle="1" w:styleId="23">
    <w:name w:val="TE_Supporting_Information"/>
    <w:basedOn w:val="1"/>
    <w:next w:val="1"/>
    <w:qFormat/>
    <w:uiPriority w:val="0"/>
    <w:pPr>
      <w:spacing w:line="480" w:lineRule="auto"/>
      <w:ind w:firstLine="187"/>
    </w:pPr>
  </w:style>
  <w:style w:type="paragraph" w:customStyle="1" w:styleId="24">
    <w:name w:val="VC_Scheme_Title"/>
    <w:basedOn w:val="1"/>
    <w:next w:val="1"/>
    <w:qFormat/>
    <w:uiPriority w:val="0"/>
    <w:pPr>
      <w:spacing w:line="480" w:lineRule="auto"/>
    </w:pPr>
  </w:style>
  <w:style w:type="paragraph" w:customStyle="1" w:styleId="25">
    <w:name w:val="VD_Table_Title"/>
    <w:basedOn w:val="1"/>
    <w:next w:val="1"/>
    <w:qFormat/>
    <w:uiPriority w:val="0"/>
    <w:pPr>
      <w:spacing w:line="480" w:lineRule="auto"/>
    </w:pPr>
  </w:style>
  <w:style w:type="paragraph" w:customStyle="1" w:styleId="26">
    <w:name w:val="VA_Figure_Caption"/>
    <w:basedOn w:val="1"/>
    <w:next w:val="1"/>
    <w:qFormat/>
    <w:uiPriority w:val="0"/>
    <w:pPr>
      <w:spacing w:line="480" w:lineRule="auto"/>
    </w:pPr>
  </w:style>
  <w:style w:type="paragraph" w:customStyle="1" w:styleId="27">
    <w:name w:val="VB_Chart_Title"/>
    <w:basedOn w:val="1"/>
    <w:next w:val="1"/>
    <w:qFormat/>
    <w:uiPriority w:val="0"/>
    <w:pPr>
      <w:spacing w:line="480" w:lineRule="auto"/>
    </w:pPr>
  </w:style>
  <w:style w:type="paragraph" w:customStyle="1" w:styleId="28">
    <w:name w:val="FE_Table_Footnote"/>
    <w:basedOn w:val="1"/>
    <w:next w:val="1"/>
    <w:qFormat/>
    <w:uiPriority w:val="0"/>
    <w:pPr>
      <w:ind w:firstLine="187"/>
    </w:pPr>
  </w:style>
  <w:style w:type="paragraph" w:customStyle="1" w:styleId="29">
    <w:name w:val="FC_Chart_Footnote"/>
    <w:basedOn w:val="1"/>
    <w:next w:val="1"/>
    <w:qFormat/>
    <w:uiPriority w:val="0"/>
    <w:pPr>
      <w:ind w:firstLine="187"/>
    </w:pPr>
  </w:style>
  <w:style w:type="paragraph" w:customStyle="1" w:styleId="30">
    <w:name w:val="FD_Scheme_Footnote"/>
    <w:basedOn w:val="1"/>
    <w:next w:val="1"/>
    <w:qFormat/>
    <w:uiPriority w:val="0"/>
    <w:pPr>
      <w:ind w:firstLine="187"/>
    </w:pPr>
  </w:style>
  <w:style w:type="paragraph" w:customStyle="1" w:styleId="31">
    <w:name w:val="TC_Table_Body"/>
    <w:basedOn w:val="1"/>
    <w:qFormat/>
    <w:uiPriority w:val="0"/>
  </w:style>
  <w:style w:type="paragraph" w:customStyle="1" w:styleId="32">
    <w:name w:val="AF_Title_Running_Head"/>
    <w:basedOn w:val="1"/>
    <w:next w:val="15"/>
    <w:qFormat/>
    <w:uiPriority w:val="0"/>
    <w:pPr>
      <w:spacing w:line="480" w:lineRule="auto"/>
    </w:pPr>
  </w:style>
  <w:style w:type="paragraph" w:customStyle="1" w:styleId="33">
    <w:name w:val="BE_Author_Biography"/>
    <w:basedOn w:val="1"/>
    <w:qFormat/>
    <w:uiPriority w:val="0"/>
    <w:pPr>
      <w:spacing w:line="480" w:lineRule="auto"/>
    </w:pPr>
  </w:style>
  <w:style w:type="paragraph" w:customStyle="1" w:styleId="34">
    <w:name w:val="FA_Corresponding_Author_Footnote"/>
    <w:basedOn w:val="1"/>
    <w:next w:val="15"/>
    <w:qFormat/>
    <w:uiPriority w:val="0"/>
    <w:pPr>
      <w:spacing w:line="480" w:lineRule="auto"/>
    </w:pPr>
  </w:style>
  <w:style w:type="paragraph" w:customStyle="1" w:styleId="35">
    <w:name w:val="SN_Synopsis_TOC"/>
    <w:basedOn w:val="1"/>
    <w:qFormat/>
    <w:uiPriority w:val="0"/>
    <w:pPr>
      <w:spacing w:line="480" w:lineRule="auto"/>
    </w:pPr>
  </w:style>
  <w:style w:type="paragraph" w:customStyle="1" w:styleId="36">
    <w:name w:val="BG_Keywords"/>
    <w:basedOn w:val="1"/>
    <w:qFormat/>
    <w:uiPriority w:val="0"/>
    <w:pPr>
      <w:spacing w:line="480" w:lineRule="auto"/>
    </w:pPr>
  </w:style>
  <w:style w:type="paragraph" w:customStyle="1" w:styleId="37">
    <w:name w:val="BH_Briefs"/>
    <w:basedOn w:val="1"/>
    <w:qFormat/>
    <w:uiPriority w:val="0"/>
    <w:pPr>
      <w:spacing w:line="480" w:lineRule="auto"/>
    </w:pPr>
  </w:style>
  <w:style w:type="paragraph" w:customStyle="1" w:styleId="38">
    <w:name w:val="Style FA_Corresponding_Author_Footnote + 7 pt"/>
    <w:basedOn w:val="1"/>
    <w:next w:val="36"/>
    <w:link w:val="39"/>
    <w:autoRedefine/>
    <w:qFormat/>
    <w:uiPriority w:val="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39">
    <w:name w:val="Style FA_Corresponding_Author_Footnote + 7 pt Char"/>
    <w:link w:val="38"/>
    <w:qFormat/>
    <w:uiPriority w:val="0"/>
    <w:rPr>
      <w:rFonts w:ascii="Arno Pro" w:hAnsi="Arno Pro"/>
      <w:kern w:val="20"/>
      <w:sz w:val="18"/>
    </w:rPr>
  </w:style>
  <w:style w:type="paragraph" w:customStyle="1" w:styleId="40">
    <w:name w:val="FA_Author_Info_Subtitle"/>
    <w:basedOn w:val="1"/>
    <w:link w:val="41"/>
    <w:autoRedefine/>
    <w:qFormat/>
    <w:uiPriority w:val="0"/>
    <w:pPr>
      <w:spacing w:before="120" w:after="60" w:line="480" w:lineRule="auto"/>
      <w:jc w:val="left"/>
    </w:pPr>
    <w:rPr>
      <w:b/>
    </w:rPr>
  </w:style>
  <w:style w:type="character" w:customStyle="1" w:styleId="41">
    <w:name w:val="FA_Author_Info_Subtitle Char"/>
    <w:link w:val="40"/>
    <w:qFormat/>
    <w:uiPriority w:val="0"/>
    <w:rPr>
      <w:rFonts w:ascii="Times" w:hAnsi="Times"/>
      <w:b/>
      <w:sz w:val="24"/>
    </w:rPr>
  </w:style>
  <w:style w:type="paragraph" w:customStyle="1" w:styleId="42">
    <w:name w:val="Default"/>
    <w:qFormat/>
    <w:uiPriority w:val="0"/>
    <w:pPr>
      <w:autoSpaceDE w:val="0"/>
      <w:autoSpaceDN w:val="0"/>
      <w:adjustRightInd w:val="0"/>
    </w:pPr>
    <w:rPr>
      <w:rFonts w:ascii="Symbol" w:hAnsi="Symbol" w:eastAsia="Times New Roman" w:cs="Symbol"/>
      <w:color w:val="000000"/>
      <w:sz w:val="24"/>
      <w:szCs w:val="24"/>
      <w:lang w:val="en-US" w:eastAsia="en-US" w:bidi="ar-SA"/>
    </w:rPr>
  </w:style>
  <w:style w:type="paragraph" w:styleId="43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  <w:szCs w:val="22"/>
    </w:rPr>
  </w:style>
  <w:style w:type="paragraph" w:customStyle="1" w:styleId="44">
    <w:name w:val="A-图标题"/>
    <w:autoRedefine/>
    <w:qFormat/>
    <w:uiPriority w:val="0"/>
    <w:pPr>
      <w:widowControl w:val="0"/>
      <w:spacing w:after="120"/>
      <w:jc w:val="center"/>
    </w:pPr>
    <w:rPr>
      <w:rFonts w:ascii="Times New Roman" w:hAnsi="Times New Roman" w:eastAsia="黑体" w:cs="Times New Roman"/>
      <w:kern w:val="2"/>
      <w:sz w:val="24"/>
      <w:szCs w:val="24"/>
      <w:lang w:val="en-US" w:eastAsia="zh-CN" w:bidi="ar-SA"/>
    </w:rPr>
  </w:style>
  <w:style w:type="paragraph" w:customStyle="1" w:styleId="45">
    <w:name w:val="A-表标题"/>
    <w:autoRedefine/>
    <w:qFormat/>
    <w:uiPriority w:val="0"/>
    <w:pPr>
      <w:keepNext/>
      <w:widowControl w:val="0"/>
      <w:spacing w:before="204" w:beforeLines="50"/>
      <w:jc w:val="center"/>
    </w:pPr>
    <w:rPr>
      <w:rFonts w:ascii="Times New Roman" w:hAnsi="Times New Roman" w:eastAsia="黑体" w:cs="Times New Roman"/>
      <w:bCs/>
      <w:color w:val="000000"/>
      <w:sz w:val="24"/>
      <w:szCs w:val="21"/>
      <w:lang w:val="en-US" w:eastAsia="zh-CN" w:bidi="ar-SA"/>
    </w:rPr>
  </w:style>
  <w:style w:type="paragraph" w:styleId="46">
    <w:name w:val="No Spacing"/>
    <w:qFormat/>
    <w:uiPriority w:val="1"/>
    <w:pPr>
      <w:widowControl w:val="0"/>
      <w:spacing w:line="240" w:lineRule="atLeast"/>
      <w:jc w:val="center"/>
    </w:pPr>
    <w:rPr>
      <w:rFonts w:ascii="Times New Roman" w:hAnsi="Times New Roman" w:eastAsia="黑体" w:cstheme="minorBidi"/>
      <w:kern w:val="2"/>
      <w:sz w:val="21"/>
      <w:szCs w:val="22"/>
      <w:lang w:val="en-US" w:eastAsia="zh-CN" w:bidi="ar-SA"/>
    </w:rPr>
  </w:style>
  <w:style w:type="character" w:customStyle="1" w:styleId="47">
    <w:name w:val="font1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48">
    <w:name w:val="font71"/>
    <w:basedOn w:val="10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49">
    <w:name w:val="font8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character" w:customStyle="1" w:styleId="50">
    <w:name w:val="font9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character" w:customStyle="1" w:styleId="51">
    <w:name w:val="font12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perscript"/>
    </w:rPr>
  </w:style>
  <w:style w:type="character" w:customStyle="1" w:styleId="52">
    <w:name w:val="font3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53">
    <w:name w:val="font10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character" w:customStyle="1" w:styleId="54">
    <w:name w:val="font2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55">
    <w:name w:val="font112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character" w:customStyle="1" w:styleId="56">
    <w:name w:val="font4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character" w:customStyle="1" w:styleId="57">
    <w:name w:val="font51"/>
    <w:basedOn w:val="1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  <w:vertAlign w:val="subscript"/>
    </w:rPr>
  </w:style>
  <w:style w:type="paragraph" w:customStyle="1" w:styleId="58">
    <w:name w:val="EndNote Bibliography Title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="Times New Roman" w:hAnsi="Times New Roman" w:eastAsia="Times New Roman" w:cs="Times New Roman"/>
      <w:sz w:val="24"/>
      <w:lang w:val="en-US" w:eastAsia="en-US" w:bidi="ar-SA"/>
    </w:rPr>
  </w:style>
  <w:style w:type="paragraph" w:customStyle="1" w:styleId="59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eastAsia="Times New Roman" w:cs="Times New Roman"/>
      <w:sz w:val="24"/>
      <w:lang w:val="en-US" w:eastAsia="en-US" w:bidi="ar-SA"/>
    </w:rPr>
  </w:style>
  <w:style w:type="paragraph" w:customStyle="1" w:styleId="60">
    <w:name w:val="RSC F01 Footnote Author Address"/>
    <w:qFormat/>
    <w:uiPriority w:val="0"/>
    <w:pPr>
      <w:framePr w:wrap="auto" w:vAnchor="margin" w:hAnchor="text" w:y="1"/>
      <w:suppressOverlap/>
      <w:numPr>
        <w:ilvl w:val="0"/>
        <w:numId w:val="1"/>
      </w:numPr>
      <w:pBdr>
        <w:top w:val="single" w:color="A5A5A5" w:themeColor="background1" w:themeShade="A6" w:sz="12" w:space="1"/>
      </w:pBdr>
      <w:spacing w:after="0" w:line="240" w:lineRule="auto"/>
      <w:ind w:left="85" w:hanging="85"/>
    </w:pPr>
    <w:rPr>
      <w:rFonts w:cs="Times New Roman" w:asciiTheme="minorHAnsi" w:hAnsiTheme="minorHAnsi" w:eastAsiaTheme="minorHAnsi"/>
      <w:i/>
      <w:w w:val="105"/>
      <w:sz w:val="14"/>
      <w:szCs w:val="14"/>
      <w:lang w:val="en-GB" w:eastAsia="en-US" w:bidi="ar-SA"/>
    </w:rPr>
  </w:style>
  <w:style w:type="paragraph" w:customStyle="1" w:styleId="61">
    <w:name w:val="RSC B02 Article Text"/>
    <w:basedOn w:val="1"/>
    <w:qFormat/>
    <w:uiPriority w:val="0"/>
    <w:pPr>
      <w:spacing w:after="0" w:line="240" w:lineRule="exact"/>
      <w:jc w:val="both"/>
    </w:pPr>
    <w:rPr>
      <w:rFonts w:cs="Times New Roman" w:asciiTheme="minorAscii" w:hAnsiTheme="minorAscii" w:eastAsiaTheme="minorEastAsia"/>
      <w:w w:val="108"/>
      <w:sz w:val="18"/>
      <w:szCs w:val="18"/>
    </w:rPr>
  </w:style>
  <w:style w:type="paragraph" w:customStyle="1" w:styleId="62">
    <w:name w:val="RSC I03 Figure/Scheme/Chart Uncaptioned"/>
    <w:basedOn w:val="1"/>
    <w:qFormat/>
    <w:uiPriority w:val="0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63">
    <w:name w:val="RSC I04 Caption to Figure/Scheme/Chart"/>
    <w:qFormat/>
    <w:uiPriority w:val="0"/>
    <w:pPr>
      <w:spacing w:after="200" w:line="200" w:lineRule="exact"/>
      <w:jc w:val="both"/>
    </w:pPr>
    <w:rPr>
      <w:rFonts w:asciiTheme="minorHAnsi" w:hAnsiTheme="minorHAnsi" w:eastAsiaTheme="minorHAnsi" w:cstheme="minorBidi"/>
      <w:bCs/>
      <w:sz w:val="14"/>
      <w:szCs w:val="18"/>
      <w:lang w:val="en-GB" w:eastAsia="en-US" w:bidi="ar-SA"/>
    </w:rPr>
  </w:style>
  <w:style w:type="paragraph" w:customStyle="1" w:styleId="64">
    <w:name w:val="LetPub_1.1_ArticleTitle"/>
    <w:basedOn w:val="65"/>
    <w:next w:val="65"/>
    <w:qFormat/>
    <w:uiPriority w:val="0"/>
    <w:pPr>
      <w:spacing w:before="326" w:after="326"/>
      <w:outlineLvl w:val="0"/>
    </w:pPr>
    <w:rPr>
      <w:b/>
      <w:sz w:val="28"/>
    </w:rPr>
  </w:style>
  <w:style w:type="paragraph" w:customStyle="1" w:styleId="65">
    <w:name w:val="LetPub_3.1_Text"/>
    <w:basedOn w:val="1"/>
    <w:qFormat/>
    <w:uiPriority w:val="0"/>
  </w:style>
  <w:style w:type="paragraph" w:customStyle="1" w:styleId="66">
    <w:name w:val="LetPub_1.2_Author"/>
    <w:basedOn w:val="65"/>
    <w:next w:val="65"/>
    <w:qFormat/>
    <w:uiPriority w:val="0"/>
    <w:pPr>
      <w:widowControl/>
      <w:jc w:val="left"/>
    </w:pPr>
    <w:rPr>
      <w:rFonts w:eastAsia="微软雅黑"/>
      <w:b/>
      <w:kern w:val="0"/>
      <w:lang w:eastAsia="en-US"/>
    </w:rPr>
  </w:style>
  <w:style w:type="paragraph" w:customStyle="1" w:styleId="67">
    <w:name w:val="LetPub_1.3_Affiliation"/>
    <w:basedOn w:val="65"/>
    <w:next w:val="65"/>
    <w:qFormat/>
    <w:uiPriority w:val="0"/>
    <w:pPr>
      <w:widowControl/>
      <w:adjustRightInd w:val="0"/>
      <w:ind w:left="480" w:hanging="480" w:hangingChars="200"/>
    </w:pPr>
    <w:rPr>
      <w:rFonts w:eastAsia="宋体"/>
      <w:kern w:val="0"/>
    </w:rPr>
  </w:style>
  <w:style w:type="paragraph" w:customStyle="1" w:styleId="68">
    <w:name w:val="LetPub_1.4_Correspondence"/>
    <w:basedOn w:val="65"/>
    <w:next w:val="65"/>
    <w:qFormat/>
    <w:uiPriority w:val="0"/>
    <w:pPr>
      <w:widowControl/>
      <w:numPr>
        <w:ilvl w:val="0"/>
        <w:numId w:val="2"/>
      </w:numPr>
      <w:adjustRightInd w:val="0"/>
      <w:ind w:left="480" w:hanging="480" w:hangingChars="200"/>
      <w:jc w:val="left"/>
    </w:pPr>
    <w:rPr>
      <w:rFonts w:eastAsia="宋体"/>
      <w:kern w:val="0"/>
    </w:rPr>
  </w:style>
  <w:style w:type="paragraph" w:customStyle="1" w:styleId="69">
    <w:name w:val="LetPub_4.2_FigureCaption"/>
    <w:basedOn w:val="1"/>
    <w:qFormat/>
    <w:uiPriority w:val="0"/>
    <w:pPr>
      <w:spacing w:afterLines="100"/>
      <w:contextualSpacing w:val="0"/>
    </w:pPr>
    <w:rPr>
      <w:rFonts w:eastAsiaTheme="minor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ACS%20&#27169;&#2925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 模版.dotx</Template>
  <Pages>8</Pages>
  <Words>292</Words>
  <Characters>1700</Characters>
  <Lines>77</Lines>
  <Paragraphs>21</Paragraphs>
  <TotalTime>1</TotalTime>
  <ScaleCrop>false</ScaleCrop>
  <LinksUpToDate>false</LinksUpToDate>
  <CharactersWithSpaces>1967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2025-05-11T01:11:00Z</dcterms:created>
  <dc:creator>lilian</dc:creator>
  <cp:lastModifiedBy>lilian</cp:lastModifiedBy>
  <dcterms:modified xsi:type="dcterms:W3CDTF">2025-10-04T15:46:56Z</dcterms:modified>
  <dc:title>Template for Electronic Submission to ACS Journals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66DC7AAAA9674E39945751E680E8E9EC_13</vt:lpwstr>
  </property>
  <property fmtid="{D5CDD505-2E9C-101B-9397-08002B2CF9AE}" pid="3" name="KSOProductBuildVer">
    <vt:lpwstr>2052-12.1.0.22529</vt:lpwstr>
  </property>
  <property fmtid="{D5CDD505-2E9C-101B-9397-08002B2CF9AE}" pid="4" name="KSOTemplateDocerSaveRecord">
    <vt:lpwstr>eyJoZGlkIjoiZTVjM2E4MzExMjYwOGRlODE3NTE5YmFmNDhhOWQ4NzUiLCJ1c2VySWQiOiI0NjA4NjI3ODYifQ==</vt:lpwstr>
  </property>
</Properties>
</file>