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163"/>
        <w:gridCol w:w="2163"/>
        <w:gridCol w:w="1320"/>
        <w:gridCol w:w="337"/>
        <w:gridCol w:w="2164"/>
        <w:gridCol w:w="2163"/>
        <w:gridCol w:w="1321"/>
      </w:tblGrid>
      <w:tr w14:paraId="3EBC4CF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31176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Table 2.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Relationship of ADC parameters with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pathological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stage and N stage.</w:t>
            </w:r>
          </w:p>
        </w:tc>
      </w:tr>
      <w:tr w14:paraId="3F5184E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D74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Parameters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D0C0A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athological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stage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4EF6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806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4F796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athological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 stage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019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6189955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74D2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016B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1–2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(n = 38)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B5F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3–4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(n = 96)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CC0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488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1AD9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pN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(n = 86)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7D55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pN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1–2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(n = 48)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FB5D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B6A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D567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6EAE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1.022 (0.970, 1.087)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48E1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0.968 (0.931, 1.009)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7448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800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6601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0.998 (0.944, 1.078)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F4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0.965 (0.931, 0.996)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6FB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0.005</w:t>
            </w:r>
          </w:p>
        </w:tc>
      </w:tr>
      <w:tr w14:paraId="3947753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F8C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FC2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1.459 (1.272, 1.505)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BCE6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1.402 (1.263, 1.527)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A4F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0.843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D7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411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1.405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± 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3F4D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1.428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± 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449F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0.515</w:t>
            </w:r>
          </w:p>
        </w:tc>
      </w:tr>
      <w:tr w14:paraId="0667F4B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2637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F1F9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1.540 ± 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2C43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1.540 ± 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8F6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0.998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729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55AD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1.540 ± 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0F66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1.541 ± 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6159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0.973</w:t>
            </w:r>
          </w:p>
        </w:tc>
      </w:tr>
      <w:tr w14:paraId="7A4AF91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8429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t/dta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238D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0.726 (0.678, 0.800)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60E1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0.692 (0.637, 0.766)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6368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0.017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6F5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8CF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0.716 (0.668, 0.790)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A5B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0.679 (0.623, 0.749)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EC8A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0.021</w:t>
            </w:r>
          </w:p>
        </w:tc>
      </w:tr>
      <w:tr w14:paraId="2E61C72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B96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t/dtd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9E3A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0.671 (0.633, 0.708)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2707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0.636 (0.586, 0.698)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D52B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0.019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B9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2730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0.650 (0.613, 0.702)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784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0.633 (0.575, 0.687)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BC29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0.094</w:t>
            </w:r>
          </w:p>
        </w:tc>
      </w:tr>
      <w:tr w14:paraId="3A9E875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0D5E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subscript"/>
                <w:lang w:val="en-US" w:eastAsia="zh-CN" w:bidi="ar"/>
              </w:rPr>
              <w:t>dta/dtd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35B9A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0.903 (0.874, 0.976)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DBB60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0.908 (0.862, 0.971)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81AD4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0.945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37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F1970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0.895 (0.857, 0.960)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3B38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0.921 (0.868, 0.990)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25CE1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0.142</w:t>
            </w:r>
          </w:p>
        </w:tc>
      </w:tr>
      <w:tr w14:paraId="7089441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ACEC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Notes: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Values are expressed as mean ± standard deviation or median (25th percentile, 75th percentile). ADC, apparent diffusion coefficient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ADC of tumor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>tissue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,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distal tumor-adjacent tissue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, 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distal tumor-distant tissue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;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t/dta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t/dtd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; and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dta/dtd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ratio of 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.</w:t>
            </w:r>
          </w:p>
        </w:tc>
      </w:tr>
    </w:tbl>
    <w:p w14:paraId="17A7C8C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eX_CM_Maths_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YTNmN2RlNTk2NGZhZWNiYzYwZjcwMDRiZmE0ZTcifQ=="/>
  </w:docVars>
  <w:rsids>
    <w:rsidRoot w:val="00000000"/>
    <w:rsid w:val="21BE3609"/>
    <w:rsid w:val="4D3A6548"/>
    <w:rsid w:val="737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1028</Characters>
  <Lines>0</Lines>
  <Paragraphs>0</Paragraphs>
  <TotalTime>1</TotalTime>
  <ScaleCrop>false</ScaleCrop>
  <LinksUpToDate>false</LinksUpToDate>
  <CharactersWithSpaces>1173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2024-07-04T06:52:00Z</dcterms:created>
  <dc:creator>asus</dc:creator>
  <cp:lastModifiedBy>Looviie</cp:lastModifiedBy>
  <dcterms:modified xsi:type="dcterms:W3CDTF">2025-08-23T13:02:29Z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F5805A5206FE4BD08C2FEE5B0100D1CB_13</vt:lpwstr>
  </property>
  <property fmtid="{D5CDD505-2E9C-101B-9397-08002B2CF9AE}" pid="4" name="KSOTemplateDocerSaveRecord">
    <vt:lpwstr>eyJoZGlkIjoiZDE1YjRlNTY3NmY2YjRhYzUzODg5YmRmOGM4MTIyMjUiLCJ1c2VySWQiOiIzNzcyOTA5NDEifQ==</vt:lpwstr>
  </property>
</Properties>
</file>