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9E33E" w14:textId="77777777" w:rsidR="00FC62EB" w:rsidRPr="00EE4345" w:rsidRDefault="00FC62EB" w:rsidP="00FC62EB">
      <w:pPr>
        <w:rPr>
          <w:rFonts w:ascii="Arial" w:hAnsi="Arial" w:cs="Arial"/>
        </w:rPr>
      </w:pPr>
      <w:r w:rsidRPr="00EE4345">
        <w:rPr>
          <w:rFonts w:ascii="Arial" w:hAnsi="Arial" w:cs="Arial"/>
          <w:b/>
          <w:bCs/>
        </w:rPr>
        <w:t xml:space="preserve">Table S3: </w:t>
      </w:r>
      <w:r w:rsidRPr="00EE4345">
        <w:rPr>
          <w:rFonts w:ascii="Arial" w:hAnsi="Arial" w:cs="Arial"/>
        </w:rPr>
        <w:t>PROBAST risk of bias assessment for included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2194"/>
        <w:gridCol w:w="2720"/>
        <w:gridCol w:w="2338"/>
        <w:gridCol w:w="2049"/>
        <w:gridCol w:w="2299"/>
      </w:tblGrid>
      <w:tr w:rsidR="00FC62EB" w:rsidRPr="00EE4345" w14:paraId="35E9610F" w14:textId="77777777" w:rsidTr="009E2C56">
        <w:tc>
          <w:tcPr>
            <w:tcW w:w="0" w:type="auto"/>
            <w:hideMark/>
          </w:tcPr>
          <w:p w14:paraId="677FA94C" w14:textId="77777777" w:rsidR="00FC62EB" w:rsidRPr="00EE4345" w:rsidRDefault="00FC62EB" w:rsidP="009E2C5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Study</w:t>
            </w:r>
          </w:p>
        </w:tc>
        <w:tc>
          <w:tcPr>
            <w:tcW w:w="0" w:type="auto"/>
            <w:hideMark/>
          </w:tcPr>
          <w:p w14:paraId="278EB867" w14:textId="77777777" w:rsidR="00FC62EB" w:rsidRPr="00EE4345" w:rsidRDefault="00FC62EB" w:rsidP="009E2C5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Participants</w:t>
            </w:r>
          </w:p>
        </w:tc>
        <w:tc>
          <w:tcPr>
            <w:tcW w:w="0" w:type="auto"/>
            <w:hideMark/>
          </w:tcPr>
          <w:p w14:paraId="2945218F" w14:textId="77777777" w:rsidR="00FC62EB" w:rsidRPr="00EE4345" w:rsidRDefault="00FC62EB" w:rsidP="009E2C5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Predictors</w:t>
            </w:r>
          </w:p>
        </w:tc>
        <w:tc>
          <w:tcPr>
            <w:tcW w:w="0" w:type="auto"/>
            <w:hideMark/>
          </w:tcPr>
          <w:p w14:paraId="5C253221" w14:textId="77777777" w:rsidR="00FC62EB" w:rsidRPr="00EE4345" w:rsidRDefault="00FC62EB" w:rsidP="009E2C5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Outcome</w:t>
            </w:r>
          </w:p>
        </w:tc>
        <w:tc>
          <w:tcPr>
            <w:tcW w:w="0" w:type="auto"/>
            <w:hideMark/>
          </w:tcPr>
          <w:p w14:paraId="1A010B42" w14:textId="77777777" w:rsidR="00FC62EB" w:rsidRPr="00EE4345" w:rsidRDefault="00FC62EB" w:rsidP="009E2C5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Analysis</w:t>
            </w:r>
          </w:p>
        </w:tc>
        <w:tc>
          <w:tcPr>
            <w:tcW w:w="0" w:type="auto"/>
            <w:hideMark/>
          </w:tcPr>
          <w:p w14:paraId="3519B2B4" w14:textId="77777777" w:rsidR="00FC62EB" w:rsidRPr="00EE4345" w:rsidRDefault="00FC62EB" w:rsidP="009E2C56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Overall</w:t>
            </w:r>
          </w:p>
        </w:tc>
      </w:tr>
      <w:tr w:rsidR="00FC62EB" w:rsidRPr="00EE4345" w14:paraId="137D170E" w14:textId="77777777" w:rsidTr="009E2C56">
        <w:tc>
          <w:tcPr>
            <w:tcW w:w="0" w:type="auto"/>
            <w:hideMark/>
          </w:tcPr>
          <w:p w14:paraId="553D42BB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Kim et al.</w:t>
            </w:r>
          </w:p>
        </w:tc>
        <w:tc>
          <w:tcPr>
            <w:tcW w:w="0" w:type="auto"/>
            <w:hideMark/>
          </w:tcPr>
          <w:p w14:paraId="2A35E84F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Large ICU cohort (N=977) with broad inclusion of critically ill adults on IV vancomycin; external dataset (N=1,429) from another hospital. Only pediatric and oral-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vanco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cases were excluded. Selection appears systematic.</w:t>
            </w:r>
          </w:p>
        </w:tc>
        <w:tc>
          <w:tcPr>
            <w:tcW w:w="0" w:type="auto"/>
            <w:hideMark/>
          </w:tcPr>
          <w:p w14:paraId="711DF98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Predictor variables (dose history, weight, sex, loading dose, previous concentrations, Bayesian-predicted values) were clearly defined and measured prior to outcome. No indication of leakage of future data.</w:t>
            </w:r>
          </w:p>
        </w:tc>
        <w:tc>
          <w:tcPr>
            <w:tcW w:w="0" w:type="auto"/>
            <w:hideMark/>
          </w:tcPr>
          <w:p w14:paraId="25F9F620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the true steady-state vancomycin level (lab-measured trough); defined objectively and consistently across patients. Blinding not relevant (retrospective lab data).</w:t>
            </w:r>
          </w:p>
        </w:tc>
        <w:tc>
          <w:tcPr>
            <w:tcW w:w="0" w:type="auto"/>
            <w:hideMark/>
          </w:tcPr>
          <w:p w14:paraId="0163F3E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Data split 9:1, with 10-fold CV on training set and hold-out test. External validation was performed. Hyperparameters were tuned (grid search) and advanced models (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JointMLP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) were used. Model performance was evaluated on unseen data, minimizing overfitting. Calibration is not discussed (regression task).</w:t>
            </w:r>
          </w:p>
        </w:tc>
        <w:tc>
          <w:tcPr>
            <w:tcW w:w="0" w:type="auto"/>
            <w:hideMark/>
          </w:tcPr>
          <w:p w14:paraId="728FD8CD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Thorough internal (CV) and external validation, large samples, and transparent modeling imply low risk.</w:t>
            </w:r>
          </w:p>
        </w:tc>
      </w:tr>
      <w:tr w:rsidR="00FC62EB" w:rsidRPr="00EE4345" w14:paraId="62A6330A" w14:textId="77777777" w:rsidTr="009E2C56">
        <w:tc>
          <w:tcPr>
            <w:tcW w:w="0" w:type="auto"/>
            <w:hideMark/>
          </w:tcPr>
          <w:p w14:paraId="40EA265D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Ho et al.</w:t>
            </w:r>
          </w:p>
        </w:tc>
        <w:tc>
          <w:tcPr>
            <w:tcW w:w="0" w:type="auto"/>
            <w:hideMark/>
          </w:tcPr>
          <w:p w14:paraId="71CE930D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Retrospective dataset of 2,141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inpatients identified by vancomycin drug codes. Broad inclusion (all adult admissions with IV vancomycin); only infants were excluded by design. Single-center, but very large.</w:t>
            </w:r>
          </w:p>
        </w:tc>
        <w:tc>
          <w:tcPr>
            <w:tcW w:w="0" w:type="auto"/>
            <w:hideMark/>
          </w:tcPr>
          <w:p w14:paraId="1CEC4EB0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Six predictors (gender, age, weight, SCR, interval, daily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dose) clearly defined; measured from records. Dosing interval and total daily dose were inputs (no leakage, as model predicts regimen suitability).</w:t>
            </w:r>
          </w:p>
        </w:tc>
        <w:tc>
          <w:tcPr>
            <w:tcW w:w="0" w:type="auto"/>
            <w:hideMark/>
          </w:tcPr>
          <w:p w14:paraId="30937E3F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a binary “suitable/unsuitable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” label for each dosing regimen. The method for assigning this label is not fully explained (presumably based on target attainment), raising some uncertainty about outcome definition.</w:t>
            </w:r>
          </w:p>
        </w:tc>
        <w:tc>
          <w:tcPr>
            <w:tcW w:w="0" w:type="auto"/>
            <w:hideMark/>
          </w:tcPr>
          <w:p w14:paraId="255EF53B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Used train/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val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/test split (80/5/15% by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patient) and 10-fold CV. Employed ensemble of ML algorithms (AdaBoost, Bagging, etc.) with hyperparameter tuning. Standard metrics (AUC-ROC) reported. No external validation, but analysis is sound.</w:t>
            </w:r>
          </w:p>
        </w:tc>
        <w:tc>
          <w:tcPr>
            <w:tcW w:w="0" w:type="auto"/>
            <w:hideMark/>
          </w:tcPr>
          <w:p w14:paraId="46F290B4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Except for outcome definition, domains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are low-risk. The unclear nature of the “suitability” label warrants caution.</w:t>
            </w:r>
          </w:p>
        </w:tc>
      </w:tr>
      <w:tr w:rsidR="00FC62EB" w:rsidRPr="00EE4345" w14:paraId="24DBCD06" w14:textId="77777777" w:rsidTr="009E2C56">
        <w:tc>
          <w:tcPr>
            <w:tcW w:w="0" w:type="auto"/>
            <w:hideMark/>
          </w:tcPr>
          <w:p w14:paraId="1D00E4D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proofErr w:type="spellStart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Miyai</w:t>
            </w:r>
            <w:proofErr w:type="spellEnd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 xml:space="preserve"> et al.</w:t>
            </w:r>
          </w:p>
        </w:tc>
        <w:tc>
          <w:tcPr>
            <w:tcW w:w="0" w:type="auto"/>
            <w:hideMark/>
          </w:tcPr>
          <w:p w14:paraId="46570C21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Two-center (Japan) retrospective cohort of 822 adults. Inclusion required IV vancomycin </w:t>
            </w: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with both peak and trough measurements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, which may bias toward patients with intensive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TDM. Excluded pediatrics. Sample moderately sized.</w:t>
            </w:r>
          </w:p>
        </w:tc>
        <w:tc>
          <w:tcPr>
            <w:tcW w:w="0" w:type="auto"/>
            <w:hideMark/>
          </w:tcPr>
          <w:p w14:paraId="14791E8A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Predictors (eGFR, age, BMI, etc.) were standard and clearly measured. No evidence of post-outcome leakage.</w:t>
            </w:r>
          </w:p>
        </w:tc>
        <w:tc>
          <w:tcPr>
            <w:tcW w:w="0" w:type="auto"/>
            <w:hideMark/>
          </w:tcPr>
          <w:p w14:paraId="059551BA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the maintenance dose category needed to hit AUC 400–600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mg·h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/L. This was defined by actual concentrations (trough/peak) and guideline targets, applied uniformly.</w:t>
            </w:r>
          </w:p>
        </w:tc>
        <w:tc>
          <w:tcPr>
            <w:tcW w:w="0" w:type="auto"/>
            <w:hideMark/>
          </w:tcPr>
          <w:p w14:paraId="4C6D0BE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Split 80/20 into training (n=661) and validation (n=161); used a decision-tree (CART) classifier. No external test set; model complexity may be high relative to sample. No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mention of further CV or pruning. Overfitting risk is a concern.</w:t>
            </w:r>
          </w:p>
        </w:tc>
        <w:tc>
          <w:tcPr>
            <w:tcW w:w="0" w:type="auto"/>
            <w:hideMark/>
          </w:tcPr>
          <w:p w14:paraId="0E6DC99A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Participant selection and outcome definition are acceptable, but the analysis (single small split, potential overfitting) is high risk.</w:t>
            </w:r>
          </w:p>
        </w:tc>
      </w:tr>
      <w:tr w:rsidR="00FC62EB" w:rsidRPr="00EE4345" w14:paraId="7CD1178A" w14:textId="77777777" w:rsidTr="009E2C56">
        <w:tc>
          <w:tcPr>
            <w:tcW w:w="0" w:type="auto"/>
            <w:hideMark/>
          </w:tcPr>
          <w:p w14:paraId="1F551BE0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Wang et al.</w:t>
            </w:r>
          </w:p>
        </w:tc>
        <w:tc>
          <w:tcPr>
            <w:tcW w:w="0" w:type="auto"/>
            <w:hideMark/>
          </w:tcPr>
          <w:p w14:paraId="1F1B18CC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Very large retrospective cohort (N=2,282 patients; 7,912 dosing events) from hospital records. Inclusion appears broad (IV vancomycin). Split by patient ID into train/validation/test (64%/16%/20%), avoiding subject overlap. No specific exclusions mentioned.</w:t>
            </w:r>
          </w:p>
        </w:tc>
        <w:tc>
          <w:tcPr>
            <w:tcW w:w="0" w:type="auto"/>
            <w:hideMark/>
          </w:tcPr>
          <w:p w14:paraId="6D931B54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Extensive EHR-derived features likely used (demographics, labs, vitals, comorbidities, etc.; exact list not given). All predictors are clinical variables measured before dosing; no indication of leakage.</w:t>
            </w:r>
          </w:p>
        </w:tc>
        <w:tc>
          <w:tcPr>
            <w:tcW w:w="0" w:type="auto"/>
            <w:hideMark/>
          </w:tcPr>
          <w:p w14:paraId="3F8C61D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Outcomes were the initial and subsequent daily dose (continuous predictions). These were based on administered doses (ground truth) and a custom “percentage in acceptable range” (PAR) metric. Outcome definition is clear (dose amounts).</w:t>
            </w:r>
          </w:p>
        </w:tc>
        <w:tc>
          <w:tcPr>
            <w:tcW w:w="0" w:type="auto"/>
            <w:hideMark/>
          </w:tcPr>
          <w:p w14:paraId="07919C5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Employed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LightGBM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models with two-step hyperparameter tuning (Bayesian optimization, then grid search). Large data enabled robust train/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val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/test. Performance assessed by MAE and PAR. No external dataset, but patient-level split and tuning minimize bias. Model calibration not discussed, though not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critical for regression.</w:t>
            </w:r>
          </w:p>
        </w:tc>
        <w:tc>
          <w:tcPr>
            <w:tcW w:w="0" w:type="auto"/>
            <w:hideMark/>
          </w:tcPr>
          <w:p w14:paraId="78269FE5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Strong internal validation, large N, and thorough tuning yield low bias.</w:t>
            </w:r>
          </w:p>
        </w:tc>
      </w:tr>
      <w:tr w:rsidR="00FC62EB" w:rsidRPr="00EE4345" w14:paraId="19DC8E19" w14:textId="77777777" w:rsidTr="009E2C56">
        <w:tc>
          <w:tcPr>
            <w:tcW w:w="0" w:type="auto"/>
            <w:hideMark/>
          </w:tcPr>
          <w:p w14:paraId="7C80F301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Huang et al.</w:t>
            </w:r>
          </w:p>
        </w:tc>
        <w:tc>
          <w:tcPr>
            <w:tcW w:w="0" w:type="auto"/>
            <w:hideMark/>
          </w:tcPr>
          <w:p w14:paraId="79F76086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Retrospective cohort including only adults (≥15) who happened to achieve a trough of 10–20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μg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/mL at steady state. Exclusions: dialysis,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CrCl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&lt;10, &gt;80% missing. By design, selected only “target-achieving” patients, biasing the sample. Single center.</w:t>
            </w:r>
          </w:p>
        </w:tc>
        <w:tc>
          <w:tcPr>
            <w:tcW w:w="0" w:type="auto"/>
            <w:hideMark/>
          </w:tcPr>
          <w:p w14:paraId="223EFBED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Used routine clinical predictors (age, weight,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Scr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, etc.) with additional engineered features (possibly interactions). All features were pre-dose variables. (No temporal leakage indicated.)</w:t>
            </w:r>
          </w:p>
        </w:tc>
        <w:tc>
          <w:tcPr>
            <w:tcW w:w="0" w:type="auto"/>
            <w:hideMark/>
          </w:tcPr>
          <w:p w14:paraId="655387B1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vancomycin dose (continuous) required for AUC/MIC targets. Defined against expert or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PopPK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calculations. (Predicting dose from patient data is a clear outcome.)</w:t>
            </w:r>
          </w:p>
        </w:tc>
        <w:tc>
          <w:tcPr>
            <w:tcW w:w="0" w:type="auto"/>
            <w:hideMark/>
          </w:tcPr>
          <w:p w14:paraId="50896DE9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Used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XGBoost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with no external validation mentioned. The model reportedly explained 67.5% of dose variance (R²=0.675). However, selection of the narrow sample and lack of hold-out validation or CV (aside from reporting R²) risk overfitting.</w:t>
            </w:r>
          </w:p>
        </w:tc>
        <w:tc>
          <w:tcPr>
            <w:tcW w:w="0" w:type="auto"/>
            <w:hideMark/>
          </w:tcPr>
          <w:p w14:paraId="434A70F7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Severe selection bias (only ideal target cases) and limited validation cause high risk.</w:t>
            </w:r>
          </w:p>
        </w:tc>
      </w:tr>
      <w:tr w:rsidR="00FC62EB" w:rsidRPr="00EE4345" w14:paraId="4471E30C" w14:textId="77777777" w:rsidTr="009E2C56">
        <w:tc>
          <w:tcPr>
            <w:tcW w:w="0" w:type="auto"/>
            <w:hideMark/>
          </w:tcPr>
          <w:p w14:paraId="3D440ACE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Lee et al.</w:t>
            </w:r>
          </w:p>
        </w:tc>
        <w:tc>
          <w:tcPr>
            <w:tcW w:w="0" w:type="auto"/>
            <w:hideMark/>
          </w:tcPr>
          <w:p w14:paraId="765F63BD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Retrospective hospital data with external test set. Patients receiving initial vancomycin dose targeting AUC 400–600 were included (age criteria not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specified). Likely broad inclusion of adults. External validation (separate cohort) was performed.</w:t>
            </w:r>
          </w:p>
        </w:tc>
        <w:tc>
          <w:tcPr>
            <w:tcW w:w="0" w:type="auto"/>
            <w:hideMark/>
          </w:tcPr>
          <w:p w14:paraId="448240DF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Standard demographics and labs. The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XGBoost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model used clinical variables from EHR to predict dose. Predictors clearly available before dosing.</w:t>
            </w:r>
          </w:p>
        </w:tc>
        <w:tc>
          <w:tcPr>
            <w:tcW w:w="0" w:type="auto"/>
            <w:hideMark/>
          </w:tcPr>
          <w:p w14:paraId="53FF848D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the initial empiric dose (mg/day) aiming for AUC 400–600. Defined relative to Bayesian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PopPK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calculations and expert settings. (Effectively a regression/+-20%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classification.) Clear and objective.</w:t>
            </w:r>
          </w:p>
        </w:tc>
        <w:tc>
          <w:tcPr>
            <w:tcW w:w="0" w:type="auto"/>
            <w:hideMark/>
          </w:tcPr>
          <w:p w14:paraId="0C8CF163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Data split 80/20 internally; additionally applied model to independent validation data. SHAP was used for interpretation. Calibration for regression was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explicitly addressed. Model tuning and external test reduce bias.</w:t>
            </w:r>
          </w:p>
        </w:tc>
        <w:tc>
          <w:tcPr>
            <w:tcW w:w="0" w:type="auto"/>
            <w:hideMark/>
          </w:tcPr>
          <w:p w14:paraId="1615267A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Extensive validation (internal &amp; external) and transparent modeling give low bias.</w:t>
            </w:r>
          </w:p>
        </w:tc>
      </w:tr>
      <w:tr w:rsidR="00FC62EB" w:rsidRPr="00EE4345" w14:paraId="762E5239" w14:textId="77777777" w:rsidTr="009E2C56">
        <w:tc>
          <w:tcPr>
            <w:tcW w:w="0" w:type="auto"/>
            <w:hideMark/>
          </w:tcPr>
          <w:p w14:paraId="60201D3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proofErr w:type="spellStart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Tootooni</w:t>
            </w:r>
            <w:proofErr w:type="spellEnd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 xml:space="preserve"> et al.</w:t>
            </w:r>
          </w:p>
        </w:tc>
        <w:tc>
          <w:tcPr>
            <w:tcW w:w="0" w:type="auto"/>
            <w:hideMark/>
          </w:tcPr>
          <w:p w14:paraId="4B0CFF33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Retrospective ICU cohort of adults (≥18) on vancomycin with TDM. Exact sample size unknown. Likely consecutive ICU admissions. Inclusion seems broad, but details sparse. Single-center.</w:t>
            </w:r>
          </w:p>
        </w:tc>
        <w:tc>
          <w:tcPr>
            <w:tcW w:w="0" w:type="auto"/>
            <w:hideMark/>
          </w:tcPr>
          <w:p w14:paraId="4CA720EB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Clinical predictors (labs, vitals, dosing history) were used to classify steady-state trough levels. Features and classes were clearly defined (sub/therapeutic/supra), measured prior to classification.</w:t>
            </w:r>
          </w:p>
        </w:tc>
        <w:tc>
          <w:tcPr>
            <w:tcW w:w="0" w:type="auto"/>
            <w:hideMark/>
          </w:tcPr>
          <w:p w14:paraId="42A6A599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a classification of steady-state trough category (&lt;10, 10–20, &gt;20). This was directly observed via lab tests, a precise objective outcome.</w:t>
            </w:r>
          </w:p>
        </w:tc>
        <w:tc>
          <w:tcPr>
            <w:tcW w:w="0" w:type="auto"/>
            <w:hideMark/>
          </w:tcPr>
          <w:p w14:paraId="0E2BAA57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Data split 80/20 into training/test by patients; applied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XGBoost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classifiers. Performance measured by AUC-ROC (0.85–0.83) and sensitivity. No external validation, but standard ML procedure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with held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-out test. No explicit calibration or resampling, but not strictly required for classification accuracy.</w:t>
            </w:r>
          </w:p>
        </w:tc>
        <w:tc>
          <w:tcPr>
            <w:tcW w:w="0" w:type="auto"/>
            <w:hideMark/>
          </w:tcPr>
          <w:p w14:paraId="3C327138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Moderate.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Well-defined predictors/outcome, but single-center and no external validation raise some concern (overall “unclear” tendency).</w:t>
            </w:r>
          </w:p>
        </w:tc>
      </w:tr>
      <w:tr w:rsidR="00FC62EB" w:rsidRPr="00EE4345" w14:paraId="03315809" w14:textId="77777777" w:rsidTr="009E2C56">
        <w:tc>
          <w:tcPr>
            <w:tcW w:w="0" w:type="auto"/>
            <w:hideMark/>
          </w:tcPr>
          <w:p w14:paraId="6A154F96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Ma et al.</w:t>
            </w:r>
          </w:p>
        </w:tc>
        <w:tc>
          <w:tcPr>
            <w:tcW w:w="0" w:type="auto"/>
            <w:hideMark/>
          </w:tcPr>
          <w:p w14:paraId="4E9B297F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Moderate.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Single-center retrospective on elderly patients (details unclear; likely ≥65). Inclusion criteria not fully detailed (presumably all elderly on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vanco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). Prospective-like “validation” set from 2022–2023 suggests separate cohort use. Narrow population (only elderly) limits generalizability.</w:t>
            </w:r>
          </w:p>
        </w:tc>
        <w:tc>
          <w:tcPr>
            <w:tcW w:w="0" w:type="auto"/>
            <w:hideMark/>
          </w:tcPr>
          <w:p w14:paraId="3193DE94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Predictors included demographics, labs, and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PopPK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-derived variables. Handling of missing data (imputation) was described, reducing bias. Predictors are realistic for modeling.</w:t>
            </w:r>
          </w:p>
        </w:tc>
        <w:tc>
          <w:tcPr>
            <w:tcW w:w="0" w:type="auto"/>
            <w:hideMark/>
          </w:tcPr>
          <w:p w14:paraId="10CEADC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the steady-state vancomycin concentration (or dose) to achieve targets. Model reported R²=0.656 on test. This was measured consistently.</w:t>
            </w:r>
          </w:p>
        </w:tc>
        <w:tc>
          <w:tcPr>
            <w:tcW w:w="0" w:type="auto"/>
            <w:hideMark/>
          </w:tcPr>
          <w:p w14:paraId="63ECA4B8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Used an ensemble of SVM, RF, GBM,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CatBoost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and stacked them. Employed 5-fold CV for training and evaluated on an external validation group (Aug 2022–May 2023). This hybrid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PopPK+ML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model showed robust performance (R²=0.656, MAE~3.46). Appropriate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hyperparam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tuning and external set minimize overfitting.</w:t>
            </w:r>
          </w:p>
        </w:tc>
        <w:tc>
          <w:tcPr>
            <w:tcW w:w="0" w:type="auto"/>
            <w:hideMark/>
          </w:tcPr>
          <w:p w14:paraId="08781E5C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Moderate.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Sophisticated analysis but narrow single-center elderly sample warrants a “moderate” note in Participants; analysis is strong.</w:t>
            </w:r>
          </w:p>
        </w:tc>
      </w:tr>
      <w:tr w:rsidR="00FC62EB" w:rsidRPr="00EE4345" w14:paraId="128398C8" w14:textId="77777777" w:rsidTr="009E2C56">
        <w:tc>
          <w:tcPr>
            <w:tcW w:w="0" w:type="auto"/>
            <w:hideMark/>
          </w:tcPr>
          <w:p w14:paraId="170B15FB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proofErr w:type="spellStart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Nigo</w:t>
            </w:r>
            <w:proofErr w:type="spellEnd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 xml:space="preserve"> et al.</w:t>
            </w:r>
          </w:p>
        </w:tc>
        <w:tc>
          <w:tcPr>
            <w:tcW w:w="0" w:type="auto"/>
            <w:hideMark/>
          </w:tcPr>
          <w:p w14:paraId="1F570751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Unclear/High.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Retrospective ICU patients from one US health system.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 xml:space="preserve">Many patients were </w:t>
            </w: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excluded</w:t>
            </w:r>
            <w:r w:rsidRPr="00EE4345">
              <w:rPr>
                <w:rFonts w:ascii="Arial" w:eastAsia="Times New Roman" w:hAnsi="Arial" w:cs="Arial"/>
                <w:kern w:val="0"/>
              </w:rPr>
              <w:t>: 6,775 total vs. only 1,012 used. Exclusions (e.g. dialysis) and high missingness suggest selection bias.</w:t>
            </w:r>
          </w:p>
        </w:tc>
        <w:tc>
          <w:tcPr>
            <w:tcW w:w="0" w:type="auto"/>
            <w:hideMark/>
          </w:tcPr>
          <w:p w14:paraId="68C083B1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Time-varying features (labs, vitals, medications) from EHR were used in a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recurrent neural net (PK-RNN-V E). Inputs are legitimate predictors. No obvious leakage beyond imputation handling.</w:t>
            </w:r>
          </w:p>
        </w:tc>
        <w:tc>
          <w:tcPr>
            <w:tcW w:w="0" w:type="auto"/>
            <w:hideMark/>
          </w:tcPr>
          <w:p w14:paraId="3C891244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future vancomycin levels (continuous forecast) or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probability of target attainment. Defined by actual lab values. Precise as an objective lab measure.</w:t>
            </w:r>
          </w:p>
        </w:tc>
        <w:tc>
          <w:tcPr>
            <w:tcW w:w="0" w:type="auto"/>
            <w:hideMark/>
          </w:tcPr>
          <w:p w14:paraId="718E82EE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Split data 70/15/15 for train/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val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/test. A complex RNN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 xml:space="preserve">handled irregular data. No external validation. Missingness was high (up to 92%), requiring advanced handling. Performance exceeded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PopPK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models. The large feature space and model opacity raise concerns about overfitting/data leakage.</w:t>
            </w:r>
          </w:p>
        </w:tc>
        <w:tc>
          <w:tcPr>
            <w:tcW w:w="0" w:type="auto"/>
            <w:hideMark/>
          </w:tcPr>
          <w:p w14:paraId="0341E890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Extensive missing data, heavy exclusions, and lack of external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test indicate high risk, despite advanced modeling.</w:t>
            </w:r>
          </w:p>
        </w:tc>
      </w:tr>
      <w:tr w:rsidR="00FC62EB" w:rsidRPr="00EE4345" w14:paraId="3C61EA3B" w14:textId="77777777" w:rsidTr="009E2C56">
        <w:tc>
          <w:tcPr>
            <w:tcW w:w="0" w:type="auto"/>
            <w:hideMark/>
          </w:tcPr>
          <w:p w14:paraId="5D88FA89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Hu et al.</w:t>
            </w:r>
          </w:p>
        </w:tc>
        <w:tc>
          <w:tcPr>
            <w:tcW w:w="0" w:type="auto"/>
            <w:hideMark/>
          </w:tcPr>
          <w:p w14:paraId="6B004E5B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Retrospective, adults with IV vancomycin whose trough ended up 10–20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μg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/mL at steady state. Exclusions: dialysis, extreme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CrCl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; required therapeutic trough. The cohort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 xml:space="preserve">is a </w:t>
            </w: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biased subset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of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vanco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patients. Single-center.</w:t>
            </w:r>
          </w:p>
        </w:tc>
        <w:tc>
          <w:tcPr>
            <w:tcW w:w="0" w:type="auto"/>
            <w:hideMark/>
          </w:tcPr>
          <w:p w14:paraId="05CAEB2E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Used 18 clinical predictors (age, renal function, BNP, etc.) obtained before steady state</w:t>
            </w:r>
            <w:r w:rsidRPr="00EE4345">
              <w:rPr>
                <w:rFonts w:ascii="Arial" w:eastAsia="MS Mincho" w:hAnsi="Arial" w:cs="Arial"/>
                <w:kern w:val="0"/>
              </w:rPr>
              <w:t>【</w:t>
            </w:r>
            <w:r w:rsidRPr="00EE4345">
              <w:rPr>
                <w:rFonts w:ascii="Arial" w:eastAsia="Times New Roman" w:hAnsi="Arial" w:cs="Arial"/>
                <w:kern w:val="0"/>
              </w:rPr>
              <w:t>9†</w:t>
            </w:r>
            <w:r w:rsidRPr="00EE4345">
              <w:rPr>
                <w:rFonts w:ascii="Arial" w:eastAsia="MS Mincho" w:hAnsi="Arial" w:cs="Arial"/>
                <w:kern w:val="0"/>
              </w:rPr>
              <w:t>】</w:t>
            </w:r>
            <w:r w:rsidRPr="00EE4345">
              <w:rPr>
                <w:rFonts w:ascii="Arial" w:eastAsia="Times New Roman" w:hAnsi="Arial" w:cs="Arial"/>
                <w:kern w:val="0"/>
              </w:rPr>
              <w:t>. Missing data were imputed. Predictors are relevant and consistently measured.</w:t>
            </w:r>
          </w:p>
        </w:tc>
        <w:tc>
          <w:tcPr>
            <w:tcW w:w="0" w:type="auto"/>
            <w:hideMark/>
          </w:tcPr>
          <w:p w14:paraId="54ACE966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the steady-state trough category (within 10–20 vs. not). This was based on measured labs, an objective classification.</w:t>
            </w:r>
          </w:p>
        </w:tc>
        <w:tc>
          <w:tcPr>
            <w:tcW w:w="0" w:type="auto"/>
            <w:hideMark/>
          </w:tcPr>
          <w:p w14:paraId="0882D5E9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Random Forest model was trained and externally validated</w:t>
            </w:r>
            <w:r w:rsidRPr="00EE4345">
              <w:rPr>
                <w:rFonts w:ascii="Arial" w:eastAsia="MS Mincho" w:hAnsi="Arial" w:cs="Arial"/>
                <w:kern w:val="0"/>
              </w:rPr>
              <w:t>【</w:t>
            </w:r>
            <w:r w:rsidRPr="00EE4345">
              <w:rPr>
                <w:rFonts w:ascii="Arial" w:eastAsia="Times New Roman" w:hAnsi="Arial" w:cs="Arial"/>
                <w:kern w:val="0"/>
              </w:rPr>
              <w:t>9†</w:t>
            </w:r>
            <w:r w:rsidRPr="00EE4345">
              <w:rPr>
                <w:rFonts w:ascii="Arial" w:eastAsia="MS Mincho" w:hAnsi="Arial" w:cs="Arial"/>
                <w:kern w:val="0"/>
              </w:rPr>
              <w:t>】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. The reported training accuracy was ~0.99 (overfitting warning). Only one test split; no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 xml:space="preserve">mention of cross-validation. External test showed RF (0.84 accuracy) outperformed Bayesian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PopPK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(0.57). Calibration not discussed.</w:t>
            </w:r>
          </w:p>
        </w:tc>
        <w:tc>
          <w:tcPr>
            <w:tcW w:w="0" w:type="auto"/>
            <w:hideMark/>
          </w:tcPr>
          <w:p w14:paraId="1E54F5AF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Strong modeling overshadowed by selective sample and model overfitting signs.</w:t>
            </w:r>
          </w:p>
        </w:tc>
      </w:tr>
      <w:tr w:rsidR="00FC62EB" w:rsidRPr="00EE4345" w14:paraId="311BA010" w14:textId="77777777" w:rsidTr="009E2C56">
        <w:tc>
          <w:tcPr>
            <w:tcW w:w="0" w:type="auto"/>
            <w:hideMark/>
          </w:tcPr>
          <w:p w14:paraId="1363A0FE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proofErr w:type="spellStart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Matsuzaki</w:t>
            </w:r>
            <w:proofErr w:type="spellEnd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 xml:space="preserve"> et al.</w:t>
            </w:r>
          </w:p>
        </w:tc>
        <w:tc>
          <w:tcPr>
            <w:tcW w:w="0" w:type="auto"/>
            <w:hideMark/>
          </w:tcPr>
          <w:p w14:paraId="7023F5A8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Very small, single-center dataset. Training set consisted of dosing decisions by a </w:t>
            </w: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very limited number of expert pharmacists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(i.e. “experience-based” dosing). “Small training sets” were explicitly used. Not generalizable.</w:t>
            </w:r>
          </w:p>
        </w:tc>
        <w:tc>
          <w:tcPr>
            <w:tcW w:w="0" w:type="auto"/>
            <w:hideMark/>
          </w:tcPr>
          <w:p w14:paraId="2E940F84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Initial dose predictors were standard (age, weight,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Scr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>, eGFR) and clearly defined. Data from experts’ records. Predictors gathered in usual fashion.</w:t>
            </w:r>
          </w:p>
        </w:tc>
        <w:tc>
          <w:tcPr>
            <w:tcW w:w="0" w:type="auto"/>
            <w:hideMark/>
          </w:tcPr>
          <w:p w14:paraId="0123FA92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Unclear/High.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the experts’ chosen initial dose leading to target trough attainment. This is a surrogate “expert decision” rather than patient outcome. It was measured but depends on the expert’s heuristic, risking subjectivity.</w:t>
            </w:r>
          </w:p>
        </w:tc>
        <w:tc>
          <w:tcPr>
            <w:tcW w:w="0" w:type="auto"/>
            <w:hideMark/>
          </w:tcPr>
          <w:p w14:paraId="5C506EAE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Decision-tree models were trained on very few cases. No external/test set. Target attainment compared to experts and nomograms, but model validation is weak. Overfitting is likely with such limited data.</w:t>
            </w:r>
          </w:p>
        </w:tc>
        <w:tc>
          <w:tcPr>
            <w:tcW w:w="0" w:type="auto"/>
            <w:hideMark/>
          </w:tcPr>
          <w:p w14:paraId="14B2F988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High.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Tiny expert-curated sample and minimal validation result in high bias risk across domains.</w:t>
            </w:r>
          </w:p>
        </w:tc>
      </w:tr>
      <w:tr w:rsidR="00FC62EB" w:rsidRPr="00EE4345" w14:paraId="4DDF2C2F" w14:textId="77777777" w:rsidTr="009E2C56">
        <w:tc>
          <w:tcPr>
            <w:tcW w:w="0" w:type="auto"/>
            <w:hideMark/>
          </w:tcPr>
          <w:p w14:paraId="0BD84E7F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 xml:space="preserve">van </w:t>
            </w:r>
            <w:proofErr w:type="spellStart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Os</w:t>
            </w:r>
            <w:proofErr w:type="spellEnd"/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 xml:space="preserve"> et al.</w:t>
            </w:r>
          </w:p>
        </w:tc>
        <w:tc>
          <w:tcPr>
            <w:tcW w:w="0" w:type="auto"/>
            <w:hideMark/>
          </w:tcPr>
          <w:p w14:paraId="044818F6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Data source is composite: it appears patients’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EHRs were used to select among existing PK models. Details on patient selection are sparse. Likely a diverse adult population but possibly limited by available models.</w:t>
            </w:r>
          </w:p>
        </w:tc>
        <w:tc>
          <w:tcPr>
            <w:tcW w:w="0" w:type="auto"/>
            <w:hideMark/>
          </w:tcPr>
          <w:p w14:paraId="5CF23908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Features included patient factors (age, BMI, renal function) and perhaps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predicted concentrations from each PK model. Predictors are plausible clinical data.</w:t>
            </w:r>
          </w:p>
        </w:tc>
        <w:tc>
          <w:tcPr>
            <w:tcW w:w="0" w:type="auto"/>
            <w:hideMark/>
          </w:tcPr>
          <w:p w14:paraId="5382D36D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Low.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Outcome was a multi-label indicator of which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PopPK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models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were most appropriate for each patient. That mapping was derived from observed concentrations (80–125% of true). Objective, though complex.</w:t>
            </w:r>
          </w:p>
        </w:tc>
        <w:tc>
          <w:tcPr>
            <w:tcW w:w="0" w:type="auto"/>
            <w:hideMark/>
          </w:tcPr>
          <w:p w14:paraId="5CF5EF89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A multi-label </w:t>
            </w:r>
            <w:proofErr w:type="spellStart"/>
            <w:r w:rsidRPr="00EE4345">
              <w:rPr>
                <w:rFonts w:ascii="Arial" w:eastAsia="Times New Roman" w:hAnsi="Arial" w:cs="Arial"/>
                <w:kern w:val="0"/>
              </w:rPr>
              <w:t>XGBoost</w:t>
            </w:r>
            <w:proofErr w:type="spellEnd"/>
            <w:r w:rsidRPr="00EE4345">
              <w:rPr>
                <w:rFonts w:ascii="Arial" w:eastAsia="Times New Roman" w:hAnsi="Arial" w:cs="Arial"/>
                <w:kern w:val="0"/>
              </w:rPr>
              <w:t xml:space="preserve"> classifier was used with cross-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validation. Performance (accuracy) outperformed single models. No mention of external cohort. Novelty of approach adds uncertainty about overfitting and calibration.</w:t>
            </w:r>
          </w:p>
        </w:tc>
        <w:tc>
          <w:tcPr>
            <w:tcW w:w="0" w:type="auto"/>
            <w:hideMark/>
          </w:tcPr>
          <w:p w14:paraId="61F34D09" w14:textId="77777777" w:rsidR="00FC62EB" w:rsidRPr="00EE4345" w:rsidRDefault="00FC62EB" w:rsidP="009E2C56">
            <w:pPr>
              <w:rPr>
                <w:rFonts w:ascii="Arial" w:eastAsia="Times New Roman" w:hAnsi="Arial" w:cs="Arial"/>
                <w:kern w:val="0"/>
              </w:rPr>
            </w:pPr>
            <w:r w:rsidRPr="00EE4345">
              <w:rPr>
                <w:rFonts w:ascii="Arial" w:eastAsia="Times New Roman" w:hAnsi="Arial" w:cs="Arial"/>
                <w:b/>
                <w:bCs/>
                <w:kern w:val="0"/>
              </w:rPr>
              <w:lastRenderedPageBreak/>
              <w:t>Unclear.</w:t>
            </w:r>
            <w:r w:rsidRPr="00EE4345">
              <w:rPr>
                <w:rFonts w:ascii="Arial" w:eastAsia="Times New Roman" w:hAnsi="Arial" w:cs="Arial"/>
                <w:kern w:val="0"/>
              </w:rPr>
              <w:t xml:space="preserve"> Innovative multi-model strategy but lacking external </w:t>
            </w:r>
            <w:r w:rsidRPr="00EE4345">
              <w:rPr>
                <w:rFonts w:ascii="Arial" w:eastAsia="Times New Roman" w:hAnsi="Arial" w:cs="Arial"/>
                <w:kern w:val="0"/>
              </w:rPr>
              <w:lastRenderedPageBreak/>
              <w:t>validation and with incomplete reporting, so risk is unclear.</w:t>
            </w:r>
          </w:p>
        </w:tc>
      </w:tr>
    </w:tbl>
    <w:p w14:paraId="05AEDFB8" w14:textId="77777777" w:rsidR="00FC62EB" w:rsidRPr="009C5DBF" w:rsidRDefault="00FC62EB" w:rsidP="00FC62EB">
      <w:pPr>
        <w:rPr>
          <w:rFonts w:ascii="Times New Roman" w:hAnsi="Times New Roman" w:cs="Times New Roman"/>
        </w:rPr>
      </w:pPr>
    </w:p>
    <w:p w14:paraId="2931BB1B" w14:textId="77777777" w:rsidR="00C65061" w:rsidRDefault="00C65061"/>
    <w:sectPr w:rsidR="00C65061" w:rsidSect="00FC62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EB"/>
    <w:rsid w:val="00AF4745"/>
    <w:rsid w:val="00C65061"/>
    <w:rsid w:val="00D6243A"/>
    <w:rsid w:val="00E03E3A"/>
    <w:rsid w:val="00EE4345"/>
    <w:rsid w:val="00F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E19B"/>
  <w15:chartTrackingRefBased/>
  <w15:docId w15:val="{597CD661-DEB4-4033-914C-D40ADA0E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2EB"/>
    <w:pPr>
      <w:spacing w:line="278" w:lineRule="auto"/>
    </w:pPr>
    <w:rPr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2E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1808</Words>
  <Characters>10311</Characters>
  <Application>Microsoft Office Word</Application>
  <DocSecurity>0</DocSecurity>
  <Lines>85</Lines>
  <Paragraphs>24</Paragraphs>
  <ScaleCrop>false</ScaleCrop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Zelalem Tilahun</dc:creator>
  <cp:keywords/>
  <dc:description/>
  <cp:lastModifiedBy>Zelalem Tilahun</cp:lastModifiedBy>
  <cp:revision>2</cp:revision>
  <dcterms:created xsi:type="dcterms:W3CDTF">2025-09-27T11:20:00Z</dcterms:created>
  <dcterms:modified xsi:type="dcterms:W3CDTF">2025-10-04T06:24:00Z</dcterms:modified>
</cp:coreProperties>
</file>