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8E02E" w14:textId="77777777" w:rsidR="000E65C6" w:rsidRPr="00B46C75" w:rsidRDefault="000E65C6" w:rsidP="000E65C6">
      <w:pPr>
        <w:pStyle w:val="Caption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B46C75">
        <w:rPr>
          <w:rFonts w:ascii="Arial" w:hAnsi="Arial" w:cs="Arial"/>
          <w:i w:val="0"/>
          <w:iCs w:val="0"/>
          <w:color w:val="auto"/>
          <w:sz w:val="24"/>
          <w:szCs w:val="24"/>
        </w:rPr>
        <w:t>Table S2: Characteristics of included studies</w:t>
      </w:r>
    </w:p>
    <w:tbl>
      <w:tblPr>
        <w:tblStyle w:val="TableGrid1"/>
        <w:tblW w:w="0" w:type="auto"/>
        <w:tblInd w:w="-1085" w:type="dxa"/>
        <w:tblLook w:val="0020" w:firstRow="1" w:lastRow="0" w:firstColumn="0" w:lastColumn="0" w:noHBand="0" w:noVBand="0"/>
      </w:tblPr>
      <w:tblGrid>
        <w:gridCol w:w="781"/>
        <w:gridCol w:w="789"/>
        <w:gridCol w:w="1017"/>
        <w:gridCol w:w="1476"/>
        <w:gridCol w:w="2051"/>
        <w:gridCol w:w="1017"/>
        <w:gridCol w:w="2243"/>
        <w:gridCol w:w="1296"/>
        <w:gridCol w:w="1414"/>
        <w:gridCol w:w="948"/>
        <w:gridCol w:w="1003"/>
      </w:tblGrid>
      <w:tr w:rsidR="000E65C6" w:rsidRPr="00B46C75" w14:paraId="4F301798" w14:textId="77777777" w:rsidTr="009E2C56">
        <w:tc>
          <w:tcPr>
            <w:tcW w:w="0" w:type="auto"/>
          </w:tcPr>
          <w:p w14:paraId="284CFB69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bookmarkStart w:id="0" w:name="_Hlk209856005"/>
            <w:r w:rsidRPr="00B46C75">
              <w:rPr>
                <w:rFonts w:ascii="Arial" w:eastAsia="Aptos" w:hAnsi="Arial" w:cs="Arial"/>
              </w:rPr>
              <w:t>Study (Author, Year)</w:t>
            </w:r>
          </w:p>
        </w:tc>
        <w:tc>
          <w:tcPr>
            <w:tcW w:w="0" w:type="auto"/>
          </w:tcPr>
          <w:p w14:paraId="2C55B58D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Country </w:t>
            </w:r>
          </w:p>
        </w:tc>
        <w:tc>
          <w:tcPr>
            <w:tcW w:w="0" w:type="auto"/>
          </w:tcPr>
          <w:p w14:paraId="6F22A3DB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Study design</w:t>
            </w:r>
          </w:p>
        </w:tc>
        <w:tc>
          <w:tcPr>
            <w:tcW w:w="1476" w:type="dxa"/>
          </w:tcPr>
          <w:p w14:paraId="1EF50D42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Sample size (Train/Val/Test/</w:t>
            </w:r>
            <w:proofErr w:type="spellStart"/>
            <w:r w:rsidRPr="00B46C75">
              <w:rPr>
                <w:rFonts w:ascii="Arial" w:eastAsia="Aptos" w:hAnsi="Arial" w:cs="Arial"/>
              </w:rPr>
              <w:t>ExtVal</w:t>
            </w:r>
            <w:proofErr w:type="spellEnd"/>
            <w:r w:rsidRPr="00B46C75">
              <w:rPr>
                <w:rFonts w:ascii="Arial" w:eastAsia="Aptos" w:hAnsi="Arial" w:cs="Arial"/>
              </w:rPr>
              <w:t>)</w:t>
            </w:r>
          </w:p>
        </w:tc>
        <w:tc>
          <w:tcPr>
            <w:tcW w:w="2051" w:type="dxa"/>
          </w:tcPr>
          <w:p w14:paraId="3A0A6AD4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ML algorithm(s)</w:t>
            </w:r>
          </w:p>
        </w:tc>
        <w:tc>
          <w:tcPr>
            <w:tcW w:w="1017" w:type="dxa"/>
          </w:tcPr>
          <w:p w14:paraId="3CB1164A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Prediction target</w:t>
            </w:r>
          </w:p>
        </w:tc>
        <w:tc>
          <w:tcPr>
            <w:tcW w:w="0" w:type="auto"/>
          </w:tcPr>
          <w:p w14:paraId="70B0F576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Key input features</w:t>
            </w:r>
          </w:p>
        </w:tc>
        <w:tc>
          <w:tcPr>
            <w:tcW w:w="0" w:type="auto"/>
          </w:tcPr>
          <w:p w14:paraId="4FC5B53D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Validation</w:t>
            </w:r>
          </w:p>
        </w:tc>
        <w:tc>
          <w:tcPr>
            <w:tcW w:w="0" w:type="auto"/>
          </w:tcPr>
          <w:p w14:paraId="6EC6CB49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Performance metrics</w:t>
            </w:r>
          </w:p>
        </w:tc>
        <w:tc>
          <w:tcPr>
            <w:tcW w:w="0" w:type="auto"/>
          </w:tcPr>
          <w:p w14:paraId="5B719F76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Comparators</w:t>
            </w:r>
          </w:p>
        </w:tc>
        <w:tc>
          <w:tcPr>
            <w:tcW w:w="0" w:type="auto"/>
          </w:tcPr>
          <w:p w14:paraId="30FF5A18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Notes</w:t>
            </w:r>
          </w:p>
        </w:tc>
      </w:tr>
      <w:tr w:rsidR="000E65C6" w:rsidRPr="00B46C75" w14:paraId="6E1D9776" w14:textId="77777777" w:rsidTr="009E2C56">
        <w:tc>
          <w:tcPr>
            <w:tcW w:w="0" w:type="auto"/>
          </w:tcPr>
          <w:p w14:paraId="03060A00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Ho et al., 2022</w:t>
            </w:r>
          </w:p>
        </w:tc>
        <w:tc>
          <w:tcPr>
            <w:tcW w:w="0" w:type="auto"/>
          </w:tcPr>
          <w:p w14:paraId="19BA4512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Taiwan </w:t>
            </w:r>
          </w:p>
        </w:tc>
        <w:tc>
          <w:tcPr>
            <w:tcW w:w="0" w:type="auto"/>
          </w:tcPr>
          <w:p w14:paraId="19F87752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Retrospective</w:t>
            </w:r>
          </w:p>
        </w:tc>
        <w:tc>
          <w:tcPr>
            <w:tcW w:w="1476" w:type="dxa"/>
          </w:tcPr>
          <w:p w14:paraId="6C063C9C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2,141 patients (split into train/</w:t>
            </w:r>
            <w:proofErr w:type="spellStart"/>
            <w:r w:rsidRPr="00B46C75">
              <w:rPr>
                <w:rFonts w:ascii="Arial" w:eastAsia="Aptos" w:hAnsi="Arial" w:cs="Arial"/>
              </w:rPr>
              <w:t>val</w:t>
            </w:r>
            <w:proofErr w:type="spellEnd"/>
            <w:r w:rsidRPr="00B46C75">
              <w:rPr>
                <w:rFonts w:ascii="Arial" w:eastAsia="Aptos" w:hAnsi="Arial" w:cs="Arial"/>
              </w:rPr>
              <w:t>/test sets)</w:t>
            </w:r>
          </w:p>
        </w:tc>
        <w:tc>
          <w:tcPr>
            <w:tcW w:w="2051" w:type="dxa"/>
          </w:tcPr>
          <w:p w14:paraId="465012E0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Ensemble (AdaBoost.M1, Bagging, </w:t>
            </w:r>
            <w:proofErr w:type="spellStart"/>
            <w:r w:rsidRPr="00B46C75">
              <w:rPr>
                <w:rFonts w:ascii="Arial" w:eastAsia="Aptos" w:hAnsi="Arial" w:cs="Arial"/>
              </w:rPr>
              <w:t>fastAdaBoost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, </w:t>
            </w:r>
            <w:proofErr w:type="spellStart"/>
            <w:r w:rsidRPr="00B46C75">
              <w:rPr>
                <w:rFonts w:ascii="Arial" w:eastAsia="Aptos" w:hAnsi="Arial" w:cs="Arial"/>
              </w:rPr>
              <w:t>Neyman</w:t>
            </w:r>
            <w:proofErr w:type="spellEnd"/>
            <w:r w:rsidRPr="00B46C75">
              <w:rPr>
                <w:rFonts w:ascii="Arial" w:eastAsia="Aptos" w:hAnsi="Arial" w:cs="Arial"/>
              </w:rPr>
              <w:t>–Pearson, Stacking)</w:t>
            </w:r>
          </w:p>
        </w:tc>
        <w:tc>
          <w:tcPr>
            <w:tcW w:w="1017" w:type="dxa"/>
          </w:tcPr>
          <w:p w14:paraId="08F0EBED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Suitability of vancomycin regimen (suitable vs unsuitable)</w:t>
            </w:r>
          </w:p>
        </w:tc>
        <w:tc>
          <w:tcPr>
            <w:tcW w:w="0" w:type="auto"/>
          </w:tcPr>
          <w:p w14:paraId="1D97A0B1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Sex, age, weight, </w:t>
            </w:r>
            <w:proofErr w:type="spellStart"/>
            <w:r w:rsidRPr="00B46C75">
              <w:rPr>
                <w:rFonts w:ascii="Arial" w:eastAsia="Aptos" w:hAnsi="Arial" w:cs="Arial"/>
              </w:rPr>
              <w:t>SCr</w:t>
            </w:r>
            <w:proofErr w:type="spellEnd"/>
            <w:r w:rsidRPr="00B46C75">
              <w:rPr>
                <w:rFonts w:ascii="Arial" w:eastAsia="Aptos" w:hAnsi="Arial" w:cs="Arial"/>
              </w:rPr>
              <w:t>, dosing interval total daily dose</w:t>
            </w:r>
          </w:p>
        </w:tc>
        <w:tc>
          <w:tcPr>
            <w:tcW w:w="0" w:type="auto"/>
          </w:tcPr>
          <w:p w14:paraId="5CFC659D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10-fold cross-validation; internal train/</w:t>
            </w:r>
            <w:proofErr w:type="spellStart"/>
            <w:r w:rsidRPr="00B46C75">
              <w:rPr>
                <w:rFonts w:ascii="Arial" w:eastAsia="Aptos" w:hAnsi="Arial" w:cs="Arial"/>
              </w:rPr>
              <w:t>val</w:t>
            </w:r>
            <w:proofErr w:type="spellEnd"/>
            <w:r w:rsidRPr="00B46C75">
              <w:rPr>
                <w:rFonts w:ascii="Arial" w:eastAsia="Aptos" w:hAnsi="Arial" w:cs="Arial"/>
              </w:rPr>
              <w:t>/test</w:t>
            </w:r>
          </w:p>
        </w:tc>
        <w:tc>
          <w:tcPr>
            <w:tcW w:w="0" w:type="auto"/>
          </w:tcPr>
          <w:p w14:paraId="59D32488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Accuracy, Sensitivity, Specificity, AUC-ROC, FPR</w:t>
            </w:r>
          </w:p>
        </w:tc>
        <w:tc>
          <w:tcPr>
            <w:tcW w:w="0" w:type="auto"/>
          </w:tcPr>
          <w:p w14:paraId="142D4FD9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Prior ML studies (Hu 2007, Ho 2011)</w:t>
            </w:r>
          </w:p>
        </w:tc>
        <w:tc>
          <w:tcPr>
            <w:tcW w:w="0" w:type="auto"/>
          </w:tcPr>
          <w:p w14:paraId="295CF487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  <w:i/>
                <w:iCs/>
              </w:rPr>
              <w:t>Model classifies regimen “suitability” (not numeric dose).</w:t>
            </w:r>
          </w:p>
        </w:tc>
      </w:tr>
      <w:tr w:rsidR="000E65C6" w:rsidRPr="00B46C75" w14:paraId="4C7A67B9" w14:textId="77777777" w:rsidTr="009E2C56">
        <w:tc>
          <w:tcPr>
            <w:tcW w:w="0" w:type="auto"/>
          </w:tcPr>
          <w:p w14:paraId="00488175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Hu et al., 2025</w:t>
            </w:r>
          </w:p>
        </w:tc>
        <w:tc>
          <w:tcPr>
            <w:tcW w:w="0" w:type="auto"/>
          </w:tcPr>
          <w:p w14:paraId="789B1515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China </w:t>
            </w:r>
          </w:p>
        </w:tc>
        <w:tc>
          <w:tcPr>
            <w:tcW w:w="0" w:type="auto"/>
          </w:tcPr>
          <w:p w14:paraId="7084AD94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Retrospective</w:t>
            </w:r>
          </w:p>
        </w:tc>
        <w:tc>
          <w:tcPr>
            <w:tcW w:w="1476" w:type="dxa"/>
          </w:tcPr>
          <w:p w14:paraId="2D040505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546 patients (446 train; 100 external test)</w:t>
            </w:r>
          </w:p>
        </w:tc>
        <w:tc>
          <w:tcPr>
            <w:tcW w:w="2051" w:type="dxa"/>
          </w:tcPr>
          <w:p w14:paraId="0E416D35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Random Forest (regression &amp; classification)</w:t>
            </w:r>
          </w:p>
        </w:tc>
        <w:tc>
          <w:tcPr>
            <w:tcW w:w="1017" w:type="dxa"/>
          </w:tcPr>
          <w:p w14:paraId="7F073C4D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Steady-state trough concentration (regression); also classify trough </w:t>
            </w:r>
            <w:r w:rsidRPr="00B46C75">
              <w:rPr>
                <w:rFonts w:ascii="Arial" w:eastAsia="Aptos" w:hAnsi="Arial" w:cs="Arial"/>
              </w:rPr>
              <w:lastRenderedPageBreak/>
              <w:t>10–20 µg/mL</w:t>
            </w:r>
          </w:p>
        </w:tc>
        <w:tc>
          <w:tcPr>
            <w:tcW w:w="0" w:type="auto"/>
          </w:tcPr>
          <w:p w14:paraId="53A16310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proofErr w:type="spellStart"/>
            <w:r w:rsidRPr="00B46C75">
              <w:rPr>
                <w:rFonts w:ascii="Arial" w:eastAsia="Aptos" w:hAnsi="Arial" w:cs="Arial"/>
              </w:rPr>
              <w:lastRenderedPageBreak/>
              <w:t>CrCl</w:t>
            </w:r>
            <w:proofErr w:type="spellEnd"/>
            <w:r w:rsidRPr="00B46C75">
              <w:rPr>
                <w:rFonts w:ascii="Arial" w:eastAsia="Aptos" w:hAnsi="Arial" w:cs="Arial"/>
              </w:rPr>
              <w:t>, CRP, BNP, HDL-C, prior 48h vancomycin dose</w:t>
            </w:r>
          </w:p>
        </w:tc>
        <w:tc>
          <w:tcPr>
            <w:tcW w:w="0" w:type="auto"/>
          </w:tcPr>
          <w:p w14:paraId="716237D9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Internal train/test split; external validation</w:t>
            </w:r>
          </w:p>
        </w:tc>
        <w:tc>
          <w:tcPr>
            <w:tcW w:w="0" w:type="auto"/>
          </w:tcPr>
          <w:p w14:paraId="60057445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 (corr.), Accuracy, AUC-ROC</w:t>
            </w:r>
          </w:p>
        </w:tc>
        <w:tc>
          <w:tcPr>
            <w:tcW w:w="0" w:type="auto"/>
          </w:tcPr>
          <w:p w14:paraId="4C4A5F65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Bayesian </w:t>
            </w:r>
            <w:proofErr w:type="spellStart"/>
            <w:r w:rsidRPr="00B46C75">
              <w:rPr>
                <w:rFonts w:ascii="Arial" w:eastAsia="Aptos" w:hAnsi="Arial" w:cs="Arial"/>
              </w:rPr>
              <w:t>PopPK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model</w:t>
            </w:r>
          </w:p>
        </w:tc>
        <w:tc>
          <w:tcPr>
            <w:tcW w:w="0" w:type="auto"/>
          </w:tcPr>
          <w:p w14:paraId="5C3A87D9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Focus on predicting steady-state trough concentration.</w:t>
            </w:r>
          </w:p>
        </w:tc>
      </w:tr>
      <w:tr w:rsidR="000E65C6" w:rsidRPr="00B46C75" w14:paraId="4A2E6A8E" w14:textId="77777777" w:rsidTr="009E2C56">
        <w:tc>
          <w:tcPr>
            <w:tcW w:w="0" w:type="auto"/>
          </w:tcPr>
          <w:p w14:paraId="0EEA0086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Huang et al., 2021</w:t>
            </w:r>
          </w:p>
        </w:tc>
        <w:tc>
          <w:tcPr>
            <w:tcW w:w="0" w:type="auto"/>
          </w:tcPr>
          <w:p w14:paraId="4222BFC3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China</w:t>
            </w:r>
          </w:p>
        </w:tc>
        <w:tc>
          <w:tcPr>
            <w:tcW w:w="0" w:type="auto"/>
          </w:tcPr>
          <w:p w14:paraId="4A2386B0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Retrospective cohort</w:t>
            </w:r>
          </w:p>
        </w:tc>
        <w:tc>
          <w:tcPr>
            <w:tcW w:w="1476" w:type="dxa"/>
          </w:tcPr>
          <w:p w14:paraId="4FF2E886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184 patients (derivation/training and validation cohorts)</w:t>
            </w:r>
          </w:p>
        </w:tc>
        <w:tc>
          <w:tcPr>
            <w:tcW w:w="2051" w:type="dxa"/>
          </w:tcPr>
          <w:p w14:paraId="34CF4DAC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proofErr w:type="spellStart"/>
            <w:r w:rsidRPr="00B46C75">
              <w:rPr>
                <w:rFonts w:ascii="Arial" w:eastAsia="Aptos" w:hAnsi="Arial" w:cs="Arial"/>
              </w:rPr>
              <w:t>XGBoost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(regression)</w:t>
            </w:r>
          </w:p>
        </w:tc>
        <w:tc>
          <w:tcPr>
            <w:tcW w:w="1017" w:type="dxa"/>
          </w:tcPr>
          <w:p w14:paraId="0FE39608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Maintenance dose (mg/day) to achieve trough 10–20 g/mL</w:t>
            </w:r>
          </w:p>
        </w:tc>
        <w:tc>
          <w:tcPr>
            <w:tcW w:w="0" w:type="auto"/>
          </w:tcPr>
          <w:p w14:paraId="28FF5C84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Age, weight, gender, </w:t>
            </w:r>
            <w:proofErr w:type="spellStart"/>
            <w:r w:rsidRPr="00B46C75">
              <w:rPr>
                <w:rFonts w:ascii="Arial" w:eastAsia="Aptos" w:hAnsi="Arial" w:cs="Arial"/>
              </w:rPr>
              <w:t>SCr</w:t>
            </w:r>
            <w:proofErr w:type="spellEnd"/>
            <w:r w:rsidRPr="00B46C75">
              <w:rPr>
                <w:rFonts w:ascii="Arial" w:eastAsia="Aptos" w:hAnsi="Arial" w:cs="Arial"/>
              </w:rPr>
              <w:t>, co-medications, lab results (WBC, RBC, PLT, HCT, Hb, NEU%, LYM%, UA, BUN, TBIL, DBIL, TP, AST, ALT, PCT, CRP), 2</w:t>
            </w:r>
            <w:r w:rsidRPr="00B46C75">
              <w:rPr>
                <w:rFonts w:ascii="Arial" w:eastAsia="Aptos" w:hAnsi="Arial" w:cs="Arial"/>
                <w:vertAlign w:val="superscript"/>
              </w:rPr>
              <w:t>nd</w:t>
            </w:r>
            <w:r w:rsidRPr="00B46C75">
              <w:rPr>
                <w:rFonts w:ascii="Arial" w:eastAsia="Aptos" w:hAnsi="Arial" w:cs="Arial"/>
              </w:rPr>
              <w:t xml:space="preserve"> order interactions</w:t>
            </w:r>
          </w:p>
        </w:tc>
        <w:tc>
          <w:tcPr>
            <w:tcW w:w="0" w:type="auto"/>
          </w:tcPr>
          <w:p w14:paraId="678D02DA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Internal validation (held-out cohort); subgroup analysis</w:t>
            </w:r>
          </w:p>
        </w:tc>
        <w:tc>
          <w:tcPr>
            <w:tcW w:w="0" w:type="auto"/>
          </w:tcPr>
          <w:p w14:paraId="27B3494D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</w:t>
            </w:r>
            <w:r w:rsidRPr="00B46C75">
              <w:rPr>
                <w:rFonts w:ascii="Arial" w:eastAsia="Aptos" w:hAnsi="Arial" w:cs="Arial"/>
                <w:vertAlign w:val="superscript"/>
              </w:rPr>
              <w:t>2</w:t>
            </w:r>
            <w:r w:rsidRPr="00B46C75">
              <w:rPr>
                <w:rFonts w:ascii="Arial" w:eastAsia="Aptos" w:hAnsi="Arial" w:cs="Arial"/>
              </w:rPr>
              <w:t>, MAE, MSE, RMSE, ±20% ideal prediction, Under/Over prediction %</w:t>
            </w:r>
          </w:p>
        </w:tc>
        <w:tc>
          <w:tcPr>
            <w:tcW w:w="0" w:type="auto"/>
          </w:tcPr>
          <w:p w14:paraId="240FDC3A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Nomograms, conceptual Bayesian method</w:t>
            </w:r>
          </w:p>
        </w:tc>
        <w:tc>
          <w:tcPr>
            <w:tcW w:w="0" w:type="auto"/>
          </w:tcPr>
          <w:p w14:paraId="0F805AF7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Pediatric patients (&lt;14 y) were excluded; focus on “routine” therapeutic dose.</w:t>
            </w:r>
          </w:p>
        </w:tc>
      </w:tr>
      <w:tr w:rsidR="000E65C6" w:rsidRPr="00B46C75" w14:paraId="6E3D55A0" w14:textId="77777777" w:rsidTr="009E2C56">
        <w:tc>
          <w:tcPr>
            <w:tcW w:w="0" w:type="auto"/>
          </w:tcPr>
          <w:p w14:paraId="71BAA598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Kim et al., 2024</w:t>
            </w:r>
          </w:p>
        </w:tc>
        <w:tc>
          <w:tcPr>
            <w:tcW w:w="0" w:type="auto"/>
          </w:tcPr>
          <w:p w14:paraId="206FBA85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Korea </w:t>
            </w:r>
          </w:p>
        </w:tc>
        <w:tc>
          <w:tcPr>
            <w:tcW w:w="0" w:type="auto"/>
          </w:tcPr>
          <w:p w14:paraId="7953555B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Retrospective</w:t>
            </w:r>
          </w:p>
        </w:tc>
        <w:tc>
          <w:tcPr>
            <w:tcW w:w="1476" w:type="dxa"/>
          </w:tcPr>
          <w:p w14:paraId="0CFE8A7C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977 patients (train 879; test 98); External1: 1,429 (KNUH); External2: 2,394 (MIMIC-IV)</w:t>
            </w:r>
          </w:p>
        </w:tc>
        <w:tc>
          <w:tcPr>
            <w:tcW w:w="2051" w:type="dxa"/>
          </w:tcPr>
          <w:p w14:paraId="1C13656E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proofErr w:type="spellStart"/>
            <w:r w:rsidRPr="00B46C75">
              <w:rPr>
                <w:rFonts w:ascii="Arial" w:eastAsia="Aptos" w:hAnsi="Arial" w:cs="Arial"/>
              </w:rPr>
              <w:t>JointMLP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(100-layer MLP ensemble), </w:t>
            </w:r>
            <w:proofErr w:type="spellStart"/>
            <w:r w:rsidRPr="00B46C75">
              <w:rPr>
                <w:rFonts w:ascii="Arial" w:eastAsia="Aptos" w:hAnsi="Arial" w:cs="Arial"/>
              </w:rPr>
              <w:t>XGBoost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, </w:t>
            </w:r>
            <w:proofErr w:type="spellStart"/>
            <w:r w:rsidRPr="00B46C75">
              <w:rPr>
                <w:rFonts w:ascii="Arial" w:eastAsia="Aptos" w:hAnsi="Arial" w:cs="Arial"/>
              </w:rPr>
              <w:t>TabNet</w:t>
            </w:r>
            <w:proofErr w:type="spellEnd"/>
            <w:r w:rsidRPr="00B46C75">
              <w:rPr>
                <w:rFonts w:ascii="Arial" w:eastAsia="Aptos" w:hAnsi="Arial" w:cs="Arial"/>
              </w:rPr>
              <w:t>, deep MLP</w:t>
            </w:r>
          </w:p>
        </w:tc>
        <w:tc>
          <w:tcPr>
            <w:tcW w:w="1017" w:type="dxa"/>
          </w:tcPr>
          <w:p w14:paraId="2F26F126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Vancomycin TDM trough level (continuous)</w:t>
            </w:r>
          </w:p>
        </w:tc>
        <w:tc>
          <w:tcPr>
            <w:tcW w:w="0" w:type="auto"/>
          </w:tcPr>
          <w:p w14:paraId="03FDFD86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Total dose, loading dose flag, number of infusions, dose per infusion, mean infusion interval, time to measurement, age, sex, height, weight, </w:t>
            </w:r>
            <w:proofErr w:type="spellStart"/>
            <w:r w:rsidRPr="00B46C75">
              <w:rPr>
                <w:rFonts w:ascii="Arial" w:eastAsia="Aptos" w:hAnsi="Arial" w:cs="Arial"/>
              </w:rPr>
              <w:t>SCr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, </w:t>
            </w:r>
            <w:r w:rsidRPr="00B46C75">
              <w:rPr>
                <w:rFonts w:ascii="Arial" w:eastAsia="Aptos" w:hAnsi="Arial" w:cs="Arial"/>
              </w:rPr>
              <w:lastRenderedPageBreak/>
              <w:t>dialysis status, transfusion volume, eGFR (CKD-EPI)</w:t>
            </w:r>
          </w:p>
        </w:tc>
        <w:tc>
          <w:tcPr>
            <w:tcW w:w="0" w:type="auto"/>
          </w:tcPr>
          <w:p w14:paraId="41F3B26E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>10-fold CV; internal train/test; external validation (KNUH and MIMIC-IV)</w:t>
            </w:r>
          </w:p>
        </w:tc>
        <w:tc>
          <w:tcPr>
            <w:tcW w:w="0" w:type="auto"/>
          </w:tcPr>
          <w:p w14:paraId="3D10FB01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  <w:vertAlign w:val="superscript"/>
              </w:rPr>
            </w:pPr>
            <w:r w:rsidRPr="00B46C75">
              <w:rPr>
                <w:rFonts w:ascii="Arial" w:eastAsia="Aptos" w:hAnsi="Arial" w:cs="Arial"/>
              </w:rPr>
              <w:t>MAE, RMSE, R</w:t>
            </w:r>
            <w:r w:rsidRPr="00B46C75">
              <w:rPr>
                <w:rFonts w:ascii="Arial" w:eastAsia="Aptos" w:hAnsi="Arial" w:cs="Arial"/>
                <w:vertAlign w:val="superscript"/>
              </w:rPr>
              <w:t>2</w:t>
            </w:r>
            <w:r w:rsidRPr="00B46C75">
              <w:rPr>
                <w:rFonts w:ascii="Arial" w:eastAsia="Aptos" w:hAnsi="Arial" w:cs="Arial"/>
              </w:rPr>
              <w:t>, adjusted R</w:t>
            </w:r>
            <w:r w:rsidRPr="00B46C75">
              <w:rPr>
                <w:rFonts w:ascii="Arial" w:eastAsia="Aptos" w:hAnsi="Arial" w:cs="Arial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F7A356C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proofErr w:type="spellStart"/>
            <w:r w:rsidRPr="00B46C75">
              <w:rPr>
                <w:rFonts w:ascii="Arial" w:eastAsia="Calibri" w:hAnsi="Arial" w:cs="Arial"/>
              </w:rPr>
              <w:t>PopPK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model</w:t>
            </w:r>
          </w:p>
        </w:tc>
        <w:tc>
          <w:tcPr>
            <w:tcW w:w="0" w:type="auto"/>
          </w:tcPr>
          <w:p w14:paraId="1E6044D5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Critically ill adult patients (≥18 y); model predicts </w:t>
            </w:r>
            <w:r w:rsidRPr="00B46C75">
              <w:rPr>
                <w:rFonts w:ascii="Arial" w:eastAsia="Aptos" w:hAnsi="Arial" w:cs="Arial"/>
              </w:rPr>
              <w:lastRenderedPageBreak/>
              <w:t>trough levels.</w:t>
            </w:r>
          </w:p>
        </w:tc>
      </w:tr>
      <w:tr w:rsidR="000E65C6" w:rsidRPr="00B46C75" w14:paraId="714C7927" w14:textId="77777777" w:rsidTr="009E2C56">
        <w:tc>
          <w:tcPr>
            <w:tcW w:w="0" w:type="auto"/>
          </w:tcPr>
          <w:p w14:paraId="420AC872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>Lee et al., 2025</w:t>
            </w:r>
          </w:p>
        </w:tc>
        <w:tc>
          <w:tcPr>
            <w:tcW w:w="0" w:type="auto"/>
          </w:tcPr>
          <w:p w14:paraId="32B897DB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Korea</w:t>
            </w:r>
          </w:p>
        </w:tc>
        <w:tc>
          <w:tcPr>
            <w:tcW w:w="0" w:type="auto"/>
          </w:tcPr>
          <w:p w14:paraId="6EA6693F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Retrospective</w:t>
            </w:r>
          </w:p>
        </w:tc>
        <w:tc>
          <w:tcPr>
            <w:tcW w:w="1476" w:type="dxa"/>
          </w:tcPr>
          <w:p w14:paraId="01209B0A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205 </w:t>
            </w:r>
            <w:proofErr w:type="gramStart"/>
            <w:r w:rsidRPr="00B46C75">
              <w:rPr>
                <w:rFonts w:ascii="Arial" w:eastAsia="Aptos" w:hAnsi="Arial" w:cs="Arial"/>
              </w:rPr>
              <w:t>patients</w:t>
            </w:r>
            <w:proofErr w:type="gramEnd"/>
            <w:r w:rsidRPr="00B46C75">
              <w:rPr>
                <w:rFonts w:ascii="Arial" w:eastAsia="Aptos" w:hAnsi="Arial" w:cs="Arial"/>
              </w:rPr>
              <w:t xml:space="preserve"> train; 44 internal validation; 35 external validation</w:t>
            </w:r>
          </w:p>
        </w:tc>
        <w:tc>
          <w:tcPr>
            <w:tcW w:w="2051" w:type="dxa"/>
          </w:tcPr>
          <w:p w14:paraId="5AE87991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RF, </w:t>
            </w:r>
            <w:proofErr w:type="spellStart"/>
            <w:r w:rsidRPr="00B46C75">
              <w:rPr>
                <w:rFonts w:ascii="Arial" w:eastAsia="Aptos" w:hAnsi="Arial" w:cs="Arial"/>
              </w:rPr>
              <w:t>XGBoost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, </w:t>
            </w:r>
            <w:proofErr w:type="spellStart"/>
            <w:r w:rsidRPr="00B46C75">
              <w:rPr>
                <w:rFonts w:ascii="Arial" w:eastAsia="Aptos" w:hAnsi="Arial" w:cs="Arial"/>
              </w:rPr>
              <w:t>LightGBM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, </w:t>
            </w:r>
            <w:proofErr w:type="spellStart"/>
            <w:r w:rsidRPr="00B46C75">
              <w:rPr>
                <w:rFonts w:ascii="Arial" w:eastAsia="Aptos" w:hAnsi="Arial" w:cs="Arial"/>
              </w:rPr>
              <w:t>CatBoost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, </w:t>
            </w:r>
            <w:proofErr w:type="spellStart"/>
            <w:r w:rsidRPr="00B46C75">
              <w:rPr>
                <w:rFonts w:ascii="Arial" w:eastAsia="Aptos" w:hAnsi="Arial" w:cs="Arial"/>
              </w:rPr>
              <w:t>ExtraTrees</w:t>
            </w:r>
            <w:proofErr w:type="spellEnd"/>
            <w:r w:rsidRPr="00B46C75">
              <w:rPr>
                <w:rFonts w:ascii="Arial" w:eastAsia="Aptos" w:hAnsi="Arial" w:cs="Arial"/>
              </w:rPr>
              <w:t>, SVR, voting ensemble</w:t>
            </w:r>
          </w:p>
        </w:tc>
        <w:tc>
          <w:tcPr>
            <w:tcW w:w="1017" w:type="dxa"/>
          </w:tcPr>
          <w:p w14:paraId="238C8C97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Initial dose (mg/day) to achieve AUC 400–600 </w:t>
            </w:r>
            <w:proofErr w:type="spellStart"/>
            <w:r w:rsidRPr="00B46C75">
              <w:rPr>
                <w:rFonts w:ascii="Arial" w:eastAsia="Aptos" w:hAnsi="Arial" w:cs="Arial"/>
              </w:rPr>
              <w:t>mg·h</w:t>
            </w:r>
            <w:proofErr w:type="spellEnd"/>
            <w:r w:rsidRPr="00B46C75">
              <w:rPr>
                <w:rFonts w:ascii="Arial" w:eastAsia="Aptos" w:hAnsi="Arial" w:cs="Arial"/>
              </w:rPr>
              <w:t>/L</w:t>
            </w:r>
          </w:p>
        </w:tc>
        <w:tc>
          <w:tcPr>
            <w:tcW w:w="0" w:type="auto"/>
          </w:tcPr>
          <w:p w14:paraId="61FA44C9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Sex, age, weight, height, BMI, ICU admission, lab tests (WBC, RBC, HCT, Hb, PLT, CRP, eGFR (MDRD), BUN, </w:t>
            </w:r>
            <w:proofErr w:type="spellStart"/>
            <w:r w:rsidRPr="00B46C75">
              <w:rPr>
                <w:rFonts w:ascii="Arial" w:eastAsia="Aptos" w:hAnsi="Arial" w:cs="Arial"/>
              </w:rPr>
              <w:t>SCr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, albumin, TP, UA), medications (NSAIDs, ARB, </w:t>
            </w:r>
            <w:proofErr w:type="spellStart"/>
            <w:r w:rsidRPr="00B46C75">
              <w:rPr>
                <w:rFonts w:ascii="Arial" w:eastAsia="Aptos" w:hAnsi="Arial" w:cs="Arial"/>
              </w:rPr>
              <w:t>ACEi</w:t>
            </w:r>
            <w:proofErr w:type="spellEnd"/>
            <w:r w:rsidRPr="00B46C75">
              <w:rPr>
                <w:rFonts w:ascii="Arial" w:eastAsia="Aptos" w:hAnsi="Arial" w:cs="Arial"/>
              </w:rPr>
              <w:t>, diuretics, vasopressors, β-lactams, aminoglycosides, TZP, antifungals, quinolones)</w:t>
            </w:r>
          </w:p>
        </w:tc>
        <w:tc>
          <w:tcPr>
            <w:tcW w:w="0" w:type="auto"/>
          </w:tcPr>
          <w:p w14:paraId="592DBB3E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5-fold CV; internal and external validation</w:t>
            </w:r>
          </w:p>
        </w:tc>
        <w:tc>
          <w:tcPr>
            <w:tcW w:w="0" w:type="auto"/>
          </w:tcPr>
          <w:p w14:paraId="4A752CC3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MSE, RMSE, R</w:t>
            </w:r>
            <w:r w:rsidRPr="00B46C75">
              <w:rPr>
                <w:rFonts w:ascii="Arial" w:eastAsia="Aptos" w:hAnsi="Arial" w:cs="Arial"/>
                <w:vertAlign w:val="superscript"/>
              </w:rPr>
              <w:t>2</w:t>
            </w:r>
            <w:r w:rsidRPr="00B46C75">
              <w:rPr>
                <w:rFonts w:ascii="Arial" w:eastAsia="Aptos" w:hAnsi="Arial" w:cs="Arial"/>
              </w:rPr>
              <w:t>, ±20% accuracy of dose</w:t>
            </w:r>
          </w:p>
        </w:tc>
        <w:tc>
          <w:tcPr>
            <w:tcW w:w="0" w:type="auto"/>
          </w:tcPr>
          <w:p w14:paraId="0C431C9E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None reported (focus contrasts trough models)</w:t>
            </w:r>
          </w:p>
        </w:tc>
        <w:tc>
          <w:tcPr>
            <w:tcW w:w="0" w:type="auto"/>
          </w:tcPr>
          <w:p w14:paraId="05ADA2D5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Excluded dialysis and non-target AUC/MIC patients; emphasizes AUC-guided dosing.</w:t>
            </w:r>
          </w:p>
        </w:tc>
      </w:tr>
      <w:tr w:rsidR="000E65C6" w:rsidRPr="00B46C75" w14:paraId="6ECEE445" w14:textId="77777777" w:rsidTr="009E2C56">
        <w:tc>
          <w:tcPr>
            <w:tcW w:w="0" w:type="auto"/>
          </w:tcPr>
          <w:p w14:paraId="1DD0BAB7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Ma et al., 2024</w:t>
            </w:r>
          </w:p>
        </w:tc>
        <w:tc>
          <w:tcPr>
            <w:tcW w:w="0" w:type="auto"/>
          </w:tcPr>
          <w:p w14:paraId="6B97C789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China</w:t>
            </w:r>
          </w:p>
        </w:tc>
        <w:tc>
          <w:tcPr>
            <w:tcW w:w="0" w:type="auto"/>
          </w:tcPr>
          <w:p w14:paraId="38CEB06E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Retrospective</w:t>
            </w:r>
          </w:p>
        </w:tc>
        <w:tc>
          <w:tcPr>
            <w:tcW w:w="1476" w:type="dxa"/>
          </w:tcPr>
          <w:p w14:paraId="6C5347E5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383 TDM measurements (245 elderly pts; 306 train; 77 test); external validation </w:t>
            </w:r>
            <w:r w:rsidRPr="00B46C75">
              <w:rPr>
                <w:rFonts w:ascii="Arial" w:eastAsia="Aptos" w:hAnsi="Arial" w:cs="Arial"/>
              </w:rPr>
              <w:lastRenderedPageBreak/>
              <w:t>(3 small cohorts: n=27,40,25)</w:t>
            </w:r>
          </w:p>
        </w:tc>
        <w:tc>
          <w:tcPr>
            <w:tcW w:w="2051" w:type="dxa"/>
          </w:tcPr>
          <w:p w14:paraId="51FA1786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 xml:space="preserve">Various (SVR, </w:t>
            </w:r>
            <w:proofErr w:type="spellStart"/>
            <w:r w:rsidRPr="00B46C75">
              <w:rPr>
                <w:rFonts w:ascii="Arial" w:eastAsia="Aptos" w:hAnsi="Arial" w:cs="Arial"/>
              </w:rPr>
              <w:t>LightGBM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, </w:t>
            </w:r>
            <w:proofErr w:type="spellStart"/>
            <w:r w:rsidRPr="00B46C75">
              <w:rPr>
                <w:rFonts w:ascii="Arial" w:eastAsia="Aptos" w:hAnsi="Arial" w:cs="Arial"/>
              </w:rPr>
              <w:t>CatBoost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, GBRT, </w:t>
            </w:r>
            <w:proofErr w:type="spellStart"/>
            <w:r w:rsidRPr="00B46C75">
              <w:rPr>
                <w:rFonts w:ascii="Arial" w:eastAsia="Aptos" w:hAnsi="Arial" w:cs="Arial"/>
              </w:rPr>
              <w:t>XGBoost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, RF, AdaBoost, Bagging, BPNN); final ensemble </w:t>
            </w:r>
            <w:r w:rsidRPr="00B46C75">
              <w:rPr>
                <w:rFonts w:ascii="Arial" w:eastAsia="Aptos" w:hAnsi="Arial" w:cs="Arial"/>
              </w:rPr>
              <w:lastRenderedPageBreak/>
              <w:t>(</w:t>
            </w:r>
            <w:proofErr w:type="spellStart"/>
            <w:proofErr w:type="gramStart"/>
            <w:r w:rsidRPr="00B46C75">
              <w:rPr>
                <w:rFonts w:ascii="Arial" w:eastAsia="Aptos" w:hAnsi="Arial" w:cs="Arial"/>
              </w:rPr>
              <w:t>SVR:LightGBM</w:t>
            </w:r>
            <w:proofErr w:type="gramEnd"/>
            <w:r w:rsidRPr="00B46C75">
              <w:rPr>
                <w:rFonts w:ascii="Arial" w:eastAsia="Aptos" w:hAnsi="Arial" w:cs="Arial"/>
              </w:rPr>
              <w:t>:CatBoost</w:t>
            </w:r>
            <w:proofErr w:type="spellEnd"/>
            <w:r w:rsidRPr="00B46C75">
              <w:rPr>
                <w:rFonts w:ascii="Arial" w:eastAsia="Aptos" w:hAnsi="Arial" w:cs="Arial"/>
              </w:rPr>
              <w:t>=6:3:1)</w:t>
            </w:r>
          </w:p>
        </w:tc>
        <w:tc>
          <w:tcPr>
            <w:tcW w:w="1017" w:type="dxa"/>
          </w:tcPr>
          <w:p w14:paraId="026548EC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>Vancomycin plasma concentration (mg/L)</w:t>
            </w:r>
          </w:p>
        </w:tc>
        <w:tc>
          <w:tcPr>
            <w:tcW w:w="0" w:type="auto"/>
          </w:tcPr>
          <w:p w14:paraId="02AB4607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Clearance, total daily dose, time since last dose, treatment duration, </w:t>
            </w:r>
            <w:proofErr w:type="spellStart"/>
            <w:r w:rsidRPr="00B46C75">
              <w:rPr>
                <w:rFonts w:ascii="Arial" w:eastAsia="Aptos" w:hAnsi="Arial" w:cs="Arial"/>
              </w:rPr>
              <w:t>SCr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, dialysis flag, respiratory failure, single-dose amount, uric acid, </w:t>
            </w:r>
            <w:r w:rsidRPr="00B46C75">
              <w:rPr>
                <w:rFonts w:ascii="Arial" w:eastAsia="Aptos" w:hAnsi="Arial" w:cs="Arial"/>
              </w:rPr>
              <w:lastRenderedPageBreak/>
              <w:t xml:space="preserve">hemoglobin, age, SOFA score, volume of distribution, total protein, ALT, cystatin-C (includes </w:t>
            </w:r>
            <w:proofErr w:type="spellStart"/>
            <w:r w:rsidRPr="00B46C75">
              <w:rPr>
                <w:rFonts w:ascii="Arial" w:eastAsia="Aptos" w:hAnsi="Arial" w:cs="Arial"/>
              </w:rPr>
              <w:t>PopPK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parameters)</w:t>
            </w:r>
          </w:p>
        </w:tc>
        <w:tc>
          <w:tcPr>
            <w:tcW w:w="0" w:type="auto"/>
          </w:tcPr>
          <w:p w14:paraId="7FAA282C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>5-fold CV; internal train/test; external validation (3 clinical sets)</w:t>
            </w:r>
          </w:p>
        </w:tc>
        <w:tc>
          <w:tcPr>
            <w:tcW w:w="0" w:type="auto"/>
          </w:tcPr>
          <w:p w14:paraId="3DD42893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</w:t>
            </w:r>
            <w:r w:rsidRPr="00B46C75">
              <w:rPr>
                <w:rFonts w:ascii="Arial" w:eastAsia="Aptos" w:hAnsi="Arial" w:cs="Arial"/>
                <w:vertAlign w:val="superscript"/>
              </w:rPr>
              <w:t>2</w:t>
            </w:r>
            <w:r w:rsidRPr="00B46C75">
              <w:rPr>
                <w:rFonts w:ascii="Arial" w:eastAsia="Aptos" w:hAnsi="Arial" w:cs="Arial"/>
              </w:rPr>
              <w:t>, MSE, MAE, ±5 mg/L accuracy, ±30% accuracy</w:t>
            </w:r>
          </w:p>
        </w:tc>
        <w:tc>
          <w:tcPr>
            <w:tcW w:w="0" w:type="auto"/>
          </w:tcPr>
          <w:p w14:paraId="0F2566B2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proofErr w:type="spellStart"/>
            <w:r w:rsidRPr="00B46C75">
              <w:rPr>
                <w:rFonts w:ascii="Arial" w:eastAsia="Aptos" w:hAnsi="Arial" w:cs="Arial"/>
              </w:rPr>
              <w:t>PopPK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model, reduced model (ML w/o </w:t>
            </w:r>
            <w:proofErr w:type="spellStart"/>
            <w:r w:rsidRPr="00B46C75">
              <w:rPr>
                <w:rFonts w:ascii="Arial" w:eastAsia="Aptos" w:hAnsi="Arial" w:cs="Arial"/>
              </w:rPr>
              <w:lastRenderedPageBreak/>
              <w:t>popPK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features)</w:t>
            </w:r>
          </w:p>
        </w:tc>
        <w:tc>
          <w:tcPr>
            <w:tcW w:w="0" w:type="auto"/>
          </w:tcPr>
          <w:p w14:paraId="28E18598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 xml:space="preserve">Elderly patients (≥65 y) only; integrates ML with </w:t>
            </w:r>
            <w:proofErr w:type="spellStart"/>
            <w:r w:rsidRPr="00B46C75">
              <w:rPr>
                <w:rFonts w:ascii="Arial" w:eastAsia="Aptos" w:hAnsi="Arial" w:cs="Arial"/>
              </w:rPr>
              <w:lastRenderedPageBreak/>
              <w:t>popPK</w:t>
            </w:r>
            <w:proofErr w:type="spellEnd"/>
            <w:r w:rsidRPr="00B46C75">
              <w:rPr>
                <w:rFonts w:ascii="Arial" w:eastAsia="Aptos" w:hAnsi="Arial" w:cs="Arial"/>
              </w:rPr>
              <w:t>-derived features.</w:t>
            </w:r>
          </w:p>
        </w:tc>
      </w:tr>
      <w:tr w:rsidR="000E65C6" w:rsidRPr="00B46C75" w14:paraId="6FD3C7F5" w14:textId="77777777" w:rsidTr="009E2C56">
        <w:tc>
          <w:tcPr>
            <w:tcW w:w="0" w:type="auto"/>
          </w:tcPr>
          <w:p w14:paraId="121812EC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proofErr w:type="spellStart"/>
            <w:r w:rsidRPr="00B46C75">
              <w:rPr>
                <w:rFonts w:ascii="Arial" w:eastAsia="Aptos" w:hAnsi="Arial" w:cs="Arial"/>
              </w:rPr>
              <w:t>Matsuzaki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et al., 2022</w:t>
            </w:r>
          </w:p>
        </w:tc>
        <w:tc>
          <w:tcPr>
            <w:tcW w:w="0" w:type="auto"/>
          </w:tcPr>
          <w:p w14:paraId="409A91EB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Japan </w:t>
            </w:r>
          </w:p>
        </w:tc>
        <w:tc>
          <w:tcPr>
            <w:tcW w:w="0" w:type="auto"/>
          </w:tcPr>
          <w:p w14:paraId="04DCC854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Retrospective</w:t>
            </w:r>
          </w:p>
        </w:tc>
        <w:tc>
          <w:tcPr>
            <w:tcW w:w="1476" w:type="dxa"/>
          </w:tcPr>
          <w:p w14:paraId="24FDFDD5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106 cases in 97 patients (train 84; test 22)</w:t>
            </w:r>
          </w:p>
        </w:tc>
        <w:tc>
          <w:tcPr>
            <w:tcW w:w="2051" w:type="dxa"/>
          </w:tcPr>
          <w:p w14:paraId="3EFF9A83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Random Forest (classification)</w:t>
            </w:r>
          </w:p>
        </w:tc>
        <w:tc>
          <w:tcPr>
            <w:tcW w:w="1017" w:type="dxa"/>
          </w:tcPr>
          <w:p w14:paraId="6ED76E07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Expert-recommended initial dosing regimen (loading + maintenance) for trough 10–20 mg/L or AUC 400–600 </w:t>
            </w:r>
            <w:proofErr w:type="spellStart"/>
            <w:r w:rsidRPr="00B46C75">
              <w:rPr>
                <w:rFonts w:ascii="Arial" w:eastAsia="Aptos" w:hAnsi="Arial" w:cs="Arial"/>
              </w:rPr>
              <w:t>mg·h</w:t>
            </w:r>
            <w:proofErr w:type="spellEnd"/>
            <w:r w:rsidRPr="00B46C75">
              <w:rPr>
                <w:rFonts w:ascii="Arial" w:eastAsia="Aptos" w:hAnsi="Arial" w:cs="Arial"/>
              </w:rPr>
              <w:t>/L</w:t>
            </w:r>
          </w:p>
        </w:tc>
        <w:tc>
          <w:tcPr>
            <w:tcW w:w="0" w:type="auto"/>
          </w:tcPr>
          <w:p w14:paraId="59A4E599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Age, gender, body weight, BMI, </w:t>
            </w:r>
            <w:proofErr w:type="spellStart"/>
            <w:r w:rsidRPr="00B46C75">
              <w:rPr>
                <w:rFonts w:ascii="Arial" w:eastAsia="Aptos" w:hAnsi="Arial" w:cs="Arial"/>
              </w:rPr>
              <w:t>CrCl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</w:t>
            </w:r>
          </w:p>
        </w:tc>
        <w:tc>
          <w:tcPr>
            <w:tcW w:w="0" w:type="auto"/>
          </w:tcPr>
          <w:p w14:paraId="2608FD85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Internal test set validation</w:t>
            </w:r>
          </w:p>
        </w:tc>
        <w:tc>
          <w:tcPr>
            <w:tcW w:w="0" w:type="auto"/>
          </w:tcPr>
          <w:p w14:paraId="41F2901D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Accuracy (loading/maintenance dose), target attainment (trough 10–20, AUC 400–600)</w:t>
            </w:r>
          </w:p>
        </w:tc>
        <w:tc>
          <w:tcPr>
            <w:tcW w:w="0" w:type="auto"/>
          </w:tcPr>
          <w:p w14:paraId="118F763D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Prior ML (Imai 2020), Bayesian dosing software, AUC nomogram</w:t>
            </w:r>
          </w:p>
        </w:tc>
        <w:tc>
          <w:tcPr>
            <w:tcW w:w="0" w:type="auto"/>
          </w:tcPr>
          <w:p w14:paraId="47B7C37F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Emulates expert dosing decisions; small dataset.</w:t>
            </w:r>
          </w:p>
        </w:tc>
      </w:tr>
      <w:tr w:rsidR="000E65C6" w:rsidRPr="00B46C75" w14:paraId="2CC7F917" w14:textId="77777777" w:rsidTr="009E2C56">
        <w:tc>
          <w:tcPr>
            <w:tcW w:w="0" w:type="auto"/>
          </w:tcPr>
          <w:p w14:paraId="2AAB06A1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proofErr w:type="spellStart"/>
            <w:r w:rsidRPr="00B46C75">
              <w:rPr>
                <w:rFonts w:ascii="Arial" w:eastAsia="Aptos" w:hAnsi="Arial" w:cs="Arial"/>
              </w:rPr>
              <w:lastRenderedPageBreak/>
              <w:t>Miyai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et al., 2022</w:t>
            </w:r>
          </w:p>
        </w:tc>
        <w:tc>
          <w:tcPr>
            <w:tcW w:w="0" w:type="auto"/>
          </w:tcPr>
          <w:p w14:paraId="7E2A1571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Japan </w:t>
            </w:r>
          </w:p>
        </w:tc>
        <w:tc>
          <w:tcPr>
            <w:tcW w:w="0" w:type="auto"/>
          </w:tcPr>
          <w:p w14:paraId="2F8590C7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Retrospective</w:t>
            </w:r>
          </w:p>
        </w:tc>
        <w:tc>
          <w:tcPr>
            <w:tcW w:w="1476" w:type="dxa"/>
          </w:tcPr>
          <w:p w14:paraId="320FFE88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822 patients (661 train; 161 validation)</w:t>
            </w:r>
          </w:p>
        </w:tc>
        <w:tc>
          <w:tcPr>
            <w:tcW w:w="2051" w:type="dxa"/>
          </w:tcPr>
          <w:p w14:paraId="2AA471E3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Decision Tree (CART)</w:t>
            </w:r>
          </w:p>
        </w:tc>
        <w:tc>
          <w:tcPr>
            <w:tcW w:w="1017" w:type="dxa"/>
          </w:tcPr>
          <w:p w14:paraId="01B1DA13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Maintenance dose (mg/kg) to achieve AUC 400–600 </w:t>
            </w:r>
            <w:proofErr w:type="spellStart"/>
            <w:r w:rsidRPr="00B46C75">
              <w:rPr>
                <w:rFonts w:ascii="Arial" w:eastAsia="Aptos" w:hAnsi="Arial" w:cs="Arial"/>
              </w:rPr>
              <w:t>mg·h</w:t>
            </w:r>
            <w:proofErr w:type="spellEnd"/>
            <w:r w:rsidRPr="00B46C75">
              <w:rPr>
                <w:rFonts w:ascii="Arial" w:eastAsia="Aptos" w:hAnsi="Arial" w:cs="Arial"/>
              </w:rPr>
              <w:t>/L</w:t>
            </w:r>
          </w:p>
        </w:tc>
        <w:tc>
          <w:tcPr>
            <w:tcW w:w="0" w:type="auto"/>
          </w:tcPr>
          <w:p w14:paraId="1F07BEC1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eGFR, age, BMI ≥ 25 kg/m²</w:t>
            </w:r>
          </w:p>
        </w:tc>
        <w:tc>
          <w:tcPr>
            <w:tcW w:w="0" w:type="auto"/>
          </w:tcPr>
          <w:p w14:paraId="072DC045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Internal train/validation</w:t>
            </w:r>
          </w:p>
        </w:tc>
        <w:tc>
          <w:tcPr>
            <w:tcW w:w="0" w:type="auto"/>
          </w:tcPr>
          <w:p w14:paraId="0135CC7F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% of AUC &lt;400, 400–600, &gt;600 </w:t>
            </w:r>
            <w:proofErr w:type="spellStart"/>
            <w:r w:rsidRPr="00B46C75">
              <w:rPr>
                <w:rFonts w:ascii="Arial" w:eastAsia="Aptos" w:hAnsi="Arial" w:cs="Arial"/>
              </w:rPr>
              <w:t>mg·h</w:t>
            </w:r>
            <w:proofErr w:type="spellEnd"/>
            <w:r w:rsidRPr="00B46C75">
              <w:rPr>
                <w:rFonts w:ascii="Arial" w:eastAsia="Aptos" w:hAnsi="Arial" w:cs="Arial"/>
              </w:rPr>
              <w:t>/L, mean error of predicted AUC</w:t>
            </w:r>
          </w:p>
        </w:tc>
        <w:tc>
          <w:tcPr>
            <w:tcW w:w="0" w:type="auto"/>
          </w:tcPr>
          <w:p w14:paraId="07F2C4CF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Conventional nomograms (Oda et al., Thomson et al.)</w:t>
            </w:r>
          </w:p>
        </w:tc>
        <w:tc>
          <w:tcPr>
            <w:tcW w:w="0" w:type="auto"/>
          </w:tcPr>
          <w:p w14:paraId="0774F42C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Focus on AUC-guided dosing, limited feature set and Japanese-only population.</w:t>
            </w:r>
          </w:p>
        </w:tc>
      </w:tr>
      <w:tr w:rsidR="000E65C6" w:rsidRPr="00B46C75" w14:paraId="2C000B7C" w14:textId="77777777" w:rsidTr="009E2C56">
        <w:tc>
          <w:tcPr>
            <w:tcW w:w="0" w:type="auto"/>
          </w:tcPr>
          <w:p w14:paraId="0EABB2ED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proofErr w:type="spellStart"/>
            <w:r w:rsidRPr="00B46C75">
              <w:rPr>
                <w:rFonts w:ascii="Arial" w:eastAsia="Aptos" w:hAnsi="Arial" w:cs="Arial"/>
              </w:rPr>
              <w:t>Nigo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et al., 2022</w:t>
            </w:r>
          </w:p>
        </w:tc>
        <w:tc>
          <w:tcPr>
            <w:tcW w:w="0" w:type="auto"/>
          </w:tcPr>
          <w:p w14:paraId="6BFBD578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US </w:t>
            </w:r>
          </w:p>
        </w:tc>
        <w:tc>
          <w:tcPr>
            <w:tcW w:w="0" w:type="auto"/>
          </w:tcPr>
          <w:p w14:paraId="37395AF6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Retrospective</w:t>
            </w:r>
          </w:p>
        </w:tc>
        <w:tc>
          <w:tcPr>
            <w:tcW w:w="1476" w:type="dxa"/>
          </w:tcPr>
          <w:p w14:paraId="2E636310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5,483 patients (55,336 dose events); 70% train, 15% validation, 15% test by patient</w:t>
            </w:r>
          </w:p>
        </w:tc>
        <w:tc>
          <w:tcPr>
            <w:tcW w:w="2051" w:type="dxa"/>
          </w:tcPr>
          <w:p w14:paraId="35DC3288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PK-RNN-V (RNN with PK head; </w:t>
            </w:r>
            <w:proofErr w:type="gramStart"/>
            <w:r w:rsidRPr="00B46C75">
              <w:rPr>
                <w:rFonts w:ascii="Arial" w:eastAsia="Aptos" w:hAnsi="Arial" w:cs="Arial"/>
              </w:rPr>
              <w:t>also</w:t>
            </w:r>
            <w:proofErr w:type="gramEnd"/>
            <w:r w:rsidRPr="00B46C75">
              <w:rPr>
                <w:rFonts w:ascii="Arial" w:eastAsia="Aptos" w:hAnsi="Arial" w:cs="Arial"/>
              </w:rPr>
              <w:t xml:space="preserve"> ensemble variants including feedback)</w:t>
            </w:r>
          </w:p>
        </w:tc>
        <w:tc>
          <w:tcPr>
            <w:tcW w:w="1017" w:type="dxa"/>
          </w:tcPr>
          <w:p w14:paraId="5B8B5D74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Real-time vancomycin serum concentration (continuous)</w:t>
            </w:r>
          </w:p>
        </w:tc>
        <w:tc>
          <w:tcPr>
            <w:tcW w:w="0" w:type="auto"/>
          </w:tcPr>
          <w:p w14:paraId="0C8D0103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Basic demographics, </w:t>
            </w:r>
            <w:proofErr w:type="spellStart"/>
            <w:r w:rsidRPr="00B46C75">
              <w:rPr>
                <w:rFonts w:ascii="Arial" w:eastAsia="Aptos" w:hAnsi="Arial" w:cs="Arial"/>
              </w:rPr>
              <w:t>SCr</w:t>
            </w:r>
            <w:proofErr w:type="spellEnd"/>
            <w:r w:rsidRPr="00B46C75">
              <w:rPr>
                <w:rFonts w:ascii="Arial" w:eastAsia="Aptos" w:hAnsi="Arial" w:cs="Arial"/>
              </w:rPr>
              <w:t>, vital signs, lab results, concomitant medication classes</w:t>
            </w:r>
          </w:p>
        </w:tc>
        <w:tc>
          <w:tcPr>
            <w:tcW w:w="0" w:type="auto"/>
          </w:tcPr>
          <w:p w14:paraId="186C89B6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Internal train/validation/test; subgroup analyses</w:t>
            </w:r>
          </w:p>
        </w:tc>
        <w:tc>
          <w:tcPr>
            <w:tcW w:w="0" w:type="auto"/>
          </w:tcPr>
          <w:p w14:paraId="16EBD8BF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RMSE, MAE, MAPE</w:t>
            </w:r>
          </w:p>
        </w:tc>
        <w:tc>
          <w:tcPr>
            <w:tcW w:w="0" w:type="auto"/>
          </w:tcPr>
          <w:p w14:paraId="70E6D1C1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Bayesian TDM (VTDM model, with and without feedback)</w:t>
            </w:r>
          </w:p>
        </w:tc>
        <w:tc>
          <w:tcPr>
            <w:tcW w:w="0" w:type="auto"/>
          </w:tcPr>
          <w:p w14:paraId="6209C60F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Large diverse EHR dataset (adults); uses a one-compartment PK model.</w:t>
            </w:r>
          </w:p>
        </w:tc>
      </w:tr>
      <w:tr w:rsidR="000E65C6" w:rsidRPr="00B46C75" w14:paraId="4AEDB8E3" w14:textId="77777777" w:rsidTr="009E2C56">
        <w:tc>
          <w:tcPr>
            <w:tcW w:w="0" w:type="auto"/>
          </w:tcPr>
          <w:p w14:paraId="18C56C51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proofErr w:type="spellStart"/>
            <w:r w:rsidRPr="00B46C75">
              <w:rPr>
                <w:rFonts w:ascii="Arial" w:eastAsia="Aptos" w:hAnsi="Arial" w:cs="Arial"/>
              </w:rPr>
              <w:t>Tootooni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</w:t>
            </w:r>
            <w:r w:rsidRPr="00B46C75">
              <w:rPr>
                <w:rFonts w:ascii="Arial" w:eastAsia="Aptos" w:hAnsi="Arial" w:cs="Arial"/>
              </w:rPr>
              <w:lastRenderedPageBreak/>
              <w:t>et al., 2024</w:t>
            </w:r>
          </w:p>
        </w:tc>
        <w:tc>
          <w:tcPr>
            <w:tcW w:w="0" w:type="auto"/>
          </w:tcPr>
          <w:p w14:paraId="68D911DA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>USA</w:t>
            </w:r>
          </w:p>
        </w:tc>
        <w:tc>
          <w:tcPr>
            <w:tcW w:w="0" w:type="auto"/>
          </w:tcPr>
          <w:p w14:paraId="6A8EBB66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Retrospective</w:t>
            </w:r>
          </w:p>
        </w:tc>
        <w:tc>
          <w:tcPr>
            <w:tcW w:w="1476" w:type="dxa"/>
          </w:tcPr>
          <w:p w14:paraId="00B824C8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5,337 vancomyci</w:t>
            </w:r>
            <w:r w:rsidRPr="00B46C75">
              <w:rPr>
                <w:rFonts w:ascii="Arial" w:eastAsia="Aptos" w:hAnsi="Arial" w:cs="Arial"/>
              </w:rPr>
              <w:lastRenderedPageBreak/>
              <w:t>n courses (4,270 train; 1,067 test)</w:t>
            </w:r>
          </w:p>
        </w:tc>
        <w:tc>
          <w:tcPr>
            <w:tcW w:w="2051" w:type="dxa"/>
          </w:tcPr>
          <w:p w14:paraId="3367AF46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proofErr w:type="spellStart"/>
            <w:r w:rsidRPr="00B46C75">
              <w:rPr>
                <w:rFonts w:ascii="Arial" w:eastAsia="Aptos" w:hAnsi="Arial" w:cs="Arial"/>
              </w:rPr>
              <w:lastRenderedPageBreak/>
              <w:t>XGBoost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(classification/re</w:t>
            </w:r>
            <w:r w:rsidRPr="00B46C75">
              <w:rPr>
                <w:rFonts w:ascii="Arial" w:eastAsia="Aptos" w:hAnsi="Arial" w:cs="Arial"/>
              </w:rPr>
              <w:lastRenderedPageBreak/>
              <w:t>gression), Elastic Net, GBM regression</w:t>
            </w:r>
          </w:p>
        </w:tc>
        <w:tc>
          <w:tcPr>
            <w:tcW w:w="1017" w:type="dxa"/>
          </w:tcPr>
          <w:p w14:paraId="2BBBE720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>Risk of inappro</w:t>
            </w:r>
            <w:r w:rsidRPr="00B46C75">
              <w:rPr>
                <w:rFonts w:ascii="Arial" w:eastAsia="Aptos" w:hAnsi="Arial" w:cs="Arial"/>
              </w:rPr>
              <w:lastRenderedPageBreak/>
              <w:t>priate trough (&lt;10, 10–20, &gt;20 mg/L) (class), steady-state trough (regression)</w:t>
            </w:r>
          </w:p>
        </w:tc>
        <w:tc>
          <w:tcPr>
            <w:tcW w:w="0" w:type="auto"/>
          </w:tcPr>
          <w:p w14:paraId="629E7BAB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 xml:space="preserve">Age, sex, weight, height, BMI, </w:t>
            </w:r>
            <w:r w:rsidRPr="00B46C75">
              <w:rPr>
                <w:rFonts w:ascii="Arial" w:eastAsia="Aptos" w:hAnsi="Arial" w:cs="Arial"/>
              </w:rPr>
              <w:lastRenderedPageBreak/>
              <w:t>Charlson comorbidity score, baseline eGFR/</w:t>
            </w:r>
            <w:proofErr w:type="spellStart"/>
            <w:r w:rsidRPr="00B46C75">
              <w:rPr>
                <w:rFonts w:ascii="Arial" w:eastAsia="Aptos" w:hAnsi="Arial" w:cs="Arial"/>
              </w:rPr>
              <w:t>SCr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, vancomycin dose and interval, MAP, APACHE III/IV, SOFA, weight change, recent </w:t>
            </w:r>
            <w:proofErr w:type="spellStart"/>
            <w:r w:rsidRPr="00B46C75">
              <w:rPr>
                <w:rFonts w:ascii="Arial" w:eastAsia="Aptos" w:hAnsi="Arial" w:cs="Arial"/>
              </w:rPr>
              <w:t>SCr</w:t>
            </w:r>
            <w:proofErr w:type="spellEnd"/>
            <w:r w:rsidRPr="00B46C75">
              <w:rPr>
                <w:rFonts w:ascii="Arial" w:eastAsia="Aptos" w:hAnsi="Arial" w:cs="Arial"/>
              </w:rPr>
              <w:t>/eGFR/</w:t>
            </w:r>
            <w:proofErr w:type="spellStart"/>
            <w:r w:rsidRPr="00B46C75">
              <w:rPr>
                <w:rFonts w:ascii="Arial" w:eastAsia="Aptos" w:hAnsi="Arial" w:cs="Arial"/>
              </w:rPr>
              <w:t>KeGFR</w:t>
            </w:r>
            <w:proofErr w:type="spellEnd"/>
            <w:r w:rsidRPr="00B46C75">
              <w:rPr>
                <w:rFonts w:ascii="Arial" w:eastAsia="Aptos" w:hAnsi="Arial" w:cs="Arial"/>
              </w:rPr>
              <w:t>, ventilation status, ICU source/readmit, urine output status</w:t>
            </w:r>
          </w:p>
        </w:tc>
        <w:tc>
          <w:tcPr>
            <w:tcW w:w="0" w:type="auto"/>
          </w:tcPr>
          <w:p w14:paraId="74FB4ACA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 xml:space="preserve">Internal validation </w:t>
            </w:r>
            <w:r w:rsidRPr="00B46C75">
              <w:rPr>
                <w:rFonts w:ascii="Arial" w:eastAsia="Aptos" w:hAnsi="Arial" w:cs="Arial"/>
              </w:rPr>
              <w:lastRenderedPageBreak/>
              <w:t>(held-out test); sensitivity analyses</w:t>
            </w:r>
          </w:p>
        </w:tc>
        <w:tc>
          <w:tcPr>
            <w:tcW w:w="0" w:type="auto"/>
          </w:tcPr>
          <w:p w14:paraId="67710CAF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 xml:space="preserve">AUC-ROC, sensitivity, </w:t>
            </w:r>
            <w:r w:rsidRPr="00B46C75">
              <w:rPr>
                <w:rFonts w:ascii="Arial" w:eastAsia="Aptos" w:hAnsi="Arial" w:cs="Arial"/>
              </w:rPr>
              <w:lastRenderedPageBreak/>
              <w:t>specificity (class), MAE, R</w:t>
            </w:r>
            <w:r w:rsidRPr="00B46C75">
              <w:rPr>
                <w:rFonts w:ascii="Arial" w:eastAsia="Aptos" w:hAnsi="Arial" w:cs="Arial"/>
                <w:vertAlign w:val="superscript"/>
              </w:rPr>
              <w:t>2</w:t>
            </w:r>
            <w:r w:rsidRPr="00B46C75">
              <w:rPr>
                <w:rFonts w:ascii="Arial" w:eastAsia="Aptos" w:hAnsi="Arial" w:cs="Arial"/>
              </w:rPr>
              <w:t>, RMSE (reg), Hosmer–</w:t>
            </w:r>
            <w:proofErr w:type="spellStart"/>
            <w:r w:rsidRPr="00B46C75">
              <w:rPr>
                <w:rFonts w:ascii="Arial" w:eastAsia="Aptos" w:hAnsi="Arial" w:cs="Arial"/>
              </w:rPr>
              <w:t>Lemeshow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test</w:t>
            </w:r>
          </w:p>
        </w:tc>
        <w:tc>
          <w:tcPr>
            <w:tcW w:w="0" w:type="auto"/>
          </w:tcPr>
          <w:p w14:paraId="77008597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 xml:space="preserve">focused on </w:t>
            </w:r>
            <w:r w:rsidRPr="00B46C75">
              <w:rPr>
                <w:rFonts w:ascii="Arial" w:eastAsia="Aptos" w:hAnsi="Arial" w:cs="Arial"/>
              </w:rPr>
              <w:lastRenderedPageBreak/>
              <w:t>illustrating limits of current dosing</w:t>
            </w:r>
          </w:p>
        </w:tc>
        <w:tc>
          <w:tcPr>
            <w:tcW w:w="0" w:type="auto"/>
          </w:tcPr>
          <w:p w14:paraId="6A11E0E6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 xml:space="preserve">ICU adult </w:t>
            </w:r>
            <w:r w:rsidRPr="00B46C75">
              <w:rPr>
                <w:rFonts w:ascii="Arial" w:eastAsia="Aptos" w:hAnsi="Arial" w:cs="Arial"/>
              </w:rPr>
              <w:lastRenderedPageBreak/>
              <w:t>patients (≥18 y); AUC not modeled due to lack of data.</w:t>
            </w:r>
          </w:p>
        </w:tc>
      </w:tr>
      <w:tr w:rsidR="000E65C6" w:rsidRPr="00B46C75" w14:paraId="7FD2E5B0" w14:textId="77777777" w:rsidTr="009E2C56">
        <w:tc>
          <w:tcPr>
            <w:tcW w:w="0" w:type="auto"/>
          </w:tcPr>
          <w:p w14:paraId="1CDAB46F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Wang et al., 2022</w:t>
            </w:r>
          </w:p>
        </w:tc>
        <w:tc>
          <w:tcPr>
            <w:tcW w:w="0" w:type="auto"/>
          </w:tcPr>
          <w:p w14:paraId="0D48C33F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Singapore</w:t>
            </w:r>
          </w:p>
        </w:tc>
        <w:tc>
          <w:tcPr>
            <w:tcW w:w="0" w:type="auto"/>
          </w:tcPr>
          <w:p w14:paraId="3B76EEDA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Retrospective</w:t>
            </w:r>
          </w:p>
        </w:tc>
        <w:tc>
          <w:tcPr>
            <w:tcW w:w="1476" w:type="dxa"/>
          </w:tcPr>
          <w:p w14:paraId="5CB5E60E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2,282 patients (7,912 dosing records; 1,460/5,105 train; 366/1,164 </w:t>
            </w:r>
            <w:proofErr w:type="spellStart"/>
            <w:r w:rsidRPr="00B46C75">
              <w:rPr>
                <w:rFonts w:ascii="Arial" w:eastAsia="Aptos" w:hAnsi="Arial" w:cs="Arial"/>
              </w:rPr>
              <w:t>val</w:t>
            </w:r>
            <w:proofErr w:type="spellEnd"/>
            <w:r w:rsidRPr="00B46C75">
              <w:rPr>
                <w:rFonts w:ascii="Arial" w:eastAsia="Aptos" w:hAnsi="Arial" w:cs="Arial"/>
              </w:rPr>
              <w:t>; 456/1,643 test records)</w:t>
            </w:r>
          </w:p>
        </w:tc>
        <w:tc>
          <w:tcPr>
            <w:tcW w:w="2051" w:type="dxa"/>
          </w:tcPr>
          <w:p w14:paraId="49477E27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proofErr w:type="spellStart"/>
            <w:r w:rsidRPr="00B46C75">
              <w:rPr>
                <w:rFonts w:ascii="Arial" w:eastAsia="Aptos" w:hAnsi="Arial" w:cs="Arial"/>
              </w:rPr>
              <w:t>LightGBM</w:t>
            </w:r>
            <w:proofErr w:type="spellEnd"/>
          </w:p>
        </w:tc>
        <w:tc>
          <w:tcPr>
            <w:tcW w:w="1017" w:type="dxa"/>
          </w:tcPr>
          <w:p w14:paraId="56BF7A8E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Daily dose (mg/day) for initial and subsequent infusions to target trough 14–</w:t>
            </w:r>
            <w:r w:rsidRPr="00B46C75">
              <w:rPr>
                <w:rFonts w:ascii="Arial" w:eastAsia="Aptos" w:hAnsi="Arial" w:cs="Arial"/>
              </w:rPr>
              <w:lastRenderedPageBreak/>
              <w:t>20 µg/mL</w:t>
            </w:r>
          </w:p>
        </w:tc>
        <w:tc>
          <w:tcPr>
            <w:tcW w:w="0" w:type="auto"/>
          </w:tcPr>
          <w:p w14:paraId="0ACD7201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 xml:space="preserve">Demographics, lab test history, diagnosis history, medication history, current treatments, </w:t>
            </w:r>
            <w:proofErr w:type="spellStart"/>
            <w:r w:rsidRPr="00B46C75">
              <w:rPr>
                <w:rFonts w:ascii="Arial" w:eastAsia="Aptos" w:hAnsi="Arial" w:cs="Arial"/>
              </w:rPr>
              <w:t>CrCl</w:t>
            </w:r>
            <w:proofErr w:type="spellEnd"/>
            <w:r w:rsidRPr="00B46C75">
              <w:rPr>
                <w:rFonts w:ascii="Arial" w:eastAsia="Aptos" w:hAnsi="Arial" w:cs="Arial"/>
              </w:rPr>
              <w:t>, continuous infusion clearance, hemodialysis status, medications for cardiovascular/gastrointestinal/blood systems, historical features</w:t>
            </w:r>
          </w:p>
        </w:tc>
        <w:tc>
          <w:tcPr>
            <w:tcW w:w="0" w:type="auto"/>
          </w:tcPr>
          <w:p w14:paraId="069B50BB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Internal patient-level train/</w:t>
            </w:r>
            <w:proofErr w:type="spellStart"/>
            <w:r w:rsidRPr="00B46C75">
              <w:rPr>
                <w:rFonts w:ascii="Arial" w:eastAsia="Aptos" w:hAnsi="Arial" w:cs="Arial"/>
              </w:rPr>
              <w:t>val</w:t>
            </w:r>
            <w:proofErr w:type="spellEnd"/>
            <w:r w:rsidRPr="00B46C75">
              <w:rPr>
                <w:rFonts w:ascii="Arial" w:eastAsia="Aptos" w:hAnsi="Arial" w:cs="Arial"/>
              </w:rPr>
              <w:t>/test split</w:t>
            </w:r>
          </w:p>
        </w:tc>
        <w:tc>
          <w:tcPr>
            <w:tcW w:w="0" w:type="auto"/>
          </w:tcPr>
          <w:p w14:paraId="0F74CA89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% in Acceptable Range (PAR), MAE</w:t>
            </w:r>
          </w:p>
        </w:tc>
        <w:tc>
          <w:tcPr>
            <w:tcW w:w="0" w:type="auto"/>
          </w:tcPr>
          <w:p w14:paraId="0E8AB0E1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Standard </w:t>
            </w:r>
            <w:proofErr w:type="spellStart"/>
            <w:r w:rsidRPr="00B46C75">
              <w:rPr>
                <w:rFonts w:ascii="Arial" w:eastAsia="Calibri" w:hAnsi="Arial" w:cs="Arial"/>
              </w:rPr>
              <w:t>PopPK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model (UCSF), published ML (Imai 2020), current </w:t>
            </w:r>
            <w:r w:rsidRPr="00B46C75">
              <w:rPr>
                <w:rFonts w:ascii="Arial" w:eastAsia="Aptos" w:hAnsi="Arial" w:cs="Arial"/>
              </w:rPr>
              <w:lastRenderedPageBreak/>
              <w:t>practice</w:t>
            </w:r>
          </w:p>
        </w:tc>
        <w:tc>
          <w:tcPr>
            <w:tcW w:w="0" w:type="auto"/>
          </w:tcPr>
          <w:p w14:paraId="79B069AC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 xml:space="preserve">AUC ranges 14-20 µg/mL for adult dosing; no exclusion by dialysis, eGFR, </w:t>
            </w:r>
            <w:r w:rsidRPr="00B46C75">
              <w:rPr>
                <w:rFonts w:ascii="Arial" w:eastAsia="Aptos" w:hAnsi="Arial" w:cs="Arial"/>
              </w:rPr>
              <w:lastRenderedPageBreak/>
              <w:t>or weight.</w:t>
            </w:r>
          </w:p>
        </w:tc>
      </w:tr>
      <w:tr w:rsidR="000E65C6" w:rsidRPr="00B46C75" w14:paraId="67C78070" w14:textId="77777777" w:rsidTr="009E2C56">
        <w:tc>
          <w:tcPr>
            <w:tcW w:w="0" w:type="auto"/>
          </w:tcPr>
          <w:p w14:paraId="58C29B07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lastRenderedPageBreak/>
              <w:t xml:space="preserve">van </w:t>
            </w:r>
            <w:proofErr w:type="spellStart"/>
            <w:r w:rsidRPr="00B46C75">
              <w:rPr>
                <w:rFonts w:ascii="Arial" w:eastAsia="Aptos" w:hAnsi="Arial" w:cs="Arial"/>
              </w:rPr>
              <w:t>Os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et al., 2025</w:t>
            </w:r>
          </w:p>
        </w:tc>
        <w:tc>
          <w:tcPr>
            <w:tcW w:w="0" w:type="auto"/>
          </w:tcPr>
          <w:p w14:paraId="3CC252C1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USA</w:t>
            </w:r>
          </w:p>
        </w:tc>
        <w:tc>
          <w:tcPr>
            <w:tcW w:w="0" w:type="auto"/>
          </w:tcPr>
          <w:p w14:paraId="05ED8F95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Retrospective, multi-center</w:t>
            </w:r>
          </w:p>
        </w:tc>
        <w:tc>
          <w:tcPr>
            <w:tcW w:w="1476" w:type="dxa"/>
          </w:tcPr>
          <w:p w14:paraId="05A9F5F7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343,636 TDM records from unique adult patients (train/</w:t>
            </w:r>
            <w:proofErr w:type="spellStart"/>
            <w:r w:rsidRPr="00B46C75">
              <w:rPr>
                <w:rFonts w:ascii="Arial" w:eastAsia="Aptos" w:hAnsi="Arial" w:cs="Arial"/>
              </w:rPr>
              <w:t>val</w:t>
            </w:r>
            <w:proofErr w:type="spellEnd"/>
            <w:r w:rsidRPr="00B46C75">
              <w:rPr>
                <w:rFonts w:ascii="Arial" w:eastAsia="Aptos" w:hAnsi="Arial" w:cs="Arial"/>
              </w:rPr>
              <w:t>/test split, exact split implicit)</w:t>
            </w:r>
          </w:p>
        </w:tc>
        <w:tc>
          <w:tcPr>
            <w:tcW w:w="2051" w:type="dxa"/>
          </w:tcPr>
          <w:p w14:paraId="644DA5FF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proofErr w:type="spellStart"/>
            <w:r w:rsidRPr="00B46C75">
              <w:rPr>
                <w:rFonts w:ascii="Arial" w:eastAsia="Aptos" w:hAnsi="Arial" w:cs="Arial"/>
              </w:rPr>
              <w:t>XGBoost</w:t>
            </w:r>
            <w:proofErr w:type="spellEnd"/>
            <w:r w:rsidRPr="00B46C75">
              <w:rPr>
                <w:rFonts w:ascii="Arial" w:eastAsia="Aptos" w:hAnsi="Arial" w:cs="Arial"/>
              </w:rPr>
              <w:t xml:space="preserve"> (multi-label classification)</w:t>
            </w:r>
          </w:p>
        </w:tc>
        <w:tc>
          <w:tcPr>
            <w:tcW w:w="1017" w:type="dxa"/>
          </w:tcPr>
          <w:p w14:paraId="11E61A5B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Classify whether each of 6 PK model predictions lies within 80–125% of observed trough</w:t>
            </w:r>
          </w:p>
        </w:tc>
        <w:tc>
          <w:tcPr>
            <w:tcW w:w="0" w:type="auto"/>
          </w:tcPr>
          <w:p w14:paraId="438DCC0E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 xml:space="preserve">Age, weight, height, sex, </w:t>
            </w:r>
            <w:proofErr w:type="spellStart"/>
            <w:r w:rsidRPr="00B46C75">
              <w:rPr>
                <w:rFonts w:ascii="Arial" w:eastAsia="Aptos" w:hAnsi="Arial" w:cs="Arial"/>
              </w:rPr>
              <w:t>SCr</w:t>
            </w:r>
            <w:proofErr w:type="spellEnd"/>
          </w:p>
        </w:tc>
        <w:tc>
          <w:tcPr>
            <w:tcW w:w="0" w:type="auto"/>
          </w:tcPr>
          <w:p w14:paraId="31DA1B5D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Internal train/validation/test (by patient ID)</w:t>
            </w:r>
          </w:p>
        </w:tc>
        <w:tc>
          <w:tcPr>
            <w:tcW w:w="0" w:type="auto"/>
          </w:tcPr>
          <w:p w14:paraId="1758964E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% predictions within 80–125% of observed, systematic bias</w:t>
            </w:r>
          </w:p>
        </w:tc>
        <w:tc>
          <w:tcPr>
            <w:tcW w:w="0" w:type="auto"/>
          </w:tcPr>
          <w:p w14:paraId="3C8AE7CE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Six specific PK models (</w:t>
            </w:r>
            <w:proofErr w:type="spellStart"/>
            <w:r w:rsidRPr="00B46C75">
              <w:rPr>
                <w:rFonts w:ascii="Arial" w:eastAsia="Aptos" w:hAnsi="Arial" w:cs="Arial"/>
              </w:rPr>
              <w:t>Buelga</w:t>
            </w:r>
            <w:proofErr w:type="spellEnd"/>
            <w:r w:rsidRPr="00B46C75">
              <w:rPr>
                <w:rFonts w:ascii="Arial" w:eastAsia="Aptos" w:hAnsi="Arial" w:cs="Arial"/>
              </w:rPr>
              <w:t>, Carreno, Colin, Gatti, Hughes, Matzke), BMI-based selection, naive averaging</w:t>
            </w:r>
          </w:p>
        </w:tc>
        <w:tc>
          <w:tcPr>
            <w:tcW w:w="0" w:type="auto"/>
          </w:tcPr>
          <w:p w14:paraId="37EBAFE4" w14:textId="77777777" w:rsidR="000E65C6" w:rsidRPr="00B46C75" w:rsidRDefault="000E65C6" w:rsidP="009E2C56">
            <w:pPr>
              <w:spacing w:before="36" w:after="36"/>
              <w:rPr>
                <w:rFonts w:ascii="Arial" w:eastAsia="Aptos" w:hAnsi="Arial" w:cs="Arial"/>
              </w:rPr>
            </w:pPr>
            <w:r w:rsidRPr="00B46C75">
              <w:rPr>
                <w:rFonts w:ascii="Arial" w:eastAsia="Aptos" w:hAnsi="Arial" w:cs="Arial"/>
              </w:rPr>
              <w:t>Focus on a priori model selection for dosing; very large, real-world cohort.</w:t>
            </w:r>
          </w:p>
        </w:tc>
      </w:tr>
    </w:tbl>
    <w:bookmarkEnd w:id="0"/>
    <w:p w14:paraId="6B9734E2" w14:textId="5318AB28" w:rsidR="000E65C6" w:rsidRPr="009C5DBF" w:rsidRDefault="000E65C6" w:rsidP="000E65C6">
      <w:pPr>
        <w:jc w:val="both"/>
        <w:rPr>
          <w:rFonts w:ascii="Times New Roman" w:hAnsi="Times New Roman" w:cs="Times New Roman"/>
        </w:rPr>
        <w:sectPr w:rsidR="000E65C6" w:rsidRPr="009C5DBF" w:rsidSect="000E65C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9C5DBF">
        <w:rPr>
          <w:rFonts w:ascii="Times New Roman" w:hAnsi="Times New Roman" w:cs="Times New Roman"/>
        </w:rPr>
        <w:t xml:space="preserve">Abbreviations: </w:t>
      </w:r>
      <w:proofErr w:type="spellStart"/>
      <w:r w:rsidRPr="009C5DBF">
        <w:rPr>
          <w:rFonts w:ascii="Times New Roman" w:hAnsi="Times New Roman" w:cs="Times New Roman"/>
          <w:b/>
          <w:bCs/>
        </w:rPr>
        <w:t>ACEi</w:t>
      </w:r>
      <w:proofErr w:type="spellEnd"/>
      <w:r w:rsidRPr="009C5DBF">
        <w:rPr>
          <w:rFonts w:ascii="Times New Roman" w:hAnsi="Times New Roman" w:cs="Times New Roman"/>
        </w:rPr>
        <w:t xml:space="preserve">, Angiotensin-Converting Enzyme inhibitor; </w:t>
      </w:r>
      <w:r w:rsidRPr="009C5DBF">
        <w:rPr>
          <w:rFonts w:ascii="Times New Roman" w:hAnsi="Times New Roman" w:cs="Times New Roman"/>
          <w:b/>
          <w:bCs/>
        </w:rPr>
        <w:t>APACHE</w:t>
      </w:r>
      <w:r w:rsidRPr="009C5DBF">
        <w:rPr>
          <w:rFonts w:ascii="Times New Roman" w:hAnsi="Times New Roman" w:cs="Times New Roman"/>
        </w:rPr>
        <w:t xml:space="preserve">, Acute Physiology and Chronic Health Evaluation (score); </w:t>
      </w:r>
      <w:r w:rsidRPr="009C5DBF">
        <w:rPr>
          <w:rFonts w:ascii="Times New Roman" w:hAnsi="Times New Roman" w:cs="Times New Roman"/>
          <w:b/>
          <w:bCs/>
        </w:rPr>
        <w:t>ARB</w:t>
      </w:r>
      <w:r w:rsidRPr="009C5DBF">
        <w:rPr>
          <w:rFonts w:ascii="Times New Roman" w:hAnsi="Times New Roman" w:cs="Times New Roman"/>
        </w:rPr>
        <w:t xml:space="preserve">, Angiotensin II Receptor Blocker; </w:t>
      </w:r>
      <w:r w:rsidRPr="009C5DBF">
        <w:rPr>
          <w:rFonts w:ascii="Times New Roman" w:hAnsi="Times New Roman" w:cs="Times New Roman"/>
          <w:b/>
          <w:bCs/>
        </w:rPr>
        <w:t>AST</w:t>
      </w:r>
      <w:r w:rsidRPr="009C5DBF">
        <w:rPr>
          <w:rFonts w:ascii="Times New Roman" w:hAnsi="Times New Roman" w:cs="Times New Roman"/>
        </w:rPr>
        <w:t xml:space="preserve">, Aspartate Aminotransferase; </w:t>
      </w:r>
      <w:r w:rsidRPr="009C5DBF">
        <w:rPr>
          <w:rFonts w:ascii="Times New Roman" w:hAnsi="Times New Roman" w:cs="Times New Roman"/>
          <w:b/>
          <w:bCs/>
        </w:rPr>
        <w:t>ALT</w:t>
      </w:r>
      <w:r w:rsidRPr="009C5DBF">
        <w:rPr>
          <w:rFonts w:ascii="Times New Roman" w:hAnsi="Times New Roman" w:cs="Times New Roman"/>
        </w:rPr>
        <w:t xml:space="preserve">, Alanine Aminotransferase; </w:t>
      </w:r>
      <w:r w:rsidRPr="009C5DBF">
        <w:rPr>
          <w:rFonts w:ascii="Times New Roman" w:hAnsi="Times New Roman" w:cs="Times New Roman"/>
          <w:b/>
          <w:bCs/>
        </w:rPr>
        <w:t>AUC</w:t>
      </w:r>
      <w:r w:rsidRPr="009C5DBF">
        <w:rPr>
          <w:rFonts w:ascii="Times New Roman" w:hAnsi="Times New Roman" w:cs="Times New Roman"/>
        </w:rPr>
        <w:t xml:space="preserve">, Area Under the Concentration-time Curve; </w:t>
      </w:r>
      <w:r w:rsidRPr="009C5DBF">
        <w:rPr>
          <w:rFonts w:ascii="Times New Roman" w:hAnsi="Times New Roman" w:cs="Times New Roman"/>
          <w:b/>
          <w:bCs/>
        </w:rPr>
        <w:t>AUC-ROC</w:t>
      </w:r>
      <w:r w:rsidRPr="009C5DBF">
        <w:rPr>
          <w:rFonts w:ascii="Times New Roman" w:hAnsi="Times New Roman" w:cs="Times New Roman"/>
        </w:rPr>
        <w:t xml:space="preserve">, Area Under the Curve-Receiver Operating Characteristic; </w:t>
      </w:r>
      <w:r w:rsidRPr="009C5DBF">
        <w:rPr>
          <w:rFonts w:ascii="Times New Roman" w:hAnsi="Times New Roman" w:cs="Times New Roman"/>
          <w:b/>
          <w:bCs/>
        </w:rPr>
        <w:t>BMI</w:t>
      </w:r>
      <w:r w:rsidRPr="009C5DBF">
        <w:rPr>
          <w:rFonts w:ascii="Times New Roman" w:hAnsi="Times New Roman" w:cs="Times New Roman"/>
        </w:rPr>
        <w:t xml:space="preserve">, Body Mass Index; </w:t>
      </w:r>
      <w:r w:rsidRPr="009C5DBF">
        <w:rPr>
          <w:rFonts w:ascii="Times New Roman" w:hAnsi="Times New Roman" w:cs="Times New Roman"/>
          <w:b/>
          <w:bCs/>
        </w:rPr>
        <w:t>BNP</w:t>
      </w:r>
      <w:r w:rsidRPr="009C5DBF">
        <w:rPr>
          <w:rFonts w:ascii="Times New Roman" w:hAnsi="Times New Roman" w:cs="Times New Roman"/>
        </w:rPr>
        <w:t xml:space="preserve">, B-type Natriuretic Peptide; </w:t>
      </w:r>
      <w:r w:rsidRPr="009C5DBF">
        <w:rPr>
          <w:rFonts w:ascii="Times New Roman" w:hAnsi="Times New Roman" w:cs="Times New Roman"/>
          <w:b/>
          <w:bCs/>
        </w:rPr>
        <w:t>BPNN</w:t>
      </w:r>
      <w:r w:rsidRPr="009C5DBF">
        <w:rPr>
          <w:rFonts w:ascii="Times New Roman" w:hAnsi="Times New Roman" w:cs="Times New Roman"/>
        </w:rPr>
        <w:t xml:space="preserve">, Back-Propagation Neural Network; </w:t>
      </w:r>
      <w:r w:rsidRPr="009C5DBF">
        <w:rPr>
          <w:rFonts w:ascii="Times New Roman" w:hAnsi="Times New Roman" w:cs="Times New Roman"/>
          <w:b/>
          <w:bCs/>
        </w:rPr>
        <w:t>BUN</w:t>
      </w:r>
      <w:r w:rsidRPr="009C5DBF">
        <w:rPr>
          <w:rFonts w:ascii="Times New Roman" w:hAnsi="Times New Roman" w:cs="Times New Roman"/>
        </w:rPr>
        <w:t xml:space="preserve">, Blood Urea Nitrogen; </w:t>
      </w:r>
      <w:r w:rsidRPr="009C5DBF">
        <w:rPr>
          <w:rFonts w:ascii="Times New Roman" w:hAnsi="Times New Roman" w:cs="Times New Roman"/>
          <w:b/>
          <w:bCs/>
        </w:rPr>
        <w:t>CART</w:t>
      </w:r>
      <w:r w:rsidRPr="009C5DBF">
        <w:rPr>
          <w:rFonts w:ascii="Times New Roman" w:hAnsi="Times New Roman" w:cs="Times New Roman"/>
        </w:rPr>
        <w:t xml:space="preserve">, Classification and Regression </w:t>
      </w:r>
      <w:r w:rsidRPr="009C5DBF">
        <w:rPr>
          <w:rFonts w:ascii="Times New Roman" w:hAnsi="Times New Roman" w:cs="Times New Roman"/>
        </w:rPr>
        <w:lastRenderedPageBreak/>
        <w:t xml:space="preserve">Tree (algorithm); </w:t>
      </w:r>
      <w:proofErr w:type="spellStart"/>
      <w:r w:rsidRPr="009C5DBF">
        <w:rPr>
          <w:rFonts w:ascii="Times New Roman" w:hAnsi="Times New Roman" w:cs="Times New Roman"/>
          <w:b/>
          <w:bCs/>
        </w:rPr>
        <w:t>CatBoost</w:t>
      </w:r>
      <w:proofErr w:type="spellEnd"/>
      <w:r w:rsidRPr="009C5DBF">
        <w:rPr>
          <w:rFonts w:ascii="Times New Roman" w:hAnsi="Times New Roman" w:cs="Times New Roman"/>
        </w:rPr>
        <w:t xml:space="preserve">, Categorical Boosting; </w:t>
      </w:r>
      <w:r w:rsidRPr="009C5DBF">
        <w:rPr>
          <w:rFonts w:ascii="Times New Roman" w:hAnsi="Times New Roman" w:cs="Times New Roman"/>
          <w:b/>
          <w:bCs/>
        </w:rPr>
        <w:t>CKD-EPI</w:t>
      </w:r>
      <w:r w:rsidRPr="009C5DBF">
        <w:rPr>
          <w:rFonts w:ascii="Times New Roman" w:hAnsi="Times New Roman" w:cs="Times New Roman"/>
        </w:rPr>
        <w:t xml:space="preserve">, Chronic Kidney Disease Epidemiology Collaboration (formula for eGFR); </w:t>
      </w:r>
      <w:r w:rsidRPr="009C5DBF">
        <w:rPr>
          <w:rFonts w:ascii="Times New Roman" w:hAnsi="Times New Roman" w:cs="Times New Roman"/>
          <w:b/>
          <w:bCs/>
        </w:rPr>
        <w:t>class</w:t>
      </w:r>
      <w:r w:rsidRPr="009C5DBF">
        <w:rPr>
          <w:rFonts w:ascii="Times New Roman" w:hAnsi="Times New Roman" w:cs="Times New Roman"/>
        </w:rPr>
        <w:t xml:space="preserve">, Classification; </w:t>
      </w:r>
      <w:proofErr w:type="spellStart"/>
      <w:r w:rsidRPr="009C5DBF">
        <w:rPr>
          <w:rFonts w:ascii="Times New Roman" w:hAnsi="Times New Roman" w:cs="Times New Roman"/>
          <w:b/>
          <w:bCs/>
        </w:rPr>
        <w:t>CrCl</w:t>
      </w:r>
      <w:proofErr w:type="spellEnd"/>
      <w:r w:rsidRPr="009C5DBF">
        <w:rPr>
          <w:rFonts w:ascii="Times New Roman" w:hAnsi="Times New Roman" w:cs="Times New Roman"/>
        </w:rPr>
        <w:t xml:space="preserve">, Creatinine Clearance; </w:t>
      </w:r>
      <w:r w:rsidRPr="009C5DBF">
        <w:rPr>
          <w:rFonts w:ascii="Times New Roman" w:hAnsi="Times New Roman" w:cs="Times New Roman"/>
          <w:b/>
          <w:bCs/>
        </w:rPr>
        <w:t>CRP</w:t>
      </w:r>
      <w:r w:rsidRPr="009C5DBF">
        <w:rPr>
          <w:rFonts w:ascii="Times New Roman" w:hAnsi="Times New Roman" w:cs="Times New Roman"/>
        </w:rPr>
        <w:t xml:space="preserve">, C-Reactive Protein; </w:t>
      </w:r>
      <w:r w:rsidRPr="009C5DBF">
        <w:rPr>
          <w:rFonts w:ascii="Times New Roman" w:hAnsi="Times New Roman" w:cs="Times New Roman"/>
          <w:b/>
          <w:bCs/>
        </w:rPr>
        <w:t>CV</w:t>
      </w:r>
      <w:r w:rsidRPr="009C5DBF">
        <w:rPr>
          <w:rFonts w:ascii="Times New Roman" w:hAnsi="Times New Roman" w:cs="Times New Roman"/>
        </w:rPr>
        <w:t xml:space="preserve">, Cross-Validation; </w:t>
      </w:r>
      <w:r w:rsidRPr="009C5DBF">
        <w:rPr>
          <w:rFonts w:ascii="Times New Roman" w:hAnsi="Times New Roman" w:cs="Times New Roman"/>
          <w:b/>
          <w:bCs/>
        </w:rPr>
        <w:t>DBIL</w:t>
      </w:r>
      <w:r w:rsidRPr="009C5DBF">
        <w:rPr>
          <w:rFonts w:ascii="Times New Roman" w:hAnsi="Times New Roman" w:cs="Times New Roman"/>
        </w:rPr>
        <w:t xml:space="preserve">, Direct Bilirubin (or Conjugated Bilirubin); </w:t>
      </w:r>
      <w:r w:rsidRPr="009C5DBF">
        <w:rPr>
          <w:rFonts w:ascii="Times New Roman" w:hAnsi="Times New Roman" w:cs="Times New Roman"/>
          <w:b/>
          <w:bCs/>
        </w:rPr>
        <w:t>eGFR</w:t>
      </w:r>
      <w:r w:rsidRPr="009C5DBF">
        <w:rPr>
          <w:rFonts w:ascii="Times New Roman" w:hAnsi="Times New Roman" w:cs="Times New Roman"/>
        </w:rPr>
        <w:t xml:space="preserve">, estimated Glomerular Filtration Rate; </w:t>
      </w:r>
      <w:r w:rsidRPr="009C5DBF">
        <w:rPr>
          <w:rFonts w:ascii="Times New Roman" w:hAnsi="Times New Roman" w:cs="Times New Roman"/>
          <w:b/>
          <w:bCs/>
        </w:rPr>
        <w:t>EHR</w:t>
      </w:r>
      <w:r w:rsidRPr="009C5DBF">
        <w:rPr>
          <w:rFonts w:ascii="Times New Roman" w:hAnsi="Times New Roman" w:cs="Times New Roman"/>
        </w:rPr>
        <w:t xml:space="preserve">, Electronic Health Record (inferred); </w:t>
      </w:r>
      <w:proofErr w:type="spellStart"/>
      <w:r w:rsidRPr="009C5DBF">
        <w:rPr>
          <w:rFonts w:ascii="Times New Roman" w:hAnsi="Times New Roman" w:cs="Times New Roman"/>
          <w:b/>
          <w:bCs/>
        </w:rPr>
        <w:t>ExtVal</w:t>
      </w:r>
      <w:proofErr w:type="spellEnd"/>
      <w:r w:rsidRPr="009C5DBF">
        <w:rPr>
          <w:rFonts w:ascii="Times New Roman" w:hAnsi="Times New Roman" w:cs="Times New Roman"/>
        </w:rPr>
        <w:t xml:space="preserve">, External Validation; </w:t>
      </w:r>
      <w:proofErr w:type="spellStart"/>
      <w:r w:rsidRPr="009C5DBF">
        <w:rPr>
          <w:rFonts w:ascii="Times New Roman" w:hAnsi="Times New Roman" w:cs="Times New Roman"/>
          <w:b/>
          <w:bCs/>
        </w:rPr>
        <w:t>ExtraTrees</w:t>
      </w:r>
      <w:proofErr w:type="spellEnd"/>
      <w:r w:rsidRPr="009C5DBF">
        <w:rPr>
          <w:rFonts w:ascii="Times New Roman" w:hAnsi="Times New Roman" w:cs="Times New Roman"/>
        </w:rPr>
        <w:t xml:space="preserve">, Extremely Randomized Trees; </w:t>
      </w:r>
      <w:r w:rsidRPr="009C5DBF">
        <w:rPr>
          <w:rFonts w:ascii="Times New Roman" w:hAnsi="Times New Roman" w:cs="Times New Roman"/>
          <w:b/>
          <w:bCs/>
        </w:rPr>
        <w:t>FPR</w:t>
      </w:r>
      <w:r w:rsidRPr="009C5DBF">
        <w:rPr>
          <w:rFonts w:ascii="Times New Roman" w:hAnsi="Times New Roman" w:cs="Times New Roman"/>
        </w:rPr>
        <w:t xml:space="preserve">, False Positive Rate; </w:t>
      </w:r>
      <w:r w:rsidRPr="009C5DBF">
        <w:rPr>
          <w:rFonts w:ascii="Times New Roman" w:hAnsi="Times New Roman" w:cs="Times New Roman"/>
          <w:b/>
          <w:bCs/>
        </w:rPr>
        <w:t>GBRT</w:t>
      </w:r>
      <w:r w:rsidRPr="009C5DBF">
        <w:rPr>
          <w:rFonts w:ascii="Times New Roman" w:hAnsi="Times New Roman" w:cs="Times New Roman"/>
        </w:rPr>
        <w:t xml:space="preserve">, Gradient Boosting Regression Tree; </w:t>
      </w:r>
      <w:r w:rsidRPr="009C5DBF">
        <w:rPr>
          <w:rFonts w:ascii="Times New Roman" w:hAnsi="Times New Roman" w:cs="Times New Roman"/>
          <w:b/>
          <w:bCs/>
        </w:rPr>
        <w:t>Hb</w:t>
      </w:r>
      <w:r w:rsidRPr="009C5DBF">
        <w:rPr>
          <w:rFonts w:ascii="Times New Roman" w:hAnsi="Times New Roman" w:cs="Times New Roman"/>
        </w:rPr>
        <w:t xml:space="preserve">, Hemoglobin; </w:t>
      </w:r>
      <w:r w:rsidRPr="009C5DBF">
        <w:rPr>
          <w:rFonts w:ascii="Times New Roman" w:hAnsi="Times New Roman" w:cs="Times New Roman"/>
          <w:b/>
          <w:bCs/>
        </w:rPr>
        <w:t>HCT</w:t>
      </w:r>
      <w:r w:rsidRPr="009C5DBF">
        <w:rPr>
          <w:rFonts w:ascii="Times New Roman" w:hAnsi="Times New Roman" w:cs="Times New Roman"/>
        </w:rPr>
        <w:t xml:space="preserve">, Hematocrit; </w:t>
      </w:r>
      <w:r w:rsidRPr="009C5DBF">
        <w:rPr>
          <w:rFonts w:ascii="Times New Roman" w:hAnsi="Times New Roman" w:cs="Times New Roman"/>
          <w:b/>
          <w:bCs/>
        </w:rPr>
        <w:t>HDL-C</w:t>
      </w:r>
      <w:r w:rsidRPr="009C5DBF">
        <w:rPr>
          <w:rFonts w:ascii="Times New Roman" w:hAnsi="Times New Roman" w:cs="Times New Roman"/>
        </w:rPr>
        <w:t xml:space="preserve">, High-Density Lipoprotein Cholesterol; </w:t>
      </w:r>
      <w:r w:rsidRPr="009C5DBF">
        <w:rPr>
          <w:rFonts w:ascii="Times New Roman" w:hAnsi="Times New Roman" w:cs="Times New Roman"/>
          <w:b/>
          <w:bCs/>
        </w:rPr>
        <w:t>ICU</w:t>
      </w:r>
      <w:r w:rsidRPr="009C5DBF">
        <w:rPr>
          <w:rFonts w:ascii="Times New Roman" w:hAnsi="Times New Roman" w:cs="Times New Roman"/>
        </w:rPr>
        <w:t xml:space="preserve">, Intensive Care Unit; </w:t>
      </w:r>
      <w:r w:rsidRPr="009C5DBF">
        <w:rPr>
          <w:rFonts w:ascii="Times New Roman" w:hAnsi="Times New Roman" w:cs="Times New Roman"/>
          <w:b/>
          <w:bCs/>
        </w:rPr>
        <w:t>KNUH</w:t>
      </w:r>
      <w:r w:rsidRPr="009C5DBF">
        <w:rPr>
          <w:rFonts w:ascii="Times New Roman" w:hAnsi="Times New Roman" w:cs="Times New Roman"/>
        </w:rPr>
        <w:t xml:space="preserve">, Keimyung University </w:t>
      </w:r>
      <w:proofErr w:type="spellStart"/>
      <w:r w:rsidRPr="009C5DBF">
        <w:rPr>
          <w:rFonts w:ascii="Times New Roman" w:hAnsi="Times New Roman" w:cs="Times New Roman"/>
        </w:rPr>
        <w:t>Dongsan</w:t>
      </w:r>
      <w:proofErr w:type="spellEnd"/>
      <w:r w:rsidRPr="009C5DBF">
        <w:rPr>
          <w:rFonts w:ascii="Times New Roman" w:hAnsi="Times New Roman" w:cs="Times New Roman"/>
        </w:rPr>
        <w:t xml:space="preserve"> Hospital (Inferred from context, Korea); </w:t>
      </w:r>
      <w:proofErr w:type="spellStart"/>
      <w:r w:rsidRPr="009C5DBF">
        <w:rPr>
          <w:rFonts w:ascii="Times New Roman" w:hAnsi="Times New Roman" w:cs="Times New Roman"/>
          <w:b/>
          <w:bCs/>
        </w:rPr>
        <w:t>LightGBM</w:t>
      </w:r>
      <w:proofErr w:type="spellEnd"/>
      <w:r w:rsidRPr="009C5DBF">
        <w:rPr>
          <w:rFonts w:ascii="Times New Roman" w:hAnsi="Times New Roman" w:cs="Times New Roman"/>
        </w:rPr>
        <w:t xml:space="preserve">, Light Gradient Boosting Machine; </w:t>
      </w:r>
      <w:r w:rsidRPr="009C5DBF">
        <w:rPr>
          <w:rFonts w:ascii="Times New Roman" w:hAnsi="Times New Roman" w:cs="Times New Roman"/>
          <w:b/>
          <w:bCs/>
        </w:rPr>
        <w:t>LYM%</w:t>
      </w:r>
      <w:r w:rsidRPr="009C5DBF">
        <w:rPr>
          <w:rFonts w:ascii="Times New Roman" w:hAnsi="Times New Roman" w:cs="Times New Roman"/>
        </w:rPr>
        <w:t xml:space="preserve">, Lymphocyte percentage; </w:t>
      </w:r>
      <w:r w:rsidRPr="009C5DBF">
        <w:rPr>
          <w:rFonts w:ascii="Times New Roman" w:hAnsi="Times New Roman" w:cs="Times New Roman"/>
          <w:b/>
          <w:bCs/>
        </w:rPr>
        <w:t>MAE</w:t>
      </w:r>
      <w:r w:rsidRPr="009C5DBF">
        <w:rPr>
          <w:rFonts w:ascii="Times New Roman" w:hAnsi="Times New Roman" w:cs="Times New Roman"/>
        </w:rPr>
        <w:t xml:space="preserve">, Mean Absolute Error; </w:t>
      </w:r>
      <w:r w:rsidRPr="009C5DBF">
        <w:rPr>
          <w:rFonts w:ascii="Times New Roman" w:hAnsi="Times New Roman" w:cs="Times New Roman"/>
          <w:b/>
          <w:bCs/>
        </w:rPr>
        <w:t>MAP</w:t>
      </w:r>
      <w:r w:rsidRPr="009C5DBF">
        <w:rPr>
          <w:rFonts w:ascii="Times New Roman" w:hAnsi="Times New Roman" w:cs="Times New Roman"/>
        </w:rPr>
        <w:t xml:space="preserve">, Mean Arterial Pressure; </w:t>
      </w:r>
      <w:r w:rsidRPr="009C5DBF">
        <w:rPr>
          <w:rFonts w:ascii="Times New Roman" w:hAnsi="Times New Roman" w:cs="Times New Roman"/>
          <w:b/>
          <w:bCs/>
        </w:rPr>
        <w:t>MAPE</w:t>
      </w:r>
      <w:r w:rsidRPr="009C5DBF">
        <w:rPr>
          <w:rFonts w:ascii="Times New Roman" w:hAnsi="Times New Roman" w:cs="Times New Roman"/>
        </w:rPr>
        <w:t xml:space="preserve">, Mean Absolute Percentage Error; </w:t>
      </w:r>
      <w:r w:rsidRPr="009C5DBF">
        <w:rPr>
          <w:rFonts w:ascii="Times New Roman" w:hAnsi="Times New Roman" w:cs="Times New Roman"/>
          <w:b/>
          <w:bCs/>
        </w:rPr>
        <w:t>MDRD</w:t>
      </w:r>
      <w:r w:rsidRPr="009C5DBF">
        <w:rPr>
          <w:rFonts w:ascii="Times New Roman" w:hAnsi="Times New Roman" w:cs="Times New Roman"/>
        </w:rPr>
        <w:t xml:space="preserve">, Modification of Diet in Renal Disease (formula for eGFR); </w:t>
      </w:r>
      <w:r w:rsidRPr="009C5DBF">
        <w:rPr>
          <w:rFonts w:ascii="Times New Roman" w:hAnsi="Times New Roman" w:cs="Times New Roman"/>
          <w:b/>
          <w:bCs/>
        </w:rPr>
        <w:t>MIMIC-IV</w:t>
      </w:r>
      <w:r w:rsidRPr="009C5DBF">
        <w:rPr>
          <w:rFonts w:ascii="Times New Roman" w:hAnsi="Times New Roman" w:cs="Times New Roman"/>
        </w:rPr>
        <w:t xml:space="preserve">, Medical Information Mart for Intensive Care-IV (A large, publicly available database); </w:t>
      </w:r>
      <w:r w:rsidRPr="009C5DBF">
        <w:rPr>
          <w:rFonts w:ascii="Times New Roman" w:hAnsi="Times New Roman" w:cs="Times New Roman"/>
          <w:b/>
          <w:bCs/>
        </w:rPr>
        <w:t>ML</w:t>
      </w:r>
      <w:r w:rsidRPr="009C5DBF">
        <w:rPr>
          <w:rFonts w:ascii="Times New Roman" w:hAnsi="Times New Roman" w:cs="Times New Roman"/>
        </w:rPr>
        <w:t xml:space="preserve">, Machine Learning; </w:t>
      </w:r>
      <w:r w:rsidRPr="009C5DBF">
        <w:rPr>
          <w:rFonts w:ascii="Times New Roman" w:hAnsi="Times New Roman" w:cs="Times New Roman"/>
          <w:b/>
          <w:bCs/>
        </w:rPr>
        <w:t>MSE</w:t>
      </w:r>
      <w:r w:rsidRPr="009C5DBF">
        <w:rPr>
          <w:rFonts w:ascii="Times New Roman" w:hAnsi="Times New Roman" w:cs="Times New Roman"/>
        </w:rPr>
        <w:t xml:space="preserve">, Mean Squared Error; </w:t>
      </w:r>
      <w:r w:rsidRPr="009C5DBF">
        <w:rPr>
          <w:rFonts w:ascii="Times New Roman" w:hAnsi="Times New Roman" w:cs="Times New Roman"/>
          <w:b/>
          <w:bCs/>
        </w:rPr>
        <w:t>NEU%</w:t>
      </w:r>
      <w:r w:rsidRPr="009C5DBF">
        <w:rPr>
          <w:rFonts w:ascii="Times New Roman" w:hAnsi="Times New Roman" w:cs="Times New Roman"/>
        </w:rPr>
        <w:t xml:space="preserve">, Neutrophil percentage; </w:t>
      </w:r>
      <w:r w:rsidRPr="009C5DBF">
        <w:rPr>
          <w:rFonts w:ascii="Times New Roman" w:hAnsi="Times New Roman" w:cs="Times New Roman"/>
          <w:b/>
          <w:bCs/>
        </w:rPr>
        <w:t>NSAIDs</w:t>
      </w:r>
      <w:r w:rsidRPr="009C5DBF">
        <w:rPr>
          <w:rFonts w:ascii="Times New Roman" w:hAnsi="Times New Roman" w:cs="Times New Roman"/>
        </w:rPr>
        <w:t xml:space="preserve">, Non-Steroidal Anti-inflammatory Drugs; </w:t>
      </w:r>
      <w:r w:rsidRPr="009C5DBF">
        <w:rPr>
          <w:rFonts w:ascii="Times New Roman" w:hAnsi="Times New Roman" w:cs="Times New Roman"/>
          <w:b/>
          <w:bCs/>
        </w:rPr>
        <w:t>PAR</w:t>
      </w:r>
      <w:r w:rsidRPr="009C5DBF">
        <w:rPr>
          <w:rFonts w:ascii="Times New Roman" w:hAnsi="Times New Roman" w:cs="Times New Roman"/>
        </w:rPr>
        <w:t xml:space="preserve">, Percent in Acceptable Range; </w:t>
      </w:r>
      <w:r w:rsidRPr="009C5DBF">
        <w:rPr>
          <w:rFonts w:ascii="Times New Roman" w:hAnsi="Times New Roman" w:cs="Times New Roman"/>
          <w:b/>
          <w:bCs/>
        </w:rPr>
        <w:t>PCT</w:t>
      </w:r>
      <w:r w:rsidRPr="009C5DBF">
        <w:rPr>
          <w:rFonts w:ascii="Times New Roman" w:hAnsi="Times New Roman" w:cs="Times New Roman"/>
        </w:rPr>
        <w:t xml:space="preserve">, Procalcitonin; </w:t>
      </w:r>
      <w:r w:rsidRPr="009C5DBF">
        <w:rPr>
          <w:rFonts w:ascii="Times New Roman" w:hAnsi="Times New Roman" w:cs="Times New Roman"/>
          <w:b/>
          <w:bCs/>
        </w:rPr>
        <w:t>PK-RNN-V</w:t>
      </w:r>
      <w:r w:rsidRPr="009C5DBF">
        <w:rPr>
          <w:rFonts w:ascii="Times New Roman" w:hAnsi="Times New Roman" w:cs="Times New Roman"/>
        </w:rPr>
        <w:t xml:space="preserve">, Pharmacokinetic-Recurrent Neural Network-Vancomycin (Inferred model name); </w:t>
      </w:r>
      <w:r w:rsidRPr="009C5DBF">
        <w:rPr>
          <w:rFonts w:ascii="Times New Roman" w:hAnsi="Times New Roman" w:cs="Times New Roman"/>
          <w:b/>
          <w:bCs/>
        </w:rPr>
        <w:t>PLT</w:t>
      </w:r>
      <w:r w:rsidRPr="009C5DBF">
        <w:rPr>
          <w:rFonts w:ascii="Times New Roman" w:hAnsi="Times New Roman" w:cs="Times New Roman"/>
        </w:rPr>
        <w:t xml:space="preserve">, Platelet (count); </w:t>
      </w:r>
      <w:proofErr w:type="spellStart"/>
      <w:r w:rsidRPr="009C5DBF">
        <w:rPr>
          <w:rFonts w:ascii="Times New Roman" w:hAnsi="Times New Roman" w:cs="Times New Roman"/>
          <w:b/>
          <w:bCs/>
        </w:rPr>
        <w:t>PopPK</w:t>
      </w:r>
      <w:proofErr w:type="spellEnd"/>
      <w:r w:rsidRPr="009C5DBF">
        <w:rPr>
          <w:rFonts w:ascii="Times New Roman" w:hAnsi="Times New Roman" w:cs="Times New Roman"/>
        </w:rPr>
        <w:t xml:space="preserve">, Population Pharmacokinetics; </w:t>
      </w:r>
      <w:r w:rsidRPr="009C5DBF">
        <w:rPr>
          <w:rFonts w:ascii="Times New Roman" w:hAnsi="Times New Roman" w:cs="Times New Roman"/>
          <w:b/>
          <w:bCs/>
        </w:rPr>
        <w:t>R (corr.)</w:t>
      </w:r>
      <w:r w:rsidRPr="009C5DBF">
        <w:rPr>
          <w:rFonts w:ascii="Times New Roman" w:hAnsi="Times New Roman" w:cs="Times New Roman"/>
        </w:rPr>
        <w:t xml:space="preserve">, Pearson's Correlation Coefficient; </w:t>
      </w:r>
      <w:r w:rsidRPr="009C5DBF">
        <w:rPr>
          <w:rFonts w:ascii="Times New Roman" w:hAnsi="Times New Roman" w:cs="Times New Roman"/>
          <w:b/>
          <w:bCs/>
        </w:rPr>
        <w:t>R</w:t>
      </w:r>
      <w:r w:rsidRPr="009C5DBF">
        <w:rPr>
          <w:rFonts w:ascii="Times New Roman" w:hAnsi="Times New Roman" w:cs="Times New Roman"/>
          <w:b/>
          <w:bCs/>
          <w:vertAlign w:val="superscript"/>
        </w:rPr>
        <w:t>2</w:t>
      </w:r>
      <w:r w:rsidRPr="009C5DBF">
        <w:rPr>
          <w:rFonts w:ascii="Times New Roman" w:hAnsi="Times New Roman" w:cs="Times New Roman"/>
        </w:rPr>
        <w:t xml:space="preserve">, Coefficient of Determination; </w:t>
      </w:r>
      <w:r w:rsidRPr="009C5DBF">
        <w:rPr>
          <w:rFonts w:ascii="Times New Roman" w:hAnsi="Times New Roman" w:cs="Times New Roman"/>
          <w:b/>
          <w:bCs/>
        </w:rPr>
        <w:t>RBC</w:t>
      </w:r>
      <w:r w:rsidRPr="009C5DBF">
        <w:rPr>
          <w:rFonts w:ascii="Times New Roman" w:hAnsi="Times New Roman" w:cs="Times New Roman"/>
        </w:rPr>
        <w:t xml:space="preserve">, Red Blood Cell (count); </w:t>
      </w:r>
      <w:r w:rsidRPr="009C5DBF">
        <w:rPr>
          <w:rFonts w:ascii="Times New Roman" w:hAnsi="Times New Roman" w:cs="Times New Roman"/>
          <w:b/>
          <w:bCs/>
        </w:rPr>
        <w:t>reg</w:t>
      </w:r>
      <w:r w:rsidRPr="009C5DBF">
        <w:rPr>
          <w:rFonts w:ascii="Times New Roman" w:hAnsi="Times New Roman" w:cs="Times New Roman"/>
        </w:rPr>
        <w:t xml:space="preserve">, Regression; </w:t>
      </w:r>
      <w:r w:rsidRPr="009C5DBF">
        <w:rPr>
          <w:rFonts w:ascii="Times New Roman" w:hAnsi="Times New Roman" w:cs="Times New Roman"/>
          <w:b/>
          <w:bCs/>
        </w:rPr>
        <w:t>RF</w:t>
      </w:r>
      <w:r w:rsidRPr="009C5DBF">
        <w:rPr>
          <w:rFonts w:ascii="Times New Roman" w:hAnsi="Times New Roman" w:cs="Times New Roman"/>
        </w:rPr>
        <w:t xml:space="preserve">, Random Forest; </w:t>
      </w:r>
      <w:r w:rsidRPr="009C5DBF">
        <w:rPr>
          <w:rFonts w:ascii="Times New Roman" w:hAnsi="Times New Roman" w:cs="Times New Roman"/>
          <w:b/>
          <w:bCs/>
        </w:rPr>
        <w:t>RMSE</w:t>
      </w:r>
      <w:r w:rsidRPr="009C5DBF">
        <w:rPr>
          <w:rFonts w:ascii="Times New Roman" w:hAnsi="Times New Roman" w:cs="Times New Roman"/>
        </w:rPr>
        <w:t xml:space="preserve">, Root Mean Squared Error; </w:t>
      </w:r>
      <w:r w:rsidRPr="009C5DBF">
        <w:rPr>
          <w:rFonts w:ascii="Times New Roman" w:hAnsi="Times New Roman" w:cs="Times New Roman"/>
          <w:b/>
          <w:bCs/>
        </w:rPr>
        <w:t>RNN</w:t>
      </w:r>
      <w:r w:rsidRPr="009C5DBF">
        <w:rPr>
          <w:rFonts w:ascii="Times New Roman" w:hAnsi="Times New Roman" w:cs="Times New Roman"/>
        </w:rPr>
        <w:t xml:space="preserve">, Recurrent Neural Network; </w:t>
      </w:r>
      <w:proofErr w:type="spellStart"/>
      <w:r w:rsidRPr="009C5DBF">
        <w:rPr>
          <w:rFonts w:ascii="Times New Roman" w:hAnsi="Times New Roman" w:cs="Times New Roman"/>
          <w:b/>
          <w:bCs/>
        </w:rPr>
        <w:t>SCr</w:t>
      </w:r>
      <w:proofErr w:type="spellEnd"/>
      <w:r w:rsidRPr="009C5DBF">
        <w:rPr>
          <w:rFonts w:ascii="Times New Roman" w:hAnsi="Times New Roman" w:cs="Times New Roman"/>
        </w:rPr>
        <w:t xml:space="preserve">, Serum Creatinine; </w:t>
      </w:r>
      <w:r w:rsidRPr="009C5DBF">
        <w:rPr>
          <w:rFonts w:ascii="Times New Roman" w:hAnsi="Times New Roman" w:cs="Times New Roman"/>
          <w:b/>
          <w:bCs/>
        </w:rPr>
        <w:t>SOFA</w:t>
      </w:r>
      <w:r w:rsidRPr="009C5DBF">
        <w:rPr>
          <w:rFonts w:ascii="Times New Roman" w:hAnsi="Times New Roman" w:cs="Times New Roman"/>
        </w:rPr>
        <w:t xml:space="preserve">, Sequential Organ Failure Assessment (score); </w:t>
      </w:r>
      <w:r w:rsidRPr="009C5DBF">
        <w:rPr>
          <w:rFonts w:ascii="Times New Roman" w:hAnsi="Times New Roman" w:cs="Times New Roman"/>
          <w:b/>
          <w:bCs/>
        </w:rPr>
        <w:t>SVR</w:t>
      </w:r>
      <w:r w:rsidRPr="009C5DBF">
        <w:rPr>
          <w:rFonts w:ascii="Times New Roman" w:hAnsi="Times New Roman" w:cs="Times New Roman"/>
        </w:rPr>
        <w:t xml:space="preserve">, Support Vector Regression; </w:t>
      </w:r>
      <w:r w:rsidRPr="009C5DBF">
        <w:rPr>
          <w:rFonts w:ascii="Times New Roman" w:hAnsi="Times New Roman" w:cs="Times New Roman"/>
          <w:b/>
          <w:bCs/>
        </w:rPr>
        <w:t>TBIL</w:t>
      </w:r>
      <w:r w:rsidRPr="009C5DBF">
        <w:rPr>
          <w:rFonts w:ascii="Times New Roman" w:hAnsi="Times New Roman" w:cs="Times New Roman"/>
        </w:rPr>
        <w:t xml:space="preserve">, Total Bilirubin; </w:t>
      </w:r>
      <w:r w:rsidRPr="009C5DBF">
        <w:rPr>
          <w:rFonts w:ascii="Times New Roman" w:hAnsi="Times New Roman" w:cs="Times New Roman"/>
          <w:b/>
          <w:bCs/>
        </w:rPr>
        <w:t>TDM</w:t>
      </w:r>
      <w:r w:rsidRPr="009C5DBF">
        <w:rPr>
          <w:rFonts w:ascii="Times New Roman" w:hAnsi="Times New Roman" w:cs="Times New Roman"/>
        </w:rPr>
        <w:t xml:space="preserve">, Therapeutic Drug Monitoring; </w:t>
      </w:r>
      <w:r w:rsidRPr="009C5DBF">
        <w:rPr>
          <w:rFonts w:ascii="Times New Roman" w:hAnsi="Times New Roman" w:cs="Times New Roman"/>
          <w:b/>
          <w:bCs/>
        </w:rPr>
        <w:t>Test</w:t>
      </w:r>
      <w:r w:rsidRPr="009C5DBF">
        <w:rPr>
          <w:rFonts w:ascii="Times New Roman" w:hAnsi="Times New Roman" w:cs="Times New Roman"/>
        </w:rPr>
        <w:t xml:space="preserve">, Testing; </w:t>
      </w:r>
      <w:r w:rsidRPr="009C5DBF">
        <w:rPr>
          <w:rFonts w:ascii="Times New Roman" w:hAnsi="Times New Roman" w:cs="Times New Roman"/>
          <w:b/>
          <w:bCs/>
        </w:rPr>
        <w:t>TP</w:t>
      </w:r>
      <w:r w:rsidRPr="009C5DBF">
        <w:rPr>
          <w:rFonts w:ascii="Times New Roman" w:hAnsi="Times New Roman" w:cs="Times New Roman"/>
        </w:rPr>
        <w:t xml:space="preserve">, Total Protein; </w:t>
      </w:r>
      <w:r w:rsidRPr="009C5DBF">
        <w:rPr>
          <w:rFonts w:ascii="Times New Roman" w:hAnsi="Times New Roman" w:cs="Times New Roman"/>
          <w:b/>
          <w:bCs/>
        </w:rPr>
        <w:t>TZP</w:t>
      </w:r>
      <w:r w:rsidRPr="009C5DBF">
        <w:rPr>
          <w:rFonts w:ascii="Times New Roman" w:hAnsi="Times New Roman" w:cs="Times New Roman"/>
        </w:rPr>
        <w:t xml:space="preserve">, Piperacillin-Tazobactam (Inferred from context, an antibiotic); </w:t>
      </w:r>
      <w:r w:rsidRPr="009C5DBF">
        <w:rPr>
          <w:rFonts w:ascii="Times New Roman" w:hAnsi="Times New Roman" w:cs="Times New Roman"/>
          <w:b/>
          <w:bCs/>
        </w:rPr>
        <w:t>UA</w:t>
      </w:r>
      <w:r w:rsidRPr="009C5DBF">
        <w:rPr>
          <w:rFonts w:ascii="Times New Roman" w:hAnsi="Times New Roman" w:cs="Times New Roman"/>
        </w:rPr>
        <w:t xml:space="preserve">, Uric Acid (or Urinary Albumin, but Uric Acid is more common in this lab panel context); </w:t>
      </w:r>
      <w:r w:rsidRPr="009C5DBF">
        <w:rPr>
          <w:rFonts w:ascii="Times New Roman" w:hAnsi="Times New Roman" w:cs="Times New Roman"/>
          <w:b/>
          <w:bCs/>
        </w:rPr>
        <w:t>UCSF</w:t>
      </w:r>
      <w:r w:rsidRPr="009C5DBF">
        <w:rPr>
          <w:rFonts w:ascii="Times New Roman" w:hAnsi="Times New Roman" w:cs="Times New Roman"/>
        </w:rPr>
        <w:t xml:space="preserve">, University of California, San Francisco; </w:t>
      </w:r>
      <w:r w:rsidRPr="009C5DBF">
        <w:rPr>
          <w:rFonts w:ascii="Times New Roman" w:hAnsi="Times New Roman" w:cs="Times New Roman"/>
          <w:b/>
          <w:bCs/>
        </w:rPr>
        <w:t>Val</w:t>
      </w:r>
      <w:r w:rsidRPr="009C5DBF">
        <w:rPr>
          <w:rFonts w:ascii="Times New Roman" w:hAnsi="Times New Roman" w:cs="Times New Roman"/>
        </w:rPr>
        <w:t xml:space="preserve">, Validation; </w:t>
      </w:r>
      <w:r w:rsidRPr="009C5DBF">
        <w:rPr>
          <w:rFonts w:ascii="Times New Roman" w:hAnsi="Times New Roman" w:cs="Times New Roman"/>
          <w:b/>
          <w:bCs/>
        </w:rPr>
        <w:t>VTDM</w:t>
      </w:r>
      <w:r w:rsidRPr="009C5DBF">
        <w:rPr>
          <w:rFonts w:ascii="Times New Roman" w:hAnsi="Times New Roman" w:cs="Times New Roman"/>
        </w:rPr>
        <w:t xml:space="preserve">, Vancomycin Therapeutic Drug Monitoring; </w:t>
      </w:r>
      <w:r w:rsidRPr="009C5DBF">
        <w:rPr>
          <w:rFonts w:ascii="Times New Roman" w:hAnsi="Times New Roman" w:cs="Times New Roman"/>
          <w:b/>
          <w:bCs/>
        </w:rPr>
        <w:t>WBC</w:t>
      </w:r>
      <w:r w:rsidRPr="009C5DBF">
        <w:rPr>
          <w:rFonts w:ascii="Times New Roman" w:hAnsi="Times New Roman" w:cs="Times New Roman"/>
        </w:rPr>
        <w:t xml:space="preserve">, White Blood Cell (count); </w:t>
      </w:r>
      <w:proofErr w:type="spellStart"/>
      <w:r w:rsidRPr="009C5DBF">
        <w:rPr>
          <w:rFonts w:ascii="Times New Roman" w:hAnsi="Times New Roman" w:cs="Times New Roman"/>
          <w:b/>
          <w:bCs/>
        </w:rPr>
        <w:t>XGBoost</w:t>
      </w:r>
      <w:proofErr w:type="spellEnd"/>
      <w:r w:rsidRPr="009C5DBF">
        <w:rPr>
          <w:rFonts w:ascii="Times New Roman" w:hAnsi="Times New Roman" w:cs="Times New Roman"/>
        </w:rPr>
        <w:t xml:space="preserve">, </w:t>
      </w:r>
      <w:proofErr w:type="spellStart"/>
      <w:r w:rsidRPr="009C5DBF">
        <w:rPr>
          <w:rFonts w:ascii="Times New Roman" w:hAnsi="Times New Roman" w:cs="Times New Roman"/>
        </w:rPr>
        <w:t>eXtreme</w:t>
      </w:r>
      <w:proofErr w:type="spellEnd"/>
      <w:r w:rsidRPr="009C5DBF">
        <w:rPr>
          <w:rFonts w:ascii="Times New Roman" w:hAnsi="Times New Roman" w:cs="Times New Roman"/>
        </w:rPr>
        <w:t xml:space="preserve"> Gradient Boosting</w:t>
      </w:r>
    </w:p>
    <w:p w14:paraId="1B277834" w14:textId="77777777" w:rsidR="00C65061" w:rsidRDefault="00C65061"/>
    <w:sectPr w:rsidR="00C65061" w:rsidSect="000E65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C6"/>
    <w:rsid w:val="000E65C6"/>
    <w:rsid w:val="00AF4745"/>
    <w:rsid w:val="00B46C75"/>
    <w:rsid w:val="00C65061"/>
    <w:rsid w:val="00D6243A"/>
    <w:rsid w:val="00E0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3E6C5"/>
  <w15:chartTrackingRefBased/>
  <w15:docId w15:val="{BD31B34A-6354-4736-8649-E8FE41AD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5C6"/>
    <w:pPr>
      <w:spacing w:line="278" w:lineRule="auto"/>
    </w:pPr>
    <w:rPr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0E65C6"/>
    <w:pPr>
      <w:spacing w:after="0" w:line="240" w:lineRule="auto"/>
    </w:pPr>
    <w:rPr>
      <w:kern w:val="0"/>
      <w:sz w:val="24"/>
      <w:szCs w:val="24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E65C6"/>
    <w:pPr>
      <w:spacing w:after="200" w:line="240" w:lineRule="auto"/>
    </w:pPr>
    <w:rPr>
      <w:i/>
      <w:iCs/>
      <w:color w:val="44546A" w:themeColor="text2"/>
      <w:sz w:val="18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0E6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1459</Words>
  <Characters>8317</Characters>
  <Application>Microsoft Office Word</Application>
  <DocSecurity>0</DocSecurity>
  <Lines>69</Lines>
  <Paragraphs>19</Paragraphs>
  <ScaleCrop>false</ScaleCrop>
  <Company/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Zelalem Tilahun</dc:creator>
  <cp:keywords/>
  <dc:description/>
  <cp:lastModifiedBy>Zelalem Tilahun</cp:lastModifiedBy>
  <cp:revision>2</cp:revision>
  <dcterms:created xsi:type="dcterms:W3CDTF">2025-09-27T11:19:00Z</dcterms:created>
  <dcterms:modified xsi:type="dcterms:W3CDTF">2025-10-04T06:23:00Z</dcterms:modified>
</cp:coreProperties>
</file>