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EE2D8" w14:textId="44B29110" w:rsidR="00A64256" w:rsidRPr="00D50ADC" w:rsidRDefault="00FA71C2" w:rsidP="00D50ADC">
      <w:pPr>
        <w:pStyle w:val="ListParagraph"/>
        <w:numPr>
          <w:ilvl w:val="0"/>
          <w:numId w:val="1"/>
        </w:numPr>
        <w:spacing w:before="240" w:after="240" w:line="360" w:lineRule="auto"/>
        <w:jc w:val="both"/>
        <w:rPr>
          <w:rFonts w:ascii="Calibri" w:eastAsia="Calibri" w:hAnsi="Calibri" w:cs="Calibri"/>
          <w:b/>
          <w:sz w:val="28"/>
          <w:szCs w:val="28"/>
        </w:rPr>
      </w:pPr>
      <w:r w:rsidRPr="00D50ADC">
        <w:rPr>
          <w:rFonts w:ascii="Calibri" w:eastAsia="Calibri" w:hAnsi="Calibri" w:cs="Calibri"/>
          <w:b/>
          <w:sz w:val="28"/>
          <w:szCs w:val="28"/>
        </w:rPr>
        <w:t>Supplementary methods</w:t>
      </w:r>
    </w:p>
    <w:p w14:paraId="64512CFE" w14:textId="77777777" w:rsidR="00A64256" w:rsidRDefault="00FA71C2">
      <w:pPr>
        <w:spacing w:before="240" w:after="240" w:line="360" w:lineRule="auto"/>
        <w:jc w:val="both"/>
        <w:rPr>
          <w:rFonts w:ascii="Calibri" w:eastAsia="Calibri" w:hAnsi="Calibri" w:cs="Calibri"/>
          <w:sz w:val="26"/>
          <w:szCs w:val="26"/>
        </w:rPr>
      </w:pPr>
      <w:r>
        <w:rPr>
          <w:rFonts w:ascii="Calibri" w:eastAsia="Calibri" w:hAnsi="Calibri" w:cs="Calibri"/>
          <w:b/>
          <w:sz w:val="26"/>
          <w:szCs w:val="26"/>
        </w:rPr>
        <w:t>Blood samples</w:t>
      </w:r>
    </w:p>
    <w:p w14:paraId="1937F2C7" w14:textId="341B0572"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sz w:val="24"/>
          <w:szCs w:val="24"/>
        </w:rPr>
        <w:t>Blood samples were collected on acid-citrate dextrose (ACD) from patients with SCA (homozygous SS) and HDs (</w:t>
      </w:r>
      <w:proofErr w:type="spellStart"/>
      <w:r>
        <w:rPr>
          <w:rFonts w:ascii="Calibri" w:eastAsia="Calibri" w:hAnsi="Calibri" w:cs="Calibri"/>
          <w:sz w:val="24"/>
          <w:szCs w:val="24"/>
        </w:rPr>
        <w:t>Etablissement</w:t>
      </w:r>
      <w:proofErr w:type="spellEnd"/>
      <w:r>
        <w:rPr>
          <w:rFonts w:ascii="Calibri" w:eastAsia="Calibri" w:hAnsi="Calibri" w:cs="Calibri"/>
          <w:sz w:val="24"/>
          <w:szCs w:val="24"/>
        </w:rPr>
        <w:t xml:space="preserve"> Français du Sang (EFS)). Patients with SCA were children aged 3 to 17 years old, treated neither with HU nor chronic transfusions, and at a distance from any infection or </w:t>
      </w:r>
      <w:proofErr w:type="spellStart"/>
      <w:r>
        <w:rPr>
          <w:rFonts w:ascii="Calibri" w:eastAsia="Calibri" w:hAnsi="Calibri" w:cs="Calibri"/>
          <w:sz w:val="24"/>
          <w:szCs w:val="24"/>
        </w:rPr>
        <w:t>vaso</w:t>
      </w:r>
      <w:proofErr w:type="spellEnd"/>
      <w:r>
        <w:rPr>
          <w:rFonts w:ascii="Calibri" w:eastAsia="Calibri" w:hAnsi="Calibri" w:cs="Calibri"/>
          <w:sz w:val="24"/>
          <w:szCs w:val="24"/>
        </w:rPr>
        <w:t>-occlusive event, having an exchange transfusion as preparation for surgery. Erythrapheresis blood bags were used for all experiments with CD34</w:t>
      </w:r>
      <w:r>
        <w:rPr>
          <w:rFonts w:ascii="Calibri" w:eastAsia="Calibri" w:hAnsi="Calibri" w:cs="Calibri"/>
          <w:sz w:val="24"/>
          <w:szCs w:val="24"/>
          <w:vertAlign w:val="superscript"/>
        </w:rPr>
        <w:t>+</w:t>
      </w:r>
      <w:r>
        <w:rPr>
          <w:rFonts w:ascii="Calibri" w:eastAsia="Calibri" w:hAnsi="Calibri" w:cs="Calibri"/>
          <w:sz w:val="24"/>
          <w:szCs w:val="24"/>
        </w:rPr>
        <w:t xml:space="preserve"> cells. All samples were processed within 8 hours. The study was approved by the French Ethical Evaluation Committee for Biomedical Research Projects (CPP n ° 2018-A02894-51). Consent was obtained from all participants prior to inclusion. The study adhered to the tenets of the Declaration of Helsinki. Demographic and biological parameters of patients included in this study are summarized in Table S</w:t>
      </w:r>
      <w:r w:rsidR="00906F94">
        <w:rPr>
          <w:rFonts w:ascii="Calibri" w:eastAsia="Calibri" w:hAnsi="Calibri" w:cs="Calibri"/>
          <w:sz w:val="24"/>
          <w:szCs w:val="24"/>
        </w:rPr>
        <w:t>5</w:t>
      </w:r>
      <w:r>
        <w:rPr>
          <w:rFonts w:ascii="Calibri" w:eastAsia="Calibri" w:hAnsi="Calibri" w:cs="Calibri"/>
          <w:sz w:val="24"/>
          <w:szCs w:val="24"/>
        </w:rPr>
        <w:t>.</w:t>
      </w:r>
    </w:p>
    <w:p w14:paraId="1269825B" w14:textId="77777777" w:rsidR="00A64256" w:rsidRDefault="00FA71C2">
      <w:pPr>
        <w:spacing w:before="240" w:after="240" w:line="360" w:lineRule="auto"/>
        <w:jc w:val="both"/>
        <w:rPr>
          <w:rFonts w:ascii="Calibri" w:eastAsia="Calibri" w:hAnsi="Calibri" w:cs="Calibri"/>
          <w:sz w:val="26"/>
          <w:szCs w:val="26"/>
        </w:rPr>
      </w:pPr>
      <w:r>
        <w:rPr>
          <w:rFonts w:ascii="Calibri" w:eastAsia="Calibri" w:hAnsi="Calibri" w:cs="Calibri"/>
          <w:b/>
          <w:sz w:val="26"/>
          <w:szCs w:val="26"/>
        </w:rPr>
        <w:t>Isolation of CD34</w:t>
      </w:r>
      <w:r>
        <w:rPr>
          <w:rFonts w:ascii="Calibri" w:eastAsia="Calibri" w:hAnsi="Calibri" w:cs="Calibri"/>
          <w:b/>
          <w:sz w:val="26"/>
          <w:szCs w:val="26"/>
          <w:vertAlign w:val="superscript"/>
        </w:rPr>
        <w:t>+</w:t>
      </w:r>
      <w:r>
        <w:rPr>
          <w:rFonts w:ascii="Calibri" w:eastAsia="Calibri" w:hAnsi="Calibri" w:cs="Calibri"/>
          <w:b/>
          <w:sz w:val="26"/>
          <w:szCs w:val="26"/>
        </w:rPr>
        <w:t xml:space="preserve"> cells</w:t>
      </w:r>
    </w:p>
    <w:p w14:paraId="74BA8A2A" w14:textId="77777777"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sz w:val="24"/>
          <w:szCs w:val="24"/>
        </w:rPr>
        <w:t xml:space="preserve">Peripheral blood (PB) mononuclear cells (PBMCs) were purified from blood samples of HD and patients with SCA using a </w:t>
      </w:r>
      <w:proofErr w:type="spellStart"/>
      <w:r>
        <w:rPr>
          <w:rFonts w:ascii="Calibri" w:eastAsia="Calibri" w:hAnsi="Calibri" w:cs="Calibri"/>
          <w:sz w:val="24"/>
          <w:szCs w:val="24"/>
        </w:rPr>
        <w:t>Ficoll</w:t>
      </w:r>
      <w:proofErr w:type="spellEnd"/>
      <w:r>
        <w:rPr>
          <w:rFonts w:ascii="Calibri" w:eastAsia="Calibri" w:hAnsi="Calibri" w:cs="Calibri"/>
          <w:sz w:val="24"/>
          <w:szCs w:val="24"/>
        </w:rPr>
        <w:t xml:space="preserve"> density gradient separation (</w:t>
      </w:r>
      <w:proofErr w:type="spellStart"/>
      <w:r>
        <w:rPr>
          <w:rFonts w:ascii="Calibri" w:eastAsia="Calibri" w:hAnsi="Calibri" w:cs="Calibri"/>
          <w:sz w:val="24"/>
          <w:szCs w:val="24"/>
        </w:rPr>
        <w:t>Pancoll</w:t>
      </w:r>
      <w:proofErr w:type="spellEnd"/>
      <w:r>
        <w:rPr>
          <w:rFonts w:ascii="Calibri" w:eastAsia="Calibri" w:hAnsi="Calibri" w:cs="Calibri"/>
          <w:sz w:val="24"/>
          <w:szCs w:val="24"/>
        </w:rPr>
        <w:t xml:space="preserve"> 1.077 g/ml, PAN BIOTECH). PBMCs were treated with Ammonium-Chloride-Potassium (ACK) Lysing Buffer (</w:t>
      </w:r>
      <w:proofErr w:type="spellStart"/>
      <w:r>
        <w:rPr>
          <w:rFonts w:ascii="Calibri" w:eastAsia="Calibri" w:hAnsi="Calibri" w:cs="Calibri"/>
          <w:sz w:val="24"/>
          <w:szCs w:val="24"/>
        </w:rPr>
        <w:t>ThermoFisher</w:t>
      </w:r>
      <w:proofErr w:type="spellEnd"/>
      <w:r>
        <w:rPr>
          <w:rFonts w:ascii="Calibri" w:eastAsia="Calibri" w:hAnsi="Calibri" w:cs="Calibri"/>
          <w:sz w:val="24"/>
          <w:szCs w:val="24"/>
        </w:rPr>
        <w:t xml:space="preserve"> Scientific) for 5 minutes at 4°C to remove red blood cells and washed twice in PBS supplemented with 0.5% bovine serum albumin (BSA). Next, CD34</w:t>
      </w:r>
      <w:r>
        <w:rPr>
          <w:rFonts w:ascii="Calibri" w:eastAsia="Calibri" w:hAnsi="Calibri" w:cs="Calibri"/>
          <w:sz w:val="24"/>
          <w:szCs w:val="24"/>
          <w:vertAlign w:val="superscript"/>
        </w:rPr>
        <w:t>+</w:t>
      </w:r>
      <w:r>
        <w:rPr>
          <w:rFonts w:ascii="Calibri" w:eastAsia="Calibri" w:hAnsi="Calibri" w:cs="Calibri"/>
          <w:sz w:val="24"/>
          <w:szCs w:val="24"/>
        </w:rPr>
        <w:t xml:space="preserve"> cells were isolated using CD34MicroBead kit and cell separation columns following the supplier instructions (MACS </w:t>
      </w:r>
      <w:proofErr w:type="spellStart"/>
      <w:r>
        <w:rPr>
          <w:rFonts w:ascii="Calibri" w:eastAsia="Calibri" w:hAnsi="Calibri" w:cs="Calibri"/>
          <w:sz w:val="24"/>
          <w:szCs w:val="24"/>
        </w:rPr>
        <w:t>Miltenyi</w:t>
      </w:r>
      <w:proofErr w:type="spellEnd"/>
      <w:r>
        <w:rPr>
          <w:rFonts w:ascii="Calibri" w:eastAsia="Calibri" w:hAnsi="Calibri" w:cs="Calibri"/>
          <w:sz w:val="24"/>
          <w:szCs w:val="24"/>
        </w:rPr>
        <w:t xml:space="preserve"> Biotec). Briefly, PBMCs were incubated with anti-CD34 microbeads and </w:t>
      </w:r>
      <w:proofErr w:type="spellStart"/>
      <w:r>
        <w:rPr>
          <w:rFonts w:ascii="Calibri" w:eastAsia="Calibri" w:hAnsi="Calibri" w:cs="Calibri"/>
          <w:sz w:val="24"/>
          <w:szCs w:val="24"/>
        </w:rPr>
        <w:t>FcR</w:t>
      </w:r>
      <w:proofErr w:type="spellEnd"/>
      <w:r>
        <w:rPr>
          <w:rFonts w:ascii="Calibri" w:eastAsia="Calibri" w:hAnsi="Calibri" w:cs="Calibri"/>
          <w:sz w:val="24"/>
          <w:szCs w:val="24"/>
        </w:rPr>
        <w:t xml:space="preserve"> blocking reagent at 4°C for 30 minutes, then passed through a positive selection immunomagnetic LS column twice. CD34</w:t>
      </w:r>
      <w:r>
        <w:rPr>
          <w:rFonts w:ascii="Calibri" w:eastAsia="Calibri" w:hAnsi="Calibri" w:cs="Calibri"/>
          <w:sz w:val="24"/>
          <w:szCs w:val="24"/>
          <w:vertAlign w:val="superscript"/>
        </w:rPr>
        <w:t>+</w:t>
      </w:r>
      <w:r>
        <w:rPr>
          <w:rFonts w:ascii="Calibri" w:eastAsia="Calibri" w:hAnsi="Calibri" w:cs="Calibri"/>
          <w:sz w:val="24"/>
          <w:szCs w:val="24"/>
        </w:rPr>
        <w:t xml:space="preserve"> cell purity was analyzed by flow cytometry using an anti-human CD34 antibody (clone 563, BD Biosciences) on a FACS </w:t>
      </w:r>
      <w:proofErr w:type="spellStart"/>
      <w:r>
        <w:rPr>
          <w:rFonts w:ascii="Calibri" w:eastAsia="Calibri" w:hAnsi="Calibri" w:cs="Calibri"/>
          <w:sz w:val="24"/>
          <w:szCs w:val="24"/>
        </w:rPr>
        <w:t>CantoII</w:t>
      </w:r>
      <w:proofErr w:type="spellEnd"/>
      <w:r>
        <w:rPr>
          <w:rFonts w:ascii="Calibri" w:eastAsia="Calibri" w:hAnsi="Calibri" w:cs="Calibri"/>
          <w:sz w:val="24"/>
          <w:szCs w:val="24"/>
        </w:rPr>
        <w:t xml:space="preserve"> (BD Biosciences). </w:t>
      </w:r>
    </w:p>
    <w:p w14:paraId="62D59C31" w14:textId="77777777" w:rsidR="00CF328C" w:rsidRDefault="00CF328C">
      <w:pPr>
        <w:spacing w:before="240" w:after="240" w:line="360" w:lineRule="auto"/>
        <w:jc w:val="both"/>
        <w:rPr>
          <w:rFonts w:ascii="Calibri" w:eastAsia="Calibri" w:hAnsi="Calibri" w:cs="Calibri"/>
          <w:sz w:val="24"/>
          <w:szCs w:val="24"/>
        </w:rPr>
      </w:pPr>
    </w:p>
    <w:p w14:paraId="262B45A5" w14:textId="77777777" w:rsidR="00CF328C" w:rsidRDefault="00CF328C">
      <w:pPr>
        <w:spacing w:before="240" w:after="240" w:line="360" w:lineRule="auto"/>
        <w:jc w:val="both"/>
        <w:rPr>
          <w:rFonts w:ascii="Calibri" w:eastAsia="Calibri" w:hAnsi="Calibri" w:cs="Calibri"/>
          <w:sz w:val="24"/>
          <w:szCs w:val="24"/>
        </w:rPr>
      </w:pPr>
    </w:p>
    <w:p w14:paraId="4F6BA616" w14:textId="77777777" w:rsidR="00EC4403" w:rsidRPr="00EC4403" w:rsidRDefault="00EC4403" w:rsidP="00EC4403">
      <w:pPr>
        <w:spacing w:before="240" w:after="240" w:line="360" w:lineRule="auto"/>
        <w:jc w:val="both"/>
        <w:rPr>
          <w:rFonts w:ascii="Calibri" w:eastAsia="Calibri" w:hAnsi="Calibri" w:cs="Calibri"/>
          <w:sz w:val="26"/>
          <w:szCs w:val="26"/>
          <w:lang w:val="en-US"/>
        </w:rPr>
      </w:pPr>
      <w:r w:rsidRPr="00EC4403">
        <w:rPr>
          <w:rFonts w:ascii="Calibri" w:eastAsia="Calibri" w:hAnsi="Calibri" w:cs="Calibri"/>
          <w:b/>
          <w:bCs/>
          <w:sz w:val="26"/>
          <w:szCs w:val="26"/>
          <w:lang w:val="en-US"/>
        </w:rPr>
        <w:lastRenderedPageBreak/>
        <w:t>Human neutrophil isolation</w:t>
      </w:r>
    </w:p>
    <w:p w14:paraId="6FCF6E82" w14:textId="533B12E5" w:rsidR="00EC4403" w:rsidRDefault="00EC4403" w:rsidP="00EC4403">
      <w:pPr>
        <w:spacing w:before="240" w:after="240" w:line="360" w:lineRule="auto"/>
        <w:jc w:val="both"/>
        <w:rPr>
          <w:rFonts w:ascii="Calibri" w:eastAsia="Calibri" w:hAnsi="Calibri" w:cs="Calibri"/>
          <w:sz w:val="24"/>
          <w:szCs w:val="24"/>
          <w:lang w:val="en-US"/>
        </w:rPr>
      </w:pPr>
      <w:r w:rsidRPr="00EC4403">
        <w:rPr>
          <w:rFonts w:ascii="Calibri" w:eastAsia="Calibri" w:hAnsi="Calibri" w:cs="Calibri"/>
          <w:sz w:val="24"/>
          <w:szCs w:val="24"/>
          <w:lang w:val="en-US"/>
        </w:rPr>
        <w:t xml:space="preserve">Neutrophils were isolated from fresh whole blood within 4h after blood sampling using a </w:t>
      </w:r>
      <w:proofErr w:type="spellStart"/>
      <w:r w:rsidRPr="00EC4403">
        <w:rPr>
          <w:rFonts w:ascii="Calibri" w:eastAsia="Calibri" w:hAnsi="Calibri" w:cs="Calibri"/>
          <w:sz w:val="24"/>
          <w:szCs w:val="24"/>
          <w:lang w:val="en-US"/>
        </w:rPr>
        <w:t>MACSxpress</w:t>
      </w:r>
      <w:proofErr w:type="spellEnd"/>
      <w:r w:rsidRPr="00EC4403">
        <w:rPr>
          <w:rFonts w:ascii="Calibri" w:eastAsia="Calibri" w:hAnsi="Calibri" w:cs="Calibri"/>
          <w:sz w:val="24"/>
          <w:szCs w:val="24"/>
          <w:lang w:val="en-US"/>
        </w:rPr>
        <w:t xml:space="preserve"> Neutrophil Isolation Kit followed by a </w:t>
      </w:r>
      <w:proofErr w:type="spellStart"/>
      <w:r w:rsidRPr="00EC4403">
        <w:rPr>
          <w:rFonts w:ascii="Calibri" w:eastAsia="Calibri" w:hAnsi="Calibri" w:cs="Calibri"/>
          <w:sz w:val="24"/>
          <w:szCs w:val="24"/>
          <w:lang w:val="en-US"/>
        </w:rPr>
        <w:t>MACSxpress</w:t>
      </w:r>
      <w:proofErr w:type="spellEnd"/>
      <w:r w:rsidRPr="00EC4403">
        <w:rPr>
          <w:rFonts w:ascii="Calibri" w:eastAsia="Calibri" w:hAnsi="Calibri" w:cs="Calibri"/>
          <w:sz w:val="24"/>
          <w:szCs w:val="24"/>
          <w:lang w:val="en-US"/>
        </w:rPr>
        <w:t xml:space="preserve"> Erythrocyte Depletion Kit (</w:t>
      </w:r>
      <w:proofErr w:type="spellStart"/>
      <w:r w:rsidRPr="00EC4403">
        <w:rPr>
          <w:rFonts w:ascii="Calibri" w:eastAsia="Calibri" w:hAnsi="Calibri" w:cs="Calibri"/>
          <w:sz w:val="24"/>
          <w:szCs w:val="24"/>
          <w:lang w:val="en-US"/>
        </w:rPr>
        <w:t>Miltenyi</w:t>
      </w:r>
      <w:proofErr w:type="spellEnd"/>
      <w:r w:rsidRPr="00EC4403">
        <w:rPr>
          <w:rFonts w:ascii="Calibri" w:eastAsia="Calibri" w:hAnsi="Calibri" w:cs="Calibri"/>
          <w:sz w:val="24"/>
          <w:szCs w:val="24"/>
          <w:lang w:val="en-US"/>
        </w:rPr>
        <w:t xml:space="preserve"> Biotec, Paris, France) as previously described</w:t>
      </w:r>
      <w:r>
        <w:rPr>
          <w:rFonts w:ascii="Calibri" w:eastAsia="Calibri" w:hAnsi="Calibri" w:cs="Calibri"/>
          <w:sz w:val="24"/>
          <w:szCs w:val="24"/>
          <w:lang w:val="en-US"/>
        </w:rPr>
        <w:t xml:space="preserve"> </w:t>
      </w:r>
      <w:r>
        <w:rPr>
          <w:rFonts w:ascii="Calibri" w:eastAsia="Calibri" w:hAnsi="Calibri" w:cs="Calibri"/>
          <w:sz w:val="24"/>
          <w:szCs w:val="24"/>
          <w:lang w:val="en-US"/>
        </w:rPr>
        <w:fldChar w:fldCharType="begin"/>
      </w:r>
      <w:r>
        <w:rPr>
          <w:rFonts w:ascii="Calibri" w:eastAsia="Calibri" w:hAnsi="Calibri" w:cs="Calibri"/>
          <w:sz w:val="24"/>
          <w:szCs w:val="24"/>
          <w:lang w:val="en-US"/>
        </w:rPr>
        <w:instrText xml:space="preserve"> ADDIN ZOTERO_ITEM CSL_CITATION {"citationID":"onfRQJCX","properties":{"formattedCitation":"\\super 1\\nosupersub{}","plainCitation":"1","noteIndex":0},"citationItems":[{"id":50,"uris":["http://zotero.org/users/7060433/items/ADNLWGJD"],"itemData":{"id":50,"type":"article-journal","abstract":"Although the primary origin of sickle cell disease is a hemoglobin disorder, many types of cells contribute considerably to the pathophysiology of the disease. The adhesion of neutrophils to activated endothelium is critical in the pathophysiology of sickle cell disease and targeting neutrophils and their interactions with endothelium represents an important opportunity for the development of new therapeutics. We focused on endothelin-1, a mediator involved in neutrophil activation and recruitment in tissues, and investigated the involvement of the endothelin receptors in the interaction of neutrophils with endothelial cells. We used fluorescence intravital microscopy analyses of the microcirculation in sickle mice and quantitative microfluidic fluorescence microscopy of human blood. Both experiments on the mouse model and patients indicate that blocking endothelin receptors, particularly ETB receptor, strongly influences neutrophil recruitment under inflammatory conditions in sickle cell disease. We show that human neutrophils have functional ETB receptors with calcium signaling capability, leading to increased adhesion to the endothelium through effects on both endothelial cells and neutrophils. Intact ETB function was found to be required for tumor necrosis factor α-dependent upregulation of CD11b on neutrophils. Furthermore, we confirmed that human neutrophils synthesize endothelin-1, which may be involved in autocrine and paracrine pathophysiological actions. Thus, the endothelin-ETB axis should be considered as a cytokine-like potent pro-inflammatory pathway in sickle cell disease. Blockade of endothelin receptors, including ETB, may provide major benefits for preventing or treating vaso-occlusive crises in sickle cell patients.","container-title":"Haematologica","DOI":"10.3324/haematol.2016.156869","ISSN":"1592-8721","issue":"7","journalAbbreviation":"Haematologica","language":"eng","note":"PMID: 28385784\nPMCID: PMC5566019","page":"1161-1172","source":"PubMed","title":"The endothelin B receptor plays a crucial role in the adhesion of neutrophils to the endothelium in sickle cell disease","volume":"102","author":[{"family":"Koehl","given":"Bérengère"},{"family":"Nivoit","given":"Pierre"},{"family":"El Nemer","given":"Wassim"},{"family":"Lenoir","given":"Olivia"},{"family":"Hermand","given":"Patricia"},{"family":"Pereira","given":"Catia"},{"family":"Brousse","given":"Valentine"},{"family":"Guyonnet","given":"Léa"},{"family":"Ghinatti","given":"Giulia"},{"family":"Benkerrou","given":"Malika"},{"family":"Colin","given":"Yves"},{"family":"Le Van Kim","given":"Caroline"},{"family":"Tharaux","given":"Pierre-Louis"}],"issued":{"date-parts":[["2017",7]]}}}],"schema":"https://github.com/citation-style-language/schema/raw/master/csl-citation.json"} </w:instrText>
      </w:r>
      <w:r>
        <w:rPr>
          <w:rFonts w:ascii="Calibri" w:eastAsia="Calibri" w:hAnsi="Calibri" w:cs="Calibri"/>
          <w:sz w:val="24"/>
          <w:szCs w:val="24"/>
          <w:lang w:val="en-US"/>
        </w:rPr>
        <w:fldChar w:fldCharType="separate"/>
      </w:r>
      <w:r w:rsidRPr="00EC4403">
        <w:rPr>
          <w:rFonts w:ascii="Calibri" w:hAnsi="Calibri" w:cs="Calibri"/>
          <w:sz w:val="24"/>
          <w:vertAlign w:val="superscript"/>
        </w:rPr>
        <w:t>1</w:t>
      </w:r>
      <w:r>
        <w:rPr>
          <w:rFonts w:ascii="Calibri" w:eastAsia="Calibri" w:hAnsi="Calibri" w:cs="Calibri"/>
          <w:sz w:val="24"/>
          <w:szCs w:val="24"/>
          <w:lang w:val="en-US"/>
        </w:rPr>
        <w:fldChar w:fldCharType="end"/>
      </w:r>
      <w:r w:rsidR="00CF328C">
        <w:rPr>
          <w:rFonts w:ascii="Calibri" w:eastAsia="Calibri" w:hAnsi="Calibri" w:cs="Calibri"/>
          <w:sz w:val="24"/>
          <w:szCs w:val="24"/>
          <w:lang w:val="en-US"/>
        </w:rPr>
        <w:t>.</w:t>
      </w:r>
    </w:p>
    <w:p w14:paraId="1BF8D4DB" w14:textId="77777777" w:rsidR="00EC4403" w:rsidRPr="00EC4403" w:rsidRDefault="00EC4403" w:rsidP="00EC4403">
      <w:pPr>
        <w:spacing w:before="240" w:after="240" w:line="360" w:lineRule="auto"/>
        <w:jc w:val="both"/>
        <w:rPr>
          <w:rFonts w:ascii="Calibri" w:eastAsia="Calibri" w:hAnsi="Calibri" w:cs="Calibri"/>
          <w:sz w:val="26"/>
          <w:szCs w:val="26"/>
          <w:lang w:val="en-US"/>
        </w:rPr>
      </w:pPr>
      <w:r w:rsidRPr="00EC4403">
        <w:rPr>
          <w:rFonts w:ascii="Calibri" w:eastAsia="Calibri" w:hAnsi="Calibri" w:cs="Calibri"/>
          <w:b/>
          <w:bCs/>
          <w:sz w:val="26"/>
          <w:szCs w:val="26"/>
          <w:lang w:val="en-US"/>
        </w:rPr>
        <w:t>Plasma analysis</w:t>
      </w:r>
    </w:p>
    <w:p w14:paraId="340A8F54" w14:textId="75BBEFC2" w:rsidR="00EC4403" w:rsidRPr="00EC4403" w:rsidRDefault="00EC4403" w:rsidP="00EC4403">
      <w:pPr>
        <w:spacing w:before="240" w:after="240" w:line="360" w:lineRule="auto"/>
        <w:jc w:val="both"/>
        <w:rPr>
          <w:rFonts w:ascii="Calibri" w:eastAsia="Calibri" w:hAnsi="Calibri" w:cs="Calibri"/>
          <w:sz w:val="24"/>
          <w:szCs w:val="24"/>
          <w:lang w:val="en-US"/>
        </w:rPr>
      </w:pPr>
      <w:r w:rsidRPr="00EC4403">
        <w:rPr>
          <w:rFonts w:ascii="Calibri" w:eastAsia="Calibri" w:hAnsi="Calibri" w:cs="Calibri"/>
          <w:sz w:val="24"/>
          <w:szCs w:val="24"/>
          <w:lang w:val="en-US"/>
        </w:rPr>
        <w:t xml:space="preserve">Cytokines quantification was performed using the Luminex technique in accordance with the manufacturer’s instructions. Each plasma sample was tested in duplicate, and data were collected on a Human High Sensitivity Cytokine Luminex Performance Assay (R&amp;D systems) and analyzed with Luminex </w:t>
      </w:r>
      <w:proofErr w:type="spellStart"/>
      <w:r w:rsidRPr="00EC4403">
        <w:rPr>
          <w:rFonts w:ascii="Calibri" w:eastAsia="Calibri" w:hAnsi="Calibri" w:cs="Calibri"/>
          <w:sz w:val="24"/>
          <w:szCs w:val="24"/>
          <w:lang w:val="en-US"/>
        </w:rPr>
        <w:t>xPonent</w:t>
      </w:r>
      <w:proofErr w:type="spellEnd"/>
      <w:r w:rsidRPr="00EC4403">
        <w:rPr>
          <w:rFonts w:ascii="Calibri" w:eastAsia="Calibri" w:hAnsi="Calibri" w:cs="Calibri"/>
          <w:sz w:val="24"/>
          <w:szCs w:val="24"/>
          <w:lang w:val="en-US"/>
        </w:rPr>
        <w:t xml:space="preserve"> Software.</w:t>
      </w:r>
    </w:p>
    <w:p w14:paraId="1EDB04D0" w14:textId="6224654B" w:rsidR="00A64256" w:rsidRDefault="00FA71C2">
      <w:pPr>
        <w:spacing w:before="240" w:after="240" w:line="360" w:lineRule="auto"/>
        <w:jc w:val="both"/>
        <w:rPr>
          <w:rFonts w:ascii="Calibri" w:eastAsia="Calibri" w:hAnsi="Calibri" w:cs="Calibri"/>
          <w:sz w:val="26"/>
          <w:szCs w:val="26"/>
        </w:rPr>
      </w:pPr>
      <w:r>
        <w:rPr>
          <w:rFonts w:ascii="Calibri" w:eastAsia="Calibri" w:hAnsi="Calibri" w:cs="Calibri"/>
          <w:b/>
          <w:sz w:val="26"/>
          <w:szCs w:val="26"/>
        </w:rPr>
        <w:t>Cell culture</w:t>
      </w:r>
    </w:p>
    <w:p w14:paraId="535454E9" w14:textId="77777777"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t>Colony-forming assay.</w:t>
      </w:r>
      <w:r>
        <w:rPr>
          <w:rFonts w:ascii="Calibri" w:eastAsia="Calibri" w:hAnsi="Calibri" w:cs="Calibri"/>
          <w:b/>
          <w:sz w:val="24"/>
          <w:szCs w:val="24"/>
        </w:rPr>
        <w:t xml:space="preserve"> </w:t>
      </w:r>
      <w:r>
        <w:rPr>
          <w:rFonts w:ascii="Calibri" w:eastAsia="Calibri" w:hAnsi="Calibri" w:cs="Calibri"/>
          <w:sz w:val="24"/>
          <w:szCs w:val="24"/>
        </w:rPr>
        <w:t>For colony-forming assays of CD34</w:t>
      </w:r>
      <w:r>
        <w:rPr>
          <w:rFonts w:ascii="Calibri" w:eastAsia="Calibri" w:hAnsi="Calibri" w:cs="Calibri"/>
          <w:sz w:val="24"/>
          <w:szCs w:val="24"/>
          <w:vertAlign w:val="superscript"/>
        </w:rPr>
        <w:t>+</w:t>
      </w:r>
      <w:r>
        <w:rPr>
          <w:rFonts w:ascii="Calibri" w:eastAsia="Calibri" w:hAnsi="Calibri" w:cs="Calibri"/>
          <w:sz w:val="24"/>
          <w:szCs w:val="24"/>
        </w:rPr>
        <w:t xml:space="preserve"> cells, 1.000 cells were plated in triplicate on 1.1 ml of </w:t>
      </w:r>
      <w:proofErr w:type="spellStart"/>
      <w:r>
        <w:rPr>
          <w:rFonts w:ascii="Calibri" w:eastAsia="Calibri" w:hAnsi="Calibri" w:cs="Calibri"/>
          <w:sz w:val="24"/>
          <w:szCs w:val="24"/>
        </w:rPr>
        <w:t>Methocult</w:t>
      </w:r>
      <w:proofErr w:type="spellEnd"/>
      <w:r>
        <w:rPr>
          <w:rFonts w:ascii="Calibri" w:eastAsia="Calibri" w:hAnsi="Calibri" w:cs="Calibri"/>
          <w:sz w:val="24"/>
          <w:szCs w:val="24"/>
        </w:rPr>
        <w:t xml:space="preserve">™ H4435 Enriched (Stem Cell Technologies) containing SCF, IL3, IL6, EPO, GM-CSF, and G-CSF. After 14 days of culture at 37°C, CFU-GEMM, BFU-E, and CFU-GM colonies were counted. </w:t>
      </w:r>
    </w:p>
    <w:p w14:paraId="654A5512" w14:textId="77777777"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sz w:val="24"/>
          <w:szCs w:val="24"/>
        </w:rPr>
        <w:t xml:space="preserve">For colony-forming assays of myeloid progenitors, 800 CMP and GMP, were sorted (see sorting section) directly in </w:t>
      </w:r>
      <w:proofErr w:type="spellStart"/>
      <w:r>
        <w:rPr>
          <w:rFonts w:ascii="Calibri" w:eastAsia="Calibri" w:hAnsi="Calibri" w:cs="Calibri"/>
          <w:sz w:val="24"/>
          <w:szCs w:val="24"/>
        </w:rPr>
        <w:t>Methocult</w:t>
      </w:r>
      <w:proofErr w:type="spellEnd"/>
      <w:r>
        <w:rPr>
          <w:rFonts w:ascii="Calibri" w:eastAsia="Calibri" w:hAnsi="Calibri" w:cs="Calibri"/>
          <w:sz w:val="24"/>
          <w:szCs w:val="24"/>
        </w:rPr>
        <w:t>™ H4435 Enriched. Next, 200 cells were plated as triplicates in 1.1 ml of medium. After 14 days of culture at 37°C, CFU-GEMM, BFU-E, and CFU-GM colonies were counted.</w:t>
      </w:r>
    </w:p>
    <w:p w14:paraId="5560792E" w14:textId="5728ACB1" w:rsidR="00102F8E" w:rsidRDefault="00102F8E">
      <w:pPr>
        <w:spacing w:before="240" w:after="240" w:line="360" w:lineRule="auto"/>
        <w:jc w:val="both"/>
        <w:rPr>
          <w:rFonts w:ascii="Calibri" w:eastAsia="Calibri" w:hAnsi="Calibri" w:cs="Calibri"/>
          <w:sz w:val="24"/>
          <w:szCs w:val="24"/>
        </w:rPr>
      </w:pPr>
      <w:r>
        <w:rPr>
          <w:rFonts w:ascii="Calibri" w:eastAsia="Calibri" w:hAnsi="Calibri" w:cs="Calibri"/>
          <w:sz w:val="24"/>
          <w:szCs w:val="24"/>
        </w:rPr>
        <w:t xml:space="preserve">For colony forming assay with IFNα (IFN-Alpha2B Human Recombinant, </w:t>
      </w:r>
      <w:proofErr w:type="spellStart"/>
      <w:r>
        <w:rPr>
          <w:rFonts w:ascii="Calibri" w:eastAsia="Calibri" w:hAnsi="Calibri" w:cs="Calibri"/>
          <w:sz w:val="24"/>
          <w:szCs w:val="24"/>
        </w:rPr>
        <w:t>Tebubio</w:t>
      </w:r>
      <w:proofErr w:type="spellEnd"/>
      <w:r>
        <w:rPr>
          <w:rFonts w:ascii="Calibri" w:eastAsia="Calibri" w:hAnsi="Calibri" w:cs="Calibri"/>
          <w:sz w:val="24"/>
          <w:szCs w:val="24"/>
        </w:rPr>
        <w:t>), CD34</w:t>
      </w:r>
      <w:r w:rsidRPr="00102F8E">
        <w:rPr>
          <w:rFonts w:ascii="Calibri" w:eastAsia="Calibri" w:hAnsi="Calibri" w:cs="Calibri"/>
          <w:sz w:val="24"/>
          <w:szCs w:val="24"/>
          <w:vertAlign w:val="superscript"/>
        </w:rPr>
        <w:t>+</w:t>
      </w:r>
      <w:r>
        <w:rPr>
          <w:rFonts w:ascii="Calibri" w:eastAsia="Calibri" w:hAnsi="Calibri" w:cs="Calibri"/>
          <w:sz w:val="24"/>
          <w:szCs w:val="24"/>
        </w:rPr>
        <w:t xml:space="preserve"> cells were incubated overnight in serum-free </w:t>
      </w:r>
      <w:proofErr w:type="spellStart"/>
      <w:r>
        <w:rPr>
          <w:rFonts w:ascii="Calibri" w:eastAsia="Calibri" w:hAnsi="Calibri" w:cs="Calibri"/>
          <w:sz w:val="24"/>
          <w:szCs w:val="24"/>
        </w:rPr>
        <w:t>StemSpan</w:t>
      </w:r>
      <w:proofErr w:type="spellEnd"/>
      <w:r>
        <w:rPr>
          <w:rFonts w:ascii="Calibri" w:eastAsia="Calibri" w:hAnsi="Calibri" w:cs="Calibri"/>
          <w:sz w:val="24"/>
          <w:szCs w:val="24"/>
        </w:rPr>
        <w:t xml:space="preserve"> SFEM medium (Stem Cell Technologies) supplemented with</w:t>
      </w:r>
      <w:r w:rsidRPr="00102F8E">
        <w:rPr>
          <w:rFonts w:ascii="Calibri" w:eastAsia="Calibri" w:hAnsi="Calibri" w:cs="Calibri"/>
          <w:sz w:val="24"/>
          <w:szCs w:val="24"/>
        </w:rPr>
        <w:t xml:space="preserve"> </w:t>
      </w:r>
      <w:r>
        <w:rPr>
          <w:rFonts w:ascii="Calibri" w:eastAsia="Calibri" w:hAnsi="Calibri" w:cs="Calibri"/>
          <w:sz w:val="24"/>
          <w:szCs w:val="24"/>
        </w:rPr>
        <w:t xml:space="preserve">IFNα (500U/mL) and </w:t>
      </w:r>
      <w:proofErr w:type="spellStart"/>
      <w:r>
        <w:rPr>
          <w:rFonts w:ascii="Calibri" w:eastAsia="Calibri" w:hAnsi="Calibri" w:cs="Calibri"/>
          <w:sz w:val="24"/>
          <w:szCs w:val="24"/>
        </w:rPr>
        <w:t>StemSpan</w:t>
      </w:r>
      <w:proofErr w:type="spellEnd"/>
      <w:r>
        <w:rPr>
          <w:rFonts w:ascii="Calibri" w:eastAsia="Calibri" w:hAnsi="Calibri" w:cs="Calibri"/>
          <w:sz w:val="24"/>
          <w:szCs w:val="24"/>
        </w:rPr>
        <w:t xml:space="preserve"> CD34</w:t>
      </w:r>
      <w:r w:rsidRPr="00102F8E">
        <w:rPr>
          <w:rFonts w:ascii="Calibri" w:eastAsia="Calibri" w:hAnsi="Calibri" w:cs="Calibri"/>
          <w:sz w:val="24"/>
          <w:szCs w:val="24"/>
          <w:vertAlign w:val="superscript"/>
        </w:rPr>
        <w:t>+</w:t>
      </w:r>
      <w:r>
        <w:rPr>
          <w:rFonts w:ascii="Calibri" w:eastAsia="Calibri" w:hAnsi="Calibri" w:cs="Calibri"/>
          <w:sz w:val="24"/>
          <w:szCs w:val="24"/>
        </w:rPr>
        <w:t xml:space="preserve"> expansion supplement (Stem Cell Technologies). Then, 1000 cells were plated as triplicates in 1.1 ml of </w:t>
      </w:r>
      <w:proofErr w:type="spellStart"/>
      <w:r>
        <w:rPr>
          <w:rFonts w:ascii="Calibri" w:eastAsia="Calibri" w:hAnsi="Calibri" w:cs="Calibri"/>
          <w:sz w:val="24"/>
          <w:szCs w:val="24"/>
        </w:rPr>
        <w:t>Methocult</w:t>
      </w:r>
      <w:proofErr w:type="spellEnd"/>
      <w:r>
        <w:rPr>
          <w:rFonts w:ascii="Calibri" w:eastAsia="Calibri" w:hAnsi="Calibri" w:cs="Calibri"/>
          <w:sz w:val="24"/>
          <w:szCs w:val="24"/>
        </w:rPr>
        <w:t>™ SF H4436 (Stem Cell Technologies).</w:t>
      </w:r>
    </w:p>
    <w:p w14:paraId="6FAE78FD" w14:textId="4D594176"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t>Ex-vivo granulopoiesis.</w:t>
      </w:r>
      <w:r>
        <w:rPr>
          <w:rFonts w:ascii="Calibri" w:eastAsia="Calibri" w:hAnsi="Calibri" w:cs="Calibri"/>
          <w:sz w:val="24"/>
          <w:szCs w:val="24"/>
        </w:rPr>
        <w:t xml:space="preserve"> CD34</w:t>
      </w:r>
      <w:r>
        <w:rPr>
          <w:rFonts w:ascii="Calibri" w:eastAsia="Calibri" w:hAnsi="Calibri" w:cs="Calibri"/>
          <w:sz w:val="24"/>
          <w:szCs w:val="24"/>
          <w:vertAlign w:val="superscript"/>
        </w:rPr>
        <w:t>+</w:t>
      </w:r>
      <w:r>
        <w:rPr>
          <w:rFonts w:ascii="Calibri" w:eastAsia="Calibri" w:hAnsi="Calibri" w:cs="Calibri"/>
          <w:sz w:val="24"/>
          <w:szCs w:val="24"/>
        </w:rPr>
        <w:t xml:space="preserve"> progenitors isolated from PB samples or sorted-CMP and GMP were cultured in serum-free </w:t>
      </w:r>
      <w:proofErr w:type="spellStart"/>
      <w:r>
        <w:rPr>
          <w:rFonts w:ascii="Calibri" w:eastAsia="Calibri" w:hAnsi="Calibri" w:cs="Calibri"/>
          <w:sz w:val="24"/>
          <w:szCs w:val="24"/>
        </w:rPr>
        <w:t>StemSpan</w:t>
      </w:r>
      <w:proofErr w:type="spellEnd"/>
      <w:r>
        <w:rPr>
          <w:rFonts w:ascii="Calibri" w:eastAsia="Calibri" w:hAnsi="Calibri" w:cs="Calibri"/>
          <w:sz w:val="24"/>
          <w:szCs w:val="24"/>
        </w:rPr>
        <w:t xml:space="preserve"> SFEM medium supplemented with 1% antibiotic-</w:t>
      </w:r>
      <w:r>
        <w:rPr>
          <w:rFonts w:ascii="Calibri" w:eastAsia="Calibri" w:hAnsi="Calibri" w:cs="Calibri"/>
          <w:sz w:val="24"/>
          <w:szCs w:val="24"/>
        </w:rPr>
        <w:lastRenderedPageBreak/>
        <w:t>antimycotic (Gibco), 1% L-Glutamine (Gibco), SCF (50ng/mL) (</w:t>
      </w:r>
      <w:proofErr w:type="spellStart"/>
      <w:r>
        <w:rPr>
          <w:rFonts w:ascii="Calibri" w:eastAsia="Calibri" w:hAnsi="Calibri" w:cs="Calibri"/>
          <w:sz w:val="24"/>
          <w:szCs w:val="24"/>
        </w:rPr>
        <w:t>Miltenyi</w:t>
      </w:r>
      <w:proofErr w:type="spellEnd"/>
      <w:r>
        <w:rPr>
          <w:rFonts w:ascii="Calibri" w:eastAsia="Calibri" w:hAnsi="Calibri" w:cs="Calibri"/>
          <w:sz w:val="24"/>
          <w:szCs w:val="24"/>
        </w:rPr>
        <w:t xml:space="preserve"> Biotec), IL3 (10ng/mL) (</w:t>
      </w:r>
      <w:proofErr w:type="spellStart"/>
      <w:r>
        <w:rPr>
          <w:rFonts w:ascii="Calibri" w:eastAsia="Calibri" w:hAnsi="Calibri" w:cs="Calibri"/>
          <w:sz w:val="24"/>
          <w:szCs w:val="24"/>
        </w:rPr>
        <w:t>Miltenyi</w:t>
      </w:r>
      <w:proofErr w:type="spellEnd"/>
      <w:r>
        <w:rPr>
          <w:rFonts w:ascii="Calibri" w:eastAsia="Calibri" w:hAnsi="Calibri" w:cs="Calibri"/>
          <w:sz w:val="24"/>
          <w:szCs w:val="24"/>
        </w:rPr>
        <w:t xml:space="preserve"> Biotec), Flt3L (25ng/mL) (</w:t>
      </w:r>
      <w:proofErr w:type="spellStart"/>
      <w:r>
        <w:rPr>
          <w:rFonts w:ascii="Calibri" w:eastAsia="Calibri" w:hAnsi="Calibri" w:cs="Calibri"/>
          <w:sz w:val="24"/>
          <w:szCs w:val="24"/>
        </w:rPr>
        <w:t>Peprotech</w:t>
      </w:r>
      <w:proofErr w:type="spellEnd"/>
      <w:r>
        <w:rPr>
          <w:rFonts w:ascii="Calibri" w:eastAsia="Calibri" w:hAnsi="Calibri" w:cs="Calibri"/>
          <w:sz w:val="24"/>
          <w:szCs w:val="24"/>
        </w:rPr>
        <w:t>), G-CSF (50ng/mL) (</w:t>
      </w:r>
      <w:proofErr w:type="spellStart"/>
      <w:r>
        <w:rPr>
          <w:rFonts w:ascii="Calibri" w:eastAsia="Calibri" w:hAnsi="Calibri" w:cs="Calibri"/>
          <w:sz w:val="24"/>
          <w:szCs w:val="24"/>
        </w:rPr>
        <w:t>Nivestim</w:t>
      </w:r>
      <w:proofErr w:type="spellEnd"/>
      <w:r>
        <w:rPr>
          <w:rFonts w:ascii="Calibri" w:eastAsia="Calibri" w:hAnsi="Calibri" w:cs="Calibri"/>
          <w:sz w:val="24"/>
          <w:szCs w:val="24"/>
        </w:rPr>
        <w:t>) and 2% plasma for 19 days. Cells were diluted at a concentration of 3x10</w:t>
      </w:r>
      <w:r>
        <w:rPr>
          <w:rFonts w:ascii="Calibri" w:eastAsia="Calibri" w:hAnsi="Calibri" w:cs="Calibri"/>
          <w:sz w:val="24"/>
          <w:szCs w:val="24"/>
          <w:vertAlign w:val="superscript"/>
        </w:rPr>
        <w:t>5</w:t>
      </w:r>
      <w:r>
        <w:rPr>
          <w:rFonts w:ascii="Calibri" w:eastAsia="Calibri" w:hAnsi="Calibri" w:cs="Calibri"/>
          <w:sz w:val="24"/>
          <w:szCs w:val="24"/>
        </w:rPr>
        <w:t xml:space="preserve">/mL every 2-3 days. Myeloid differentiation was assessed by flow cytometry using surface proteins. </w:t>
      </w:r>
      <w:r w:rsidR="006B7482">
        <w:rPr>
          <w:rFonts w:ascii="Calibri" w:eastAsia="Calibri" w:hAnsi="Calibri" w:cs="Calibri"/>
          <w:sz w:val="24"/>
          <w:szCs w:val="24"/>
        </w:rPr>
        <w:t xml:space="preserve">For </w:t>
      </w:r>
      <w:r w:rsidR="006B7482" w:rsidRPr="002B6DEB">
        <w:rPr>
          <w:rFonts w:ascii="Calibri" w:eastAsia="Calibri" w:hAnsi="Calibri" w:cs="Calibri"/>
          <w:i/>
          <w:iCs/>
          <w:sz w:val="24"/>
          <w:szCs w:val="24"/>
        </w:rPr>
        <w:t xml:space="preserve">ex vivo </w:t>
      </w:r>
      <w:r w:rsidR="006B7482">
        <w:rPr>
          <w:rFonts w:ascii="Calibri" w:eastAsia="Calibri" w:hAnsi="Calibri" w:cs="Calibri"/>
          <w:sz w:val="24"/>
          <w:szCs w:val="24"/>
        </w:rPr>
        <w:t>granulopoiesis in presence of IFNα, CD34</w:t>
      </w:r>
      <w:r w:rsidR="006B7482" w:rsidRPr="006B7482">
        <w:rPr>
          <w:rFonts w:ascii="Calibri" w:eastAsia="Calibri" w:hAnsi="Calibri" w:cs="Calibri"/>
          <w:sz w:val="24"/>
          <w:szCs w:val="24"/>
          <w:vertAlign w:val="superscript"/>
        </w:rPr>
        <w:t>+</w:t>
      </w:r>
      <w:r w:rsidR="006B7482">
        <w:rPr>
          <w:rFonts w:ascii="Calibri" w:eastAsia="Calibri" w:hAnsi="Calibri" w:cs="Calibri"/>
          <w:sz w:val="24"/>
          <w:szCs w:val="24"/>
        </w:rPr>
        <w:t xml:space="preserve"> cells from patients with SCA were cultured in the same condition with IFNα</w:t>
      </w:r>
      <w:r w:rsidR="002B6DEB">
        <w:rPr>
          <w:rFonts w:ascii="Calibri" w:eastAsia="Calibri" w:hAnsi="Calibri" w:cs="Calibri"/>
          <w:sz w:val="24"/>
          <w:szCs w:val="24"/>
        </w:rPr>
        <w:t xml:space="preserve"> (1ng/mL; IFN-Alpha2B Human Recombinant, </w:t>
      </w:r>
      <w:proofErr w:type="spellStart"/>
      <w:r w:rsidR="002B6DEB">
        <w:rPr>
          <w:rFonts w:ascii="Calibri" w:eastAsia="Calibri" w:hAnsi="Calibri" w:cs="Calibri"/>
          <w:sz w:val="24"/>
          <w:szCs w:val="24"/>
        </w:rPr>
        <w:t>Tebubio</w:t>
      </w:r>
      <w:proofErr w:type="spellEnd"/>
      <w:r w:rsidR="002B6DEB">
        <w:rPr>
          <w:rFonts w:ascii="Calibri" w:eastAsia="Calibri" w:hAnsi="Calibri" w:cs="Calibri"/>
          <w:sz w:val="24"/>
          <w:szCs w:val="24"/>
        </w:rPr>
        <w:t>) from day 0. IFNα was added at every media change.</w:t>
      </w:r>
    </w:p>
    <w:p w14:paraId="13647FDE" w14:textId="77777777" w:rsidR="00A64256" w:rsidRDefault="00FA71C2">
      <w:pPr>
        <w:spacing w:before="240" w:after="240" w:line="360" w:lineRule="auto"/>
        <w:jc w:val="both"/>
        <w:rPr>
          <w:rFonts w:ascii="Calibri" w:eastAsia="Calibri" w:hAnsi="Calibri" w:cs="Calibri"/>
          <w:sz w:val="26"/>
          <w:szCs w:val="26"/>
        </w:rPr>
      </w:pPr>
      <w:r>
        <w:rPr>
          <w:rFonts w:ascii="Calibri" w:eastAsia="Calibri" w:hAnsi="Calibri" w:cs="Calibri"/>
          <w:b/>
          <w:sz w:val="26"/>
          <w:szCs w:val="26"/>
        </w:rPr>
        <w:t xml:space="preserve">Flow cytometry </w:t>
      </w:r>
    </w:p>
    <w:p w14:paraId="118A282A" w14:textId="61B6BDE0"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sz w:val="24"/>
          <w:szCs w:val="24"/>
        </w:rPr>
        <w:t xml:space="preserve">For all staining, cells were acquired on a </w:t>
      </w:r>
      <w:proofErr w:type="spellStart"/>
      <w:r>
        <w:rPr>
          <w:rFonts w:ascii="Calibri" w:eastAsia="Calibri" w:hAnsi="Calibri" w:cs="Calibri"/>
          <w:sz w:val="24"/>
          <w:szCs w:val="24"/>
        </w:rPr>
        <w:t>FACSCanto</w:t>
      </w:r>
      <w:proofErr w:type="spellEnd"/>
      <w:r>
        <w:rPr>
          <w:rFonts w:ascii="Calibri" w:eastAsia="Calibri" w:hAnsi="Calibri" w:cs="Calibri"/>
          <w:sz w:val="24"/>
          <w:szCs w:val="24"/>
        </w:rPr>
        <w:t xml:space="preserve"> II (BD Biosciences) using the Diva software (version 8.0.1) (BD Biosciences). Data were analyzed using </w:t>
      </w:r>
      <w:proofErr w:type="spellStart"/>
      <w:r>
        <w:rPr>
          <w:rFonts w:ascii="Calibri" w:eastAsia="Calibri" w:hAnsi="Calibri" w:cs="Calibri"/>
          <w:sz w:val="24"/>
          <w:szCs w:val="24"/>
        </w:rPr>
        <w:t>FlowJo</w:t>
      </w:r>
      <w:proofErr w:type="spellEnd"/>
      <w:r>
        <w:rPr>
          <w:rFonts w:ascii="Calibri" w:eastAsia="Calibri" w:hAnsi="Calibri" w:cs="Calibri"/>
          <w:sz w:val="24"/>
          <w:szCs w:val="24"/>
        </w:rPr>
        <w:t xml:space="preserve"> software (version </w:t>
      </w:r>
      <w:r w:rsidR="00102F8E">
        <w:rPr>
          <w:rFonts w:ascii="Calibri" w:eastAsia="Calibri" w:hAnsi="Calibri" w:cs="Calibri"/>
          <w:sz w:val="24"/>
          <w:szCs w:val="24"/>
        </w:rPr>
        <w:t>10</w:t>
      </w:r>
      <w:r>
        <w:rPr>
          <w:rFonts w:ascii="Calibri" w:eastAsia="Calibri" w:hAnsi="Calibri" w:cs="Calibri"/>
          <w:sz w:val="24"/>
          <w:szCs w:val="24"/>
        </w:rPr>
        <w:t xml:space="preserve">) (BD Biosciences). </w:t>
      </w:r>
    </w:p>
    <w:p w14:paraId="7C3395CA" w14:textId="7DA8CBA9"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t xml:space="preserve">Surface staining. </w:t>
      </w:r>
      <w:r>
        <w:rPr>
          <w:rFonts w:ascii="Calibri" w:eastAsia="Calibri" w:hAnsi="Calibri" w:cs="Calibri"/>
          <w:sz w:val="24"/>
          <w:szCs w:val="24"/>
        </w:rPr>
        <w:t>Expression levels of surface markers were monitored using antibodies listed in Table S</w:t>
      </w:r>
      <w:r w:rsidR="00906F94">
        <w:rPr>
          <w:rFonts w:ascii="Calibri" w:eastAsia="Calibri" w:hAnsi="Calibri" w:cs="Calibri"/>
          <w:sz w:val="24"/>
          <w:szCs w:val="24"/>
        </w:rPr>
        <w:t>6</w:t>
      </w:r>
      <w:r>
        <w:rPr>
          <w:rFonts w:ascii="Calibri" w:eastAsia="Calibri" w:hAnsi="Calibri" w:cs="Calibri"/>
          <w:sz w:val="24"/>
          <w:szCs w:val="24"/>
        </w:rPr>
        <w:t xml:space="preserve">. Briefly, cells were washed in PBS-0.2% BSA and stained with cocktails of antibodies for 30 min at 4°C. Then, cells were washed twice, incubated with a viability marker (7-AAD or </w:t>
      </w:r>
      <w:proofErr w:type="spellStart"/>
      <w:r>
        <w:rPr>
          <w:rFonts w:ascii="Calibri" w:eastAsia="Calibri" w:hAnsi="Calibri" w:cs="Calibri"/>
          <w:sz w:val="24"/>
          <w:szCs w:val="24"/>
        </w:rPr>
        <w:t>Sytox</w:t>
      </w:r>
      <w:proofErr w:type="spellEnd"/>
      <w:r>
        <w:rPr>
          <w:rFonts w:ascii="Calibri" w:eastAsia="Calibri" w:hAnsi="Calibri" w:cs="Calibri"/>
          <w:sz w:val="24"/>
          <w:szCs w:val="24"/>
        </w:rPr>
        <w:t xml:space="preserve"> Blue), and analyzed. </w:t>
      </w:r>
    </w:p>
    <w:p w14:paraId="620671F9" w14:textId="77777777"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t xml:space="preserve">Apoptotic cell staining. </w:t>
      </w:r>
      <w:r>
        <w:rPr>
          <w:rFonts w:ascii="Calibri" w:eastAsia="Calibri" w:hAnsi="Calibri" w:cs="Calibri"/>
          <w:sz w:val="24"/>
          <w:szCs w:val="24"/>
        </w:rPr>
        <w:t xml:space="preserve">Apoptosis and necrosis were measured using Annexin V and </w:t>
      </w:r>
      <w:proofErr w:type="spellStart"/>
      <w:r>
        <w:rPr>
          <w:rFonts w:ascii="Calibri" w:eastAsia="Calibri" w:hAnsi="Calibri" w:cs="Calibri"/>
          <w:sz w:val="24"/>
          <w:szCs w:val="24"/>
        </w:rPr>
        <w:t>Sytox</w:t>
      </w:r>
      <w:proofErr w:type="spellEnd"/>
      <w:r>
        <w:rPr>
          <w:rFonts w:ascii="Calibri" w:eastAsia="Calibri" w:hAnsi="Calibri" w:cs="Calibri"/>
          <w:sz w:val="24"/>
          <w:szCs w:val="24"/>
        </w:rPr>
        <w:t xml:space="preserve"> blue. Briefly, 10</w:t>
      </w:r>
      <w:r>
        <w:rPr>
          <w:rFonts w:ascii="Calibri" w:eastAsia="Calibri" w:hAnsi="Calibri" w:cs="Calibri"/>
          <w:sz w:val="24"/>
          <w:szCs w:val="24"/>
          <w:vertAlign w:val="superscript"/>
        </w:rPr>
        <w:t>5</w:t>
      </w:r>
      <w:r>
        <w:rPr>
          <w:rFonts w:ascii="Calibri" w:eastAsia="Calibri" w:hAnsi="Calibri" w:cs="Calibri"/>
          <w:sz w:val="24"/>
          <w:szCs w:val="24"/>
        </w:rPr>
        <w:t xml:space="preserve"> cells were washed, resuspended in Annexin buffer (BD Biosciences), and stained with Annexin V for 20 min at room temperature (RT). Samples were then incubated with </w:t>
      </w:r>
      <w:proofErr w:type="spellStart"/>
      <w:r>
        <w:rPr>
          <w:rFonts w:ascii="Calibri" w:eastAsia="Calibri" w:hAnsi="Calibri" w:cs="Calibri"/>
          <w:sz w:val="24"/>
          <w:szCs w:val="24"/>
        </w:rPr>
        <w:t>Sytox</w:t>
      </w:r>
      <w:proofErr w:type="spellEnd"/>
      <w:r>
        <w:rPr>
          <w:rFonts w:ascii="Calibri" w:eastAsia="Calibri" w:hAnsi="Calibri" w:cs="Calibri"/>
          <w:sz w:val="24"/>
          <w:szCs w:val="24"/>
        </w:rPr>
        <w:t xml:space="preserve"> Blue and directly analyzed. </w:t>
      </w:r>
    </w:p>
    <w:p w14:paraId="2C4F4695" w14:textId="77331D63"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t xml:space="preserve">Cell cycle analysis. </w:t>
      </w:r>
      <w:r>
        <w:rPr>
          <w:rFonts w:ascii="Calibri" w:eastAsia="Calibri" w:hAnsi="Calibri" w:cs="Calibri"/>
          <w:sz w:val="24"/>
          <w:szCs w:val="24"/>
        </w:rPr>
        <w:t xml:space="preserve">Cell cycle of myeloblasts was assessed with the cell-permeant DNA binding dye </w:t>
      </w:r>
      <w:proofErr w:type="spellStart"/>
      <w:r>
        <w:rPr>
          <w:rFonts w:ascii="Calibri" w:eastAsia="Calibri" w:hAnsi="Calibri" w:cs="Calibri"/>
          <w:sz w:val="24"/>
          <w:szCs w:val="24"/>
        </w:rPr>
        <w:t>CytoPhase</w:t>
      </w:r>
      <w:proofErr w:type="spellEnd"/>
      <w:r>
        <w:rPr>
          <w:rFonts w:ascii="Calibri" w:eastAsia="Calibri" w:hAnsi="Calibri" w:cs="Calibri"/>
          <w:sz w:val="24"/>
          <w:szCs w:val="24"/>
        </w:rPr>
        <w:t xml:space="preserve"> Violet (</w:t>
      </w:r>
      <w:proofErr w:type="spellStart"/>
      <w:r>
        <w:rPr>
          <w:rFonts w:ascii="Calibri" w:eastAsia="Calibri" w:hAnsi="Calibri" w:cs="Calibri"/>
          <w:sz w:val="24"/>
          <w:szCs w:val="24"/>
        </w:rPr>
        <w:t>Biolegend</w:t>
      </w:r>
      <w:proofErr w:type="spellEnd"/>
      <w:r>
        <w:rPr>
          <w:rFonts w:ascii="Calibri" w:eastAsia="Calibri" w:hAnsi="Calibri" w:cs="Calibri"/>
          <w:sz w:val="24"/>
          <w:szCs w:val="24"/>
        </w:rPr>
        <w:t>). Briefly, 10</w:t>
      </w:r>
      <w:r>
        <w:rPr>
          <w:rFonts w:ascii="Calibri" w:eastAsia="Calibri" w:hAnsi="Calibri" w:cs="Calibri"/>
          <w:sz w:val="24"/>
          <w:szCs w:val="24"/>
          <w:vertAlign w:val="superscript"/>
        </w:rPr>
        <w:t>5</w:t>
      </w:r>
      <w:r>
        <w:rPr>
          <w:rFonts w:ascii="Calibri" w:eastAsia="Calibri" w:hAnsi="Calibri" w:cs="Calibri"/>
          <w:sz w:val="24"/>
          <w:szCs w:val="24"/>
        </w:rPr>
        <w:t xml:space="preserve"> cells were incubated with </w:t>
      </w:r>
      <w:proofErr w:type="spellStart"/>
      <w:r>
        <w:rPr>
          <w:rFonts w:ascii="Calibri" w:eastAsia="Calibri" w:hAnsi="Calibri" w:cs="Calibri"/>
          <w:sz w:val="24"/>
          <w:szCs w:val="24"/>
        </w:rPr>
        <w:t>CytoPhase</w:t>
      </w:r>
      <w:proofErr w:type="spellEnd"/>
      <w:r>
        <w:rPr>
          <w:rFonts w:ascii="Calibri" w:eastAsia="Calibri" w:hAnsi="Calibri" w:cs="Calibri"/>
          <w:sz w:val="24"/>
          <w:szCs w:val="24"/>
        </w:rPr>
        <w:t xml:space="preserve"> Violet (1:500) for 90 minutes in the culture media. Next, cells were directly analyzed</w:t>
      </w:r>
      <w:r w:rsidR="00CF328C">
        <w:rPr>
          <w:rFonts w:ascii="Calibri" w:eastAsia="Calibri" w:hAnsi="Calibri" w:cs="Calibri"/>
          <w:sz w:val="24"/>
          <w:szCs w:val="24"/>
        </w:rPr>
        <w:t xml:space="preserve"> by flow cytometry</w:t>
      </w:r>
      <w:r>
        <w:rPr>
          <w:rFonts w:ascii="Calibri" w:eastAsia="Calibri" w:hAnsi="Calibri" w:cs="Calibri"/>
          <w:sz w:val="24"/>
          <w:szCs w:val="24"/>
        </w:rPr>
        <w:t xml:space="preserve">. </w:t>
      </w:r>
    </w:p>
    <w:p w14:paraId="785395E5" w14:textId="77777777" w:rsidR="00A64256" w:rsidRDefault="00FA71C2">
      <w:pPr>
        <w:spacing w:before="240" w:after="240" w:line="360" w:lineRule="auto"/>
        <w:jc w:val="both"/>
        <w:rPr>
          <w:rFonts w:ascii="Calibri" w:eastAsia="Calibri" w:hAnsi="Calibri" w:cs="Calibri"/>
          <w:sz w:val="26"/>
          <w:szCs w:val="26"/>
        </w:rPr>
      </w:pPr>
      <w:r>
        <w:rPr>
          <w:rFonts w:ascii="Calibri" w:eastAsia="Calibri" w:hAnsi="Calibri" w:cs="Calibri"/>
          <w:b/>
          <w:sz w:val="26"/>
          <w:szCs w:val="26"/>
        </w:rPr>
        <w:t>Cell-sorting</w:t>
      </w:r>
    </w:p>
    <w:p w14:paraId="39AA753E" w14:textId="0B737DDD"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sz w:val="24"/>
          <w:szCs w:val="24"/>
        </w:rPr>
        <w:t>Multicolor flow cytometry was performed on CD34</w:t>
      </w:r>
      <w:r>
        <w:rPr>
          <w:rFonts w:ascii="Calibri" w:eastAsia="Calibri" w:hAnsi="Calibri" w:cs="Calibri"/>
          <w:sz w:val="24"/>
          <w:szCs w:val="24"/>
          <w:vertAlign w:val="superscript"/>
        </w:rPr>
        <w:t>+</w:t>
      </w:r>
      <w:r>
        <w:rPr>
          <w:rFonts w:ascii="Calibri" w:eastAsia="Calibri" w:hAnsi="Calibri" w:cs="Calibri"/>
          <w:sz w:val="24"/>
          <w:szCs w:val="24"/>
        </w:rPr>
        <w:t xml:space="preserve"> cells to characterize and sort CMP and GMP progenitors. Antibodies used are listed in Table S</w:t>
      </w:r>
      <w:r w:rsidR="00CF328C">
        <w:rPr>
          <w:rFonts w:ascii="Calibri" w:eastAsia="Calibri" w:hAnsi="Calibri" w:cs="Calibri"/>
          <w:sz w:val="24"/>
          <w:szCs w:val="24"/>
        </w:rPr>
        <w:t>6</w:t>
      </w:r>
      <w:r>
        <w:rPr>
          <w:rFonts w:ascii="Calibri" w:eastAsia="Calibri" w:hAnsi="Calibri" w:cs="Calibri"/>
          <w:sz w:val="24"/>
          <w:szCs w:val="24"/>
        </w:rPr>
        <w:t xml:space="preserve">. Briefly, 0.5-1 million cells were washed in PBS-0.2% BSA and incubated with anti-human CD34, CD38, CD123, and CD45RA antibodies for 30 min </w:t>
      </w:r>
      <w:r>
        <w:rPr>
          <w:rFonts w:ascii="Calibri" w:eastAsia="Calibri" w:hAnsi="Calibri" w:cs="Calibri"/>
          <w:sz w:val="24"/>
          <w:szCs w:val="24"/>
        </w:rPr>
        <w:lastRenderedPageBreak/>
        <w:t>at 4°C. Cells were washed once, resuspended in PBS-0.2% BSA, and analyzed immediately on a Sony MA900 (Sony). CMP</w:t>
      </w:r>
      <w:r w:rsidR="00102F8E">
        <w:rPr>
          <w:rFonts w:ascii="Calibri" w:eastAsia="Calibri" w:hAnsi="Calibri" w:cs="Calibri"/>
          <w:sz w:val="24"/>
          <w:szCs w:val="24"/>
        </w:rPr>
        <w:t xml:space="preserve"> and GMP </w:t>
      </w:r>
      <w:r>
        <w:rPr>
          <w:rFonts w:ascii="Calibri" w:eastAsia="Calibri" w:hAnsi="Calibri" w:cs="Calibri"/>
          <w:sz w:val="24"/>
          <w:szCs w:val="24"/>
        </w:rPr>
        <w:t>were sorted for colony-forming assays</w:t>
      </w:r>
      <w:r w:rsidR="00102F8E">
        <w:rPr>
          <w:rFonts w:ascii="Calibri" w:eastAsia="Calibri" w:hAnsi="Calibri" w:cs="Calibri"/>
          <w:sz w:val="24"/>
          <w:szCs w:val="24"/>
        </w:rPr>
        <w:t xml:space="preserve"> and </w:t>
      </w:r>
      <w:r w:rsidR="00102F8E" w:rsidRPr="00102F8E">
        <w:rPr>
          <w:rFonts w:ascii="Calibri" w:eastAsia="Calibri" w:hAnsi="Calibri" w:cs="Calibri"/>
          <w:i/>
          <w:iCs/>
          <w:sz w:val="24"/>
          <w:szCs w:val="24"/>
        </w:rPr>
        <w:t>ex vivo</w:t>
      </w:r>
      <w:r w:rsidR="00102F8E">
        <w:rPr>
          <w:rFonts w:ascii="Calibri" w:eastAsia="Calibri" w:hAnsi="Calibri" w:cs="Calibri"/>
          <w:sz w:val="24"/>
          <w:szCs w:val="24"/>
        </w:rPr>
        <w:t xml:space="preserve"> granulopoiesis.</w:t>
      </w:r>
      <w:r>
        <w:rPr>
          <w:rFonts w:ascii="Calibri" w:eastAsia="Calibri" w:hAnsi="Calibri" w:cs="Calibri"/>
          <w:sz w:val="24"/>
          <w:szCs w:val="24"/>
        </w:rPr>
        <w:t xml:space="preserve"> </w:t>
      </w:r>
    </w:p>
    <w:p w14:paraId="39FE148C" w14:textId="00C17545" w:rsidR="005935C2" w:rsidRPr="005935C2" w:rsidRDefault="005935C2">
      <w:pPr>
        <w:spacing w:before="240" w:after="240" w:line="360" w:lineRule="auto"/>
        <w:jc w:val="both"/>
        <w:rPr>
          <w:rFonts w:ascii="Calibri" w:eastAsia="Calibri" w:hAnsi="Calibri" w:cs="Calibri"/>
          <w:b/>
          <w:bCs/>
          <w:sz w:val="26"/>
          <w:szCs w:val="26"/>
        </w:rPr>
      </w:pPr>
      <w:r w:rsidRPr="005935C2">
        <w:rPr>
          <w:rFonts w:ascii="Calibri" w:eastAsia="Calibri" w:hAnsi="Calibri" w:cs="Calibri"/>
          <w:b/>
          <w:bCs/>
          <w:sz w:val="26"/>
          <w:szCs w:val="26"/>
        </w:rPr>
        <w:t>Western Blot</w:t>
      </w:r>
    </w:p>
    <w:p w14:paraId="090395C7" w14:textId="2B745779" w:rsidR="005935C2" w:rsidRDefault="00EC4403" w:rsidP="005935C2">
      <w:pPr>
        <w:spacing w:before="240" w:after="240" w:line="360" w:lineRule="auto"/>
        <w:jc w:val="both"/>
        <w:rPr>
          <w:rFonts w:ascii="Calibri" w:eastAsia="Calibri" w:hAnsi="Calibri" w:cs="Calibri"/>
          <w:sz w:val="24"/>
          <w:szCs w:val="24"/>
          <w:lang w:val="en-US"/>
        </w:rPr>
      </w:pPr>
      <w:r>
        <w:rPr>
          <w:rFonts w:ascii="Calibri" w:eastAsia="Calibri" w:hAnsi="Calibri" w:cs="Calibri"/>
          <w:sz w:val="24"/>
          <w:szCs w:val="24"/>
          <w:lang w:val="en-US"/>
        </w:rPr>
        <w:t xml:space="preserve">Purified neutrophils </w:t>
      </w:r>
      <w:r w:rsidR="00506470">
        <w:rPr>
          <w:rFonts w:ascii="Calibri" w:eastAsia="Calibri" w:hAnsi="Calibri" w:cs="Calibri"/>
          <w:sz w:val="24"/>
          <w:szCs w:val="24"/>
          <w:lang w:val="en-US"/>
        </w:rPr>
        <w:t xml:space="preserve">or </w:t>
      </w:r>
      <w:r w:rsidR="005935C2" w:rsidRPr="005935C2">
        <w:rPr>
          <w:rFonts w:ascii="Calibri" w:eastAsia="Calibri" w:hAnsi="Calibri" w:cs="Calibri"/>
          <w:sz w:val="24"/>
          <w:szCs w:val="24"/>
          <w:lang w:val="en-US"/>
        </w:rPr>
        <w:t xml:space="preserve">myeloblasts isolated at different </w:t>
      </w:r>
      <w:r w:rsidR="00712355">
        <w:rPr>
          <w:rFonts w:ascii="Calibri" w:eastAsia="Calibri" w:hAnsi="Calibri" w:cs="Calibri"/>
          <w:sz w:val="24"/>
          <w:szCs w:val="24"/>
          <w:lang w:val="en-US"/>
        </w:rPr>
        <w:t xml:space="preserve">days </w:t>
      </w:r>
      <w:r w:rsidR="005935C2" w:rsidRPr="005935C2">
        <w:rPr>
          <w:rFonts w:ascii="Calibri" w:eastAsia="Calibri" w:hAnsi="Calibri" w:cs="Calibri"/>
          <w:sz w:val="24"/>
          <w:szCs w:val="24"/>
          <w:lang w:val="en-US"/>
        </w:rPr>
        <w:t xml:space="preserve">of </w:t>
      </w:r>
      <w:r w:rsidR="005935C2" w:rsidRPr="005935C2">
        <w:rPr>
          <w:rFonts w:ascii="Calibri" w:eastAsia="Calibri" w:hAnsi="Calibri" w:cs="Calibri"/>
          <w:i/>
          <w:iCs/>
          <w:sz w:val="24"/>
          <w:szCs w:val="24"/>
          <w:lang w:val="en-US"/>
        </w:rPr>
        <w:t xml:space="preserve">ex-vivo </w:t>
      </w:r>
      <w:r w:rsidR="005935C2" w:rsidRPr="005935C2">
        <w:rPr>
          <w:rFonts w:ascii="Calibri" w:eastAsia="Calibri" w:hAnsi="Calibri" w:cs="Calibri"/>
          <w:sz w:val="24"/>
          <w:szCs w:val="24"/>
          <w:lang w:val="en-US"/>
        </w:rPr>
        <w:t xml:space="preserve">granulopoiesis were lysed </w:t>
      </w:r>
      <w:r>
        <w:rPr>
          <w:rFonts w:ascii="Calibri" w:eastAsia="Calibri" w:hAnsi="Calibri" w:cs="Calibri"/>
          <w:sz w:val="24"/>
          <w:szCs w:val="24"/>
          <w:lang w:val="en-US"/>
        </w:rPr>
        <w:t>in</w:t>
      </w:r>
      <w:r w:rsidR="005935C2" w:rsidRPr="005935C2">
        <w:rPr>
          <w:rFonts w:ascii="Calibri" w:eastAsia="Calibri" w:hAnsi="Calibri" w:cs="Calibri"/>
          <w:sz w:val="24"/>
          <w:szCs w:val="24"/>
          <w:lang w:val="en-US"/>
        </w:rPr>
        <w:t xml:space="preserve"> 100 mM Tris/HCl (pH8.5), SDS 2%, 1 mM PMSF</w:t>
      </w:r>
      <w:r>
        <w:rPr>
          <w:rFonts w:ascii="Calibri" w:eastAsia="Calibri" w:hAnsi="Calibri" w:cs="Calibri"/>
          <w:sz w:val="24"/>
          <w:szCs w:val="24"/>
          <w:lang w:val="en-US"/>
        </w:rPr>
        <w:t>, Phosphatase Inhibitor 3 (Sigma)</w:t>
      </w:r>
      <w:r w:rsidR="005935C2" w:rsidRPr="005935C2">
        <w:rPr>
          <w:rFonts w:ascii="Calibri" w:eastAsia="Calibri" w:hAnsi="Calibri" w:cs="Calibri"/>
          <w:sz w:val="24"/>
          <w:szCs w:val="24"/>
          <w:lang w:val="en-US"/>
        </w:rPr>
        <w:t xml:space="preserve"> and complete EDTA-free (Roche).</w:t>
      </w:r>
      <w:r w:rsidRPr="00EC4403">
        <w:rPr>
          <w:rFonts w:ascii="Calibri" w:eastAsia="Calibri" w:hAnsi="Calibri" w:cs="Calibri"/>
          <w:sz w:val="24"/>
          <w:szCs w:val="24"/>
        </w:rPr>
        <w:t xml:space="preserve"> The total protein concentration was determined by the BCA method (Pierce, </w:t>
      </w:r>
      <w:proofErr w:type="spellStart"/>
      <w:r w:rsidRPr="00EC4403">
        <w:rPr>
          <w:rFonts w:ascii="Calibri" w:eastAsia="Calibri" w:hAnsi="Calibri" w:cs="Calibri"/>
          <w:sz w:val="24"/>
          <w:szCs w:val="24"/>
        </w:rPr>
        <w:t>Thermo</w:t>
      </w:r>
      <w:proofErr w:type="spellEnd"/>
      <w:r w:rsidRPr="00EC4403">
        <w:rPr>
          <w:rFonts w:ascii="Calibri" w:eastAsia="Calibri" w:hAnsi="Calibri" w:cs="Calibri"/>
          <w:sz w:val="24"/>
          <w:szCs w:val="24"/>
        </w:rPr>
        <w:t xml:space="preserve"> Fisher Scientific) </w:t>
      </w:r>
      <w:r>
        <w:rPr>
          <w:rFonts w:ascii="Calibri" w:eastAsia="Calibri" w:hAnsi="Calibri" w:cs="Calibri"/>
          <w:sz w:val="24"/>
          <w:szCs w:val="24"/>
        </w:rPr>
        <w:t>a</w:t>
      </w:r>
      <w:r w:rsidRPr="00EC4403">
        <w:rPr>
          <w:rFonts w:ascii="Calibri" w:eastAsia="Calibri" w:hAnsi="Calibri" w:cs="Calibri"/>
          <w:sz w:val="24"/>
          <w:szCs w:val="24"/>
        </w:rPr>
        <w:t xml:space="preserve">nd 50 </w:t>
      </w:r>
      <w:proofErr w:type="spellStart"/>
      <w:r w:rsidRPr="00EC4403">
        <w:rPr>
          <w:rFonts w:ascii="Calibri" w:eastAsia="Calibri" w:hAnsi="Calibri" w:cs="Calibri"/>
          <w:sz w:val="24"/>
          <w:szCs w:val="24"/>
        </w:rPr>
        <w:t>μg</w:t>
      </w:r>
      <w:proofErr w:type="spellEnd"/>
      <w:r w:rsidRPr="00EC4403">
        <w:rPr>
          <w:rFonts w:ascii="Calibri" w:eastAsia="Calibri" w:hAnsi="Calibri" w:cs="Calibri"/>
          <w:sz w:val="24"/>
          <w:szCs w:val="24"/>
        </w:rPr>
        <w:t xml:space="preserve"> of proteins were separated </w:t>
      </w:r>
      <w:r w:rsidR="005935C2" w:rsidRPr="005935C2">
        <w:rPr>
          <w:rFonts w:ascii="Calibri" w:eastAsia="Calibri" w:hAnsi="Calibri" w:cs="Calibri"/>
          <w:sz w:val="24"/>
          <w:szCs w:val="24"/>
          <w:lang w:val="en-US"/>
        </w:rPr>
        <w:t>in reduced conditions in 4-15% SDS-PAGE using TG</w:t>
      </w:r>
      <w:r>
        <w:rPr>
          <w:rFonts w:ascii="Calibri" w:eastAsia="Calibri" w:hAnsi="Calibri" w:cs="Calibri"/>
          <w:sz w:val="24"/>
          <w:szCs w:val="24"/>
          <w:lang w:val="en-US"/>
        </w:rPr>
        <w:t>X</w:t>
      </w:r>
      <w:r w:rsidR="005935C2" w:rsidRPr="005935C2">
        <w:rPr>
          <w:rFonts w:ascii="Calibri" w:eastAsia="Calibri" w:hAnsi="Calibri" w:cs="Calibri"/>
          <w:sz w:val="24"/>
          <w:szCs w:val="24"/>
          <w:lang w:val="en-US"/>
        </w:rPr>
        <w:t xml:space="preserve"> </w:t>
      </w:r>
      <w:r>
        <w:rPr>
          <w:rFonts w:ascii="Calibri" w:eastAsia="Calibri" w:hAnsi="Calibri" w:cs="Calibri"/>
          <w:sz w:val="24"/>
          <w:szCs w:val="24"/>
          <w:lang w:val="en-US"/>
        </w:rPr>
        <w:t>S</w:t>
      </w:r>
      <w:r w:rsidR="005935C2" w:rsidRPr="005935C2">
        <w:rPr>
          <w:rFonts w:ascii="Calibri" w:eastAsia="Calibri" w:hAnsi="Calibri" w:cs="Calibri"/>
          <w:sz w:val="24"/>
          <w:szCs w:val="24"/>
          <w:lang w:val="en-US"/>
        </w:rPr>
        <w:t>tain-</w:t>
      </w:r>
      <w:r>
        <w:rPr>
          <w:rFonts w:ascii="Calibri" w:eastAsia="Calibri" w:hAnsi="Calibri" w:cs="Calibri"/>
          <w:sz w:val="24"/>
          <w:szCs w:val="24"/>
          <w:lang w:val="en-US"/>
        </w:rPr>
        <w:t>F</w:t>
      </w:r>
      <w:r w:rsidR="005935C2" w:rsidRPr="005935C2">
        <w:rPr>
          <w:rFonts w:ascii="Calibri" w:eastAsia="Calibri" w:hAnsi="Calibri" w:cs="Calibri"/>
          <w:sz w:val="24"/>
          <w:szCs w:val="24"/>
          <w:lang w:val="en-US"/>
        </w:rPr>
        <w:t xml:space="preserve">ree </w:t>
      </w:r>
      <w:r>
        <w:rPr>
          <w:rFonts w:ascii="Calibri" w:eastAsia="Calibri" w:hAnsi="Calibri" w:cs="Calibri"/>
          <w:sz w:val="24"/>
          <w:szCs w:val="24"/>
          <w:lang w:val="en-US"/>
        </w:rPr>
        <w:t>P</w:t>
      </w:r>
      <w:r w:rsidR="005935C2" w:rsidRPr="005935C2">
        <w:rPr>
          <w:rFonts w:ascii="Calibri" w:eastAsia="Calibri" w:hAnsi="Calibri" w:cs="Calibri"/>
          <w:sz w:val="24"/>
          <w:szCs w:val="24"/>
          <w:lang w:val="en-US"/>
        </w:rPr>
        <w:t xml:space="preserve">recast </w:t>
      </w:r>
      <w:r>
        <w:rPr>
          <w:rFonts w:ascii="Calibri" w:eastAsia="Calibri" w:hAnsi="Calibri" w:cs="Calibri"/>
          <w:sz w:val="24"/>
          <w:szCs w:val="24"/>
          <w:lang w:val="en-US"/>
        </w:rPr>
        <w:t>G</w:t>
      </w:r>
      <w:r w:rsidR="005935C2" w:rsidRPr="005935C2">
        <w:rPr>
          <w:rFonts w:ascii="Calibri" w:eastAsia="Calibri" w:hAnsi="Calibri" w:cs="Calibri"/>
          <w:sz w:val="24"/>
          <w:szCs w:val="24"/>
          <w:lang w:val="en-US"/>
        </w:rPr>
        <w:t>el (</w:t>
      </w:r>
      <w:proofErr w:type="spellStart"/>
      <w:r w:rsidR="005935C2" w:rsidRPr="005935C2">
        <w:rPr>
          <w:rFonts w:ascii="Calibri" w:eastAsia="Calibri" w:hAnsi="Calibri" w:cs="Calibri"/>
          <w:sz w:val="24"/>
          <w:szCs w:val="24"/>
          <w:lang w:val="en-US"/>
        </w:rPr>
        <w:t>Biorad</w:t>
      </w:r>
      <w:proofErr w:type="spellEnd"/>
      <w:r w:rsidR="005935C2" w:rsidRPr="005935C2">
        <w:rPr>
          <w:rFonts w:ascii="Calibri" w:eastAsia="Calibri" w:hAnsi="Calibri" w:cs="Calibri"/>
          <w:sz w:val="24"/>
          <w:szCs w:val="24"/>
          <w:lang w:val="en-US"/>
        </w:rPr>
        <w:t xml:space="preserve">). Next, gels were imaged using the stain-free application on </w:t>
      </w:r>
      <w:proofErr w:type="spellStart"/>
      <w:r w:rsidR="005935C2" w:rsidRPr="005935C2">
        <w:rPr>
          <w:rFonts w:ascii="Calibri" w:eastAsia="Calibri" w:hAnsi="Calibri" w:cs="Calibri"/>
          <w:sz w:val="24"/>
          <w:szCs w:val="24"/>
          <w:lang w:val="en-US"/>
        </w:rPr>
        <w:t>ChemiDoc</w:t>
      </w:r>
      <w:proofErr w:type="spellEnd"/>
      <w:r w:rsidR="005935C2" w:rsidRPr="005935C2">
        <w:rPr>
          <w:rFonts w:ascii="Calibri" w:eastAsia="Calibri" w:hAnsi="Calibri" w:cs="Calibri"/>
          <w:sz w:val="24"/>
          <w:szCs w:val="24"/>
          <w:lang w:val="en-US"/>
        </w:rPr>
        <w:t xml:space="preserve"> MP (</w:t>
      </w:r>
      <w:proofErr w:type="spellStart"/>
      <w:r w:rsidR="005935C2" w:rsidRPr="005935C2">
        <w:rPr>
          <w:rFonts w:ascii="Calibri" w:eastAsia="Calibri" w:hAnsi="Calibri" w:cs="Calibri"/>
          <w:sz w:val="24"/>
          <w:szCs w:val="24"/>
          <w:lang w:val="en-US"/>
        </w:rPr>
        <w:t>Biorad</w:t>
      </w:r>
      <w:proofErr w:type="spellEnd"/>
      <w:r w:rsidR="005935C2" w:rsidRPr="005935C2">
        <w:rPr>
          <w:rFonts w:ascii="Calibri" w:eastAsia="Calibri" w:hAnsi="Calibri" w:cs="Calibri"/>
          <w:sz w:val="24"/>
          <w:szCs w:val="24"/>
          <w:lang w:val="en-US"/>
        </w:rPr>
        <w:t>) to normalize loaded proteins and then transferred to nitrocellulose membranes with the Trans-Blot Turbo Transfer System (</w:t>
      </w:r>
      <w:proofErr w:type="spellStart"/>
      <w:r w:rsidR="005935C2" w:rsidRPr="005935C2">
        <w:rPr>
          <w:rFonts w:ascii="Calibri" w:eastAsia="Calibri" w:hAnsi="Calibri" w:cs="Calibri"/>
          <w:sz w:val="24"/>
          <w:szCs w:val="24"/>
          <w:lang w:val="en-US"/>
        </w:rPr>
        <w:t>Biorad</w:t>
      </w:r>
      <w:proofErr w:type="spellEnd"/>
      <w:r w:rsidR="005935C2" w:rsidRPr="005935C2">
        <w:rPr>
          <w:rFonts w:ascii="Calibri" w:eastAsia="Calibri" w:hAnsi="Calibri" w:cs="Calibri"/>
          <w:sz w:val="24"/>
          <w:szCs w:val="24"/>
          <w:lang w:val="en-US"/>
        </w:rPr>
        <w:t>). Membranes were blocked</w:t>
      </w:r>
      <w:r w:rsidR="00712355">
        <w:rPr>
          <w:rFonts w:ascii="Calibri" w:eastAsia="Calibri" w:hAnsi="Calibri" w:cs="Calibri"/>
          <w:sz w:val="24"/>
          <w:szCs w:val="24"/>
          <w:lang w:val="en-US"/>
        </w:rPr>
        <w:t xml:space="preserve"> </w:t>
      </w:r>
      <w:r w:rsidR="005935C2" w:rsidRPr="005935C2">
        <w:rPr>
          <w:rFonts w:ascii="Calibri" w:eastAsia="Calibri" w:hAnsi="Calibri" w:cs="Calibri"/>
          <w:sz w:val="24"/>
          <w:szCs w:val="24"/>
          <w:lang w:val="en-US"/>
        </w:rPr>
        <w:t>and incubated overnight with anti-KLF4</w:t>
      </w:r>
      <w:r w:rsidR="00712355">
        <w:rPr>
          <w:rFonts w:ascii="Calibri" w:eastAsia="Calibri" w:hAnsi="Calibri" w:cs="Calibri"/>
          <w:sz w:val="24"/>
          <w:szCs w:val="24"/>
          <w:lang w:val="en-US"/>
        </w:rPr>
        <w:t xml:space="preserve"> </w:t>
      </w:r>
      <w:r w:rsidR="005935C2" w:rsidRPr="005935C2">
        <w:rPr>
          <w:rFonts w:ascii="Calibri" w:eastAsia="Calibri" w:hAnsi="Calibri" w:cs="Calibri"/>
          <w:sz w:val="24"/>
          <w:szCs w:val="24"/>
          <w:lang w:val="en-US"/>
        </w:rPr>
        <w:t>(1:100, sc-393462, Santa Cruz Biotechnology)</w:t>
      </w:r>
      <w:r w:rsidR="00712355">
        <w:rPr>
          <w:rFonts w:ascii="Calibri" w:eastAsia="Calibri" w:hAnsi="Calibri" w:cs="Calibri"/>
          <w:sz w:val="24"/>
          <w:szCs w:val="24"/>
          <w:lang w:val="en-US"/>
        </w:rPr>
        <w:t xml:space="preserve">, anti-ISG15 </w:t>
      </w:r>
      <w:r w:rsidR="00712355" w:rsidRPr="005935C2">
        <w:rPr>
          <w:rFonts w:ascii="Calibri" w:eastAsia="Calibri" w:hAnsi="Calibri" w:cs="Calibri"/>
          <w:sz w:val="24"/>
          <w:szCs w:val="24"/>
          <w:lang w:val="en-US"/>
        </w:rPr>
        <w:t>(1:</w:t>
      </w:r>
      <w:r w:rsidR="00E71DBF">
        <w:rPr>
          <w:rFonts w:ascii="Calibri" w:eastAsia="Calibri" w:hAnsi="Calibri" w:cs="Calibri"/>
          <w:sz w:val="24"/>
          <w:szCs w:val="24"/>
          <w:lang w:val="en-US"/>
        </w:rPr>
        <w:t>500</w:t>
      </w:r>
      <w:r w:rsidR="00712355" w:rsidRPr="005935C2">
        <w:rPr>
          <w:rFonts w:ascii="Calibri" w:eastAsia="Calibri" w:hAnsi="Calibri" w:cs="Calibri"/>
          <w:sz w:val="24"/>
          <w:szCs w:val="24"/>
          <w:lang w:val="en-US"/>
        </w:rPr>
        <w:t xml:space="preserve">, </w:t>
      </w:r>
      <w:r w:rsidR="00E71DBF">
        <w:rPr>
          <w:rFonts w:ascii="Calibri" w:eastAsia="Calibri" w:hAnsi="Calibri" w:cs="Calibri"/>
          <w:sz w:val="24"/>
          <w:szCs w:val="24"/>
          <w:lang w:val="en-US"/>
        </w:rPr>
        <w:t>MAB 4845</w:t>
      </w:r>
      <w:r w:rsidR="00712355" w:rsidRPr="005935C2">
        <w:rPr>
          <w:rFonts w:ascii="Calibri" w:eastAsia="Calibri" w:hAnsi="Calibri" w:cs="Calibri"/>
          <w:sz w:val="24"/>
          <w:szCs w:val="24"/>
          <w:lang w:val="en-US"/>
        </w:rPr>
        <w:t xml:space="preserve">, </w:t>
      </w:r>
      <w:r w:rsidR="00E71DBF">
        <w:rPr>
          <w:rFonts w:ascii="Calibri" w:eastAsia="Calibri" w:hAnsi="Calibri" w:cs="Calibri"/>
          <w:sz w:val="24"/>
          <w:szCs w:val="24"/>
          <w:lang w:val="en-US"/>
        </w:rPr>
        <w:t>R&amp;D Systems</w:t>
      </w:r>
      <w:r w:rsidR="00712355" w:rsidRPr="005935C2">
        <w:rPr>
          <w:rFonts w:ascii="Calibri" w:eastAsia="Calibri" w:hAnsi="Calibri" w:cs="Calibri"/>
          <w:sz w:val="24"/>
          <w:szCs w:val="24"/>
          <w:lang w:val="en-US"/>
        </w:rPr>
        <w:t>)</w:t>
      </w:r>
      <w:r w:rsidR="00506470">
        <w:rPr>
          <w:rFonts w:ascii="Calibri" w:eastAsia="Calibri" w:hAnsi="Calibri" w:cs="Calibri"/>
          <w:sz w:val="24"/>
          <w:szCs w:val="24"/>
          <w:lang w:val="en-US"/>
        </w:rPr>
        <w:t xml:space="preserve">, </w:t>
      </w:r>
      <w:r w:rsidR="00712355">
        <w:rPr>
          <w:rFonts w:ascii="Calibri" w:eastAsia="Calibri" w:hAnsi="Calibri" w:cs="Calibri"/>
          <w:sz w:val="24"/>
          <w:szCs w:val="24"/>
          <w:lang w:val="en-US"/>
        </w:rPr>
        <w:t>anti-</w:t>
      </w:r>
      <w:r w:rsidR="00E71DBF">
        <w:rPr>
          <w:rFonts w:ascii="Calibri" w:eastAsia="Calibri" w:hAnsi="Calibri" w:cs="Calibri"/>
          <w:sz w:val="24"/>
          <w:szCs w:val="24"/>
          <w:lang w:val="en-US"/>
        </w:rPr>
        <w:t xml:space="preserve">IFIT1 </w:t>
      </w:r>
      <w:r w:rsidR="00E71DBF" w:rsidRPr="005935C2">
        <w:rPr>
          <w:rFonts w:ascii="Calibri" w:eastAsia="Calibri" w:hAnsi="Calibri" w:cs="Calibri"/>
          <w:sz w:val="24"/>
          <w:szCs w:val="24"/>
          <w:lang w:val="en-US"/>
        </w:rPr>
        <w:t>(1:</w:t>
      </w:r>
      <w:r w:rsidR="00E71DBF">
        <w:rPr>
          <w:rFonts w:ascii="Calibri" w:eastAsia="Calibri" w:hAnsi="Calibri" w:cs="Calibri"/>
          <w:sz w:val="24"/>
          <w:szCs w:val="24"/>
          <w:lang w:val="en-US"/>
        </w:rPr>
        <w:t>2000</w:t>
      </w:r>
      <w:r w:rsidR="00E71DBF" w:rsidRPr="005935C2">
        <w:rPr>
          <w:rFonts w:ascii="Calibri" w:eastAsia="Calibri" w:hAnsi="Calibri" w:cs="Calibri"/>
          <w:sz w:val="24"/>
          <w:szCs w:val="24"/>
          <w:lang w:val="en-US"/>
        </w:rPr>
        <w:t xml:space="preserve">, </w:t>
      </w:r>
      <w:r w:rsidR="00E71DBF">
        <w:rPr>
          <w:rFonts w:ascii="Calibri" w:eastAsia="Calibri" w:hAnsi="Calibri" w:cs="Calibri"/>
          <w:sz w:val="24"/>
          <w:szCs w:val="24"/>
          <w:lang w:val="en-US"/>
        </w:rPr>
        <w:t>PA3-848</w:t>
      </w:r>
      <w:r w:rsidR="00E71DBF" w:rsidRPr="005935C2">
        <w:rPr>
          <w:rFonts w:ascii="Calibri" w:eastAsia="Calibri" w:hAnsi="Calibri" w:cs="Calibri"/>
          <w:sz w:val="24"/>
          <w:szCs w:val="24"/>
          <w:lang w:val="en-US"/>
        </w:rPr>
        <w:t>,</w:t>
      </w:r>
      <w:r w:rsidR="00E71DBF">
        <w:rPr>
          <w:rFonts w:ascii="Calibri" w:eastAsia="Calibri" w:hAnsi="Calibri" w:cs="Calibri"/>
          <w:sz w:val="24"/>
          <w:szCs w:val="24"/>
          <w:lang w:val="en-US"/>
        </w:rPr>
        <w:t xml:space="preserve"> </w:t>
      </w:r>
      <w:proofErr w:type="spellStart"/>
      <w:r w:rsidR="00E71DBF">
        <w:rPr>
          <w:rFonts w:ascii="Calibri" w:eastAsia="Calibri" w:hAnsi="Calibri" w:cs="Calibri"/>
          <w:sz w:val="24"/>
          <w:szCs w:val="24"/>
          <w:lang w:val="en-US"/>
        </w:rPr>
        <w:t>Thermofisher</w:t>
      </w:r>
      <w:proofErr w:type="spellEnd"/>
      <w:r w:rsidR="00E71DBF">
        <w:rPr>
          <w:rFonts w:ascii="Calibri" w:eastAsia="Calibri" w:hAnsi="Calibri" w:cs="Calibri"/>
          <w:sz w:val="24"/>
          <w:szCs w:val="24"/>
          <w:lang w:val="en-US"/>
        </w:rPr>
        <w:t xml:space="preserve"> Scientific</w:t>
      </w:r>
      <w:r w:rsidR="00E71DBF" w:rsidRPr="005935C2">
        <w:rPr>
          <w:rFonts w:ascii="Calibri" w:eastAsia="Calibri" w:hAnsi="Calibri" w:cs="Calibri"/>
          <w:sz w:val="24"/>
          <w:szCs w:val="24"/>
          <w:lang w:val="en-US"/>
        </w:rPr>
        <w:t>)</w:t>
      </w:r>
      <w:r w:rsidR="00506470">
        <w:rPr>
          <w:rFonts w:ascii="Calibri" w:eastAsia="Calibri" w:hAnsi="Calibri" w:cs="Calibri"/>
          <w:sz w:val="24"/>
          <w:szCs w:val="24"/>
          <w:lang w:val="en-US"/>
        </w:rPr>
        <w:t>, anti-</w:t>
      </w:r>
      <w:r w:rsidR="00506470" w:rsidRPr="00506470">
        <w:rPr>
          <w:rFonts w:ascii="Calibri" w:eastAsia="Calibri" w:hAnsi="Calibri" w:cs="Calibri"/>
          <w:sz w:val="24"/>
          <w:szCs w:val="24"/>
        </w:rPr>
        <w:t>MX1 (HPA030917 – Sigma 0,4µg/ml)</w:t>
      </w:r>
      <w:r w:rsidR="00DB74C5">
        <w:rPr>
          <w:rFonts w:ascii="Calibri" w:eastAsia="Calibri" w:hAnsi="Calibri" w:cs="Calibri"/>
          <w:sz w:val="24"/>
          <w:szCs w:val="24"/>
        </w:rPr>
        <w:t>, or anti-Stat1 (</w:t>
      </w:r>
      <w:r w:rsidR="00DB74C5" w:rsidRPr="00DB74C5">
        <w:rPr>
          <w:rFonts w:ascii="Calibri" w:eastAsia="Calibri" w:hAnsi="Calibri" w:cs="Calibri"/>
          <w:sz w:val="24"/>
          <w:szCs w:val="24"/>
        </w:rPr>
        <w:t xml:space="preserve">clone 10C4B40 – </w:t>
      </w:r>
      <w:proofErr w:type="spellStart"/>
      <w:r w:rsidR="00DB74C5" w:rsidRPr="00DB74C5">
        <w:rPr>
          <w:rFonts w:ascii="Calibri" w:eastAsia="Calibri" w:hAnsi="Calibri" w:cs="Calibri"/>
          <w:sz w:val="24"/>
          <w:szCs w:val="24"/>
        </w:rPr>
        <w:t>Biolegend</w:t>
      </w:r>
      <w:proofErr w:type="spellEnd"/>
      <w:r w:rsidR="00DB74C5" w:rsidRPr="00DB74C5">
        <w:rPr>
          <w:rFonts w:ascii="Calibri" w:eastAsia="Calibri" w:hAnsi="Calibri" w:cs="Calibri"/>
          <w:sz w:val="24"/>
          <w:szCs w:val="24"/>
        </w:rPr>
        <w:t xml:space="preserve"> 1µg/ml</w:t>
      </w:r>
      <w:r w:rsidR="00DB74C5">
        <w:rPr>
          <w:rFonts w:ascii="Calibri" w:eastAsia="Calibri" w:hAnsi="Calibri" w:cs="Calibri"/>
          <w:sz w:val="24"/>
          <w:szCs w:val="24"/>
        </w:rPr>
        <w:t xml:space="preserve">) </w:t>
      </w:r>
      <w:r w:rsidR="00E71DBF">
        <w:rPr>
          <w:rFonts w:ascii="Calibri" w:eastAsia="Calibri" w:hAnsi="Calibri" w:cs="Calibri"/>
          <w:sz w:val="24"/>
          <w:szCs w:val="24"/>
          <w:lang w:val="en-US"/>
        </w:rPr>
        <w:t>antibodies</w:t>
      </w:r>
      <w:r w:rsidR="005935C2" w:rsidRPr="005935C2">
        <w:rPr>
          <w:rFonts w:ascii="Calibri" w:eastAsia="Calibri" w:hAnsi="Calibri" w:cs="Calibri"/>
          <w:sz w:val="24"/>
          <w:szCs w:val="24"/>
          <w:lang w:val="en-US"/>
        </w:rPr>
        <w:t xml:space="preserve">. </w:t>
      </w:r>
      <w:r w:rsidR="00E71DBF">
        <w:rPr>
          <w:rFonts w:ascii="Calibri" w:eastAsia="Calibri" w:hAnsi="Calibri" w:cs="Calibri"/>
          <w:sz w:val="24"/>
          <w:szCs w:val="24"/>
          <w:lang w:val="en-US"/>
        </w:rPr>
        <w:t>Immune complexes</w:t>
      </w:r>
      <w:r w:rsidR="005935C2" w:rsidRPr="005935C2">
        <w:rPr>
          <w:rFonts w:ascii="Calibri" w:eastAsia="Calibri" w:hAnsi="Calibri" w:cs="Calibri"/>
          <w:sz w:val="24"/>
          <w:szCs w:val="24"/>
          <w:lang w:val="en-US"/>
        </w:rPr>
        <w:t xml:space="preserve"> w</w:t>
      </w:r>
      <w:r w:rsidR="00E71DBF">
        <w:rPr>
          <w:rFonts w:ascii="Calibri" w:eastAsia="Calibri" w:hAnsi="Calibri" w:cs="Calibri"/>
          <w:sz w:val="24"/>
          <w:szCs w:val="24"/>
          <w:lang w:val="en-US"/>
        </w:rPr>
        <w:t>ere</w:t>
      </w:r>
      <w:r w:rsidR="005935C2" w:rsidRPr="005935C2">
        <w:rPr>
          <w:rFonts w:ascii="Calibri" w:eastAsia="Calibri" w:hAnsi="Calibri" w:cs="Calibri"/>
          <w:sz w:val="24"/>
          <w:szCs w:val="24"/>
          <w:lang w:val="en-US"/>
        </w:rPr>
        <w:t xml:space="preserve"> revealed with</w:t>
      </w:r>
      <w:r w:rsidR="007143BF">
        <w:rPr>
          <w:rFonts w:ascii="Calibri" w:eastAsia="Calibri" w:hAnsi="Calibri" w:cs="Calibri"/>
          <w:sz w:val="24"/>
          <w:szCs w:val="24"/>
          <w:lang w:val="en-US"/>
        </w:rPr>
        <w:t xml:space="preserve"> </w:t>
      </w:r>
      <w:r w:rsidR="005935C2" w:rsidRPr="005935C2">
        <w:rPr>
          <w:rFonts w:ascii="Calibri" w:eastAsia="Calibri" w:hAnsi="Calibri" w:cs="Calibri"/>
          <w:sz w:val="24"/>
          <w:szCs w:val="24"/>
          <w:lang w:val="en-US"/>
        </w:rPr>
        <w:t>secondary</w:t>
      </w:r>
      <w:r w:rsidR="00E71DBF">
        <w:rPr>
          <w:rFonts w:ascii="Calibri" w:eastAsia="Calibri" w:hAnsi="Calibri" w:cs="Calibri"/>
          <w:sz w:val="24"/>
          <w:szCs w:val="24"/>
          <w:lang w:val="en-US"/>
        </w:rPr>
        <w:t xml:space="preserve"> </w:t>
      </w:r>
      <w:r w:rsidR="005935C2" w:rsidRPr="005935C2">
        <w:rPr>
          <w:rFonts w:ascii="Calibri" w:eastAsia="Calibri" w:hAnsi="Calibri" w:cs="Calibri"/>
          <w:sz w:val="24"/>
          <w:szCs w:val="24"/>
          <w:lang w:val="en-US"/>
        </w:rPr>
        <w:t>peroxidase-conjugated antibod</w:t>
      </w:r>
      <w:r w:rsidR="007143BF">
        <w:rPr>
          <w:rFonts w:ascii="Calibri" w:eastAsia="Calibri" w:hAnsi="Calibri" w:cs="Calibri"/>
          <w:sz w:val="24"/>
          <w:szCs w:val="24"/>
          <w:lang w:val="en-US"/>
        </w:rPr>
        <w:t>ies</w:t>
      </w:r>
      <w:r w:rsidR="005935C2" w:rsidRPr="005935C2">
        <w:rPr>
          <w:rFonts w:ascii="Calibri" w:eastAsia="Calibri" w:hAnsi="Calibri" w:cs="Calibri"/>
          <w:sz w:val="24"/>
          <w:szCs w:val="24"/>
          <w:lang w:val="en-US"/>
        </w:rPr>
        <w:t xml:space="preserve"> (Jackson </w:t>
      </w:r>
      <w:proofErr w:type="spellStart"/>
      <w:r w:rsidR="005935C2" w:rsidRPr="005935C2">
        <w:rPr>
          <w:rFonts w:ascii="Calibri" w:eastAsia="Calibri" w:hAnsi="Calibri" w:cs="Calibri"/>
          <w:sz w:val="24"/>
          <w:szCs w:val="24"/>
          <w:lang w:val="en-US"/>
        </w:rPr>
        <w:t>ImmunoResearch</w:t>
      </w:r>
      <w:proofErr w:type="spellEnd"/>
      <w:r w:rsidR="005935C2" w:rsidRPr="005935C2">
        <w:rPr>
          <w:rFonts w:ascii="Calibri" w:eastAsia="Calibri" w:hAnsi="Calibri" w:cs="Calibri"/>
          <w:sz w:val="24"/>
          <w:szCs w:val="24"/>
          <w:lang w:val="en-US"/>
        </w:rPr>
        <w:t>), using Clarity Western ECL Substrate (</w:t>
      </w:r>
      <w:proofErr w:type="spellStart"/>
      <w:r w:rsidR="005935C2" w:rsidRPr="005935C2">
        <w:rPr>
          <w:rFonts w:ascii="Calibri" w:eastAsia="Calibri" w:hAnsi="Calibri" w:cs="Calibri"/>
          <w:sz w:val="24"/>
          <w:szCs w:val="24"/>
          <w:lang w:val="en-US"/>
        </w:rPr>
        <w:t>Biorad</w:t>
      </w:r>
      <w:proofErr w:type="spellEnd"/>
      <w:r w:rsidR="005935C2" w:rsidRPr="005935C2">
        <w:rPr>
          <w:rFonts w:ascii="Calibri" w:eastAsia="Calibri" w:hAnsi="Calibri" w:cs="Calibri"/>
          <w:sz w:val="24"/>
          <w:szCs w:val="24"/>
          <w:lang w:val="en-US"/>
        </w:rPr>
        <w:t xml:space="preserve">). </w:t>
      </w:r>
      <w:r w:rsidR="00506470">
        <w:rPr>
          <w:rFonts w:ascii="Calibri" w:eastAsia="Calibri" w:hAnsi="Calibri" w:cs="Calibri"/>
          <w:sz w:val="24"/>
          <w:szCs w:val="24"/>
          <w:lang w:val="en-US"/>
        </w:rPr>
        <w:t>Protein</w:t>
      </w:r>
      <w:r w:rsidR="005935C2" w:rsidRPr="005935C2">
        <w:rPr>
          <w:rFonts w:ascii="Calibri" w:eastAsia="Calibri" w:hAnsi="Calibri" w:cs="Calibri"/>
          <w:sz w:val="24"/>
          <w:szCs w:val="24"/>
          <w:lang w:val="en-US"/>
        </w:rPr>
        <w:t xml:space="preserve"> </w:t>
      </w:r>
      <w:r w:rsidR="007143BF" w:rsidRPr="005935C2">
        <w:rPr>
          <w:rFonts w:ascii="Calibri" w:eastAsia="Calibri" w:hAnsi="Calibri" w:cs="Calibri"/>
          <w:sz w:val="24"/>
          <w:szCs w:val="24"/>
          <w:lang w:val="en-US"/>
        </w:rPr>
        <w:t>expressions</w:t>
      </w:r>
      <w:r w:rsidR="005935C2" w:rsidRPr="005935C2">
        <w:rPr>
          <w:rFonts w:ascii="Calibri" w:eastAsia="Calibri" w:hAnsi="Calibri" w:cs="Calibri"/>
          <w:sz w:val="24"/>
          <w:szCs w:val="24"/>
          <w:lang w:val="en-US"/>
        </w:rPr>
        <w:t xml:space="preserve"> w</w:t>
      </w:r>
      <w:r w:rsidR="00E71DBF">
        <w:rPr>
          <w:rFonts w:ascii="Calibri" w:eastAsia="Calibri" w:hAnsi="Calibri" w:cs="Calibri"/>
          <w:sz w:val="24"/>
          <w:szCs w:val="24"/>
          <w:lang w:val="en-US"/>
        </w:rPr>
        <w:t>ere</w:t>
      </w:r>
      <w:r w:rsidR="005935C2" w:rsidRPr="005935C2">
        <w:rPr>
          <w:rFonts w:ascii="Calibri" w:eastAsia="Calibri" w:hAnsi="Calibri" w:cs="Calibri"/>
          <w:sz w:val="24"/>
          <w:szCs w:val="24"/>
          <w:lang w:val="en-US"/>
        </w:rPr>
        <w:t xml:space="preserve"> normalized based on total protein in each sample.</w:t>
      </w:r>
    </w:p>
    <w:p w14:paraId="0F9CB835" w14:textId="77777777" w:rsidR="00203B50" w:rsidRPr="00D50ADC" w:rsidRDefault="00203B50" w:rsidP="00D50ADC">
      <w:pPr>
        <w:spacing w:before="240" w:after="240" w:line="360" w:lineRule="auto"/>
        <w:jc w:val="both"/>
        <w:rPr>
          <w:rFonts w:ascii="Calibri" w:eastAsia="Calibri" w:hAnsi="Calibri" w:cs="Calibri"/>
          <w:b/>
          <w:sz w:val="26"/>
          <w:szCs w:val="26"/>
        </w:rPr>
      </w:pPr>
      <w:r w:rsidRPr="00D50ADC">
        <w:rPr>
          <w:rFonts w:ascii="Calibri" w:eastAsia="Calibri" w:hAnsi="Calibri" w:cs="Calibri"/>
          <w:b/>
          <w:sz w:val="26"/>
          <w:szCs w:val="26"/>
        </w:rPr>
        <w:t xml:space="preserve">Quantitative PCR. </w:t>
      </w:r>
    </w:p>
    <w:p w14:paraId="624AD8AB" w14:textId="7C170896" w:rsidR="00203B50" w:rsidRPr="00D50ADC" w:rsidRDefault="00203B50" w:rsidP="00D50ADC">
      <w:pPr>
        <w:spacing w:line="360" w:lineRule="auto"/>
        <w:jc w:val="both"/>
        <w:rPr>
          <w:rFonts w:ascii="Calibri" w:eastAsia="Calibri" w:hAnsi="Calibri" w:cs="Calibri"/>
          <w:sz w:val="24"/>
          <w:szCs w:val="24"/>
        </w:rPr>
      </w:pPr>
      <w:r w:rsidRPr="00D50ADC">
        <w:rPr>
          <w:rFonts w:ascii="Calibri" w:eastAsia="Calibri" w:hAnsi="Calibri" w:cs="Calibri"/>
          <w:sz w:val="24"/>
          <w:szCs w:val="24"/>
        </w:rPr>
        <w:t xml:space="preserve">Total RNA from isolated Neutrophil were extracted using the </w:t>
      </w:r>
      <w:proofErr w:type="spellStart"/>
      <w:r w:rsidRPr="00D50ADC">
        <w:rPr>
          <w:rFonts w:ascii="Calibri" w:eastAsia="Calibri" w:hAnsi="Calibri" w:cs="Calibri"/>
          <w:sz w:val="24"/>
          <w:szCs w:val="24"/>
        </w:rPr>
        <w:t>TRIzol</w:t>
      </w:r>
      <w:proofErr w:type="spellEnd"/>
      <w:r w:rsidRPr="00D50ADC">
        <w:rPr>
          <w:rFonts w:ascii="Calibri" w:eastAsia="Calibri" w:hAnsi="Calibri" w:cs="Calibri"/>
          <w:sz w:val="24"/>
          <w:szCs w:val="24"/>
        </w:rPr>
        <w:t xml:space="preserve"> (Invitrogen) procedure. The RNA yield were determined by absorbance and the reverse transcription was performed on 10 ng of RNA using the High-Capacity cDNA Reverse Transcription Kit (Applied Biosystems, Foster City, CA) according to the manufacturer’s instructions. </w:t>
      </w:r>
      <w:proofErr w:type="spellStart"/>
      <w:r w:rsidRPr="00D50ADC">
        <w:rPr>
          <w:rFonts w:ascii="Calibri" w:eastAsia="Calibri" w:hAnsi="Calibri" w:cs="Calibri"/>
          <w:sz w:val="24"/>
          <w:szCs w:val="24"/>
        </w:rPr>
        <w:t>ABsolute</w:t>
      </w:r>
      <w:proofErr w:type="spellEnd"/>
      <w:r w:rsidRPr="00D50ADC">
        <w:rPr>
          <w:rFonts w:ascii="Calibri" w:eastAsia="Calibri" w:hAnsi="Calibri" w:cs="Calibri"/>
          <w:sz w:val="24"/>
          <w:szCs w:val="24"/>
        </w:rPr>
        <w:t xml:space="preserve"> Blue qPCR SYBR Green Mix (</w:t>
      </w:r>
      <w:proofErr w:type="spellStart"/>
      <w:r w:rsidRPr="00D50ADC">
        <w:rPr>
          <w:rFonts w:ascii="Calibri" w:eastAsia="Calibri" w:hAnsi="Calibri" w:cs="Calibri"/>
          <w:sz w:val="24"/>
          <w:szCs w:val="24"/>
        </w:rPr>
        <w:t>Thermo</w:t>
      </w:r>
      <w:proofErr w:type="spellEnd"/>
      <w:r w:rsidRPr="00D50ADC">
        <w:rPr>
          <w:rFonts w:ascii="Calibri" w:eastAsia="Calibri" w:hAnsi="Calibri" w:cs="Calibri"/>
          <w:sz w:val="24"/>
          <w:szCs w:val="24"/>
        </w:rPr>
        <w:t xml:space="preserve"> Fisher Scientific) was then used to amplify specific cDNA fragments in the CFX96 Real Time System (Bio-Rad) using following primers (Sequence (5’- &gt;3’)):</w:t>
      </w:r>
      <w:r>
        <w:rPr>
          <w:rFonts w:ascii="Calibri" w:eastAsia="Calibri" w:hAnsi="Calibri" w:cs="Calibri"/>
          <w:sz w:val="24"/>
          <w:szCs w:val="24"/>
        </w:rPr>
        <w:t xml:space="preserve"> </w:t>
      </w:r>
      <w:r w:rsidRPr="00D50ADC">
        <w:rPr>
          <w:rFonts w:ascii="Calibri" w:eastAsia="Calibri" w:hAnsi="Calibri" w:cs="Calibri"/>
          <w:sz w:val="24"/>
          <w:szCs w:val="24"/>
        </w:rPr>
        <w:t>Stat1</w:t>
      </w:r>
      <w:r>
        <w:rPr>
          <w:rFonts w:ascii="Calibri" w:eastAsia="Calibri" w:hAnsi="Calibri" w:cs="Calibri"/>
          <w:sz w:val="24"/>
          <w:szCs w:val="24"/>
        </w:rPr>
        <w:t xml:space="preserve">: </w:t>
      </w:r>
      <w:proofErr w:type="gramStart"/>
      <w:r w:rsidRPr="00D50ADC">
        <w:rPr>
          <w:rFonts w:ascii="Calibri" w:eastAsia="Calibri" w:hAnsi="Calibri" w:cs="Calibri"/>
          <w:sz w:val="24"/>
          <w:szCs w:val="24"/>
        </w:rPr>
        <w:t>F :</w:t>
      </w:r>
      <w:proofErr w:type="gramEnd"/>
      <w:r w:rsidRPr="00D50ADC">
        <w:rPr>
          <w:rFonts w:ascii="Calibri" w:eastAsia="Calibri" w:hAnsi="Calibri" w:cs="Calibri"/>
          <w:sz w:val="24"/>
          <w:szCs w:val="24"/>
        </w:rPr>
        <w:t xml:space="preserve"> AATCTGTCCTTCTTCCTGACTC/</w:t>
      </w:r>
      <w:proofErr w:type="gramStart"/>
      <w:r>
        <w:rPr>
          <w:rFonts w:ascii="Calibri" w:eastAsia="Calibri" w:hAnsi="Calibri" w:cs="Calibri"/>
          <w:sz w:val="24"/>
          <w:szCs w:val="24"/>
        </w:rPr>
        <w:t>R :</w:t>
      </w:r>
      <w:r w:rsidRPr="00D50ADC">
        <w:rPr>
          <w:rFonts w:ascii="Calibri" w:eastAsia="Calibri" w:hAnsi="Calibri" w:cs="Calibri"/>
          <w:sz w:val="24"/>
          <w:szCs w:val="24"/>
        </w:rPr>
        <w:t>GTTCTTTCTTCGTGTAGGGTTC</w:t>
      </w:r>
      <w:proofErr w:type="gramEnd"/>
      <w:r>
        <w:rPr>
          <w:rFonts w:ascii="Calibri" w:eastAsia="Calibri" w:hAnsi="Calibri" w:cs="Calibri"/>
          <w:sz w:val="24"/>
          <w:szCs w:val="24"/>
        </w:rPr>
        <w:t>;</w:t>
      </w:r>
      <w:r w:rsidRPr="00D50ADC">
        <w:rPr>
          <w:rFonts w:ascii="Calibri" w:eastAsia="Calibri" w:hAnsi="Calibri" w:cs="Calibri"/>
          <w:sz w:val="24"/>
          <w:szCs w:val="24"/>
        </w:rPr>
        <w:t>MX</w:t>
      </w:r>
      <w:proofErr w:type="gramStart"/>
      <w:r w:rsidRPr="00D50ADC">
        <w:rPr>
          <w:rFonts w:ascii="Calibri" w:eastAsia="Calibri" w:hAnsi="Calibri" w:cs="Calibri"/>
          <w:sz w:val="24"/>
          <w:szCs w:val="24"/>
        </w:rPr>
        <w:t>1</w:t>
      </w:r>
      <w:r>
        <w:rPr>
          <w:rFonts w:ascii="Calibri" w:eastAsia="Calibri" w:hAnsi="Calibri" w:cs="Calibri"/>
          <w:sz w:val="24"/>
          <w:szCs w:val="24"/>
        </w:rPr>
        <w:t>:F</w:t>
      </w:r>
      <w:proofErr w:type="gramEnd"/>
      <w:r>
        <w:rPr>
          <w:rFonts w:ascii="Calibri" w:eastAsia="Calibri" w:hAnsi="Calibri" w:cs="Calibri"/>
          <w:sz w:val="24"/>
          <w:szCs w:val="24"/>
        </w:rPr>
        <w:t>:</w:t>
      </w:r>
      <w:r w:rsidRPr="00D50ADC">
        <w:rPr>
          <w:rFonts w:ascii="Calibri" w:eastAsia="Calibri" w:hAnsi="Calibri" w:cs="Calibri"/>
          <w:sz w:val="24"/>
          <w:szCs w:val="24"/>
        </w:rPr>
        <w:t>CTTGTGAACGAAGATAAGTGGAG/</w:t>
      </w:r>
      <w:proofErr w:type="gramStart"/>
      <w:r>
        <w:rPr>
          <w:rFonts w:ascii="Calibri" w:eastAsia="Calibri" w:hAnsi="Calibri" w:cs="Calibri"/>
          <w:sz w:val="24"/>
          <w:szCs w:val="24"/>
        </w:rPr>
        <w:t>R :</w:t>
      </w:r>
      <w:r w:rsidRPr="00D50ADC">
        <w:rPr>
          <w:rFonts w:ascii="Calibri" w:eastAsia="Calibri" w:hAnsi="Calibri" w:cs="Calibri"/>
          <w:sz w:val="24"/>
          <w:szCs w:val="24"/>
        </w:rPr>
        <w:t>GTTATGCCAGGAAGGTCTATTAG</w:t>
      </w:r>
      <w:proofErr w:type="gramEnd"/>
      <w:r>
        <w:rPr>
          <w:rFonts w:ascii="Calibri" w:eastAsia="Calibri" w:hAnsi="Calibri" w:cs="Calibri"/>
          <w:sz w:val="24"/>
          <w:szCs w:val="24"/>
        </w:rPr>
        <w:t>;IFIT</w:t>
      </w:r>
      <w:proofErr w:type="gramStart"/>
      <w:r w:rsidRPr="00D50ADC">
        <w:rPr>
          <w:rFonts w:ascii="Calibri" w:eastAsia="Calibri" w:hAnsi="Calibri" w:cs="Calibri"/>
          <w:sz w:val="24"/>
          <w:szCs w:val="24"/>
        </w:rPr>
        <w:t>1:</w:t>
      </w:r>
      <w:r>
        <w:rPr>
          <w:rFonts w:ascii="Calibri" w:eastAsia="Calibri" w:hAnsi="Calibri" w:cs="Calibri"/>
          <w:sz w:val="24"/>
          <w:szCs w:val="24"/>
        </w:rPr>
        <w:t>F :</w:t>
      </w:r>
      <w:r w:rsidRPr="00D50ADC">
        <w:rPr>
          <w:rFonts w:ascii="Calibri" w:eastAsia="Calibri" w:hAnsi="Calibri" w:cs="Calibri"/>
          <w:sz w:val="24"/>
          <w:szCs w:val="24"/>
        </w:rPr>
        <w:t>GGAGCAATATACTAGGACTGAG</w:t>
      </w:r>
      <w:proofErr w:type="gramEnd"/>
      <w:r w:rsidRPr="00D50ADC">
        <w:rPr>
          <w:rFonts w:ascii="Calibri" w:eastAsia="Calibri" w:hAnsi="Calibri" w:cs="Calibri"/>
          <w:sz w:val="24"/>
          <w:szCs w:val="24"/>
        </w:rPr>
        <w:t>/</w:t>
      </w:r>
      <w:proofErr w:type="gramStart"/>
      <w:r>
        <w:rPr>
          <w:rFonts w:ascii="Calibri" w:eastAsia="Calibri" w:hAnsi="Calibri" w:cs="Calibri"/>
          <w:sz w:val="24"/>
          <w:szCs w:val="24"/>
        </w:rPr>
        <w:t>R :</w:t>
      </w:r>
      <w:r w:rsidRPr="00D50ADC">
        <w:rPr>
          <w:rFonts w:ascii="Calibri" w:eastAsia="Calibri" w:hAnsi="Calibri" w:cs="Calibri"/>
          <w:sz w:val="24"/>
          <w:szCs w:val="24"/>
        </w:rPr>
        <w:t>GAGACCATAACGGATAACAATG</w:t>
      </w:r>
      <w:proofErr w:type="gramEnd"/>
      <w:r>
        <w:rPr>
          <w:rFonts w:ascii="Calibri" w:eastAsia="Calibri" w:hAnsi="Calibri" w:cs="Calibri"/>
          <w:sz w:val="24"/>
          <w:szCs w:val="24"/>
        </w:rPr>
        <w:t>;</w:t>
      </w:r>
      <w:r w:rsidRPr="00D50ADC">
        <w:rPr>
          <w:rFonts w:ascii="Calibri" w:eastAsia="Calibri" w:hAnsi="Calibri" w:cs="Calibri"/>
          <w:sz w:val="24"/>
          <w:szCs w:val="24"/>
        </w:rPr>
        <w:t>ISG15</w:t>
      </w:r>
      <w:r>
        <w:rPr>
          <w:rFonts w:ascii="Calibri" w:eastAsia="Calibri" w:hAnsi="Calibri" w:cs="Calibri"/>
          <w:sz w:val="24"/>
          <w:szCs w:val="24"/>
        </w:rPr>
        <w:t xml:space="preserve">: </w:t>
      </w:r>
      <w:proofErr w:type="gramStart"/>
      <w:r>
        <w:rPr>
          <w:rFonts w:ascii="Calibri" w:eastAsia="Calibri" w:hAnsi="Calibri" w:cs="Calibri"/>
          <w:sz w:val="24"/>
          <w:szCs w:val="24"/>
        </w:rPr>
        <w:t>F:</w:t>
      </w:r>
      <w:r w:rsidRPr="00D50ADC">
        <w:rPr>
          <w:rFonts w:ascii="Calibri" w:eastAsia="Calibri" w:hAnsi="Calibri" w:cs="Calibri"/>
          <w:sz w:val="24"/>
          <w:szCs w:val="24"/>
        </w:rPr>
        <w:t>ATGTCGGTGTCAGAGCTGAA</w:t>
      </w:r>
      <w:proofErr w:type="gramEnd"/>
      <w:r w:rsidRPr="00D50ADC">
        <w:rPr>
          <w:rFonts w:ascii="Calibri" w:eastAsia="Calibri" w:hAnsi="Calibri" w:cs="Calibri"/>
          <w:sz w:val="24"/>
          <w:szCs w:val="24"/>
        </w:rPr>
        <w:t>/</w:t>
      </w:r>
      <w:proofErr w:type="gramStart"/>
      <w:r>
        <w:rPr>
          <w:rFonts w:ascii="Calibri" w:eastAsia="Calibri" w:hAnsi="Calibri" w:cs="Calibri"/>
          <w:sz w:val="24"/>
          <w:szCs w:val="24"/>
        </w:rPr>
        <w:t>R:</w:t>
      </w:r>
      <w:r w:rsidRPr="00D50ADC">
        <w:rPr>
          <w:rFonts w:ascii="Calibri" w:eastAsia="Calibri" w:hAnsi="Calibri" w:cs="Calibri"/>
          <w:sz w:val="24"/>
          <w:szCs w:val="24"/>
        </w:rPr>
        <w:t>AGGATGCTCAGAGGTTCGTC</w:t>
      </w:r>
      <w:proofErr w:type="gramEnd"/>
      <w:r>
        <w:rPr>
          <w:rFonts w:ascii="Calibri" w:eastAsia="Calibri" w:hAnsi="Calibri" w:cs="Calibri"/>
          <w:sz w:val="24"/>
          <w:szCs w:val="24"/>
        </w:rPr>
        <w:t>.</w:t>
      </w:r>
    </w:p>
    <w:p w14:paraId="5B609986" w14:textId="77777777" w:rsidR="00A64256" w:rsidRDefault="00FA71C2">
      <w:pPr>
        <w:spacing w:before="240" w:after="240" w:line="360" w:lineRule="auto"/>
        <w:jc w:val="both"/>
        <w:rPr>
          <w:rFonts w:ascii="Calibri" w:eastAsia="Calibri" w:hAnsi="Calibri" w:cs="Calibri"/>
          <w:sz w:val="26"/>
          <w:szCs w:val="26"/>
        </w:rPr>
      </w:pPr>
      <w:r>
        <w:rPr>
          <w:rFonts w:ascii="Calibri" w:eastAsia="Calibri" w:hAnsi="Calibri" w:cs="Calibri"/>
          <w:b/>
          <w:sz w:val="26"/>
          <w:szCs w:val="26"/>
        </w:rPr>
        <w:lastRenderedPageBreak/>
        <w:t>May-Grünwald Giemsa staining (MGG)</w:t>
      </w:r>
    </w:p>
    <w:p w14:paraId="23EE86E4" w14:textId="0BE1BB2E" w:rsidR="00A64256" w:rsidRDefault="00FA71C2">
      <w:pPr>
        <w:spacing w:before="240" w:after="240" w:line="360" w:lineRule="auto"/>
        <w:jc w:val="both"/>
        <w:rPr>
          <w:rFonts w:ascii="Calibri" w:eastAsia="Calibri" w:hAnsi="Calibri" w:cs="Calibri"/>
          <w:sz w:val="24"/>
          <w:szCs w:val="24"/>
        </w:rPr>
      </w:pPr>
      <w:proofErr w:type="spellStart"/>
      <w:r>
        <w:rPr>
          <w:rFonts w:ascii="Calibri" w:eastAsia="Calibri" w:hAnsi="Calibri" w:cs="Calibri"/>
          <w:sz w:val="24"/>
          <w:szCs w:val="24"/>
        </w:rPr>
        <w:t>Cytospins</w:t>
      </w:r>
      <w:proofErr w:type="spellEnd"/>
      <w:r>
        <w:rPr>
          <w:rFonts w:ascii="Calibri" w:eastAsia="Calibri" w:hAnsi="Calibri" w:cs="Calibri"/>
          <w:sz w:val="24"/>
          <w:szCs w:val="24"/>
        </w:rPr>
        <w:t xml:space="preserve"> were performed using 10</w:t>
      </w:r>
      <w:r>
        <w:rPr>
          <w:rFonts w:ascii="Calibri" w:eastAsia="Calibri" w:hAnsi="Calibri" w:cs="Calibri"/>
          <w:sz w:val="24"/>
          <w:szCs w:val="24"/>
          <w:vertAlign w:val="superscript"/>
        </w:rPr>
        <w:t>5</w:t>
      </w:r>
      <w:r>
        <w:rPr>
          <w:rFonts w:ascii="Calibri" w:eastAsia="Calibri" w:hAnsi="Calibri" w:cs="Calibri"/>
          <w:sz w:val="24"/>
          <w:szCs w:val="24"/>
        </w:rPr>
        <w:t xml:space="preserve"> cells. Slides were stained for 5 minutes with May-Grünwald pure solution (Sigma), with May-Grünwald diluted solution for 5 minutes, and then with Giemsa solution (Sigma) for 15 min. Next, slides were washed three times in water. Pictures of cells were taken with a Nikon Eclipse Ti-S inverted microscope. </w:t>
      </w:r>
      <w:r w:rsidR="005935C2">
        <w:rPr>
          <w:rFonts w:ascii="Calibri" w:eastAsia="Calibri" w:hAnsi="Calibri" w:cs="Calibri"/>
          <w:sz w:val="24"/>
          <w:szCs w:val="24"/>
        </w:rPr>
        <w:t xml:space="preserve">For each </w:t>
      </w:r>
      <w:r w:rsidR="00506470">
        <w:rPr>
          <w:rFonts w:ascii="Calibri" w:eastAsia="Calibri" w:hAnsi="Calibri" w:cs="Calibri"/>
          <w:sz w:val="24"/>
          <w:szCs w:val="24"/>
        </w:rPr>
        <w:t>condition</w:t>
      </w:r>
      <w:r w:rsidR="005935C2">
        <w:rPr>
          <w:rFonts w:ascii="Calibri" w:eastAsia="Calibri" w:hAnsi="Calibri" w:cs="Calibri"/>
          <w:sz w:val="24"/>
          <w:szCs w:val="24"/>
        </w:rPr>
        <w:t>, 100 cells were characterized and identified either as a monocyte or neutrophil precursor.</w:t>
      </w:r>
    </w:p>
    <w:p w14:paraId="10B9B12C" w14:textId="77777777" w:rsidR="00A64256" w:rsidRDefault="00FA71C2">
      <w:pPr>
        <w:spacing w:before="240" w:after="240" w:line="360" w:lineRule="auto"/>
        <w:jc w:val="both"/>
        <w:rPr>
          <w:rFonts w:ascii="Calibri" w:eastAsia="Calibri" w:hAnsi="Calibri" w:cs="Calibri"/>
          <w:sz w:val="26"/>
          <w:szCs w:val="26"/>
        </w:rPr>
      </w:pPr>
      <w:r>
        <w:rPr>
          <w:rFonts w:ascii="Calibri" w:eastAsia="Calibri" w:hAnsi="Calibri" w:cs="Calibri"/>
          <w:b/>
          <w:sz w:val="26"/>
          <w:szCs w:val="26"/>
        </w:rPr>
        <w:t>Single-cell RNA sequencing</w:t>
      </w:r>
    </w:p>
    <w:p w14:paraId="3ECE9E61" w14:textId="77777777"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t xml:space="preserve">Sample preparation. </w:t>
      </w:r>
      <w:r>
        <w:rPr>
          <w:rFonts w:ascii="Calibri" w:eastAsia="Calibri" w:hAnsi="Calibri" w:cs="Calibri"/>
          <w:sz w:val="24"/>
          <w:szCs w:val="24"/>
        </w:rPr>
        <w:t>CD34</w:t>
      </w:r>
      <w:r>
        <w:rPr>
          <w:rFonts w:ascii="Calibri" w:eastAsia="Calibri" w:hAnsi="Calibri" w:cs="Calibri"/>
          <w:sz w:val="24"/>
          <w:szCs w:val="24"/>
          <w:vertAlign w:val="superscript"/>
        </w:rPr>
        <w:t>+</w:t>
      </w:r>
      <w:r>
        <w:rPr>
          <w:rFonts w:ascii="Calibri" w:eastAsia="Calibri" w:hAnsi="Calibri" w:cs="Calibri"/>
          <w:sz w:val="24"/>
          <w:szCs w:val="24"/>
        </w:rPr>
        <w:t xml:space="preserve"> cells frozen in SVF-10% DMSO were thawed, filtered, washed twice in PBS 0.04%BSA, and then resuspended in 100 </w:t>
      </w:r>
      <w:proofErr w:type="spellStart"/>
      <w:r>
        <w:rPr>
          <w:rFonts w:ascii="Calibri" w:eastAsia="Calibri" w:hAnsi="Calibri" w:cs="Calibri"/>
          <w:sz w:val="24"/>
          <w:szCs w:val="24"/>
        </w:rPr>
        <w:t>μL</w:t>
      </w:r>
      <w:proofErr w:type="spellEnd"/>
      <w:r>
        <w:rPr>
          <w:rFonts w:ascii="Calibri" w:eastAsia="Calibri" w:hAnsi="Calibri" w:cs="Calibri"/>
          <w:sz w:val="24"/>
          <w:szCs w:val="24"/>
        </w:rPr>
        <w:t xml:space="preserve"> PBS 0.04%BSA. Cell viability was assessed using an automated cell counter (Countess 300, Invitrogen). </w:t>
      </w:r>
    </w:p>
    <w:p w14:paraId="179ECE53" w14:textId="283DB014"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t xml:space="preserve">Library preparation and sequencing. </w:t>
      </w:r>
      <w:r>
        <w:rPr>
          <w:rFonts w:ascii="Calibri" w:eastAsia="Calibri" w:hAnsi="Calibri" w:cs="Calibri"/>
          <w:sz w:val="24"/>
          <w:szCs w:val="24"/>
        </w:rPr>
        <w:t>CD34</w:t>
      </w:r>
      <w:r>
        <w:rPr>
          <w:rFonts w:ascii="Calibri" w:eastAsia="Calibri" w:hAnsi="Calibri" w:cs="Calibri"/>
          <w:sz w:val="24"/>
          <w:szCs w:val="24"/>
          <w:vertAlign w:val="superscript"/>
        </w:rPr>
        <w:t>+</w:t>
      </w:r>
      <w:r>
        <w:rPr>
          <w:rFonts w:ascii="Calibri" w:eastAsia="Calibri" w:hAnsi="Calibri" w:cs="Calibri"/>
          <w:sz w:val="24"/>
          <w:szCs w:val="24"/>
        </w:rPr>
        <w:t xml:space="preserve"> cells were loaded on a Chromium Single Cell Chip (10x Genomics) following the supplier instructions for co-encapsulation with barcoded gel beads using a Chromium </w:t>
      </w:r>
      <w:proofErr w:type="spellStart"/>
      <w:r>
        <w:rPr>
          <w:rFonts w:ascii="Calibri" w:eastAsia="Calibri" w:hAnsi="Calibri" w:cs="Calibri"/>
          <w:sz w:val="24"/>
          <w:szCs w:val="24"/>
        </w:rPr>
        <w:t>Controler</w:t>
      </w:r>
      <w:proofErr w:type="spellEnd"/>
      <w:r>
        <w:rPr>
          <w:rFonts w:ascii="Calibri" w:eastAsia="Calibri" w:hAnsi="Calibri" w:cs="Calibri"/>
          <w:sz w:val="24"/>
          <w:szCs w:val="24"/>
        </w:rPr>
        <w:t xml:space="preserve"> (10x Genomics), at a target capture rate of 10.000 cells per sample. Following cell lysis, captured mRNAs were barcoded during cDNA synthesis using Chromium Next GEM Single Cell 3’GEM, Library and Gel Bead kit v3.1 (10xGenomics) according to the supplier’s instructions. The resulting libraries were prepared and pooled for sequencing in an Illumina flow cell. All libraries were sequenced with a 10-base index read (dual index), a 28-base Read1 containing cell-identifying barcodes and unique molecular identifiers (UMIs), and a 90-base Read2 containing transcript sequences, on an Illumina </w:t>
      </w:r>
      <w:proofErr w:type="spellStart"/>
      <w:r>
        <w:rPr>
          <w:rFonts w:ascii="Calibri" w:eastAsia="Calibri" w:hAnsi="Calibri" w:cs="Calibri"/>
          <w:sz w:val="24"/>
          <w:szCs w:val="24"/>
        </w:rPr>
        <w:t>NovaSeq</w:t>
      </w:r>
      <w:proofErr w:type="spellEnd"/>
      <w:r>
        <w:rPr>
          <w:rFonts w:ascii="Calibri" w:eastAsia="Calibri" w:hAnsi="Calibri" w:cs="Calibri"/>
          <w:sz w:val="24"/>
          <w:szCs w:val="24"/>
        </w:rPr>
        <w:t xml:space="preserve"> 6000 at Gustave Roussy (France). The </w:t>
      </w:r>
      <w:proofErr w:type="spellStart"/>
      <w:r>
        <w:rPr>
          <w:rFonts w:ascii="Calibri" w:eastAsia="Calibri" w:hAnsi="Calibri" w:cs="Calibri"/>
          <w:sz w:val="24"/>
          <w:szCs w:val="24"/>
        </w:rPr>
        <w:t>scRNAseq</w:t>
      </w:r>
      <w:proofErr w:type="spellEnd"/>
      <w:r>
        <w:rPr>
          <w:rFonts w:ascii="Calibri" w:eastAsia="Calibri" w:hAnsi="Calibri" w:cs="Calibri"/>
          <w:sz w:val="24"/>
          <w:szCs w:val="24"/>
        </w:rPr>
        <w:t xml:space="preserve"> reads were </w:t>
      </w:r>
      <w:proofErr w:type="spellStart"/>
      <w:r>
        <w:rPr>
          <w:rFonts w:ascii="Calibri" w:eastAsia="Calibri" w:hAnsi="Calibri" w:cs="Calibri"/>
          <w:sz w:val="24"/>
          <w:szCs w:val="24"/>
        </w:rPr>
        <w:t>pseudoaligned</w:t>
      </w:r>
      <w:proofErr w:type="spellEnd"/>
      <w:r>
        <w:rPr>
          <w:rFonts w:ascii="Calibri" w:eastAsia="Calibri" w:hAnsi="Calibri" w:cs="Calibri"/>
          <w:sz w:val="24"/>
          <w:szCs w:val="24"/>
        </w:rPr>
        <w:t xml:space="preserve"> to the GRCh38 (hg38) reference genome </w:t>
      </w:r>
      <w:proofErr w:type="spellStart"/>
      <w:r>
        <w:rPr>
          <w:rFonts w:ascii="Calibri" w:eastAsia="Calibri" w:hAnsi="Calibri" w:cs="Calibri"/>
          <w:sz w:val="24"/>
          <w:szCs w:val="24"/>
        </w:rPr>
        <w:t>kallisto</w:t>
      </w:r>
      <w:proofErr w:type="spellEnd"/>
      <w:r>
        <w:rPr>
          <w:rFonts w:ascii="Calibri" w:eastAsia="Calibri" w:hAnsi="Calibri" w:cs="Calibri"/>
          <w:sz w:val="24"/>
          <w:szCs w:val="24"/>
        </w:rPr>
        <w:t xml:space="preserve"> (version 0.46.2)</w:t>
      </w:r>
      <w:r w:rsidR="00F70D55">
        <w:t xml:space="preserve"> </w:t>
      </w:r>
      <w:r w:rsidR="00F70D55">
        <w:fldChar w:fldCharType="begin"/>
      </w:r>
      <w:r w:rsidR="00EC4403">
        <w:instrText xml:space="preserve"> ADDIN ZOTERO_ITEM CSL_CITATION {"citationID":"DsMyjCwc","properties":{"formattedCitation":"\\super 2\\nosupersub{}","plainCitation":"2","noteIndex":0},"citationItems":[{"id":478,"uris":["http://zotero.org/users/7060433/items/XL6A4AUL"],"itemData":{"id":478,"type":"article-journal","abstract":"A pseudoalignment-based method enables faster quantification and measurement of uncertainty in RNA-seq experiments.","container-title":"Nature Biotechnology","DOI":"10.1038/nbt.3519","ISSN":"1546-1696","issue":"5","journalAbbreviation":"Nat Biotechnol","language":"en","license":"2016 Springer Nature America, Inc.","note":"publisher: Nature Publishing Group","page":"525-527","source":"www-nature-com.proxy.insermbiblio.inist.fr","title":"Near-optimal probabilistic RNA-seq quantification","volume":"34","author":[{"family":"Bray","given":"Nicolas L."},{"family":"Pimentel","given":"Harold"},{"family":"Melsted","given":"Páll"},{"family":"Pachter","given":"Lior"}],"issued":{"date-parts":[["2016",5]]}}}],"schema":"https://github.com/citation-style-language/schema/raw/master/csl-citation.json"} </w:instrText>
      </w:r>
      <w:r w:rsidR="00F70D55">
        <w:fldChar w:fldCharType="separate"/>
      </w:r>
      <w:r w:rsidR="00EC4403" w:rsidRPr="00EC4403">
        <w:rPr>
          <w:vertAlign w:val="superscript"/>
        </w:rPr>
        <w:t>2</w:t>
      </w:r>
      <w:r w:rsidR="00F70D55">
        <w:fldChar w:fldCharType="end"/>
      </w:r>
      <w:r>
        <w:rPr>
          <w:rFonts w:ascii="Calibri" w:eastAsia="Calibri" w:hAnsi="Calibri" w:cs="Calibri"/>
          <w:sz w:val="24"/>
          <w:szCs w:val="24"/>
        </w:rPr>
        <w:t xml:space="preserve"> using its 'bus' subcommand and parameters corresponding to the 10X Chromium 3' </w:t>
      </w:r>
      <w:proofErr w:type="spellStart"/>
      <w:r>
        <w:rPr>
          <w:rFonts w:ascii="Calibri" w:eastAsia="Calibri" w:hAnsi="Calibri" w:cs="Calibri"/>
          <w:sz w:val="24"/>
          <w:szCs w:val="24"/>
        </w:rPr>
        <w:t>scRNA</w:t>
      </w:r>
      <w:proofErr w:type="spellEnd"/>
      <w:r>
        <w:rPr>
          <w:rFonts w:ascii="Calibri" w:eastAsia="Calibri" w:hAnsi="Calibri" w:cs="Calibri"/>
          <w:sz w:val="24"/>
          <w:szCs w:val="24"/>
        </w:rPr>
        <w:t xml:space="preserve">-Seq v3 chemistry. The index was made with the kb-python (version 0.24.4) wrapper of </w:t>
      </w:r>
      <w:proofErr w:type="spellStart"/>
      <w:r>
        <w:rPr>
          <w:rFonts w:ascii="Calibri" w:eastAsia="Calibri" w:hAnsi="Calibri" w:cs="Calibri"/>
          <w:sz w:val="24"/>
          <w:szCs w:val="24"/>
        </w:rPr>
        <w:t>kallisto</w:t>
      </w:r>
      <w:proofErr w:type="spellEnd"/>
      <w:r>
        <w:rPr>
          <w:rFonts w:ascii="Calibri" w:eastAsia="Calibri" w:hAnsi="Calibri" w:cs="Calibri"/>
          <w:sz w:val="24"/>
          <w:szCs w:val="24"/>
        </w:rPr>
        <w:t xml:space="preserve">. Barcode correction using whitelist provided by the manufacturer (10X Genomics) and gene-based reads quantification was performed with </w:t>
      </w:r>
      <w:proofErr w:type="spellStart"/>
      <w:r>
        <w:rPr>
          <w:rFonts w:ascii="Calibri" w:eastAsia="Calibri" w:hAnsi="Calibri" w:cs="Calibri"/>
          <w:sz w:val="24"/>
          <w:szCs w:val="24"/>
        </w:rPr>
        <w:t>BUStools</w:t>
      </w:r>
      <w:proofErr w:type="spellEnd"/>
      <w:r>
        <w:rPr>
          <w:rFonts w:ascii="Calibri" w:eastAsia="Calibri" w:hAnsi="Calibri" w:cs="Calibri"/>
          <w:sz w:val="24"/>
          <w:szCs w:val="24"/>
        </w:rPr>
        <w:t xml:space="preserve"> (version 0.40.0)</w:t>
      </w:r>
      <w:r w:rsidR="00F70D55">
        <w:t xml:space="preserve"> </w:t>
      </w:r>
      <w:r w:rsidR="00F70D55">
        <w:fldChar w:fldCharType="begin"/>
      </w:r>
      <w:r w:rsidR="00EC4403">
        <w:instrText xml:space="preserve"> ADDIN ZOTERO_ITEM CSL_CITATION {"citationID":"Z6xhFBjk","properties":{"formattedCitation":"\\super 3\\nosupersub{}","plainCitation":"3","noteIndex":0},"citationItems":[{"id":480,"uris":["http://zotero.org/users/7060433/items/8K33Q286"],"itemData":{"id":480,"type":"article-journal","abstract":"We introduce the Barcode-UMI-Set format (BUS) for representing pseudoalignments of reads from single-cell RNA-seq experiments. The format can be used with all single-cell RNA-seq technologies, and we show that BUS files can be efficiently generated. BUStools is a suite of tools for working with BUS files and facilitates rapid quantification and analysis of single-cell RNA-seq data. The BUS format therefore makes possible the development of modular, technology-specific and robust workflows for single-cell RNA-seq analysis.http://BUStools.github.io/ and http://pachterlab.github.io/kallisto/singlecell.html.Supplementary data are available at Bioinformatics online.","container-title":"Bioinformatics","DOI":"10.1093/bioinformatics/btz279","ISSN":"1367-4803","issue":"21","journalAbbreviation":"Bioinformatics","page":"4472-4473","source":"Silverchair","title":"The barcode, UMI, set format and BUStools","volume":"35","author":[{"family":"Melsted","given":"Páll"},{"family":"Ntranos","given":"Vasilis"},{"family":"Pachter","given":"Lior"}],"issued":{"date-parts":[["2019",11,1]]}}}],"schema":"https://github.com/citation-style-language/schema/raw/master/csl-citation.json"} </w:instrText>
      </w:r>
      <w:r w:rsidR="00F70D55">
        <w:fldChar w:fldCharType="separate"/>
      </w:r>
      <w:r w:rsidR="00EC4403" w:rsidRPr="00EC4403">
        <w:rPr>
          <w:vertAlign w:val="superscript"/>
        </w:rPr>
        <w:t>3</w:t>
      </w:r>
      <w:r w:rsidR="00F70D55">
        <w:fldChar w:fldCharType="end"/>
      </w:r>
      <w:r>
        <w:rPr>
          <w:rFonts w:ascii="Calibri" w:eastAsia="Calibri" w:hAnsi="Calibri" w:cs="Calibri"/>
          <w:sz w:val="24"/>
          <w:szCs w:val="24"/>
        </w:rPr>
        <w:t xml:space="preserve">. For each sample, 12-14% of reads were </w:t>
      </w:r>
      <w:proofErr w:type="spellStart"/>
      <w:r>
        <w:rPr>
          <w:rFonts w:ascii="Calibri" w:eastAsia="Calibri" w:hAnsi="Calibri" w:cs="Calibri"/>
          <w:sz w:val="24"/>
          <w:szCs w:val="24"/>
        </w:rPr>
        <w:t>pseudoaligned</w:t>
      </w:r>
      <w:proofErr w:type="spellEnd"/>
      <w:r>
        <w:rPr>
          <w:rFonts w:ascii="Calibri" w:eastAsia="Calibri" w:hAnsi="Calibri" w:cs="Calibri"/>
          <w:sz w:val="24"/>
          <w:szCs w:val="24"/>
        </w:rPr>
        <w:t xml:space="preserve"> to a unique sequence. </w:t>
      </w:r>
    </w:p>
    <w:p w14:paraId="425E0CE3" w14:textId="71BDD238"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lastRenderedPageBreak/>
        <w:t>Cell quality control</w:t>
      </w:r>
      <w:r>
        <w:rPr>
          <w:rFonts w:ascii="Calibri" w:eastAsia="Calibri" w:hAnsi="Calibri" w:cs="Calibri"/>
          <w:sz w:val="24"/>
          <w:szCs w:val="24"/>
        </w:rPr>
        <w:t>.</w:t>
      </w:r>
      <w:r>
        <w:rPr>
          <w:rFonts w:ascii="Calibri" w:eastAsia="Calibri" w:hAnsi="Calibri" w:cs="Calibri"/>
          <w:i/>
          <w:sz w:val="24"/>
          <w:szCs w:val="24"/>
        </w:rPr>
        <w:t xml:space="preserve"> </w:t>
      </w:r>
      <w:r>
        <w:rPr>
          <w:rFonts w:ascii="Calibri" w:eastAsia="Calibri" w:hAnsi="Calibri" w:cs="Calibri"/>
          <w:sz w:val="24"/>
          <w:szCs w:val="24"/>
        </w:rPr>
        <w:t xml:space="preserve">Cell barcodes were loaded in R (version 4.1.0) using the </w:t>
      </w:r>
      <w:proofErr w:type="spellStart"/>
      <w:r>
        <w:rPr>
          <w:rFonts w:ascii="Calibri" w:eastAsia="Calibri" w:hAnsi="Calibri" w:cs="Calibri"/>
          <w:sz w:val="24"/>
          <w:szCs w:val="24"/>
        </w:rPr>
        <w:t>BUSpaRse</w:t>
      </w:r>
      <w:proofErr w:type="spellEnd"/>
      <w:r>
        <w:rPr>
          <w:rFonts w:ascii="Calibri" w:eastAsia="Calibri" w:hAnsi="Calibri" w:cs="Calibri"/>
          <w:sz w:val="24"/>
          <w:szCs w:val="24"/>
        </w:rPr>
        <w:t xml:space="preserve"> package (version 1.7.1).</w:t>
      </w:r>
      <w:r>
        <w:rPr>
          <w:rFonts w:ascii="Calibri" w:eastAsia="Calibri" w:hAnsi="Calibri" w:cs="Calibri"/>
          <w:i/>
          <w:sz w:val="24"/>
          <w:szCs w:val="24"/>
        </w:rPr>
        <w:t xml:space="preserve"> </w:t>
      </w:r>
      <w:r>
        <w:rPr>
          <w:rFonts w:ascii="Calibri" w:eastAsia="Calibri" w:hAnsi="Calibri" w:cs="Calibri"/>
          <w:sz w:val="24"/>
          <w:szCs w:val="24"/>
        </w:rPr>
        <w:t xml:space="preserve">Empty droplets were removed from the analysis using the </w:t>
      </w:r>
      <w:proofErr w:type="spellStart"/>
      <w:r>
        <w:rPr>
          <w:rFonts w:ascii="Calibri" w:eastAsia="Calibri" w:hAnsi="Calibri" w:cs="Calibri"/>
          <w:sz w:val="24"/>
          <w:szCs w:val="24"/>
        </w:rPr>
        <w:t>dropletUtils</w:t>
      </w:r>
      <w:proofErr w:type="spellEnd"/>
      <w:r>
        <w:rPr>
          <w:rFonts w:ascii="Calibri" w:eastAsia="Calibri" w:hAnsi="Calibri" w:cs="Calibri"/>
          <w:sz w:val="24"/>
          <w:szCs w:val="24"/>
        </w:rPr>
        <w:t xml:space="preserve"> package (</w:t>
      </w:r>
      <w:proofErr w:type="spellStart"/>
      <w:r>
        <w:rPr>
          <w:rFonts w:ascii="Calibri" w:eastAsia="Calibri" w:hAnsi="Calibri" w:cs="Calibri"/>
          <w:sz w:val="24"/>
          <w:szCs w:val="24"/>
        </w:rPr>
        <w:t>emptyDrops</w:t>
      </w:r>
      <w:proofErr w:type="spellEnd"/>
      <w:r>
        <w:rPr>
          <w:rFonts w:ascii="Calibri" w:eastAsia="Calibri" w:hAnsi="Calibri" w:cs="Calibri"/>
          <w:sz w:val="24"/>
          <w:szCs w:val="24"/>
        </w:rPr>
        <w:t xml:space="preserve"> () function)</w:t>
      </w:r>
      <w:r w:rsidR="00F70D55">
        <w:t xml:space="preserve"> </w:t>
      </w:r>
      <w:r w:rsidR="00F70D55">
        <w:fldChar w:fldCharType="begin"/>
      </w:r>
      <w:r w:rsidR="00EC4403">
        <w:instrText xml:space="preserve"> ADDIN ZOTERO_ITEM CSL_CITATION {"citationID":"BV2W8UmC","properties":{"formattedCitation":"\\super 4\\nosupersub{}","plainCitation":"4","noteIndex":0},"citationItems":[{"id":483,"uris":["http://zotero.org/users/7060433/items/4X57NPP3"],"itemData":{"id":483,"type":"article-journal","abstract":"Droplet-based single-cell RNA sequencing protocols have dramatically increased the throughput of single-cell transcriptomics studies. A key computational challenge when processing these data is to distinguish libraries for real cells from empty droplets. Here, we describe a new statistical method for calling cells from droplet-based data, based on detecting significant deviations from the expression profile of the ambient solution. Using simulations, we demonstrate that EmptyDrops has greater power than existing approaches while controlling the false discovery rate among detected cells. Our method also retains distinct cell types that would have been discarded by existing methods in several real data sets.","container-title":"Genome Biology","DOI":"10.1186/s13059-019-1662-y","ISSN":"1474-760X","issue":"1","journalAbbreviation":"Genome Biology","page":"63","source":"BioMed Central","title":"EmptyDrops: distinguishing cells from empty droplets in droplet-based single-cell RNA sequencing data","title-short":"EmptyDrops","volume":"20","author":[{"family":"Lun","given":"Aaron T. L."},{"family":"Riesenfeld","given":"Samantha"},{"family":"Andrews","given":"Tallulah"},{"family":"Dao","given":"The Phuong"},{"family":"Gomes","given":"Tomas"},{"family":"Marioni","given":"John C."},{"literal":"participants in the 1st Human Cell Atlas Jamboree"}],"issued":{"date-parts":[["2019",3,22]]}}}],"schema":"https://github.com/citation-style-language/schema/raw/master/csl-citation.json"} </w:instrText>
      </w:r>
      <w:r w:rsidR="00F70D55">
        <w:fldChar w:fldCharType="separate"/>
      </w:r>
      <w:r w:rsidR="00EC4403" w:rsidRPr="00EC4403">
        <w:rPr>
          <w:vertAlign w:val="superscript"/>
        </w:rPr>
        <w:t>4</w:t>
      </w:r>
      <w:r w:rsidR="00F70D55">
        <w:fldChar w:fldCharType="end"/>
      </w:r>
      <w:r>
        <w:rPr>
          <w:rFonts w:ascii="Calibri" w:eastAsia="Calibri" w:hAnsi="Calibri" w:cs="Calibri"/>
          <w:sz w:val="24"/>
          <w:szCs w:val="24"/>
        </w:rPr>
        <w:t xml:space="preserve">, while </w:t>
      </w:r>
      <w:proofErr w:type="spellStart"/>
      <w:r>
        <w:rPr>
          <w:rFonts w:ascii="Calibri" w:eastAsia="Calibri" w:hAnsi="Calibri" w:cs="Calibri"/>
          <w:sz w:val="24"/>
          <w:szCs w:val="24"/>
        </w:rPr>
        <w:t>multiplet</w:t>
      </w:r>
      <w:proofErr w:type="spellEnd"/>
      <w:r>
        <w:rPr>
          <w:rFonts w:ascii="Calibri" w:eastAsia="Calibri" w:hAnsi="Calibri" w:cs="Calibri"/>
          <w:sz w:val="24"/>
          <w:szCs w:val="24"/>
        </w:rPr>
        <w:t xml:space="preserve"> droplets were excluded using the </w:t>
      </w:r>
      <w:proofErr w:type="spellStart"/>
      <w:r>
        <w:rPr>
          <w:rFonts w:ascii="Calibri" w:eastAsia="Calibri" w:hAnsi="Calibri" w:cs="Calibri"/>
          <w:sz w:val="24"/>
          <w:szCs w:val="24"/>
        </w:rPr>
        <w:t>scDblFinder</w:t>
      </w:r>
      <w:proofErr w:type="spellEnd"/>
      <w:r>
        <w:rPr>
          <w:rFonts w:ascii="Calibri" w:eastAsia="Calibri" w:hAnsi="Calibri" w:cs="Calibri"/>
          <w:sz w:val="24"/>
          <w:szCs w:val="24"/>
        </w:rPr>
        <w:t xml:space="preserve"> and </w:t>
      </w:r>
      <w:proofErr w:type="spellStart"/>
      <w:r>
        <w:rPr>
          <w:rFonts w:ascii="Calibri" w:eastAsia="Calibri" w:hAnsi="Calibri" w:cs="Calibri"/>
          <w:sz w:val="24"/>
          <w:szCs w:val="24"/>
        </w:rPr>
        <w:t>scds</w:t>
      </w:r>
      <w:proofErr w:type="spellEnd"/>
      <w:r>
        <w:rPr>
          <w:rFonts w:ascii="Calibri" w:eastAsia="Calibri" w:hAnsi="Calibri" w:cs="Calibri"/>
          <w:sz w:val="24"/>
          <w:szCs w:val="24"/>
        </w:rPr>
        <w:t xml:space="preserve"> methods</w:t>
      </w:r>
      <w:r w:rsidR="00F70D55">
        <w:t xml:space="preserve"> </w:t>
      </w:r>
      <w:r w:rsidR="00F70D55">
        <w:fldChar w:fldCharType="begin"/>
      </w:r>
      <w:r w:rsidR="00EC4403">
        <w:instrText xml:space="preserve"> ADDIN ZOTERO_ITEM CSL_CITATION {"citationID":"mli13D9u","properties":{"formattedCitation":"\\super 5\\nosupersub{}","plainCitation":"5","noteIndex":0},"citationItems":[{"id":486,"uris":["http://zotero.org/users/7060433/items/PZ4MWRD9"],"itemData":{"id":486,"type":"article-journal","abstract":"Single-cell RNA sequencing (scRNA-seq) technologies enable the study of transcriptional heterogeneity at the resolution of individual cells and have an increasing impact on biomedical research. However, it is known that these methods sometimes wrongly consider two or more cells as single cells, and that a number of so-called doublets is present in the output of such experiments. Treating doublets as single cells in downstream analyses can severely bias a study’s conclusions, and therefore computational strategies for the identification of doublets are needed.With scds, we propose two new approaches for in silico doublet identification: Co-expression based doublet scoring (cxds) and binary classification based doublet scoring (bcds). The co-expression based approach, cxds, utilizes binarized (absence/presence) gene expression data and, employing a binomial model for the co-expression of pairs of genes, yields interpretable doublet annotations. bcds, on the other hand, uses a binary classification approach to discriminate artificial doublets from original data. We apply our methods and existing computational doublet identification approaches to four datasets with experimental doublet annotations and find that our methods perform at least as well as the state of the art, at comparably little computational cost. We observe appreciable differences between methods and across datasets and that no approach dominates all others. In summary, scds presents a scalable, competitive approach that allows for doublet annotation of datasets with thousands of cells in a matter of seconds.scds is implemented as a Bioconductor R package (doi: 10.18129/B9.bioc.scds).Supplementary data are available at Bioinformatics online.","container-title":"Bioinformatics","DOI":"10.1093/bioinformatics/btz698","ISSN":"1367-4803","issue":"4","journalAbbreviation":"Bioinformatics","page":"1150-1158","source":"Silverchair","title":"scds: computational annotation of doublets in single-cell RNA sequencing data","title-short":"scds","volume":"36","author":[{"family":"Bais","given":"Abha S"},{"family":"Kostka","given":"Dennis"}],"issued":{"date-parts":[["2020",2,15]]}}}],"schema":"https://github.com/citation-style-language/schema/raw/master/csl-citation.json"} </w:instrText>
      </w:r>
      <w:r w:rsidR="00F70D55">
        <w:fldChar w:fldCharType="separate"/>
      </w:r>
      <w:r w:rsidR="00EC4403" w:rsidRPr="00EC4403">
        <w:rPr>
          <w:vertAlign w:val="superscript"/>
        </w:rPr>
        <w:t>5</w:t>
      </w:r>
      <w:r w:rsidR="00F70D55">
        <w:fldChar w:fldCharType="end"/>
      </w:r>
      <w:r>
        <w:rPr>
          <w:rFonts w:ascii="Calibri" w:eastAsia="Calibri" w:hAnsi="Calibri" w:cs="Calibri"/>
          <w:sz w:val="24"/>
          <w:szCs w:val="24"/>
        </w:rPr>
        <w:t>. Furthermore, genes detected in less than 5 cells, cells expressing less than 1.000 UMIs or fewer than 200 genes, and cells expressing more than 15% of mitochondrial genes were discarded.</w:t>
      </w:r>
    </w:p>
    <w:p w14:paraId="2D2125ED" w14:textId="6A517228"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t xml:space="preserve">Integration, dimension reduction, visualization and clustering. </w:t>
      </w:r>
      <w:r>
        <w:rPr>
          <w:rFonts w:ascii="Calibri" w:eastAsia="Calibri" w:hAnsi="Calibri" w:cs="Calibri"/>
          <w:sz w:val="24"/>
          <w:szCs w:val="24"/>
        </w:rPr>
        <w:t>Datasets were integrated using the Harmony method</w:t>
      </w:r>
      <w:r w:rsidR="00F70D55">
        <w:t xml:space="preserve"> </w:t>
      </w:r>
      <w:r w:rsidR="00F70D55">
        <w:fldChar w:fldCharType="begin"/>
      </w:r>
      <w:r w:rsidR="00EC4403">
        <w:instrText xml:space="preserve"> ADDIN ZOTERO_ITEM CSL_CITATION {"citationID":"gKKObB3y","properties":{"formattedCitation":"\\super 6\\nosupersub{}","plainCitation":"6","noteIndex":0},"citationItems":[{"id":489,"uris":["http://zotero.org/users/7060433/items/P4XYAJWM"],"itemData":{"id":489,"type":"article-journal","abstract":"The emerging diversity of single-cell RNA-seq datasets allows for the full transcriptional characterization of cell types across a wide variety of biological and clinical conditions. However, it is challenging to analyze them together, particularly when datasets are assayed with different technologies, because biological and technical differences are interspersed. We present Harmony (https://github.com/immunogenomics/harmony), an algorithm that projects cells into a shared embedding in which cells group by cell type rather than dataset-specific conditions. Harmony simultaneously accounts for multiple experimental and biological factors. In six analyses, we demonstrate the superior performance of Harmony to previously published algorithms while requiring fewer computational resources. Harmony enables the integration of ~106 cells on a personal computer. We apply Harmony to peripheral blood mononuclear cells from datasets with large experimental differences, five studies of pancreatic islet cells, mouse embryogenesis datasets and the integration of scRNA-seq with spatial transcriptomics data.","container-title":"Nature Methods","DOI":"10.1038/s41592-019-0619-0","ISSN":"1548-7105","issue":"12","journalAbbreviation":"Nat Methods","language":"en","license":"2019 The Author(s), under exclusive licence to Springer Nature America, Inc.","note":"publisher: Nature Publishing Group","page":"1289-1296","source":"www-nature-com.proxy.insermbiblio.inist.fr","title":"Fast, sensitive and accurate integration of single-cell data with Harmony","volume":"16","author":[{"family":"Korsunsky","given":"Ilya"},{"family":"Millard","given":"Nghia"},{"family":"Fan","given":"Jean"},{"family":"Slowikowski","given":"Kamil"},{"family":"Zhang","given":"Fan"},{"family":"Wei","given":"Kevin"},{"family":"Baglaenko","given":"Yuriy"},{"family":"Brenner","given":"Michael"},{"family":"Loh","given":"Po-ru"},{"family":"Raychaudhuri","given":"Soumya"}],"issued":{"date-parts":[["2019",12]]}}}],"schema":"https://github.com/citation-style-language/schema/raw/master/csl-citation.json"} </w:instrText>
      </w:r>
      <w:r w:rsidR="00F70D55">
        <w:fldChar w:fldCharType="separate"/>
      </w:r>
      <w:r w:rsidR="00EC4403" w:rsidRPr="00EC4403">
        <w:rPr>
          <w:vertAlign w:val="superscript"/>
        </w:rPr>
        <w:t>6</w:t>
      </w:r>
      <w:r w:rsidR="00F70D55">
        <w:fldChar w:fldCharType="end"/>
      </w:r>
      <w:r>
        <w:rPr>
          <w:rFonts w:ascii="Calibri" w:eastAsia="Calibri" w:hAnsi="Calibri" w:cs="Calibri"/>
          <w:sz w:val="24"/>
          <w:szCs w:val="24"/>
        </w:rPr>
        <w:t xml:space="preserve">: datasets were merged by the merge() function from Seurat (version 4.0.4), and the </w:t>
      </w:r>
      <w:proofErr w:type="spellStart"/>
      <w:r>
        <w:rPr>
          <w:rFonts w:ascii="Calibri" w:eastAsia="Calibri" w:hAnsi="Calibri" w:cs="Calibri"/>
          <w:sz w:val="24"/>
          <w:szCs w:val="24"/>
        </w:rPr>
        <w:t>SCTransform</w:t>
      </w:r>
      <w:proofErr w:type="spellEnd"/>
      <w:r>
        <w:rPr>
          <w:rFonts w:ascii="Calibri" w:eastAsia="Calibri" w:hAnsi="Calibri" w:cs="Calibri"/>
          <w:sz w:val="24"/>
          <w:szCs w:val="24"/>
        </w:rPr>
        <w:t xml:space="preserve"> normalization method was used to normalize, scale, and select 3000 Highly Variable Genes</w:t>
      </w:r>
      <w:r w:rsidR="00F70D55">
        <w:t xml:space="preserve"> </w:t>
      </w:r>
      <w:r w:rsidR="00F70D55">
        <w:fldChar w:fldCharType="begin"/>
      </w:r>
      <w:r w:rsidR="00EC4403">
        <w:instrText xml:space="preserve"> ADDIN ZOTERO_ITEM CSL_CITATION {"citationID":"hOVzXGbn","properties":{"formattedCitation":"\\super 7\\nosupersub{}","plainCitation":"7","noteIndex":0},"citationItems":[{"id":491,"uris":["http://zotero.org/users/7060433/items/983RXASP"],"itemData":{"id":491,"type":"article-journal","abstract":"Single-cell RNA-seq (scRNA-seq) data exhibits significant cell-to-cell variation due to technical factors, including the number of molecules detected in each cell, which can confound biological heterogeneity with technical effects. To address this, we present a modeling framework for the normalization and variance stabilization of molecular count data from scRNA-seq experiments. We propose that the Pearson residuals from “regularized negative binomial regression,” where cellular sequencing depth is utilized as a covariate in a generalized linear model, successfully remove the influence of technical characteristics from downstream analyses while preserving biological heterogeneity. Importantly, we show that an unconstrained negative binomial model may overfit scRNA-seq data, and overcome this by pooling information across genes with similar abundances to obtain stable parameter estimates. Our procedure omits the need for heuristic steps including pseudocount addition or log-transformation and improves common downstream analytical tasks such as variable gene selection, dimensional reduction, and differential expression. Our approach can be applied to any UMI-based scRNA-seq dataset and is freely available as part of the R package sctransform, with a direct interface to our single-cell toolkit Seurat.","container-title":"Genome Biology","DOI":"10.1186/s13059-019-1874-1","ISSN":"1474-760X","issue":"1","journalAbbreviation":"Genome Biology","page":"296","source":"BioMed Central","title":"Normalization and variance stabilization of single-cell RNA-seq data using regularized negative binomial regression","volume":"20","author":[{"family":"Hafemeister","given":"Christoph"},{"family":"Satija","given":"Rahul"}],"issued":{"date-parts":[["2019",12,23]]}}}],"schema":"https://github.com/citation-style-language/schema/raw/master/csl-citation.json"} </w:instrText>
      </w:r>
      <w:r w:rsidR="00F70D55">
        <w:fldChar w:fldCharType="separate"/>
      </w:r>
      <w:r w:rsidR="00EC4403" w:rsidRPr="00EC4403">
        <w:rPr>
          <w:vertAlign w:val="superscript"/>
        </w:rPr>
        <w:t>7</w:t>
      </w:r>
      <w:r w:rsidR="00F70D55">
        <w:fldChar w:fldCharType="end"/>
      </w:r>
      <w:r>
        <w:rPr>
          <w:rFonts w:ascii="Calibri" w:eastAsia="Calibri" w:hAnsi="Calibri" w:cs="Calibri"/>
          <w:sz w:val="24"/>
          <w:szCs w:val="24"/>
        </w:rPr>
        <w:t xml:space="preserve">. Following integration, dimension reduction techniques implemented in Harmony package (version 0.1.0) were used. Specifically, the number of Harmony dimensions to keep for further analysis was evaluated by assessing a range of reduced Harmony spaces using 3 to 49 dimensions, with a step of 2. For each generated Harmony space, Louvain clustering of cells was performed at several resolutions. Results were visualized through </w:t>
      </w:r>
      <w:proofErr w:type="gramStart"/>
      <w:r>
        <w:rPr>
          <w:rFonts w:ascii="Calibri" w:eastAsia="Calibri" w:hAnsi="Calibri" w:cs="Calibri"/>
          <w:sz w:val="24"/>
          <w:szCs w:val="24"/>
        </w:rPr>
        <w:t>a Uniform</w:t>
      </w:r>
      <w:proofErr w:type="gramEnd"/>
      <w:r>
        <w:rPr>
          <w:rFonts w:ascii="Calibri" w:eastAsia="Calibri" w:hAnsi="Calibri" w:cs="Calibri"/>
          <w:sz w:val="24"/>
          <w:szCs w:val="24"/>
        </w:rPr>
        <w:t xml:space="preserve"> Manifold Approximation and Projection (UMAP). Dimension 11 and clustering 0.4 were chosen as they yielded the best clusters' homogeneity and compacity. </w:t>
      </w:r>
    </w:p>
    <w:p w14:paraId="6BB8B72F" w14:textId="75786604"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t xml:space="preserve">Annotation. </w:t>
      </w:r>
      <w:r>
        <w:rPr>
          <w:rFonts w:ascii="Calibri" w:eastAsia="Calibri" w:hAnsi="Calibri" w:cs="Calibri"/>
          <w:sz w:val="24"/>
          <w:szCs w:val="24"/>
        </w:rPr>
        <w:t xml:space="preserve">The Louvain clusters were automatically annotated using Single R (version 1.6.1) </w:t>
      </w:r>
      <w:r w:rsidR="00910991">
        <w:rPr>
          <w:rFonts w:ascii="Calibri" w:eastAsia="Calibri" w:hAnsi="Calibri" w:cs="Calibri"/>
          <w:sz w:val="24"/>
          <w:szCs w:val="24"/>
        </w:rPr>
        <w:fldChar w:fldCharType="begin"/>
      </w:r>
      <w:r w:rsidR="00EC4403">
        <w:rPr>
          <w:rFonts w:ascii="Calibri" w:eastAsia="Calibri" w:hAnsi="Calibri" w:cs="Calibri"/>
          <w:sz w:val="24"/>
          <w:szCs w:val="24"/>
        </w:rPr>
        <w:instrText xml:space="preserve"> ADDIN ZOTERO_ITEM CSL_CITATION {"citationID":"6u4UyrGX","properties":{"formattedCitation":"\\super 8\\nosupersub{}","plainCitation":"8","noteIndex":0},"citationItems":[{"id":494,"uris":["http://zotero.org/users/7060433/items/HQT76AMG"],"itemData":{"id":494,"type":"article-journal","abstract":"Tissue fibrosis is a major cause of mortality that results from the deposition of matrix proteins by an activated mesenchyme. Macrophages accumulate in fibrosis, but the role of specific subgroups in supporting fibrogenesis has not been investigated in vivo. Here, we used single-cell RNA sequencing (scRNA-seq) to characterize the heterogeneity of macrophages in bleomycin-induced lung fibrosis in mice. A novel computational framework for the annotation of scRNA-seq by reference to bulk transcriptomes (SingleR) enabled the subclustering of macrophages and revealed a disease-associated subgroup with a transitional gene expression profile intermediate between monocyte-derived and alveolar macrophages. These CX3CR1+SiglecF+ transitional macrophages localized to the fibrotic niche and had a profibrotic effect in vivo. Human orthologs of genes expressed by the transitional macrophages were upregulated in samples from patients with idiopathic pulmonary fibrosis. Thus, we have identified a pathological subgroup of transitional macrophages that are required for the fibrotic response to injury.","container-title":"Nature Immunology","DOI":"10.1038/s41590-018-0276-y","ISSN":"1529-2916","issue":"2","journalAbbreviation":"Nat Immunol","language":"en","license":"2019 The Author(s), under exclusive licence to Springer Nature America, Inc.","note":"publisher: Nature Publishing Group","page":"163-172","source":"www-nature-com.proxy.insermbiblio.inist.fr","title":"Reference-based analysis of lung single-cell sequencing reveals a transitional profibrotic macrophage","volume":"20","author":[{"family":"Aran","given":"Dvir"},{"family":"Looney","given":"Agnieszka P."},{"family":"Liu","given":"Leqian"},{"family":"Wu","given":"Esther"},{"family":"Fong","given":"Valerie"},{"family":"Hsu","given":"Austin"},{"family":"Chak","given":"Suzanna"},{"family":"Naikawadi","given":"Ram P."},{"family":"Wolters","given":"Paul J."},{"family":"Abate","given":"Adam R."},{"family":"Butte","given":"Atul J."},{"family":"Bhattacharya","given":"Mallar"}],"issued":{"date-parts":[["2019",2]]}}}],"schema":"https://github.com/citation-style-language/schema/raw/master/csl-citation.json"} </w:instrText>
      </w:r>
      <w:r w:rsidR="00910991">
        <w:rPr>
          <w:rFonts w:ascii="Calibri" w:eastAsia="Calibri" w:hAnsi="Calibri" w:cs="Calibri"/>
          <w:sz w:val="24"/>
          <w:szCs w:val="24"/>
        </w:rPr>
        <w:fldChar w:fldCharType="separate"/>
      </w:r>
      <w:r w:rsidR="00EC4403" w:rsidRPr="00EC4403">
        <w:rPr>
          <w:rFonts w:ascii="Calibri" w:hAnsi="Calibri" w:cs="Calibri"/>
          <w:sz w:val="24"/>
          <w:vertAlign w:val="superscript"/>
        </w:rPr>
        <w:t>8</w:t>
      </w:r>
      <w:r w:rsidR="00910991">
        <w:rPr>
          <w:rFonts w:ascii="Calibri" w:eastAsia="Calibri" w:hAnsi="Calibri" w:cs="Calibri"/>
          <w:sz w:val="24"/>
          <w:szCs w:val="24"/>
        </w:rPr>
        <w:fldChar w:fldCharType="end"/>
      </w:r>
      <w:r>
        <w:rPr>
          <w:rFonts w:ascii="Calibri" w:eastAsia="Calibri" w:hAnsi="Calibri" w:cs="Calibri"/>
          <w:sz w:val="24"/>
          <w:szCs w:val="24"/>
        </w:rPr>
        <w:t xml:space="preserve">and cluster marker genes. Marker genes were identified through a «one versus others» differential analysis using the Wilcoxon test through the </w:t>
      </w:r>
      <w:proofErr w:type="spellStart"/>
      <w:r>
        <w:rPr>
          <w:rFonts w:ascii="Calibri" w:eastAsia="Calibri" w:hAnsi="Calibri" w:cs="Calibri"/>
          <w:sz w:val="24"/>
          <w:szCs w:val="24"/>
        </w:rPr>
        <w:t>FindAllMarkers</w:t>
      </w:r>
      <w:proofErr w:type="spellEnd"/>
      <w:r>
        <w:rPr>
          <w:rFonts w:ascii="Calibri" w:eastAsia="Calibri" w:hAnsi="Calibri" w:cs="Calibri"/>
          <w:sz w:val="24"/>
          <w:szCs w:val="24"/>
        </w:rPr>
        <w:t>() function from Seurat, considering only genes with a minimum log fold-change of 0.5 in at least 75% of cells from one of the clusters compared, and FDR-adjusted p-values &lt;0.05 (</w:t>
      </w:r>
      <w:proofErr w:type="spellStart"/>
      <w:r>
        <w:rPr>
          <w:rFonts w:ascii="Calibri" w:eastAsia="Calibri" w:hAnsi="Calibri" w:cs="Calibri"/>
          <w:sz w:val="24"/>
          <w:szCs w:val="24"/>
        </w:rPr>
        <w:t>Benjaminin</w:t>
      </w:r>
      <w:proofErr w:type="spellEnd"/>
      <w:r>
        <w:rPr>
          <w:rFonts w:ascii="Calibri" w:eastAsia="Calibri" w:hAnsi="Calibri" w:cs="Calibri"/>
          <w:sz w:val="24"/>
          <w:szCs w:val="24"/>
        </w:rPr>
        <w:t xml:space="preserve">-Hochberg method). In supplement, </w:t>
      </w:r>
      <w:proofErr w:type="spellStart"/>
      <w:r>
        <w:rPr>
          <w:rFonts w:ascii="Calibri" w:eastAsia="Calibri" w:hAnsi="Calibri" w:cs="Calibri"/>
          <w:sz w:val="24"/>
          <w:szCs w:val="24"/>
        </w:rPr>
        <w:t>sc-RNAseq</w:t>
      </w:r>
      <w:proofErr w:type="spellEnd"/>
      <w:r>
        <w:rPr>
          <w:rFonts w:ascii="Calibri" w:eastAsia="Calibri" w:hAnsi="Calibri" w:cs="Calibri"/>
          <w:sz w:val="24"/>
          <w:szCs w:val="24"/>
        </w:rPr>
        <w:t xml:space="preserve"> gene sets established from PB HSPCs by Mende et al. were used for cluster identification</w:t>
      </w:r>
      <w:r w:rsidR="00910991">
        <w:t xml:space="preserve"> </w:t>
      </w:r>
      <w:r w:rsidR="00910991">
        <w:fldChar w:fldCharType="begin"/>
      </w:r>
      <w:r w:rsidR="00EC4403">
        <w:instrText xml:space="preserve"> ADDIN ZOTERO_ITEM CSL_CITATION {"citationID":"Mb62NU5z","properties":{"formattedCitation":"\\super 9\\nosupersub{}","plainCitation":"9","noteIndex":0},"citationItems":[{"id":496,"uris":["http://zotero.org/users/7060433/items/PAFSANY7"],"itemData":{"id":496,"type":"article-journal","abstract":"Rare hematopoietic stem and progenitor cell (HSPC) pools outside the bone marrow (BM) contribute to blood production in stress and disease but remain ill-defined. Although non-mobilized peripheral blood (PB) is routinely sampled for clinical management, the diagnosis and monitoring potential of PB HSPCs remains untapped, as no healthy PB HSPC baseline has been reported. Here we comprehensively delineate human extramedullary HSPC compartments comparing spleen, PB and mobilized PB (mPB) to BM using single-cell RNA-seq and/or functional assays. We uncover HSPC features shared by extramedullary tissues and others unique to PB. First, in contrast to actively dividing BM HSPCs, we find no evidence of substantial ongoing hematopoiesis in extramedullary tissues at steady state, but report increased splenic HSPC proliferative output during stress erythropoiesis. Second, extramedullary stem cells/multipotent progenitors (HSC/MPPs) from spleen, PB and mPB share a common transcriptional signature and increased abundance of lineage-primed subsets compared to BM. Third, healthy PB HSPCs display a unique bias towards erythroid-megakaryocytic differentiation. At HSC/MPP level, this is functionally imparted by a subset of phenotypic CD71+ HSC/MPPs, exclusively producing erythrocytes and megakaryocytes, highly abundant in PB but rare in other adult tissues. Finally, the unique erythroid-megakaryocytic-skewing of PB is perturbed with age, in essential thrombocythemia and in beta-thalassemia. Collectively, we identify extramedullary lineage-primed HSPC reservoirs that are non-proliferative in situ and report involvement of splenic HSPCs during demand-adapted hematopoiesis. Our data also establish aberrant composition and function of circulating HSPCs as potential clinical indicators of BM dysfunction.","container-title":"Blood","DOI":"10.1182/blood.2021013450","ISSN":"0006-4971","issue":"23","journalAbbreviation":"Blood","note":"PMID: 35073399\nPMCID: PMC7612845","page":"3387-3401","source":"PubMed Central","title":"Unique molecular and functional features of extramedullary hematopoietic stem and progenitor cell reservoirs in humans","volume":"139","author":[{"family":"Mende","given":"Nicole"},{"family":"Bastos","given":"Hugo P."},{"family":"Santoro","given":"Antonella"},{"family":"Mahbubani","given":"Krishnaa T."},{"family":"Ciaurro","given":"Valerio"},{"family":"Calderbank","given":"Emily F."},{"family":"Londoño","given":"Mariana Quiroga"},{"family":"Sham","given":"Kendig"},{"family":"Mantica","given":"Giovanna"},{"family":"Morishima","given":"Tatsuya"},{"family":"Mitchell","given":"Emily"},{"family":"Lidonnici","given":"Maria Rosa"},{"family":"Meier-Abt","given":"Fabienne"},{"family":"Hayler","given":"Daniel"},{"family":"Jardine","given":"Laura"},{"family":"Curd","given":"Abbie"},{"family":"Haniffa","given":"Muzlifah"},{"family":"Ferrari","given":"Giuliana"},{"family":"Takizawa","given":"Hitoshi"},{"family":"Wilson","given":"Nicola K."},{"family":"Göttgens","given":"Berthold"},{"family":"Saeb-Parsy","given":"Kourosh"},{"family":"Frontini","given":"Mattia"},{"family":"Laurenti","given":"Elisa"}],"issued":{"date-parts":[["2022",6,9]]}}}],"schema":"https://github.com/citation-style-language/schema/raw/master/csl-citation.json"} </w:instrText>
      </w:r>
      <w:r w:rsidR="00910991">
        <w:fldChar w:fldCharType="separate"/>
      </w:r>
      <w:r w:rsidR="00EC4403" w:rsidRPr="00EC4403">
        <w:rPr>
          <w:vertAlign w:val="superscript"/>
        </w:rPr>
        <w:t>9</w:t>
      </w:r>
      <w:r w:rsidR="00910991">
        <w:fldChar w:fldCharType="end"/>
      </w:r>
      <w:r>
        <w:rPr>
          <w:rFonts w:ascii="Calibri" w:eastAsia="Calibri" w:hAnsi="Calibri" w:cs="Calibri"/>
          <w:sz w:val="24"/>
          <w:szCs w:val="24"/>
        </w:rPr>
        <w:t xml:space="preserve">. </w:t>
      </w:r>
    </w:p>
    <w:p w14:paraId="285867DB" w14:textId="77777777"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t>Differential expression analysis.</w:t>
      </w:r>
      <w:r>
        <w:rPr>
          <w:rFonts w:ascii="Calibri" w:eastAsia="Calibri" w:hAnsi="Calibri" w:cs="Calibri"/>
          <w:sz w:val="24"/>
          <w:szCs w:val="24"/>
        </w:rPr>
        <w:t xml:space="preserve"> Differential expression analysis was performed between clusters from SCA group compared to HD group, using the Wilcoxon test, via the </w:t>
      </w:r>
      <w:proofErr w:type="spellStart"/>
      <w:proofErr w:type="gramStart"/>
      <w:r>
        <w:rPr>
          <w:rFonts w:ascii="Calibri" w:eastAsia="Calibri" w:hAnsi="Calibri" w:cs="Calibri"/>
          <w:sz w:val="24"/>
          <w:szCs w:val="24"/>
        </w:rPr>
        <w:t>FindMarkers</w:t>
      </w:r>
      <w:proofErr w:type="spellEnd"/>
      <w:r>
        <w:rPr>
          <w:rFonts w:ascii="Calibri" w:eastAsia="Calibri" w:hAnsi="Calibri" w:cs="Calibri"/>
          <w:sz w:val="24"/>
          <w:szCs w:val="24"/>
        </w:rPr>
        <w:t>(</w:t>
      </w:r>
      <w:proofErr w:type="gramEnd"/>
      <w:r>
        <w:rPr>
          <w:rFonts w:ascii="Calibri" w:eastAsia="Calibri" w:hAnsi="Calibri" w:cs="Calibri"/>
          <w:sz w:val="24"/>
          <w:szCs w:val="24"/>
        </w:rPr>
        <w:t xml:space="preserve">) function in Seurat. Only genes expressed in at least 25% of cells from one group and with adjusted p-values &lt; 0.05 were considered differentially expressed. Cerebro, a cell report browser, was used to visualize UMAP and histograms of gene expression interactively. </w:t>
      </w:r>
    </w:p>
    <w:p w14:paraId="02AE747D" w14:textId="297C1F7B" w:rsidR="00910991" w:rsidRDefault="00FA71C2" w:rsidP="00910991">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lastRenderedPageBreak/>
        <w:t>CS score.</w:t>
      </w:r>
      <w:r w:rsidR="00102F8E">
        <w:rPr>
          <w:rFonts w:ascii="Calibri" w:eastAsia="Calibri" w:hAnsi="Calibri" w:cs="Calibri"/>
          <w:i/>
          <w:sz w:val="24"/>
          <w:szCs w:val="24"/>
        </w:rPr>
        <w:t xml:space="preserve"> </w:t>
      </w:r>
      <w:r>
        <w:rPr>
          <w:rFonts w:ascii="Calibri" w:eastAsia="Calibri" w:hAnsi="Calibri" w:cs="Calibri"/>
          <w:sz w:val="24"/>
          <w:szCs w:val="24"/>
        </w:rPr>
        <w:t xml:space="preserve">The co-expression relationship was assessed by CS-CORE statistical approach (version 0.0.0.9000). 5000 genes corresponding to the most expressed genes (based on the mean expression) were used for this analysis. CS-CORE was applied, on each condition separately, to calculate the </w:t>
      </w:r>
      <w:proofErr w:type="spellStart"/>
      <w:r>
        <w:rPr>
          <w:rFonts w:ascii="Calibri" w:eastAsia="Calibri" w:hAnsi="Calibri" w:cs="Calibri"/>
          <w:sz w:val="24"/>
          <w:szCs w:val="24"/>
        </w:rPr>
        <w:t>coexpression</w:t>
      </w:r>
      <w:proofErr w:type="spellEnd"/>
      <w:r>
        <w:rPr>
          <w:rFonts w:ascii="Calibri" w:eastAsia="Calibri" w:hAnsi="Calibri" w:cs="Calibri"/>
          <w:sz w:val="24"/>
          <w:szCs w:val="24"/>
        </w:rPr>
        <w:t xml:space="preserve"> scores between the 5000 genes, then the WGCNA algorithm (version 1.73) was used to group significantly </w:t>
      </w:r>
      <w:proofErr w:type="spellStart"/>
      <w:r>
        <w:rPr>
          <w:rFonts w:ascii="Calibri" w:eastAsia="Calibri" w:hAnsi="Calibri" w:cs="Calibri"/>
          <w:sz w:val="24"/>
          <w:szCs w:val="24"/>
        </w:rPr>
        <w:t>coexpressed</w:t>
      </w:r>
      <w:proofErr w:type="spellEnd"/>
      <w:r>
        <w:rPr>
          <w:rFonts w:ascii="Calibri" w:eastAsia="Calibri" w:hAnsi="Calibri" w:cs="Calibri"/>
          <w:sz w:val="24"/>
          <w:szCs w:val="24"/>
        </w:rPr>
        <w:t xml:space="preserve"> genes (Benjamini &amp; Hochberg-adjusted p-values &gt; 0.05) into modules</w:t>
      </w:r>
      <w:r w:rsidR="00910991">
        <w:rPr>
          <w:rFonts w:ascii="Calibri" w:eastAsia="Calibri" w:hAnsi="Calibri" w:cs="Calibri"/>
          <w:sz w:val="24"/>
          <w:szCs w:val="24"/>
        </w:rPr>
        <w:t xml:space="preserve"> </w:t>
      </w:r>
      <w:r w:rsidR="00910991">
        <w:rPr>
          <w:rFonts w:ascii="Calibri" w:eastAsia="Calibri" w:hAnsi="Calibri" w:cs="Calibri"/>
          <w:sz w:val="24"/>
          <w:szCs w:val="24"/>
        </w:rPr>
        <w:fldChar w:fldCharType="begin"/>
      </w:r>
      <w:r w:rsidR="00EC4403">
        <w:rPr>
          <w:rFonts w:ascii="Calibri" w:eastAsia="Calibri" w:hAnsi="Calibri" w:cs="Calibri"/>
          <w:sz w:val="24"/>
          <w:szCs w:val="24"/>
        </w:rPr>
        <w:instrText xml:space="preserve"> ADDIN ZOTERO_ITEM CSL_CITATION {"citationID":"DcZewjAe","properties":{"formattedCitation":"\\super 10\\nosupersub{}","plainCitation":"10","noteIndex":0},"citationItems":[{"id":499,"uris":["http://zotero.org/users/7060433/items/LIIF6LG6"],"itemData":{"id":499,"type":"article-journal","abstract":"Correlation networks are increasingly being used in bioinformatics applications. For example, weighted gene co-expression network analysis is a systems biology method for describing the correlation patterns among genes across microarray samples. Weighted correlation network analysis (WGCNA) can be used for finding clusters (modules) of highly correlated genes, for summarizing such clusters using the module eigengene or an intramodular hub gene, for relating modules to one another and to external sample traits (using eigengene network methodology), and for calculating module membership measures. Correlation networks facilitate network based gene screening methods that can be used to identify candidate biomarkers or therapeutic targets. These methods have been successfully applied in various biological contexts, e.g. cancer, mouse genetics, yeast genetics, and analysis of brain imaging data. While parts of the correlation network methodology have been described in separate publications, there is a need to provide a user-friendly, comprehensive, and consistent software implementation and an accompanying tutorial.","container-title":"BMC Bioinformatics","DOI":"10.1186/1471-2105-9-559","ISSN":"1471-2105","issue":"1","journalAbbreviation":"BMC Bioinformatics","page":"559","source":"BioMed Central","title":"WGCNA: an R package for weighted correlation network analysis","title-short":"WGCNA","volume":"9","author":[{"family":"Langfelder","given":"Peter"},{"family":"Horvath","given":"Steve"}],"issued":{"date-parts":[["2008",12,29]]}}}],"schema":"https://github.com/citation-style-language/schema/raw/master/csl-citation.json"} </w:instrText>
      </w:r>
      <w:r w:rsidR="00910991">
        <w:rPr>
          <w:rFonts w:ascii="Calibri" w:eastAsia="Calibri" w:hAnsi="Calibri" w:cs="Calibri"/>
          <w:sz w:val="24"/>
          <w:szCs w:val="24"/>
        </w:rPr>
        <w:fldChar w:fldCharType="separate"/>
      </w:r>
      <w:r w:rsidR="00EC4403" w:rsidRPr="00EC4403">
        <w:rPr>
          <w:rFonts w:ascii="Calibri" w:hAnsi="Calibri" w:cs="Calibri"/>
          <w:sz w:val="24"/>
          <w:vertAlign w:val="superscript"/>
        </w:rPr>
        <w:t>10</w:t>
      </w:r>
      <w:r w:rsidR="00910991">
        <w:rPr>
          <w:rFonts w:ascii="Calibri" w:eastAsia="Calibri" w:hAnsi="Calibri" w:cs="Calibri"/>
          <w:sz w:val="24"/>
          <w:szCs w:val="24"/>
        </w:rPr>
        <w:fldChar w:fldCharType="end"/>
      </w:r>
      <w:r>
        <w:rPr>
          <w:rFonts w:ascii="Calibri" w:eastAsia="Calibri" w:hAnsi="Calibri" w:cs="Calibri"/>
          <w:sz w:val="24"/>
          <w:szCs w:val="24"/>
        </w:rPr>
        <w:t xml:space="preserve">. Then, a Gene Ontology enrichment analysis was carried out on the genes of each module with the </w:t>
      </w:r>
      <w:proofErr w:type="spellStart"/>
      <w:r>
        <w:rPr>
          <w:rFonts w:ascii="Calibri" w:eastAsia="Calibri" w:hAnsi="Calibri" w:cs="Calibri"/>
          <w:sz w:val="24"/>
          <w:szCs w:val="24"/>
        </w:rPr>
        <w:t>clusterProfiler</w:t>
      </w:r>
      <w:proofErr w:type="spellEnd"/>
      <w:r>
        <w:rPr>
          <w:rFonts w:ascii="Calibri" w:eastAsia="Calibri" w:hAnsi="Calibri" w:cs="Calibri"/>
          <w:sz w:val="24"/>
          <w:szCs w:val="24"/>
        </w:rPr>
        <w:t xml:space="preserve"> R package (version 4.2.2) </w:t>
      </w:r>
      <w:proofErr w:type="gramStart"/>
      <w:r>
        <w:rPr>
          <w:rFonts w:ascii="Calibri" w:eastAsia="Calibri" w:hAnsi="Calibri" w:cs="Calibri"/>
          <w:sz w:val="24"/>
          <w:szCs w:val="24"/>
        </w:rPr>
        <w:t>in order to</w:t>
      </w:r>
      <w:proofErr w:type="gramEnd"/>
      <w:r>
        <w:rPr>
          <w:rFonts w:ascii="Calibri" w:eastAsia="Calibri" w:hAnsi="Calibri" w:cs="Calibri"/>
          <w:sz w:val="24"/>
          <w:szCs w:val="24"/>
        </w:rPr>
        <w:t xml:space="preserve"> identify the signaling pathways. A Benjamini &amp; Hochberg correction was applied on pathway p-values, and only pathways with an adjusted p-value &gt; 0.05 were interpreted.</w:t>
      </w:r>
    </w:p>
    <w:p w14:paraId="5E186DFA" w14:textId="0BD3A26A" w:rsidR="006C17C6" w:rsidRDefault="006C17C6" w:rsidP="006C17C6">
      <w:pPr>
        <w:spacing w:before="240" w:after="240" w:line="360" w:lineRule="auto"/>
        <w:jc w:val="both"/>
        <w:rPr>
          <w:rFonts w:ascii="Calibri" w:eastAsia="Calibri" w:hAnsi="Calibri" w:cs="Calibri"/>
          <w:b/>
          <w:sz w:val="26"/>
          <w:szCs w:val="26"/>
        </w:rPr>
      </w:pPr>
      <w:r>
        <w:rPr>
          <w:rFonts w:ascii="Calibri" w:eastAsia="Calibri" w:hAnsi="Calibri" w:cs="Calibri"/>
          <w:b/>
          <w:sz w:val="26"/>
          <w:szCs w:val="26"/>
        </w:rPr>
        <w:t>Proteomic</w:t>
      </w:r>
    </w:p>
    <w:p w14:paraId="195CDDE0" w14:textId="7CAFDD59" w:rsidR="006C17C6" w:rsidRPr="006C17C6" w:rsidRDefault="006C17C6" w:rsidP="006C17C6">
      <w:pPr>
        <w:spacing w:before="240" w:after="240" w:line="360" w:lineRule="auto"/>
        <w:jc w:val="both"/>
        <w:rPr>
          <w:rFonts w:ascii="Calibri" w:eastAsia="Calibri" w:hAnsi="Calibri" w:cs="Calibri"/>
          <w:sz w:val="24"/>
          <w:szCs w:val="24"/>
        </w:rPr>
      </w:pPr>
      <w:r>
        <w:rPr>
          <w:rFonts w:ascii="Calibri" w:eastAsia="Calibri" w:hAnsi="Calibri" w:cs="Calibri"/>
          <w:sz w:val="24"/>
          <w:szCs w:val="24"/>
        </w:rPr>
        <w:t>N</w:t>
      </w:r>
      <w:r w:rsidRPr="006C17C6">
        <w:rPr>
          <w:rFonts w:ascii="Calibri" w:eastAsia="Calibri" w:hAnsi="Calibri" w:cs="Calibri"/>
          <w:sz w:val="24"/>
          <w:szCs w:val="24"/>
        </w:rPr>
        <w:t>eutrophil proteomic sample preparation and analysis were performed as previously described</w:t>
      </w:r>
      <w:r>
        <w:rPr>
          <w:rFonts w:ascii="Calibri" w:eastAsia="Calibri" w:hAnsi="Calibri" w:cs="Calibri"/>
          <w:sz w:val="24"/>
          <w:szCs w:val="24"/>
        </w:rPr>
        <w:t xml:space="preserve"> </w:t>
      </w:r>
      <w:r>
        <w:rPr>
          <w:rFonts w:ascii="Calibri" w:eastAsia="Calibri" w:hAnsi="Calibri" w:cs="Calibri"/>
          <w:sz w:val="24"/>
          <w:szCs w:val="24"/>
        </w:rPr>
        <w:fldChar w:fldCharType="begin"/>
      </w:r>
      <w:r>
        <w:rPr>
          <w:rFonts w:ascii="Calibri" w:eastAsia="Calibri" w:hAnsi="Calibri" w:cs="Calibri"/>
          <w:sz w:val="24"/>
          <w:szCs w:val="24"/>
        </w:rPr>
        <w:instrText xml:space="preserve"> ADDIN ZOTERO_ITEM CSL_CITATION {"citationID":"7ibm4Jie","properties":{"formattedCitation":"\\super 11\\nosupersub{}","plainCitation":"11","noteIndex":0},"citationItems":[{"id":530,"uris":["http://zotero.org/users/7060433/items/XNM3DGKB"],"itemData":{"id":530,"type":"article-journal","container-title":"Haematologica","DOI":"10.3324/haematol.2019.238295","ISSN":"1592-8721","issue":"12","language":"en","license":"Copyright (c) 2020 Ferrata Storti Foundation","note":"number: 12","page":"2851-2854","source":"haematologica.org","title":"The proteome of neutrophils in sickle cell disease reveals an unexpected activation of interferon alpha signaling pathway","volume":"105","author":[{"family":"Hermand","given":"Patricia"},{"family":"Azouzi","given":"Slim"},{"family":"Gautier","given":"Emilie-Fleur"},{"family":"Guillonneau","given":"François"},{"family":"Bondet","given":"Vincent"},{"family":"Duffy","given":"Darragh"},{"family":"Dechavanne","given":"Sebastien"},{"family":"Tharaux","given":"Pierre-Louis"},{"family":"Mayeux","given":"Patrick"},{"family":"Kim","given":"Caroline Le Van"},{"family":"Koehl","given":"Berengere"}],"issued":{"date-parts":[["2020",3,21]]}}}],"schema":"https://github.com/citation-style-language/schema/raw/master/csl-citation.json"} </w:instrText>
      </w:r>
      <w:r>
        <w:rPr>
          <w:rFonts w:ascii="Calibri" w:eastAsia="Calibri" w:hAnsi="Calibri" w:cs="Calibri"/>
          <w:sz w:val="24"/>
          <w:szCs w:val="24"/>
        </w:rPr>
        <w:fldChar w:fldCharType="separate"/>
      </w:r>
      <w:r w:rsidRPr="006C17C6">
        <w:rPr>
          <w:rFonts w:ascii="Calibri" w:hAnsi="Calibri" w:cs="Calibri"/>
          <w:sz w:val="24"/>
          <w:vertAlign w:val="superscript"/>
        </w:rPr>
        <w:t>11</w:t>
      </w:r>
      <w:r>
        <w:rPr>
          <w:rFonts w:ascii="Calibri" w:eastAsia="Calibri" w:hAnsi="Calibri" w:cs="Calibri"/>
          <w:sz w:val="24"/>
          <w:szCs w:val="24"/>
        </w:rPr>
        <w:fldChar w:fldCharType="end"/>
      </w:r>
      <w:r w:rsidRPr="006C17C6">
        <w:rPr>
          <w:rFonts w:ascii="Calibri" w:eastAsia="Calibri" w:hAnsi="Calibri" w:cs="Calibri"/>
          <w:sz w:val="24"/>
          <w:szCs w:val="24"/>
        </w:rPr>
        <w:t>. Briefly,</w:t>
      </w:r>
      <w:r>
        <w:rPr>
          <w:rFonts w:ascii="Calibri" w:eastAsia="Calibri" w:hAnsi="Calibri" w:cs="Calibri"/>
          <w:sz w:val="24"/>
          <w:szCs w:val="24"/>
        </w:rPr>
        <w:t xml:space="preserve"> </w:t>
      </w:r>
      <w:r w:rsidRPr="006C17C6">
        <w:rPr>
          <w:rFonts w:ascii="Calibri" w:eastAsia="Calibri" w:hAnsi="Calibri" w:cs="Calibri"/>
          <w:sz w:val="24"/>
          <w:szCs w:val="24"/>
        </w:rPr>
        <w:t>purified</w:t>
      </w:r>
      <w:r>
        <w:rPr>
          <w:rFonts w:ascii="Calibri" w:eastAsia="Calibri" w:hAnsi="Calibri" w:cs="Calibri"/>
          <w:sz w:val="24"/>
          <w:szCs w:val="24"/>
        </w:rPr>
        <w:t xml:space="preserve"> neutrophils were</w:t>
      </w:r>
      <w:r w:rsidRPr="006C17C6">
        <w:rPr>
          <w:rFonts w:ascii="Calibri" w:eastAsia="Calibri" w:hAnsi="Calibri" w:cs="Calibri"/>
          <w:sz w:val="24"/>
          <w:szCs w:val="24"/>
        </w:rPr>
        <w:t xml:space="preserve"> lysed and sonicated in Tris-HCl/SDS buffer. Proteins were reduced with TCEP, alkylated with chloroacetamide, and digested with trypsin using the FASP protocol. Peptides were fractionated using SCX </w:t>
      </w:r>
      <w:proofErr w:type="spellStart"/>
      <w:r w:rsidRPr="006C17C6">
        <w:rPr>
          <w:rFonts w:ascii="Calibri" w:eastAsia="Calibri" w:hAnsi="Calibri" w:cs="Calibri"/>
          <w:sz w:val="24"/>
          <w:szCs w:val="24"/>
        </w:rPr>
        <w:t>StageTips</w:t>
      </w:r>
      <w:proofErr w:type="spellEnd"/>
      <w:r w:rsidRPr="006C17C6">
        <w:rPr>
          <w:rFonts w:ascii="Calibri" w:eastAsia="Calibri" w:hAnsi="Calibri" w:cs="Calibri"/>
          <w:sz w:val="24"/>
          <w:szCs w:val="24"/>
        </w:rPr>
        <w:t xml:space="preserve"> and analyzed by LC-MS/MS on an Orbitrap Fusion mass spectrometer</w:t>
      </w:r>
      <w:r>
        <w:rPr>
          <w:rFonts w:ascii="Calibri" w:eastAsia="Calibri" w:hAnsi="Calibri" w:cs="Calibri"/>
          <w:sz w:val="24"/>
          <w:szCs w:val="24"/>
        </w:rPr>
        <w:t xml:space="preserve"> (Thermos Scientific)</w:t>
      </w:r>
      <w:r w:rsidRPr="006C17C6">
        <w:rPr>
          <w:rFonts w:ascii="Calibri" w:eastAsia="Calibri" w:hAnsi="Calibri" w:cs="Calibri"/>
          <w:sz w:val="24"/>
          <w:szCs w:val="24"/>
        </w:rPr>
        <w:t xml:space="preserve">. Raw data were processed with </w:t>
      </w:r>
      <w:proofErr w:type="spellStart"/>
      <w:r w:rsidRPr="006C17C6">
        <w:rPr>
          <w:rFonts w:ascii="Calibri" w:eastAsia="Calibri" w:hAnsi="Calibri" w:cs="Calibri"/>
          <w:sz w:val="24"/>
          <w:szCs w:val="24"/>
        </w:rPr>
        <w:t>MaxQuant</w:t>
      </w:r>
      <w:proofErr w:type="spellEnd"/>
      <w:r w:rsidRPr="006C17C6">
        <w:rPr>
          <w:rFonts w:ascii="Calibri" w:eastAsia="Calibri" w:hAnsi="Calibri" w:cs="Calibri"/>
          <w:sz w:val="24"/>
          <w:szCs w:val="24"/>
        </w:rPr>
        <w:t xml:space="preserve"> (v1.6.1.0) using default parameters, including </w:t>
      </w:r>
      <w:proofErr w:type="spellStart"/>
      <w:r w:rsidRPr="006C17C6">
        <w:rPr>
          <w:rFonts w:ascii="Calibri" w:eastAsia="Calibri" w:hAnsi="Calibri" w:cs="Calibri"/>
          <w:sz w:val="24"/>
          <w:szCs w:val="24"/>
        </w:rPr>
        <w:t>carbamidomethylation</w:t>
      </w:r>
      <w:proofErr w:type="spellEnd"/>
      <w:r w:rsidRPr="006C17C6">
        <w:rPr>
          <w:rFonts w:ascii="Calibri" w:eastAsia="Calibri" w:hAnsi="Calibri" w:cs="Calibri"/>
          <w:sz w:val="24"/>
          <w:szCs w:val="24"/>
        </w:rPr>
        <w:t xml:space="preserve"> of cysteines as a fixed modification and methionine oxidation and N-terminal acetylation as variable modifications. Label-free quantification (LFQ) was performed with a minimum of two peptides per protein. Statistical analyses were conducted in Perseus (v1.6.2.3)</w:t>
      </w:r>
    </w:p>
    <w:p w14:paraId="7C938A8D" w14:textId="771BDB06" w:rsidR="00A64256" w:rsidRPr="00910991" w:rsidRDefault="00FA71C2" w:rsidP="00910991">
      <w:pPr>
        <w:spacing w:before="240" w:after="240" w:line="360" w:lineRule="auto"/>
        <w:jc w:val="both"/>
        <w:rPr>
          <w:rFonts w:ascii="Calibri" w:eastAsia="Calibri" w:hAnsi="Calibri" w:cs="Calibri"/>
          <w:sz w:val="16"/>
          <w:szCs w:val="16"/>
        </w:rPr>
      </w:pPr>
      <w:r>
        <w:rPr>
          <w:rFonts w:ascii="Calibri" w:eastAsia="Calibri" w:hAnsi="Calibri" w:cs="Calibri"/>
          <w:b/>
          <w:sz w:val="26"/>
          <w:szCs w:val="26"/>
        </w:rPr>
        <w:t>Statistical analysis</w:t>
      </w:r>
    </w:p>
    <w:p w14:paraId="4337400E" w14:textId="741B572F" w:rsidR="00A64256" w:rsidRDefault="00FA71C2">
      <w:pPr>
        <w:spacing w:before="240" w:after="240" w:line="360" w:lineRule="auto"/>
        <w:jc w:val="both"/>
        <w:rPr>
          <w:rFonts w:ascii="Calibri" w:eastAsia="Calibri" w:hAnsi="Calibri" w:cs="Calibri"/>
          <w:sz w:val="24"/>
          <w:szCs w:val="24"/>
        </w:rPr>
      </w:pPr>
      <w:r>
        <w:rPr>
          <w:rFonts w:ascii="Calibri" w:eastAsia="Calibri" w:hAnsi="Calibri" w:cs="Calibri"/>
          <w:i/>
          <w:sz w:val="24"/>
          <w:szCs w:val="24"/>
        </w:rPr>
        <w:t xml:space="preserve">Longitudinal statistical analysis. </w:t>
      </w:r>
      <w:r>
        <w:rPr>
          <w:rFonts w:ascii="Calibri" w:eastAsia="Calibri" w:hAnsi="Calibri" w:cs="Calibri"/>
          <w:sz w:val="24"/>
          <w:szCs w:val="24"/>
        </w:rPr>
        <w:t>First, a descriptive analysis of patients’ individual and biological characteristics was performed. Qualitative variables were described using numbers and percentages and quantitative variables were described with means (</w:t>
      </w:r>
      <w:r w:rsidR="004A1DD4">
        <w:rPr>
          <w:rFonts w:ascii="Calibri" w:eastAsia="Calibri" w:hAnsi="Calibri" w:cs="Calibri"/>
          <w:sz w:val="24"/>
          <w:szCs w:val="24"/>
        </w:rPr>
        <w:t>95% confidence interval</w:t>
      </w:r>
      <w:r>
        <w:rPr>
          <w:rFonts w:ascii="Calibri" w:eastAsia="Calibri" w:hAnsi="Calibri" w:cs="Calibri"/>
          <w:sz w:val="24"/>
          <w:szCs w:val="24"/>
        </w:rPr>
        <w:t xml:space="preserve">) </w:t>
      </w:r>
      <w:r w:rsidR="004A1DD4">
        <w:rPr>
          <w:rFonts w:ascii="Calibri" w:eastAsia="Calibri" w:hAnsi="Calibri" w:cs="Calibri"/>
          <w:sz w:val="24"/>
          <w:szCs w:val="24"/>
        </w:rPr>
        <w:t xml:space="preserve">in figures </w:t>
      </w:r>
      <w:r w:rsidR="0043118B">
        <w:rPr>
          <w:rFonts w:ascii="Calibri" w:eastAsia="Calibri" w:hAnsi="Calibri" w:cs="Calibri"/>
          <w:sz w:val="24"/>
          <w:szCs w:val="24"/>
        </w:rPr>
        <w:t>and median</w:t>
      </w:r>
      <w:r>
        <w:rPr>
          <w:rFonts w:ascii="Calibri" w:eastAsia="Calibri" w:hAnsi="Calibri" w:cs="Calibri"/>
          <w:sz w:val="24"/>
          <w:szCs w:val="24"/>
        </w:rPr>
        <w:t xml:space="preserve"> (quartiles) </w:t>
      </w:r>
      <w:r w:rsidR="004A1DD4">
        <w:rPr>
          <w:rFonts w:ascii="Calibri" w:eastAsia="Calibri" w:hAnsi="Calibri" w:cs="Calibri"/>
          <w:sz w:val="24"/>
          <w:szCs w:val="24"/>
        </w:rPr>
        <w:t>in tables</w:t>
      </w:r>
      <w:r>
        <w:rPr>
          <w:rFonts w:ascii="Calibri" w:eastAsia="Calibri" w:hAnsi="Calibri" w:cs="Calibri"/>
          <w:sz w:val="24"/>
          <w:szCs w:val="24"/>
        </w:rPr>
        <w:t xml:space="preserve">. The evolution of the children's biological parameters (Neutrophils, </w:t>
      </w:r>
      <w:proofErr w:type="spellStart"/>
      <w:r>
        <w:rPr>
          <w:rFonts w:ascii="Calibri" w:eastAsia="Calibri" w:hAnsi="Calibri" w:cs="Calibri"/>
          <w:sz w:val="24"/>
          <w:szCs w:val="24"/>
        </w:rPr>
        <w:t>HbF</w:t>
      </w:r>
      <w:proofErr w:type="spellEnd"/>
      <w:r>
        <w:rPr>
          <w:rFonts w:ascii="Calibri" w:eastAsia="Calibri" w:hAnsi="Calibri" w:cs="Calibri"/>
          <w:sz w:val="24"/>
          <w:szCs w:val="24"/>
        </w:rPr>
        <w:t>, reticulocytes) over time was represented graphically. Next, we constructed mixed models for repeated measures to investigate the mean evolution of the neutrophil count</w:t>
      </w:r>
      <w:r>
        <w:rPr>
          <w:rFonts w:ascii="Calibri" w:eastAsia="Calibri" w:hAnsi="Calibri" w:cs="Calibri"/>
          <w:sz w:val="16"/>
          <w:szCs w:val="16"/>
        </w:rPr>
        <w:t xml:space="preserve"> </w:t>
      </w:r>
      <w:r>
        <w:rPr>
          <w:rFonts w:ascii="Calibri" w:eastAsia="Calibri" w:hAnsi="Calibri" w:cs="Calibri"/>
          <w:sz w:val="24"/>
          <w:szCs w:val="24"/>
        </w:rPr>
        <w:t xml:space="preserve">over time (i.e. according to age range) and to evaluate the association with the explanatory </w:t>
      </w:r>
      <w:r>
        <w:rPr>
          <w:rFonts w:ascii="Calibri" w:eastAsia="Calibri" w:hAnsi="Calibri" w:cs="Calibri"/>
          <w:sz w:val="24"/>
          <w:szCs w:val="24"/>
        </w:rPr>
        <w:lastRenderedPageBreak/>
        <w:t xml:space="preserve">variables (reticulocyte count, </w:t>
      </w:r>
      <w:proofErr w:type="spellStart"/>
      <w:r>
        <w:rPr>
          <w:rFonts w:ascii="Calibri" w:eastAsia="Calibri" w:hAnsi="Calibri" w:cs="Calibri"/>
          <w:sz w:val="24"/>
          <w:szCs w:val="24"/>
        </w:rPr>
        <w:t>HbF</w:t>
      </w:r>
      <w:proofErr w:type="spellEnd"/>
      <w:r>
        <w:rPr>
          <w:rFonts w:ascii="Calibri" w:eastAsia="Calibri" w:hAnsi="Calibri" w:cs="Calibri"/>
          <w:sz w:val="24"/>
          <w:szCs w:val="24"/>
        </w:rPr>
        <w:t xml:space="preserve"> level). These models considered the correlation between patients’ measures in the parameter estimation. Results are presented with beta coefficient and 95% confidence interval. </w:t>
      </w:r>
      <w:r w:rsidR="00D34233">
        <w:rPr>
          <w:rFonts w:ascii="Calibri" w:eastAsia="Calibri" w:hAnsi="Calibri" w:cs="Calibri"/>
          <w:sz w:val="24"/>
          <w:szCs w:val="24"/>
        </w:rPr>
        <w:t>Successive</w:t>
      </w:r>
      <w:r w:rsidR="004A1DD4">
        <w:rPr>
          <w:rFonts w:ascii="Calibri" w:eastAsia="Calibri" w:hAnsi="Calibri" w:cs="Calibri"/>
          <w:sz w:val="24"/>
          <w:szCs w:val="24"/>
        </w:rPr>
        <w:t xml:space="preserve"> </w:t>
      </w:r>
      <w:r w:rsidR="0043118B">
        <w:rPr>
          <w:rFonts w:ascii="Calibri" w:eastAsia="Calibri" w:hAnsi="Calibri" w:cs="Calibri"/>
          <w:sz w:val="24"/>
          <w:szCs w:val="24"/>
        </w:rPr>
        <w:t>models</w:t>
      </w:r>
      <w:r w:rsidR="004A1DD4">
        <w:rPr>
          <w:rFonts w:ascii="Calibri" w:eastAsia="Calibri" w:hAnsi="Calibri" w:cs="Calibri"/>
          <w:sz w:val="24"/>
          <w:szCs w:val="24"/>
        </w:rPr>
        <w:t xml:space="preserve"> were constructed to </w:t>
      </w:r>
      <w:r>
        <w:rPr>
          <w:rFonts w:ascii="Calibri" w:eastAsia="Calibri" w:hAnsi="Calibri" w:cs="Calibri"/>
          <w:sz w:val="24"/>
          <w:szCs w:val="24"/>
        </w:rPr>
        <w:t>compare</w:t>
      </w:r>
      <w:r w:rsidR="004A1DD4">
        <w:rPr>
          <w:rFonts w:ascii="Calibri" w:eastAsia="Calibri" w:hAnsi="Calibri" w:cs="Calibri"/>
          <w:sz w:val="24"/>
          <w:szCs w:val="24"/>
        </w:rPr>
        <w:t xml:space="preserve"> the</w:t>
      </w:r>
      <w:r>
        <w:rPr>
          <w:rFonts w:ascii="Calibri" w:eastAsia="Calibri" w:hAnsi="Calibri" w:cs="Calibri"/>
          <w:sz w:val="24"/>
          <w:szCs w:val="24"/>
        </w:rPr>
        <w:t xml:space="preserve"> association of explanatory variables</w:t>
      </w:r>
      <w:r w:rsidR="004A1DD4">
        <w:rPr>
          <w:rFonts w:ascii="Calibri" w:eastAsia="Calibri" w:hAnsi="Calibri" w:cs="Calibri"/>
          <w:sz w:val="24"/>
          <w:szCs w:val="24"/>
        </w:rPr>
        <w:t xml:space="preserve"> (including age ranges by pair)</w:t>
      </w:r>
      <w:r>
        <w:rPr>
          <w:rFonts w:ascii="Calibri" w:eastAsia="Calibri" w:hAnsi="Calibri" w:cs="Calibri"/>
          <w:sz w:val="24"/>
          <w:szCs w:val="24"/>
        </w:rPr>
        <w:t xml:space="preserve"> with neutrophil count. Analyses were performed </w:t>
      </w:r>
      <w:proofErr w:type="gramStart"/>
      <w:r>
        <w:rPr>
          <w:rFonts w:ascii="Calibri" w:eastAsia="Calibri" w:hAnsi="Calibri" w:cs="Calibri"/>
          <w:sz w:val="24"/>
          <w:szCs w:val="24"/>
        </w:rPr>
        <w:t>on</w:t>
      </w:r>
      <w:proofErr w:type="gramEnd"/>
      <w:r>
        <w:rPr>
          <w:rFonts w:ascii="Calibri" w:eastAsia="Calibri" w:hAnsi="Calibri" w:cs="Calibri"/>
          <w:sz w:val="24"/>
          <w:szCs w:val="24"/>
        </w:rPr>
        <w:t xml:space="preserve"> complete cases. P-values less than 0.05 were considered statistically significant. The analyses were conducted using SAS 9.4 software.</w:t>
      </w:r>
    </w:p>
    <w:p w14:paraId="39A1243D" w14:textId="6BB5816D" w:rsidR="00A64256" w:rsidRDefault="00FA71C2">
      <w:pPr>
        <w:spacing w:line="360" w:lineRule="auto"/>
        <w:jc w:val="both"/>
        <w:rPr>
          <w:rFonts w:ascii="Calibri" w:eastAsia="Calibri" w:hAnsi="Calibri" w:cs="Calibri"/>
          <w:sz w:val="24"/>
          <w:szCs w:val="24"/>
        </w:rPr>
      </w:pPr>
      <w:r>
        <w:rPr>
          <w:rFonts w:ascii="Calibri" w:eastAsia="Calibri" w:hAnsi="Calibri" w:cs="Calibri"/>
          <w:i/>
          <w:sz w:val="24"/>
          <w:szCs w:val="24"/>
        </w:rPr>
        <w:t xml:space="preserve">Other statistical analysis. </w:t>
      </w:r>
      <w:r>
        <w:rPr>
          <w:rFonts w:ascii="Calibri" w:eastAsia="Calibri" w:hAnsi="Calibri" w:cs="Calibri"/>
          <w:sz w:val="24"/>
          <w:szCs w:val="24"/>
        </w:rPr>
        <w:t>Statistical analyses were performed using GraphPad Prism (version 8). Comparisons were made using unpaired t-test, Mann-Whitney test,</w:t>
      </w:r>
      <w:r w:rsidR="00855064">
        <w:rPr>
          <w:rFonts w:ascii="Calibri" w:eastAsia="Calibri" w:hAnsi="Calibri" w:cs="Calibri"/>
          <w:sz w:val="24"/>
          <w:szCs w:val="24"/>
        </w:rPr>
        <w:t xml:space="preserve"> one-way ANOVA or</w:t>
      </w:r>
      <w:r>
        <w:rPr>
          <w:rFonts w:ascii="Calibri" w:eastAsia="Calibri" w:hAnsi="Calibri" w:cs="Calibri"/>
          <w:sz w:val="24"/>
          <w:szCs w:val="24"/>
        </w:rPr>
        <w:t xml:space="preserve"> two-way ANOVA, as mentioned in the legends. P-values less than 0.05 were considered statistically significant. </w:t>
      </w:r>
    </w:p>
    <w:p w14:paraId="75F8191D" w14:textId="3A29DA7E" w:rsidR="00A64256" w:rsidRDefault="00A64256">
      <w:pPr>
        <w:spacing w:line="360" w:lineRule="auto"/>
        <w:jc w:val="both"/>
        <w:rPr>
          <w:rFonts w:ascii="Calibri" w:eastAsia="Calibri" w:hAnsi="Calibri" w:cs="Calibri"/>
          <w:sz w:val="24"/>
          <w:szCs w:val="24"/>
        </w:rPr>
      </w:pPr>
    </w:p>
    <w:p w14:paraId="49E86F63" w14:textId="0C2F63EF" w:rsidR="00A64256" w:rsidRPr="00D50ADC" w:rsidRDefault="00910991" w:rsidP="00D50ADC">
      <w:pPr>
        <w:pStyle w:val="ListParagraph"/>
        <w:numPr>
          <w:ilvl w:val="0"/>
          <w:numId w:val="1"/>
        </w:numPr>
        <w:spacing w:before="240" w:after="240" w:line="360" w:lineRule="auto"/>
        <w:jc w:val="both"/>
        <w:rPr>
          <w:rFonts w:ascii="Calibri" w:eastAsia="Calibri" w:hAnsi="Calibri" w:cs="Calibri"/>
          <w:b/>
          <w:sz w:val="28"/>
          <w:szCs w:val="28"/>
        </w:rPr>
      </w:pPr>
      <w:r>
        <w:rPr>
          <w:noProof/>
          <w:lang w:val="fr-FR"/>
        </w:rPr>
        <w:drawing>
          <wp:anchor distT="114300" distB="114300" distL="114300" distR="114300" simplePos="0" relativeHeight="251658240" behindDoc="0" locked="0" layoutInCell="1" hidden="0" allowOverlap="1" wp14:anchorId="7E03A55A" wp14:editId="1C2FFF07">
            <wp:simplePos x="0" y="0"/>
            <wp:positionH relativeFrom="margin">
              <wp:posOffset>-708660</wp:posOffset>
            </wp:positionH>
            <wp:positionV relativeFrom="paragraph">
              <wp:posOffset>358775</wp:posOffset>
            </wp:positionV>
            <wp:extent cx="7077710" cy="2985770"/>
            <wp:effectExtent l="0" t="0" r="8890" b="5080"/>
            <wp:wrapNone/>
            <wp:docPr id="7"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7"/>
                    <a:srcRect t="9748" b="30479"/>
                    <a:stretch>
                      <a:fillRect/>
                    </a:stretch>
                  </pic:blipFill>
                  <pic:spPr>
                    <a:xfrm>
                      <a:off x="0" y="0"/>
                      <a:ext cx="7077710" cy="2985770"/>
                    </a:xfrm>
                    <a:prstGeom prst="rect">
                      <a:avLst/>
                    </a:prstGeom>
                    <a:ln/>
                  </pic:spPr>
                </pic:pic>
              </a:graphicData>
            </a:graphic>
          </wp:anchor>
        </w:drawing>
      </w:r>
      <w:r w:rsidRPr="00D50ADC">
        <w:rPr>
          <w:rFonts w:ascii="Calibri" w:eastAsia="Calibri" w:hAnsi="Calibri" w:cs="Calibri"/>
          <w:b/>
          <w:sz w:val="28"/>
          <w:szCs w:val="28"/>
        </w:rPr>
        <w:t>Supplementary tables</w:t>
      </w:r>
    </w:p>
    <w:p w14:paraId="20AD4336" w14:textId="77777777" w:rsidR="00910991" w:rsidRDefault="00910991">
      <w:pPr>
        <w:spacing w:before="240" w:after="240" w:line="360" w:lineRule="auto"/>
        <w:jc w:val="both"/>
        <w:rPr>
          <w:rFonts w:ascii="Calibri" w:eastAsia="Calibri" w:hAnsi="Calibri" w:cs="Calibri"/>
          <w:b/>
          <w:sz w:val="28"/>
          <w:szCs w:val="28"/>
        </w:rPr>
      </w:pPr>
    </w:p>
    <w:p w14:paraId="2738F373" w14:textId="77777777" w:rsidR="00910991" w:rsidRDefault="00910991">
      <w:pPr>
        <w:spacing w:before="240" w:after="240" w:line="360" w:lineRule="auto"/>
        <w:jc w:val="both"/>
        <w:rPr>
          <w:rFonts w:ascii="Calibri" w:eastAsia="Calibri" w:hAnsi="Calibri" w:cs="Calibri"/>
          <w:sz w:val="24"/>
          <w:szCs w:val="24"/>
        </w:rPr>
      </w:pPr>
    </w:p>
    <w:p w14:paraId="7505FA8F" w14:textId="6CE700C3" w:rsidR="00A64256" w:rsidRDefault="00A64256"/>
    <w:p w14:paraId="016A38BD" w14:textId="78C3A100" w:rsidR="00A64256" w:rsidRDefault="00A64256"/>
    <w:p w14:paraId="630F56A4" w14:textId="148DBB99" w:rsidR="00A64256" w:rsidRDefault="00A64256"/>
    <w:p w14:paraId="5E7BC352" w14:textId="193EEC46" w:rsidR="00A64256" w:rsidRDefault="00A64256"/>
    <w:p w14:paraId="4D00FBC0" w14:textId="3E67D0A9" w:rsidR="00A64256" w:rsidRDefault="00A64256"/>
    <w:p w14:paraId="39C6E239" w14:textId="77777777" w:rsidR="00A64256" w:rsidRDefault="00A64256"/>
    <w:p w14:paraId="1DE166A5" w14:textId="4024A624" w:rsidR="00A64256" w:rsidRDefault="00A64256"/>
    <w:p w14:paraId="6B2B9BC9" w14:textId="77777777" w:rsidR="00A64256" w:rsidRDefault="00A64256"/>
    <w:p w14:paraId="030451AE" w14:textId="449FD0DD" w:rsidR="00A64256" w:rsidRDefault="00A64256"/>
    <w:p w14:paraId="57BE23CD" w14:textId="095826F4" w:rsidR="00A64256" w:rsidRDefault="00A64256"/>
    <w:p w14:paraId="4795CB59" w14:textId="0E29CB27" w:rsidR="00A64256" w:rsidRDefault="00FA71C2">
      <w:pPr>
        <w:spacing w:before="240" w:after="240" w:line="240" w:lineRule="auto"/>
        <w:jc w:val="both"/>
        <w:rPr>
          <w:rFonts w:ascii="Calibri" w:eastAsia="Calibri" w:hAnsi="Calibri" w:cs="Calibri"/>
          <w:sz w:val="24"/>
          <w:szCs w:val="24"/>
        </w:rPr>
      </w:pPr>
      <w:r>
        <w:rPr>
          <w:rFonts w:ascii="Calibri" w:eastAsia="Calibri" w:hAnsi="Calibri" w:cs="Calibri"/>
          <w:b/>
          <w:sz w:val="24"/>
          <w:szCs w:val="24"/>
        </w:rPr>
        <w:t xml:space="preserve">Table S1. </w:t>
      </w:r>
      <w:r>
        <w:rPr>
          <w:rFonts w:ascii="Calibri" w:eastAsia="Calibri" w:hAnsi="Calibri" w:cs="Calibri"/>
          <w:sz w:val="24"/>
          <w:szCs w:val="24"/>
        </w:rPr>
        <w:t xml:space="preserve">Description of the evolution of </w:t>
      </w:r>
      <w:proofErr w:type="spellStart"/>
      <w:r>
        <w:rPr>
          <w:rFonts w:ascii="Calibri" w:eastAsia="Calibri" w:hAnsi="Calibri" w:cs="Calibri"/>
          <w:sz w:val="24"/>
          <w:szCs w:val="24"/>
        </w:rPr>
        <w:t>HbF</w:t>
      </w:r>
      <w:proofErr w:type="spellEnd"/>
      <w:r>
        <w:rPr>
          <w:rFonts w:ascii="Calibri" w:eastAsia="Calibri" w:hAnsi="Calibri" w:cs="Calibri"/>
          <w:sz w:val="24"/>
          <w:szCs w:val="24"/>
        </w:rPr>
        <w:t xml:space="preserve">, reticulocytes, leukocytes, neutrophils, SGOT, and bilirubin from 1 to 24 months in patients with SCA. </w:t>
      </w:r>
      <w:proofErr w:type="spellStart"/>
      <w:r>
        <w:rPr>
          <w:rFonts w:ascii="Calibri" w:eastAsia="Calibri" w:hAnsi="Calibri" w:cs="Calibri"/>
          <w:sz w:val="24"/>
          <w:szCs w:val="24"/>
        </w:rPr>
        <w:t>HbF</w:t>
      </w:r>
      <w:proofErr w:type="spellEnd"/>
      <w:r>
        <w:rPr>
          <w:rFonts w:ascii="Calibri" w:eastAsia="Calibri" w:hAnsi="Calibri" w:cs="Calibri"/>
          <w:sz w:val="24"/>
          <w:szCs w:val="24"/>
        </w:rPr>
        <w:t>: fetal hemoglobin; SGOT: Serum glutamic-oxaloacetic transaminase. G/L = 10</w:t>
      </w:r>
      <w:r>
        <w:rPr>
          <w:rFonts w:ascii="Calibri" w:eastAsia="Calibri" w:hAnsi="Calibri" w:cs="Calibri"/>
          <w:sz w:val="24"/>
          <w:szCs w:val="24"/>
          <w:vertAlign w:val="superscript"/>
        </w:rPr>
        <w:t>9</w:t>
      </w:r>
      <w:r>
        <w:rPr>
          <w:rFonts w:ascii="Calibri" w:eastAsia="Calibri" w:hAnsi="Calibri" w:cs="Calibri"/>
          <w:sz w:val="24"/>
          <w:szCs w:val="24"/>
        </w:rPr>
        <w:t>/L</w:t>
      </w:r>
      <w:r w:rsidR="00910991">
        <w:rPr>
          <w:rFonts w:ascii="Calibri" w:eastAsia="Calibri" w:hAnsi="Calibri" w:cs="Calibri"/>
          <w:sz w:val="24"/>
          <w:szCs w:val="24"/>
        </w:rPr>
        <w:t>. Median, Q1 and Q3 are shown.</w:t>
      </w:r>
    </w:p>
    <w:p w14:paraId="58A6F397" w14:textId="4C091B60" w:rsidR="00A64256" w:rsidRDefault="00FA71C2">
      <w:pPr>
        <w:spacing w:before="240" w:after="240" w:line="240" w:lineRule="auto"/>
        <w:jc w:val="center"/>
        <w:rPr>
          <w:rFonts w:ascii="Calibri" w:eastAsia="Calibri" w:hAnsi="Calibri" w:cs="Calibri"/>
          <w:sz w:val="24"/>
          <w:szCs w:val="24"/>
        </w:rPr>
      </w:pPr>
      <w:r>
        <w:rPr>
          <w:rFonts w:ascii="Calibri" w:eastAsia="Calibri" w:hAnsi="Calibri" w:cs="Calibri"/>
          <w:noProof/>
          <w:sz w:val="24"/>
          <w:szCs w:val="24"/>
          <w:lang w:val="fr-FR"/>
        </w:rPr>
        <w:lastRenderedPageBreak/>
        <w:drawing>
          <wp:inline distT="114300" distB="114300" distL="114300" distR="114300" wp14:anchorId="1EFDC111" wp14:editId="4D2ACE5D">
            <wp:extent cx="4503420" cy="3322320"/>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4504177" cy="3322878"/>
                    </a:xfrm>
                    <a:prstGeom prst="rect">
                      <a:avLst/>
                    </a:prstGeom>
                    <a:ln/>
                  </pic:spPr>
                </pic:pic>
              </a:graphicData>
            </a:graphic>
          </wp:inline>
        </w:drawing>
      </w:r>
    </w:p>
    <w:p w14:paraId="678839F8" w14:textId="74E722E5" w:rsidR="00A64256" w:rsidRDefault="00FA71C2">
      <w:pPr>
        <w:spacing w:before="240" w:after="240" w:line="240" w:lineRule="auto"/>
        <w:jc w:val="both"/>
        <w:rPr>
          <w:rFonts w:ascii="Calibri" w:eastAsia="Calibri" w:hAnsi="Calibri" w:cs="Calibri"/>
          <w:sz w:val="24"/>
          <w:szCs w:val="24"/>
        </w:rPr>
      </w:pPr>
      <w:r>
        <w:rPr>
          <w:rFonts w:ascii="Calibri" w:eastAsia="Calibri" w:hAnsi="Calibri" w:cs="Calibri"/>
          <w:b/>
          <w:sz w:val="24"/>
          <w:szCs w:val="24"/>
        </w:rPr>
        <w:t>Table S</w:t>
      </w:r>
      <w:r w:rsidR="00906F94">
        <w:rPr>
          <w:rFonts w:ascii="Calibri" w:eastAsia="Calibri" w:hAnsi="Calibri" w:cs="Calibri"/>
          <w:b/>
          <w:sz w:val="24"/>
          <w:szCs w:val="24"/>
        </w:rPr>
        <w:t>5</w:t>
      </w:r>
      <w:r>
        <w:rPr>
          <w:rFonts w:ascii="Calibri" w:eastAsia="Calibri" w:hAnsi="Calibri" w:cs="Calibri"/>
          <w:b/>
          <w:sz w:val="24"/>
          <w:szCs w:val="24"/>
        </w:rPr>
        <w:t xml:space="preserve">. </w:t>
      </w:r>
      <w:r>
        <w:rPr>
          <w:rFonts w:ascii="Calibri" w:eastAsia="Calibri" w:hAnsi="Calibri" w:cs="Calibri"/>
          <w:sz w:val="24"/>
          <w:szCs w:val="24"/>
        </w:rPr>
        <w:t xml:space="preserve">Demographic and hematological parameters of patients with SCA. Median, Q1 and Q3 are shown. </w:t>
      </w:r>
    </w:p>
    <w:p w14:paraId="08CF9BD9" w14:textId="77777777" w:rsidR="00D50ADC" w:rsidRDefault="00D50ADC">
      <w:pPr>
        <w:spacing w:before="240" w:after="240" w:line="240" w:lineRule="auto"/>
        <w:jc w:val="both"/>
        <w:rPr>
          <w:rFonts w:ascii="Calibri" w:eastAsia="Calibri" w:hAnsi="Calibri" w:cs="Calibri"/>
          <w:sz w:val="24"/>
          <w:szCs w:val="24"/>
        </w:rPr>
      </w:pPr>
    </w:p>
    <w:p w14:paraId="08BB370D" w14:textId="77777777" w:rsidR="00D50ADC" w:rsidRDefault="00D50ADC">
      <w:pPr>
        <w:spacing w:before="240" w:after="240" w:line="240" w:lineRule="auto"/>
        <w:jc w:val="both"/>
        <w:rPr>
          <w:rFonts w:ascii="Calibri" w:eastAsia="Calibri" w:hAnsi="Calibri" w:cs="Calibri"/>
          <w:sz w:val="24"/>
          <w:szCs w:val="24"/>
        </w:rPr>
      </w:pPr>
    </w:p>
    <w:p w14:paraId="3A4D348D" w14:textId="77777777" w:rsidR="00D50ADC" w:rsidRDefault="00D50ADC">
      <w:pPr>
        <w:spacing w:before="240" w:after="240" w:line="240" w:lineRule="auto"/>
        <w:jc w:val="both"/>
        <w:rPr>
          <w:rFonts w:ascii="Calibri" w:eastAsia="Calibri" w:hAnsi="Calibri" w:cs="Calibri"/>
          <w:sz w:val="24"/>
          <w:szCs w:val="24"/>
        </w:rPr>
      </w:pPr>
    </w:p>
    <w:p w14:paraId="10F679A8" w14:textId="77777777" w:rsidR="00D50ADC" w:rsidRDefault="00D50ADC">
      <w:pPr>
        <w:spacing w:before="240" w:after="240" w:line="240" w:lineRule="auto"/>
        <w:jc w:val="both"/>
        <w:rPr>
          <w:rFonts w:ascii="Calibri" w:eastAsia="Calibri" w:hAnsi="Calibri" w:cs="Calibri"/>
          <w:sz w:val="24"/>
          <w:szCs w:val="24"/>
        </w:rPr>
      </w:pPr>
    </w:p>
    <w:p w14:paraId="2647960C" w14:textId="77777777" w:rsidR="00D50ADC" w:rsidRDefault="00D50ADC">
      <w:pPr>
        <w:spacing w:before="240" w:after="240" w:line="240" w:lineRule="auto"/>
        <w:jc w:val="both"/>
        <w:rPr>
          <w:rFonts w:ascii="Calibri" w:eastAsia="Calibri" w:hAnsi="Calibri" w:cs="Calibri"/>
          <w:sz w:val="24"/>
          <w:szCs w:val="24"/>
        </w:rPr>
      </w:pPr>
    </w:p>
    <w:p w14:paraId="6C963A5D" w14:textId="77777777" w:rsidR="00D50ADC" w:rsidRDefault="00D50ADC">
      <w:pPr>
        <w:spacing w:before="240" w:after="240" w:line="240" w:lineRule="auto"/>
        <w:jc w:val="both"/>
        <w:rPr>
          <w:rFonts w:ascii="Calibri" w:eastAsia="Calibri" w:hAnsi="Calibri" w:cs="Calibri"/>
          <w:sz w:val="24"/>
          <w:szCs w:val="24"/>
        </w:rPr>
      </w:pPr>
    </w:p>
    <w:p w14:paraId="60DF9F40" w14:textId="77777777" w:rsidR="00D50ADC" w:rsidRDefault="00D50ADC">
      <w:pPr>
        <w:spacing w:before="240" w:after="240" w:line="240" w:lineRule="auto"/>
        <w:jc w:val="both"/>
        <w:rPr>
          <w:rFonts w:ascii="Calibri" w:eastAsia="Calibri" w:hAnsi="Calibri" w:cs="Calibri"/>
          <w:sz w:val="24"/>
          <w:szCs w:val="24"/>
        </w:rPr>
      </w:pPr>
    </w:p>
    <w:p w14:paraId="109240EB" w14:textId="77777777" w:rsidR="00D50ADC" w:rsidRDefault="00D50ADC">
      <w:pPr>
        <w:spacing w:before="240" w:after="240" w:line="240" w:lineRule="auto"/>
        <w:jc w:val="both"/>
        <w:rPr>
          <w:rFonts w:ascii="Calibri" w:eastAsia="Calibri" w:hAnsi="Calibri" w:cs="Calibri"/>
          <w:sz w:val="24"/>
          <w:szCs w:val="24"/>
        </w:rPr>
      </w:pPr>
    </w:p>
    <w:p w14:paraId="54DE5312" w14:textId="77777777" w:rsidR="00D50ADC" w:rsidRDefault="00D50ADC">
      <w:pPr>
        <w:spacing w:before="240" w:after="240" w:line="240" w:lineRule="auto"/>
        <w:jc w:val="both"/>
        <w:rPr>
          <w:rFonts w:ascii="Calibri" w:eastAsia="Calibri" w:hAnsi="Calibri" w:cs="Calibri"/>
          <w:sz w:val="24"/>
          <w:szCs w:val="24"/>
        </w:rPr>
      </w:pPr>
    </w:p>
    <w:p w14:paraId="741CC25A" w14:textId="77777777" w:rsidR="00D50ADC" w:rsidRDefault="00D50ADC">
      <w:pPr>
        <w:spacing w:before="240" w:after="240" w:line="240" w:lineRule="auto"/>
        <w:jc w:val="both"/>
        <w:rPr>
          <w:rFonts w:ascii="Calibri" w:eastAsia="Calibri" w:hAnsi="Calibri" w:cs="Calibri"/>
          <w:sz w:val="24"/>
          <w:szCs w:val="24"/>
        </w:rPr>
      </w:pPr>
    </w:p>
    <w:p w14:paraId="04C2B5CA" w14:textId="77777777" w:rsidR="00D50ADC" w:rsidRDefault="00D50ADC">
      <w:pPr>
        <w:spacing w:before="240" w:after="240" w:line="240" w:lineRule="auto"/>
        <w:jc w:val="both"/>
        <w:rPr>
          <w:rFonts w:ascii="Calibri" w:eastAsia="Calibri" w:hAnsi="Calibri" w:cs="Calibri"/>
          <w:sz w:val="24"/>
          <w:szCs w:val="24"/>
        </w:rPr>
      </w:pPr>
    </w:p>
    <w:p w14:paraId="0B4101C9" w14:textId="77777777" w:rsidR="00D50ADC" w:rsidRPr="00910991" w:rsidRDefault="00D50ADC">
      <w:pPr>
        <w:spacing w:before="240" w:after="240" w:line="240" w:lineRule="auto"/>
        <w:jc w:val="both"/>
        <w:rPr>
          <w:rFonts w:ascii="Calibri" w:eastAsia="Calibri" w:hAnsi="Calibri" w:cs="Calibri"/>
          <w:sz w:val="24"/>
          <w:szCs w:val="24"/>
        </w:rPr>
      </w:pPr>
    </w:p>
    <w:tbl>
      <w:tblPr>
        <w:tblStyle w:val="a"/>
        <w:tblW w:w="888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470"/>
        <w:gridCol w:w="1680"/>
        <w:gridCol w:w="1200"/>
        <w:gridCol w:w="1140"/>
        <w:gridCol w:w="1890"/>
        <w:gridCol w:w="1500"/>
      </w:tblGrid>
      <w:tr w:rsidR="00A64256" w14:paraId="36FDDFE1" w14:textId="77777777">
        <w:trPr>
          <w:trHeight w:val="555"/>
        </w:trPr>
        <w:tc>
          <w:tcPr>
            <w:tcW w:w="1470" w:type="dxa"/>
            <w:tcBorders>
              <w:top w:val="single" w:sz="5" w:space="0" w:color="000000"/>
              <w:left w:val="nil"/>
              <w:bottom w:val="single" w:sz="5" w:space="0" w:color="000000"/>
              <w:right w:val="nil"/>
            </w:tcBorders>
            <w:tcMar>
              <w:top w:w="0" w:type="dxa"/>
              <w:left w:w="100" w:type="dxa"/>
              <w:bottom w:w="0" w:type="dxa"/>
              <w:right w:w="100" w:type="dxa"/>
            </w:tcMar>
          </w:tcPr>
          <w:p w14:paraId="7024C36C" w14:textId="77777777" w:rsidR="00A64256" w:rsidRDefault="00FA71C2">
            <w:pPr>
              <w:spacing w:before="240" w:after="240" w:line="240" w:lineRule="auto"/>
              <w:jc w:val="both"/>
              <w:rPr>
                <w:sz w:val="20"/>
                <w:szCs w:val="20"/>
              </w:rPr>
            </w:pPr>
            <w:r>
              <w:rPr>
                <w:sz w:val="20"/>
                <w:szCs w:val="20"/>
              </w:rPr>
              <w:lastRenderedPageBreak/>
              <w:t>Antibody</w:t>
            </w:r>
          </w:p>
        </w:tc>
        <w:tc>
          <w:tcPr>
            <w:tcW w:w="1680" w:type="dxa"/>
            <w:tcBorders>
              <w:top w:val="single" w:sz="5" w:space="0" w:color="000000"/>
              <w:left w:val="nil"/>
              <w:bottom w:val="single" w:sz="5" w:space="0" w:color="000000"/>
              <w:right w:val="nil"/>
            </w:tcBorders>
            <w:tcMar>
              <w:top w:w="0" w:type="dxa"/>
              <w:left w:w="100" w:type="dxa"/>
              <w:bottom w:w="0" w:type="dxa"/>
              <w:right w:w="100" w:type="dxa"/>
            </w:tcMar>
          </w:tcPr>
          <w:p w14:paraId="4D69E864" w14:textId="77777777" w:rsidR="00A64256" w:rsidRDefault="00FA71C2">
            <w:pPr>
              <w:spacing w:before="240" w:after="240" w:line="240" w:lineRule="auto"/>
              <w:jc w:val="both"/>
              <w:rPr>
                <w:sz w:val="20"/>
                <w:szCs w:val="20"/>
              </w:rPr>
            </w:pPr>
            <w:r>
              <w:rPr>
                <w:sz w:val="20"/>
                <w:szCs w:val="20"/>
              </w:rPr>
              <w:t>Fluorescence</w:t>
            </w:r>
          </w:p>
        </w:tc>
        <w:tc>
          <w:tcPr>
            <w:tcW w:w="1200" w:type="dxa"/>
            <w:tcBorders>
              <w:top w:val="single" w:sz="5" w:space="0" w:color="000000"/>
              <w:left w:val="nil"/>
              <w:bottom w:val="single" w:sz="5" w:space="0" w:color="000000"/>
              <w:right w:val="nil"/>
            </w:tcBorders>
            <w:tcMar>
              <w:top w:w="0" w:type="dxa"/>
              <w:left w:w="100" w:type="dxa"/>
              <w:bottom w:w="0" w:type="dxa"/>
              <w:right w:w="100" w:type="dxa"/>
            </w:tcMar>
          </w:tcPr>
          <w:p w14:paraId="73051C5E" w14:textId="77777777" w:rsidR="00A64256" w:rsidRDefault="00FA71C2">
            <w:pPr>
              <w:spacing w:before="240" w:after="240" w:line="240" w:lineRule="auto"/>
              <w:jc w:val="both"/>
              <w:rPr>
                <w:sz w:val="20"/>
                <w:szCs w:val="20"/>
              </w:rPr>
            </w:pPr>
            <w:r>
              <w:rPr>
                <w:sz w:val="20"/>
                <w:szCs w:val="20"/>
              </w:rPr>
              <w:t>Clone</w:t>
            </w:r>
          </w:p>
        </w:tc>
        <w:tc>
          <w:tcPr>
            <w:tcW w:w="1140" w:type="dxa"/>
            <w:tcBorders>
              <w:top w:val="single" w:sz="5" w:space="0" w:color="000000"/>
              <w:left w:val="nil"/>
              <w:bottom w:val="single" w:sz="5" w:space="0" w:color="000000"/>
              <w:right w:val="nil"/>
            </w:tcBorders>
            <w:tcMar>
              <w:top w:w="0" w:type="dxa"/>
              <w:left w:w="100" w:type="dxa"/>
              <w:bottom w:w="0" w:type="dxa"/>
              <w:right w:w="100" w:type="dxa"/>
            </w:tcMar>
          </w:tcPr>
          <w:p w14:paraId="261E2C66" w14:textId="77777777" w:rsidR="00A64256" w:rsidRDefault="00FA71C2">
            <w:pPr>
              <w:spacing w:before="240" w:after="240" w:line="240" w:lineRule="auto"/>
              <w:jc w:val="both"/>
              <w:rPr>
                <w:sz w:val="20"/>
                <w:szCs w:val="20"/>
              </w:rPr>
            </w:pPr>
            <w:r>
              <w:rPr>
                <w:sz w:val="20"/>
                <w:szCs w:val="20"/>
              </w:rPr>
              <w:t>Dilution</w:t>
            </w:r>
          </w:p>
        </w:tc>
        <w:tc>
          <w:tcPr>
            <w:tcW w:w="1890" w:type="dxa"/>
            <w:tcBorders>
              <w:top w:val="single" w:sz="5" w:space="0" w:color="000000"/>
              <w:left w:val="nil"/>
              <w:bottom w:val="single" w:sz="5" w:space="0" w:color="000000"/>
              <w:right w:val="nil"/>
            </w:tcBorders>
            <w:tcMar>
              <w:top w:w="0" w:type="dxa"/>
              <w:left w:w="100" w:type="dxa"/>
              <w:bottom w:w="0" w:type="dxa"/>
              <w:right w:w="100" w:type="dxa"/>
            </w:tcMar>
          </w:tcPr>
          <w:p w14:paraId="6E9A0E68" w14:textId="77777777" w:rsidR="00A64256" w:rsidRDefault="00FA71C2">
            <w:pPr>
              <w:spacing w:before="240" w:after="240" w:line="240" w:lineRule="auto"/>
              <w:jc w:val="both"/>
              <w:rPr>
                <w:sz w:val="20"/>
                <w:szCs w:val="20"/>
              </w:rPr>
            </w:pPr>
            <w:r>
              <w:rPr>
                <w:sz w:val="20"/>
                <w:szCs w:val="20"/>
              </w:rPr>
              <w:t>Supplier</w:t>
            </w:r>
          </w:p>
        </w:tc>
        <w:tc>
          <w:tcPr>
            <w:tcW w:w="1500" w:type="dxa"/>
            <w:tcBorders>
              <w:top w:val="single" w:sz="5" w:space="0" w:color="000000"/>
              <w:left w:val="nil"/>
              <w:bottom w:val="single" w:sz="5" w:space="0" w:color="000000"/>
              <w:right w:val="nil"/>
            </w:tcBorders>
            <w:tcMar>
              <w:top w:w="0" w:type="dxa"/>
              <w:left w:w="100" w:type="dxa"/>
              <w:bottom w:w="0" w:type="dxa"/>
              <w:right w:w="100" w:type="dxa"/>
            </w:tcMar>
          </w:tcPr>
          <w:p w14:paraId="2727A551" w14:textId="77777777" w:rsidR="00A64256" w:rsidRDefault="00FA71C2">
            <w:pPr>
              <w:spacing w:before="240" w:after="240" w:line="240" w:lineRule="auto"/>
              <w:jc w:val="both"/>
              <w:rPr>
                <w:sz w:val="20"/>
                <w:szCs w:val="20"/>
              </w:rPr>
            </w:pPr>
            <w:r>
              <w:rPr>
                <w:sz w:val="20"/>
                <w:szCs w:val="20"/>
              </w:rPr>
              <w:t>Reference</w:t>
            </w:r>
          </w:p>
        </w:tc>
      </w:tr>
      <w:tr w:rsidR="00A64256" w14:paraId="738A1AC0" w14:textId="77777777">
        <w:trPr>
          <w:trHeight w:val="915"/>
        </w:trPr>
        <w:tc>
          <w:tcPr>
            <w:tcW w:w="1470" w:type="dxa"/>
            <w:tcBorders>
              <w:top w:val="nil"/>
              <w:left w:val="nil"/>
              <w:bottom w:val="nil"/>
              <w:right w:val="nil"/>
            </w:tcBorders>
            <w:tcMar>
              <w:top w:w="0" w:type="dxa"/>
              <w:left w:w="100" w:type="dxa"/>
              <w:bottom w:w="0" w:type="dxa"/>
              <w:right w:w="100" w:type="dxa"/>
            </w:tcMar>
          </w:tcPr>
          <w:p w14:paraId="44829135" w14:textId="77777777" w:rsidR="00A64256" w:rsidRDefault="00FA71C2">
            <w:pPr>
              <w:spacing w:before="240" w:after="240" w:line="240" w:lineRule="auto"/>
              <w:jc w:val="both"/>
              <w:rPr>
                <w:sz w:val="20"/>
                <w:szCs w:val="20"/>
              </w:rPr>
            </w:pPr>
            <w:r>
              <w:rPr>
                <w:sz w:val="20"/>
                <w:szCs w:val="20"/>
              </w:rPr>
              <w:t>CD34</w:t>
            </w:r>
          </w:p>
        </w:tc>
        <w:tc>
          <w:tcPr>
            <w:tcW w:w="1680" w:type="dxa"/>
            <w:tcBorders>
              <w:top w:val="nil"/>
              <w:left w:val="nil"/>
              <w:bottom w:val="nil"/>
              <w:right w:val="nil"/>
            </w:tcBorders>
            <w:tcMar>
              <w:top w:w="0" w:type="dxa"/>
              <w:left w:w="100" w:type="dxa"/>
              <w:bottom w:w="0" w:type="dxa"/>
              <w:right w:w="100" w:type="dxa"/>
            </w:tcMar>
          </w:tcPr>
          <w:p w14:paraId="60096941"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PE</w:t>
            </w:r>
          </w:p>
        </w:tc>
        <w:tc>
          <w:tcPr>
            <w:tcW w:w="1200" w:type="dxa"/>
            <w:tcBorders>
              <w:top w:val="nil"/>
              <w:left w:val="nil"/>
              <w:bottom w:val="nil"/>
              <w:right w:val="nil"/>
            </w:tcBorders>
            <w:tcMar>
              <w:top w:w="0" w:type="dxa"/>
              <w:left w:w="100" w:type="dxa"/>
              <w:bottom w:w="0" w:type="dxa"/>
              <w:right w:w="100" w:type="dxa"/>
            </w:tcMar>
          </w:tcPr>
          <w:p w14:paraId="6417DBFF"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563</w:t>
            </w:r>
          </w:p>
        </w:tc>
        <w:tc>
          <w:tcPr>
            <w:tcW w:w="1140" w:type="dxa"/>
            <w:tcBorders>
              <w:top w:val="nil"/>
              <w:left w:val="nil"/>
              <w:bottom w:val="nil"/>
              <w:right w:val="nil"/>
            </w:tcBorders>
            <w:tcMar>
              <w:top w:w="0" w:type="dxa"/>
              <w:left w:w="100" w:type="dxa"/>
              <w:bottom w:w="0" w:type="dxa"/>
              <w:right w:w="100" w:type="dxa"/>
            </w:tcMar>
          </w:tcPr>
          <w:p w14:paraId="025FA95F"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1/20</w:t>
            </w:r>
          </w:p>
        </w:tc>
        <w:tc>
          <w:tcPr>
            <w:tcW w:w="1890" w:type="dxa"/>
            <w:tcBorders>
              <w:top w:val="nil"/>
              <w:left w:val="nil"/>
              <w:bottom w:val="nil"/>
              <w:right w:val="nil"/>
            </w:tcBorders>
            <w:tcMar>
              <w:top w:w="0" w:type="dxa"/>
              <w:left w:w="100" w:type="dxa"/>
              <w:bottom w:w="0" w:type="dxa"/>
              <w:right w:w="100" w:type="dxa"/>
            </w:tcMar>
          </w:tcPr>
          <w:p w14:paraId="2AF14BEC"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BD Biosciences</w:t>
            </w:r>
          </w:p>
        </w:tc>
        <w:tc>
          <w:tcPr>
            <w:tcW w:w="1500" w:type="dxa"/>
            <w:tcBorders>
              <w:top w:val="nil"/>
              <w:left w:val="nil"/>
              <w:bottom w:val="nil"/>
              <w:right w:val="nil"/>
            </w:tcBorders>
            <w:tcMar>
              <w:top w:w="0" w:type="dxa"/>
              <w:left w:w="100" w:type="dxa"/>
              <w:bottom w:w="0" w:type="dxa"/>
              <w:right w:w="100" w:type="dxa"/>
            </w:tcMar>
          </w:tcPr>
          <w:p w14:paraId="05FA6F3D"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550761</w:t>
            </w:r>
          </w:p>
        </w:tc>
      </w:tr>
      <w:tr w:rsidR="00A64256" w14:paraId="4BBF4BE4" w14:textId="77777777">
        <w:trPr>
          <w:trHeight w:val="915"/>
        </w:trPr>
        <w:tc>
          <w:tcPr>
            <w:tcW w:w="1470" w:type="dxa"/>
            <w:tcBorders>
              <w:top w:val="nil"/>
              <w:left w:val="nil"/>
              <w:bottom w:val="nil"/>
              <w:right w:val="nil"/>
            </w:tcBorders>
            <w:tcMar>
              <w:top w:w="0" w:type="dxa"/>
              <w:left w:w="100" w:type="dxa"/>
              <w:bottom w:w="0" w:type="dxa"/>
              <w:right w:w="100" w:type="dxa"/>
            </w:tcMar>
          </w:tcPr>
          <w:p w14:paraId="14311C4F" w14:textId="77777777" w:rsidR="00A64256" w:rsidRDefault="00FA71C2">
            <w:pPr>
              <w:spacing w:before="240" w:after="240" w:line="240" w:lineRule="auto"/>
              <w:jc w:val="both"/>
              <w:rPr>
                <w:sz w:val="20"/>
                <w:szCs w:val="20"/>
              </w:rPr>
            </w:pPr>
            <w:r>
              <w:rPr>
                <w:sz w:val="20"/>
                <w:szCs w:val="20"/>
              </w:rPr>
              <w:t>CD38</w:t>
            </w:r>
          </w:p>
        </w:tc>
        <w:tc>
          <w:tcPr>
            <w:tcW w:w="1680" w:type="dxa"/>
            <w:tcBorders>
              <w:top w:val="nil"/>
              <w:left w:val="nil"/>
              <w:bottom w:val="nil"/>
              <w:right w:val="nil"/>
            </w:tcBorders>
            <w:tcMar>
              <w:top w:w="0" w:type="dxa"/>
              <w:left w:w="100" w:type="dxa"/>
              <w:bottom w:w="0" w:type="dxa"/>
              <w:right w:w="100" w:type="dxa"/>
            </w:tcMar>
          </w:tcPr>
          <w:p w14:paraId="3B17AD2F"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BV421</w:t>
            </w:r>
          </w:p>
        </w:tc>
        <w:tc>
          <w:tcPr>
            <w:tcW w:w="1200" w:type="dxa"/>
            <w:tcBorders>
              <w:top w:val="nil"/>
              <w:left w:val="nil"/>
              <w:bottom w:val="nil"/>
              <w:right w:val="nil"/>
            </w:tcBorders>
            <w:tcMar>
              <w:top w:w="0" w:type="dxa"/>
              <w:left w:w="100" w:type="dxa"/>
              <w:bottom w:w="0" w:type="dxa"/>
              <w:right w:w="100" w:type="dxa"/>
            </w:tcMar>
          </w:tcPr>
          <w:p w14:paraId="165BBD8B"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HIT2</w:t>
            </w:r>
          </w:p>
        </w:tc>
        <w:tc>
          <w:tcPr>
            <w:tcW w:w="1140" w:type="dxa"/>
            <w:tcBorders>
              <w:top w:val="nil"/>
              <w:left w:val="nil"/>
              <w:bottom w:val="nil"/>
              <w:right w:val="nil"/>
            </w:tcBorders>
            <w:tcMar>
              <w:top w:w="0" w:type="dxa"/>
              <w:left w:w="100" w:type="dxa"/>
              <w:bottom w:w="0" w:type="dxa"/>
              <w:right w:w="100" w:type="dxa"/>
            </w:tcMar>
          </w:tcPr>
          <w:p w14:paraId="58832C53"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1/20</w:t>
            </w:r>
          </w:p>
        </w:tc>
        <w:tc>
          <w:tcPr>
            <w:tcW w:w="1890" w:type="dxa"/>
            <w:tcBorders>
              <w:top w:val="nil"/>
              <w:left w:val="nil"/>
              <w:bottom w:val="nil"/>
              <w:right w:val="nil"/>
            </w:tcBorders>
            <w:tcMar>
              <w:top w:w="0" w:type="dxa"/>
              <w:left w:w="100" w:type="dxa"/>
              <w:bottom w:w="0" w:type="dxa"/>
              <w:right w:w="100" w:type="dxa"/>
            </w:tcMar>
          </w:tcPr>
          <w:p w14:paraId="3B485A26"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BD Biosciences</w:t>
            </w:r>
          </w:p>
        </w:tc>
        <w:tc>
          <w:tcPr>
            <w:tcW w:w="1500" w:type="dxa"/>
            <w:tcBorders>
              <w:top w:val="nil"/>
              <w:left w:val="nil"/>
              <w:bottom w:val="nil"/>
              <w:right w:val="nil"/>
            </w:tcBorders>
            <w:tcMar>
              <w:top w:w="0" w:type="dxa"/>
              <w:left w:w="100" w:type="dxa"/>
              <w:bottom w:w="0" w:type="dxa"/>
              <w:right w:w="100" w:type="dxa"/>
            </w:tcMar>
          </w:tcPr>
          <w:p w14:paraId="61B73028"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562444</w:t>
            </w:r>
          </w:p>
        </w:tc>
      </w:tr>
      <w:tr w:rsidR="00A64256" w14:paraId="22E4015E" w14:textId="77777777">
        <w:trPr>
          <w:trHeight w:val="570"/>
        </w:trPr>
        <w:tc>
          <w:tcPr>
            <w:tcW w:w="1470" w:type="dxa"/>
            <w:tcBorders>
              <w:top w:val="nil"/>
              <w:left w:val="nil"/>
              <w:bottom w:val="nil"/>
              <w:right w:val="nil"/>
            </w:tcBorders>
            <w:tcMar>
              <w:top w:w="0" w:type="dxa"/>
              <w:left w:w="100" w:type="dxa"/>
              <w:bottom w:w="0" w:type="dxa"/>
              <w:right w:w="100" w:type="dxa"/>
            </w:tcMar>
          </w:tcPr>
          <w:p w14:paraId="04CF501C" w14:textId="77777777" w:rsidR="00A64256" w:rsidRDefault="00FA71C2">
            <w:pPr>
              <w:spacing w:before="240" w:after="240" w:line="240" w:lineRule="auto"/>
              <w:jc w:val="both"/>
              <w:rPr>
                <w:sz w:val="20"/>
                <w:szCs w:val="20"/>
              </w:rPr>
            </w:pPr>
            <w:r>
              <w:rPr>
                <w:sz w:val="20"/>
                <w:szCs w:val="20"/>
              </w:rPr>
              <w:t>CD123</w:t>
            </w:r>
          </w:p>
        </w:tc>
        <w:tc>
          <w:tcPr>
            <w:tcW w:w="1680" w:type="dxa"/>
            <w:tcBorders>
              <w:top w:val="nil"/>
              <w:left w:val="nil"/>
              <w:bottom w:val="nil"/>
              <w:right w:val="nil"/>
            </w:tcBorders>
            <w:tcMar>
              <w:top w:w="0" w:type="dxa"/>
              <w:left w:w="100" w:type="dxa"/>
              <w:bottom w:w="0" w:type="dxa"/>
              <w:right w:w="100" w:type="dxa"/>
            </w:tcMar>
          </w:tcPr>
          <w:p w14:paraId="2040F354"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APC</w:t>
            </w:r>
          </w:p>
        </w:tc>
        <w:tc>
          <w:tcPr>
            <w:tcW w:w="1200" w:type="dxa"/>
            <w:tcBorders>
              <w:top w:val="nil"/>
              <w:left w:val="nil"/>
              <w:bottom w:val="nil"/>
              <w:right w:val="nil"/>
            </w:tcBorders>
            <w:tcMar>
              <w:top w:w="0" w:type="dxa"/>
              <w:left w:w="100" w:type="dxa"/>
              <w:bottom w:w="0" w:type="dxa"/>
              <w:right w:w="100" w:type="dxa"/>
            </w:tcMar>
          </w:tcPr>
          <w:p w14:paraId="76C396FC"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6H6</w:t>
            </w:r>
          </w:p>
        </w:tc>
        <w:tc>
          <w:tcPr>
            <w:tcW w:w="1140" w:type="dxa"/>
            <w:tcBorders>
              <w:top w:val="nil"/>
              <w:left w:val="nil"/>
              <w:bottom w:val="nil"/>
              <w:right w:val="nil"/>
            </w:tcBorders>
            <w:tcMar>
              <w:top w:w="0" w:type="dxa"/>
              <w:left w:w="100" w:type="dxa"/>
              <w:bottom w:w="0" w:type="dxa"/>
              <w:right w:w="100" w:type="dxa"/>
            </w:tcMar>
          </w:tcPr>
          <w:p w14:paraId="48842799"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1/20</w:t>
            </w:r>
          </w:p>
        </w:tc>
        <w:tc>
          <w:tcPr>
            <w:tcW w:w="1890" w:type="dxa"/>
            <w:tcBorders>
              <w:top w:val="nil"/>
              <w:left w:val="nil"/>
              <w:bottom w:val="nil"/>
              <w:right w:val="nil"/>
            </w:tcBorders>
            <w:tcMar>
              <w:top w:w="0" w:type="dxa"/>
              <w:left w:w="100" w:type="dxa"/>
              <w:bottom w:w="0" w:type="dxa"/>
              <w:right w:w="100" w:type="dxa"/>
            </w:tcMar>
          </w:tcPr>
          <w:p w14:paraId="10F001B6" w14:textId="77777777" w:rsidR="00A64256" w:rsidRDefault="00FA71C2">
            <w:pPr>
              <w:spacing w:before="240" w:line="240" w:lineRule="auto"/>
              <w:jc w:val="both"/>
              <w:rPr>
                <w:rFonts w:ascii="Calibri" w:eastAsia="Calibri" w:hAnsi="Calibri" w:cs="Calibri"/>
                <w:sz w:val="20"/>
                <w:szCs w:val="20"/>
              </w:rPr>
            </w:pPr>
            <w:proofErr w:type="spellStart"/>
            <w:r>
              <w:rPr>
                <w:rFonts w:ascii="Calibri" w:eastAsia="Calibri" w:hAnsi="Calibri" w:cs="Calibri"/>
                <w:sz w:val="20"/>
                <w:szCs w:val="20"/>
              </w:rPr>
              <w:t>Biolegend</w:t>
            </w:r>
            <w:proofErr w:type="spellEnd"/>
          </w:p>
        </w:tc>
        <w:tc>
          <w:tcPr>
            <w:tcW w:w="1500" w:type="dxa"/>
            <w:tcBorders>
              <w:top w:val="nil"/>
              <w:left w:val="nil"/>
              <w:bottom w:val="nil"/>
              <w:right w:val="nil"/>
            </w:tcBorders>
            <w:tcMar>
              <w:top w:w="0" w:type="dxa"/>
              <w:left w:w="100" w:type="dxa"/>
              <w:bottom w:w="0" w:type="dxa"/>
              <w:right w:w="100" w:type="dxa"/>
            </w:tcMar>
          </w:tcPr>
          <w:p w14:paraId="627E5086"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306011</w:t>
            </w:r>
          </w:p>
        </w:tc>
      </w:tr>
      <w:tr w:rsidR="00A64256" w14:paraId="4602C465" w14:textId="77777777">
        <w:trPr>
          <w:trHeight w:val="915"/>
        </w:trPr>
        <w:tc>
          <w:tcPr>
            <w:tcW w:w="1470" w:type="dxa"/>
            <w:tcBorders>
              <w:top w:val="nil"/>
              <w:left w:val="nil"/>
              <w:bottom w:val="nil"/>
              <w:right w:val="nil"/>
            </w:tcBorders>
            <w:tcMar>
              <w:top w:w="0" w:type="dxa"/>
              <w:left w:w="100" w:type="dxa"/>
              <w:bottom w:w="0" w:type="dxa"/>
              <w:right w:w="100" w:type="dxa"/>
            </w:tcMar>
          </w:tcPr>
          <w:p w14:paraId="20154113" w14:textId="77777777" w:rsidR="00A64256" w:rsidRDefault="00FA71C2">
            <w:pPr>
              <w:spacing w:before="240" w:after="240" w:line="240" w:lineRule="auto"/>
              <w:jc w:val="both"/>
              <w:rPr>
                <w:sz w:val="20"/>
                <w:szCs w:val="20"/>
              </w:rPr>
            </w:pPr>
            <w:r>
              <w:rPr>
                <w:sz w:val="20"/>
                <w:szCs w:val="20"/>
              </w:rPr>
              <w:t>CD45RA</w:t>
            </w:r>
          </w:p>
        </w:tc>
        <w:tc>
          <w:tcPr>
            <w:tcW w:w="1680" w:type="dxa"/>
            <w:tcBorders>
              <w:top w:val="nil"/>
              <w:left w:val="nil"/>
              <w:bottom w:val="nil"/>
              <w:right w:val="nil"/>
            </w:tcBorders>
            <w:tcMar>
              <w:top w:w="0" w:type="dxa"/>
              <w:left w:w="100" w:type="dxa"/>
              <w:bottom w:w="0" w:type="dxa"/>
              <w:right w:w="100" w:type="dxa"/>
            </w:tcMar>
          </w:tcPr>
          <w:p w14:paraId="6A6E4C24"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FITC</w:t>
            </w:r>
          </w:p>
        </w:tc>
        <w:tc>
          <w:tcPr>
            <w:tcW w:w="1200" w:type="dxa"/>
            <w:tcBorders>
              <w:top w:val="nil"/>
              <w:left w:val="nil"/>
              <w:bottom w:val="nil"/>
              <w:right w:val="nil"/>
            </w:tcBorders>
            <w:tcMar>
              <w:top w:w="0" w:type="dxa"/>
              <w:left w:w="100" w:type="dxa"/>
              <w:bottom w:w="0" w:type="dxa"/>
              <w:right w:w="100" w:type="dxa"/>
            </w:tcMar>
          </w:tcPr>
          <w:p w14:paraId="246C03E8"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HI100</w:t>
            </w:r>
          </w:p>
        </w:tc>
        <w:tc>
          <w:tcPr>
            <w:tcW w:w="1140" w:type="dxa"/>
            <w:tcBorders>
              <w:top w:val="nil"/>
              <w:left w:val="nil"/>
              <w:bottom w:val="nil"/>
              <w:right w:val="nil"/>
            </w:tcBorders>
            <w:tcMar>
              <w:top w:w="0" w:type="dxa"/>
              <w:left w:w="100" w:type="dxa"/>
              <w:bottom w:w="0" w:type="dxa"/>
              <w:right w:w="100" w:type="dxa"/>
            </w:tcMar>
          </w:tcPr>
          <w:p w14:paraId="5EDE944D"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1/20</w:t>
            </w:r>
          </w:p>
        </w:tc>
        <w:tc>
          <w:tcPr>
            <w:tcW w:w="1890" w:type="dxa"/>
            <w:tcBorders>
              <w:top w:val="nil"/>
              <w:left w:val="nil"/>
              <w:bottom w:val="nil"/>
              <w:right w:val="nil"/>
            </w:tcBorders>
            <w:tcMar>
              <w:top w:w="0" w:type="dxa"/>
              <w:left w:w="100" w:type="dxa"/>
              <w:bottom w:w="0" w:type="dxa"/>
              <w:right w:w="100" w:type="dxa"/>
            </w:tcMar>
          </w:tcPr>
          <w:p w14:paraId="1BEC3095"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BD Biosciences</w:t>
            </w:r>
          </w:p>
        </w:tc>
        <w:tc>
          <w:tcPr>
            <w:tcW w:w="1500" w:type="dxa"/>
            <w:tcBorders>
              <w:top w:val="nil"/>
              <w:left w:val="nil"/>
              <w:bottom w:val="nil"/>
              <w:right w:val="nil"/>
            </w:tcBorders>
            <w:tcMar>
              <w:top w:w="0" w:type="dxa"/>
              <w:left w:w="100" w:type="dxa"/>
              <w:bottom w:w="0" w:type="dxa"/>
              <w:right w:w="100" w:type="dxa"/>
            </w:tcMar>
          </w:tcPr>
          <w:p w14:paraId="4F10791A"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555488</w:t>
            </w:r>
          </w:p>
        </w:tc>
      </w:tr>
      <w:tr w:rsidR="00A64256" w14:paraId="4D7898BB" w14:textId="77777777">
        <w:trPr>
          <w:trHeight w:val="915"/>
        </w:trPr>
        <w:tc>
          <w:tcPr>
            <w:tcW w:w="1470" w:type="dxa"/>
            <w:tcBorders>
              <w:top w:val="nil"/>
              <w:left w:val="nil"/>
              <w:bottom w:val="nil"/>
              <w:right w:val="nil"/>
            </w:tcBorders>
            <w:tcMar>
              <w:top w:w="0" w:type="dxa"/>
              <w:left w:w="100" w:type="dxa"/>
              <w:bottom w:w="0" w:type="dxa"/>
              <w:right w:w="100" w:type="dxa"/>
            </w:tcMar>
          </w:tcPr>
          <w:p w14:paraId="73352A62" w14:textId="77777777" w:rsidR="00A64256" w:rsidRDefault="00FA71C2">
            <w:pPr>
              <w:spacing w:before="240" w:after="240" w:line="240" w:lineRule="auto"/>
              <w:jc w:val="both"/>
              <w:rPr>
                <w:sz w:val="20"/>
                <w:szCs w:val="20"/>
              </w:rPr>
            </w:pPr>
            <w:r>
              <w:rPr>
                <w:sz w:val="20"/>
                <w:szCs w:val="20"/>
              </w:rPr>
              <w:t>CD36</w:t>
            </w:r>
          </w:p>
        </w:tc>
        <w:tc>
          <w:tcPr>
            <w:tcW w:w="1680" w:type="dxa"/>
            <w:tcBorders>
              <w:top w:val="nil"/>
              <w:left w:val="nil"/>
              <w:bottom w:val="nil"/>
              <w:right w:val="nil"/>
            </w:tcBorders>
            <w:tcMar>
              <w:top w:w="0" w:type="dxa"/>
              <w:left w:w="100" w:type="dxa"/>
              <w:bottom w:w="0" w:type="dxa"/>
              <w:right w:w="100" w:type="dxa"/>
            </w:tcMar>
          </w:tcPr>
          <w:p w14:paraId="59A7EDAE"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PE-Cy7</w:t>
            </w:r>
          </w:p>
        </w:tc>
        <w:tc>
          <w:tcPr>
            <w:tcW w:w="1200" w:type="dxa"/>
            <w:tcBorders>
              <w:top w:val="nil"/>
              <w:left w:val="nil"/>
              <w:bottom w:val="nil"/>
              <w:right w:val="nil"/>
            </w:tcBorders>
            <w:tcMar>
              <w:top w:w="0" w:type="dxa"/>
              <w:left w:w="100" w:type="dxa"/>
              <w:bottom w:w="0" w:type="dxa"/>
              <w:right w:w="100" w:type="dxa"/>
            </w:tcMar>
          </w:tcPr>
          <w:p w14:paraId="1A5624A0"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NL07</w:t>
            </w:r>
          </w:p>
        </w:tc>
        <w:tc>
          <w:tcPr>
            <w:tcW w:w="1140" w:type="dxa"/>
            <w:tcBorders>
              <w:top w:val="nil"/>
              <w:left w:val="nil"/>
              <w:bottom w:val="nil"/>
              <w:right w:val="nil"/>
            </w:tcBorders>
            <w:tcMar>
              <w:top w:w="0" w:type="dxa"/>
              <w:left w:w="100" w:type="dxa"/>
              <w:bottom w:w="0" w:type="dxa"/>
              <w:right w:w="100" w:type="dxa"/>
            </w:tcMar>
          </w:tcPr>
          <w:p w14:paraId="75C7BDA0"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1/50</w:t>
            </w:r>
          </w:p>
        </w:tc>
        <w:tc>
          <w:tcPr>
            <w:tcW w:w="1890" w:type="dxa"/>
            <w:tcBorders>
              <w:top w:val="nil"/>
              <w:left w:val="nil"/>
              <w:bottom w:val="nil"/>
              <w:right w:val="nil"/>
            </w:tcBorders>
            <w:tcMar>
              <w:top w:w="0" w:type="dxa"/>
              <w:left w:w="100" w:type="dxa"/>
              <w:bottom w:w="0" w:type="dxa"/>
              <w:right w:w="100" w:type="dxa"/>
            </w:tcMar>
          </w:tcPr>
          <w:p w14:paraId="0AC2A97A"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Invitrogen</w:t>
            </w:r>
          </w:p>
        </w:tc>
        <w:tc>
          <w:tcPr>
            <w:tcW w:w="1500" w:type="dxa"/>
            <w:tcBorders>
              <w:top w:val="nil"/>
              <w:left w:val="nil"/>
              <w:bottom w:val="nil"/>
              <w:right w:val="nil"/>
            </w:tcBorders>
            <w:tcMar>
              <w:top w:w="0" w:type="dxa"/>
              <w:left w:w="100" w:type="dxa"/>
              <w:bottom w:w="0" w:type="dxa"/>
              <w:right w:w="100" w:type="dxa"/>
            </w:tcMar>
          </w:tcPr>
          <w:p w14:paraId="68EC54A8"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25-0369-42</w:t>
            </w:r>
          </w:p>
        </w:tc>
      </w:tr>
      <w:tr w:rsidR="00A64256" w14:paraId="4C82599F" w14:textId="77777777">
        <w:trPr>
          <w:trHeight w:val="570"/>
        </w:trPr>
        <w:tc>
          <w:tcPr>
            <w:tcW w:w="1470" w:type="dxa"/>
            <w:tcBorders>
              <w:top w:val="nil"/>
              <w:left w:val="nil"/>
              <w:bottom w:val="nil"/>
              <w:right w:val="nil"/>
            </w:tcBorders>
            <w:tcMar>
              <w:top w:w="0" w:type="dxa"/>
              <w:left w:w="100" w:type="dxa"/>
              <w:bottom w:w="0" w:type="dxa"/>
              <w:right w:w="100" w:type="dxa"/>
            </w:tcMar>
          </w:tcPr>
          <w:p w14:paraId="268826C3" w14:textId="77777777" w:rsidR="00A64256" w:rsidRDefault="00FA71C2">
            <w:pPr>
              <w:spacing w:before="240" w:after="240" w:line="240" w:lineRule="auto"/>
              <w:jc w:val="both"/>
              <w:rPr>
                <w:sz w:val="20"/>
                <w:szCs w:val="20"/>
              </w:rPr>
            </w:pPr>
            <w:r>
              <w:rPr>
                <w:sz w:val="20"/>
                <w:szCs w:val="20"/>
              </w:rPr>
              <w:t>CD11b</w:t>
            </w:r>
          </w:p>
        </w:tc>
        <w:tc>
          <w:tcPr>
            <w:tcW w:w="1680" w:type="dxa"/>
            <w:tcBorders>
              <w:top w:val="nil"/>
              <w:left w:val="nil"/>
              <w:bottom w:val="nil"/>
              <w:right w:val="nil"/>
            </w:tcBorders>
            <w:tcMar>
              <w:top w:w="0" w:type="dxa"/>
              <w:left w:w="100" w:type="dxa"/>
              <w:bottom w:w="0" w:type="dxa"/>
              <w:right w:w="100" w:type="dxa"/>
            </w:tcMar>
          </w:tcPr>
          <w:p w14:paraId="5043BEBC"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APC</w:t>
            </w:r>
          </w:p>
        </w:tc>
        <w:tc>
          <w:tcPr>
            <w:tcW w:w="1200" w:type="dxa"/>
            <w:tcBorders>
              <w:top w:val="nil"/>
              <w:left w:val="nil"/>
              <w:bottom w:val="nil"/>
              <w:right w:val="nil"/>
            </w:tcBorders>
            <w:tcMar>
              <w:top w:w="0" w:type="dxa"/>
              <w:left w:w="100" w:type="dxa"/>
              <w:bottom w:w="0" w:type="dxa"/>
              <w:right w:w="100" w:type="dxa"/>
            </w:tcMar>
          </w:tcPr>
          <w:p w14:paraId="51F91F77"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ICFR44</w:t>
            </w:r>
          </w:p>
        </w:tc>
        <w:tc>
          <w:tcPr>
            <w:tcW w:w="1140" w:type="dxa"/>
            <w:tcBorders>
              <w:top w:val="nil"/>
              <w:left w:val="nil"/>
              <w:bottom w:val="nil"/>
              <w:right w:val="nil"/>
            </w:tcBorders>
            <w:tcMar>
              <w:top w:w="0" w:type="dxa"/>
              <w:left w:w="100" w:type="dxa"/>
              <w:bottom w:w="0" w:type="dxa"/>
              <w:right w:w="100" w:type="dxa"/>
            </w:tcMar>
          </w:tcPr>
          <w:p w14:paraId="5D390B05"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1/20</w:t>
            </w:r>
          </w:p>
        </w:tc>
        <w:tc>
          <w:tcPr>
            <w:tcW w:w="1890" w:type="dxa"/>
            <w:tcBorders>
              <w:top w:val="nil"/>
              <w:left w:val="nil"/>
              <w:bottom w:val="nil"/>
              <w:right w:val="nil"/>
            </w:tcBorders>
            <w:tcMar>
              <w:top w:w="0" w:type="dxa"/>
              <w:left w:w="100" w:type="dxa"/>
              <w:bottom w:w="0" w:type="dxa"/>
              <w:right w:w="100" w:type="dxa"/>
            </w:tcMar>
          </w:tcPr>
          <w:p w14:paraId="7068A325" w14:textId="77777777" w:rsidR="00A64256" w:rsidRDefault="00FA71C2">
            <w:pPr>
              <w:spacing w:before="240" w:line="240" w:lineRule="auto"/>
              <w:jc w:val="both"/>
              <w:rPr>
                <w:rFonts w:ascii="Calibri" w:eastAsia="Calibri" w:hAnsi="Calibri" w:cs="Calibri"/>
                <w:sz w:val="20"/>
                <w:szCs w:val="20"/>
              </w:rPr>
            </w:pPr>
            <w:proofErr w:type="spellStart"/>
            <w:r>
              <w:rPr>
                <w:rFonts w:ascii="Calibri" w:eastAsia="Calibri" w:hAnsi="Calibri" w:cs="Calibri"/>
                <w:sz w:val="20"/>
                <w:szCs w:val="20"/>
              </w:rPr>
              <w:t>Biolegend</w:t>
            </w:r>
            <w:proofErr w:type="spellEnd"/>
          </w:p>
        </w:tc>
        <w:tc>
          <w:tcPr>
            <w:tcW w:w="1500" w:type="dxa"/>
            <w:tcBorders>
              <w:top w:val="nil"/>
              <w:left w:val="nil"/>
              <w:bottom w:val="nil"/>
              <w:right w:val="nil"/>
            </w:tcBorders>
            <w:tcMar>
              <w:top w:w="0" w:type="dxa"/>
              <w:left w:w="100" w:type="dxa"/>
              <w:bottom w:w="0" w:type="dxa"/>
              <w:right w:w="100" w:type="dxa"/>
            </w:tcMar>
          </w:tcPr>
          <w:p w14:paraId="7947A498"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301310</w:t>
            </w:r>
          </w:p>
        </w:tc>
      </w:tr>
      <w:tr w:rsidR="00A64256" w14:paraId="4E748B44" w14:textId="77777777">
        <w:trPr>
          <w:trHeight w:val="915"/>
        </w:trPr>
        <w:tc>
          <w:tcPr>
            <w:tcW w:w="1470" w:type="dxa"/>
            <w:tcBorders>
              <w:top w:val="nil"/>
              <w:left w:val="nil"/>
              <w:bottom w:val="nil"/>
              <w:right w:val="nil"/>
            </w:tcBorders>
            <w:tcMar>
              <w:top w:w="0" w:type="dxa"/>
              <w:left w:w="100" w:type="dxa"/>
              <w:bottom w:w="0" w:type="dxa"/>
              <w:right w:w="100" w:type="dxa"/>
            </w:tcMar>
          </w:tcPr>
          <w:p w14:paraId="3FB51316"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CD62L</w:t>
            </w:r>
          </w:p>
        </w:tc>
        <w:tc>
          <w:tcPr>
            <w:tcW w:w="1680" w:type="dxa"/>
            <w:tcBorders>
              <w:top w:val="nil"/>
              <w:left w:val="nil"/>
              <w:bottom w:val="nil"/>
              <w:right w:val="nil"/>
            </w:tcBorders>
            <w:tcMar>
              <w:top w:w="0" w:type="dxa"/>
              <w:left w:w="100" w:type="dxa"/>
              <w:bottom w:w="0" w:type="dxa"/>
              <w:right w:w="100" w:type="dxa"/>
            </w:tcMar>
          </w:tcPr>
          <w:p w14:paraId="20AA032B"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PeCy7</w:t>
            </w:r>
          </w:p>
        </w:tc>
        <w:tc>
          <w:tcPr>
            <w:tcW w:w="1200" w:type="dxa"/>
            <w:tcBorders>
              <w:top w:val="nil"/>
              <w:left w:val="nil"/>
              <w:bottom w:val="nil"/>
              <w:right w:val="nil"/>
            </w:tcBorders>
            <w:tcMar>
              <w:top w:w="0" w:type="dxa"/>
              <w:left w:w="100" w:type="dxa"/>
              <w:bottom w:w="0" w:type="dxa"/>
              <w:right w:w="100" w:type="dxa"/>
            </w:tcMar>
          </w:tcPr>
          <w:p w14:paraId="354849BC"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DREG-56</w:t>
            </w:r>
          </w:p>
        </w:tc>
        <w:tc>
          <w:tcPr>
            <w:tcW w:w="1140" w:type="dxa"/>
            <w:tcBorders>
              <w:top w:val="nil"/>
              <w:left w:val="nil"/>
              <w:bottom w:val="nil"/>
              <w:right w:val="nil"/>
            </w:tcBorders>
            <w:tcMar>
              <w:top w:w="0" w:type="dxa"/>
              <w:left w:w="100" w:type="dxa"/>
              <w:bottom w:w="0" w:type="dxa"/>
              <w:right w:w="100" w:type="dxa"/>
            </w:tcMar>
          </w:tcPr>
          <w:p w14:paraId="31418538"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1/20</w:t>
            </w:r>
          </w:p>
        </w:tc>
        <w:tc>
          <w:tcPr>
            <w:tcW w:w="1890" w:type="dxa"/>
            <w:tcBorders>
              <w:top w:val="nil"/>
              <w:left w:val="nil"/>
              <w:bottom w:val="nil"/>
              <w:right w:val="nil"/>
            </w:tcBorders>
            <w:tcMar>
              <w:top w:w="0" w:type="dxa"/>
              <w:left w:w="100" w:type="dxa"/>
              <w:bottom w:w="0" w:type="dxa"/>
              <w:right w:w="100" w:type="dxa"/>
            </w:tcMar>
          </w:tcPr>
          <w:p w14:paraId="39A0799B"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BD Biosciences</w:t>
            </w:r>
          </w:p>
        </w:tc>
        <w:tc>
          <w:tcPr>
            <w:tcW w:w="1500" w:type="dxa"/>
            <w:tcBorders>
              <w:top w:val="nil"/>
              <w:left w:val="nil"/>
              <w:bottom w:val="nil"/>
              <w:right w:val="nil"/>
            </w:tcBorders>
            <w:tcMar>
              <w:top w:w="0" w:type="dxa"/>
              <w:left w:w="100" w:type="dxa"/>
              <w:bottom w:w="0" w:type="dxa"/>
              <w:right w:w="100" w:type="dxa"/>
            </w:tcMar>
          </w:tcPr>
          <w:p w14:paraId="5C65F4FE"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565535</w:t>
            </w:r>
          </w:p>
        </w:tc>
      </w:tr>
      <w:tr w:rsidR="00A64256" w14:paraId="3ECD8799" w14:textId="77777777">
        <w:trPr>
          <w:trHeight w:val="915"/>
        </w:trPr>
        <w:tc>
          <w:tcPr>
            <w:tcW w:w="1470" w:type="dxa"/>
            <w:tcBorders>
              <w:top w:val="nil"/>
              <w:left w:val="nil"/>
              <w:bottom w:val="nil"/>
              <w:right w:val="nil"/>
            </w:tcBorders>
            <w:tcMar>
              <w:top w:w="0" w:type="dxa"/>
              <w:left w:w="100" w:type="dxa"/>
              <w:bottom w:w="0" w:type="dxa"/>
              <w:right w:w="100" w:type="dxa"/>
            </w:tcMar>
          </w:tcPr>
          <w:p w14:paraId="680F851F"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CD14</w:t>
            </w:r>
          </w:p>
        </w:tc>
        <w:tc>
          <w:tcPr>
            <w:tcW w:w="1680" w:type="dxa"/>
            <w:tcBorders>
              <w:top w:val="nil"/>
              <w:left w:val="nil"/>
              <w:bottom w:val="nil"/>
              <w:right w:val="nil"/>
            </w:tcBorders>
            <w:tcMar>
              <w:top w:w="0" w:type="dxa"/>
              <w:left w:w="100" w:type="dxa"/>
              <w:bottom w:w="0" w:type="dxa"/>
              <w:right w:w="100" w:type="dxa"/>
            </w:tcMar>
          </w:tcPr>
          <w:p w14:paraId="3672D2CD"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FITC</w:t>
            </w:r>
          </w:p>
        </w:tc>
        <w:tc>
          <w:tcPr>
            <w:tcW w:w="1200" w:type="dxa"/>
            <w:tcBorders>
              <w:top w:val="nil"/>
              <w:left w:val="nil"/>
              <w:bottom w:val="nil"/>
              <w:right w:val="nil"/>
            </w:tcBorders>
            <w:tcMar>
              <w:top w:w="0" w:type="dxa"/>
              <w:left w:w="100" w:type="dxa"/>
              <w:bottom w:w="0" w:type="dxa"/>
              <w:right w:w="100" w:type="dxa"/>
            </w:tcMar>
          </w:tcPr>
          <w:p w14:paraId="6E0DC275"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M5E2</w:t>
            </w:r>
          </w:p>
        </w:tc>
        <w:tc>
          <w:tcPr>
            <w:tcW w:w="1140" w:type="dxa"/>
            <w:tcBorders>
              <w:top w:val="nil"/>
              <w:left w:val="nil"/>
              <w:bottom w:val="nil"/>
              <w:right w:val="nil"/>
            </w:tcBorders>
            <w:tcMar>
              <w:top w:w="0" w:type="dxa"/>
              <w:left w:w="100" w:type="dxa"/>
              <w:bottom w:w="0" w:type="dxa"/>
              <w:right w:w="100" w:type="dxa"/>
            </w:tcMar>
          </w:tcPr>
          <w:p w14:paraId="20EA075B"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1/50</w:t>
            </w:r>
          </w:p>
        </w:tc>
        <w:tc>
          <w:tcPr>
            <w:tcW w:w="1890" w:type="dxa"/>
            <w:tcBorders>
              <w:top w:val="nil"/>
              <w:left w:val="nil"/>
              <w:bottom w:val="nil"/>
              <w:right w:val="nil"/>
            </w:tcBorders>
            <w:tcMar>
              <w:top w:w="0" w:type="dxa"/>
              <w:left w:w="100" w:type="dxa"/>
              <w:bottom w:w="0" w:type="dxa"/>
              <w:right w:w="100" w:type="dxa"/>
            </w:tcMar>
          </w:tcPr>
          <w:p w14:paraId="4D28E37B"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BD Biosciences</w:t>
            </w:r>
          </w:p>
        </w:tc>
        <w:tc>
          <w:tcPr>
            <w:tcW w:w="1500" w:type="dxa"/>
            <w:tcBorders>
              <w:top w:val="nil"/>
              <w:left w:val="nil"/>
              <w:bottom w:val="nil"/>
              <w:right w:val="nil"/>
            </w:tcBorders>
            <w:tcMar>
              <w:top w:w="0" w:type="dxa"/>
              <w:left w:w="100" w:type="dxa"/>
              <w:bottom w:w="0" w:type="dxa"/>
              <w:right w:w="100" w:type="dxa"/>
            </w:tcMar>
          </w:tcPr>
          <w:p w14:paraId="34ABD314"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561712</w:t>
            </w:r>
          </w:p>
        </w:tc>
      </w:tr>
      <w:tr w:rsidR="00A64256" w14:paraId="2494684D" w14:textId="77777777">
        <w:trPr>
          <w:trHeight w:val="915"/>
        </w:trPr>
        <w:tc>
          <w:tcPr>
            <w:tcW w:w="1470" w:type="dxa"/>
            <w:tcBorders>
              <w:top w:val="nil"/>
              <w:left w:val="nil"/>
              <w:bottom w:val="nil"/>
              <w:right w:val="nil"/>
            </w:tcBorders>
            <w:tcMar>
              <w:top w:w="0" w:type="dxa"/>
              <w:left w:w="100" w:type="dxa"/>
              <w:bottom w:w="0" w:type="dxa"/>
              <w:right w:w="100" w:type="dxa"/>
            </w:tcMar>
          </w:tcPr>
          <w:p w14:paraId="6DD7D08C"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SYTOX blue</w:t>
            </w:r>
          </w:p>
        </w:tc>
        <w:tc>
          <w:tcPr>
            <w:tcW w:w="1680" w:type="dxa"/>
            <w:tcBorders>
              <w:top w:val="nil"/>
              <w:left w:val="nil"/>
              <w:bottom w:val="nil"/>
              <w:right w:val="nil"/>
            </w:tcBorders>
            <w:tcMar>
              <w:top w:w="0" w:type="dxa"/>
              <w:left w:w="100" w:type="dxa"/>
              <w:bottom w:w="0" w:type="dxa"/>
              <w:right w:w="100" w:type="dxa"/>
            </w:tcMar>
          </w:tcPr>
          <w:p w14:paraId="0B686E25"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Pacific Blue</w:t>
            </w:r>
          </w:p>
        </w:tc>
        <w:tc>
          <w:tcPr>
            <w:tcW w:w="1200" w:type="dxa"/>
            <w:tcBorders>
              <w:top w:val="nil"/>
              <w:left w:val="nil"/>
              <w:bottom w:val="nil"/>
              <w:right w:val="nil"/>
            </w:tcBorders>
            <w:tcMar>
              <w:top w:w="0" w:type="dxa"/>
              <w:left w:w="100" w:type="dxa"/>
              <w:bottom w:w="0" w:type="dxa"/>
              <w:right w:w="100" w:type="dxa"/>
            </w:tcMar>
          </w:tcPr>
          <w:p w14:paraId="4056287B"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N/A</w:t>
            </w:r>
          </w:p>
        </w:tc>
        <w:tc>
          <w:tcPr>
            <w:tcW w:w="1140" w:type="dxa"/>
            <w:tcBorders>
              <w:top w:val="nil"/>
              <w:left w:val="nil"/>
              <w:bottom w:val="nil"/>
              <w:right w:val="nil"/>
            </w:tcBorders>
            <w:tcMar>
              <w:top w:w="0" w:type="dxa"/>
              <w:left w:w="100" w:type="dxa"/>
              <w:bottom w:w="0" w:type="dxa"/>
              <w:right w:w="100" w:type="dxa"/>
            </w:tcMar>
          </w:tcPr>
          <w:p w14:paraId="445BC283"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1/200</w:t>
            </w:r>
          </w:p>
        </w:tc>
        <w:tc>
          <w:tcPr>
            <w:tcW w:w="1890" w:type="dxa"/>
            <w:tcBorders>
              <w:top w:val="nil"/>
              <w:left w:val="nil"/>
              <w:bottom w:val="nil"/>
              <w:right w:val="nil"/>
            </w:tcBorders>
            <w:tcMar>
              <w:top w:w="0" w:type="dxa"/>
              <w:left w:w="100" w:type="dxa"/>
              <w:bottom w:w="0" w:type="dxa"/>
              <w:right w:w="100" w:type="dxa"/>
            </w:tcMar>
          </w:tcPr>
          <w:p w14:paraId="0F41EE8A"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Invitrogen</w:t>
            </w:r>
          </w:p>
        </w:tc>
        <w:tc>
          <w:tcPr>
            <w:tcW w:w="1500" w:type="dxa"/>
            <w:tcBorders>
              <w:top w:val="nil"/>
              <w:left w:val="nil"/>
              <w:bottom w:val="nil"/>
              <w:right w:val="nil"/>
            </w:tcBorders>
            <w:tcMar>
              <w:top w:w="0" w:type="dxa"/>
              <w:left w:w="100" w:type="dxa"/>
              <w:bottom w:w="0" w:type="dxa"/>
              <w:right w:w="100" w:type="dxa"/>
            </w:tcMar>
          </w:tcPr>
          <w:p w14:paraId="6F68DA87"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S34857</w:t>
            </w:r>
          </w:p>
        </w:tc>
      </w:tr>
      <w:tr w:rsidR="00A64256" w14:paraId="02AA1003" w14:textId="77777777">
        <w:trPr>
          <w:trHeight w:val="915"/>
        </w:trPr>
        <w:tc>
          <w:tcPr>
            <w:tcW w:w="1470" w:type="dxa"/>
            <w:tcBorders>
              <w:top w:val="nil"/>
              <w:left w:val="nil"/>
              <w:bottom w:val="nil"/>
              <w:right w:val="nil"/>
            </w:tcBorders>
            <w:tcMar>
              <w:top w:w="0" w:type="dxa"/>
              <w:left w:w="100" w:type="dxa"/>
              <w:bottom w:w="0" w:type="dxa"/>
              <w:right w:w="100" w:type="dxa"/>
            </w:tcMar>
          </w:tcPr>
          <w:p w14:paraId="6C72242B"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7AAD</w:t>
            </w:r>
          </w:p>
        </w:tc>
        <w:tc>
          <w:tcPr>
            <w:tcW w:w="1680" w:type="dxa"/>
            <w:tcBorders>
              <w:top w:val="nil"/>
              <w:left w:val="nil"/>
              <w:bottom w:val="nil"/>
              <w:right w:val="nil"/>
            </w:tcBorders>
            <w:tcMar>
              <w:top w:w="0" w:type="dxa"/>
              <w:left w:w="100" w:type="dxa"/>
              <w:bottom w:w="0" w:type="dxa"/>
              <w:right w:w="100" w:type="dxa"/>
            </w:tcMar>
          </w:tcPr>
          <w:p w14:paraId="71E2696C" w14:textId="77777777" w:rsidR="00A64256" w:rsidRDefault="00FA71C2">
            <w:pPr>
              <w:spacing w:before="240" w:line="240" w:lineRule="auto"/>
              <w:jc w:val="both"/>
              <w:rPr>
                <w:rFonts w:ascii="Calibri" w:eastAsia="Calibri" w:hAnsi="Calibri" w:cs="Calibri"/>
                <w:sz w:val="20"/>
                <w:szCs w:val="20"/>
              </w:rPr>
            </w:pPr>
            <w:proofErr w:type="spellStart"/>
            <w:r>
              <w:rPr>
                <w:rFonts w:ascii="Calibri" w:eastAsia="Calibri" w:hAnsi="Calibri" w:cs="Calibri"/>
                <w:sz w:val="20"/>
                <w:szCs w:val="20"/>
              </w:rPr>
              <w:t>PerCP</w:t>
            </w:r>
            <w:proofErr w:type="spellEnd"/>
          </w:p>
        </w:tc>
        <w:tc>
          <w:tcPr>
            <w:tcW w:w="1200" w:type="dxa"/>
            <w:tcBorders>
              <w:top w:val="nil"/>
              <w:left w:val="nil"/>
              <w:bottom w:val="nil"/>
              <w:right w:val="nil"/>
            </w:tcBorders>
            <w:tcMar>
              <w:top w:w="0" w:type="dxa"/>
              <w:left w:w="100" w:type="dxa"/>
              <w:bottom w:w="0" w:type="dxa"/>
              <w:right w:w="100" w:type="dxa"/>
            </w:tcMar>
          </w:tcPr>
          <w:p w14:paraId="15F35257"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N/A</w:t>
            </w:r>
          </w:p>
        </w:tc>
        <w:tc>
          <w:tcPr>
            <w:tcW w:w="1140" w:type="dxa"/>
            <w:tcBorders>
              <w:top w:val="nil"/>
              <w:left w:val="nil"/>
              <w:bottom w:val="nil"/>
              <w:right w:val="nil"/>
            </w:tcBorders>
            <w:tcMar>
              <w:top w:w="0" w:type="dxa"/>
              <w:left w:w="100" w:type="dxa"/>
              <w:bottom w:w="0" w:type="dxa"/>
              <w:right w:w="100" w:type="dxa"/>
            </w:tcMar>
          </w:tcPr>
          <w:p w14:paraId="32AAA20E"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1/100</w:t>
            </w:r>
          </w:p>
        </w:tc>
        <w:tc>
          <w:tcPr>
            <w:tcW w:w="1890" w:type="dxa"/>
            <w:tcBorders>
              <w:top w:val="nil"/>
              <w:left w:val="nil"/>
              <w:bottom w:val="nil"/>
              <w:right w:val="nil"/>
            </w:tcBorders>
            <w:tcMar>
              <w:top w:w="0" w:type="dxa"/>
              <w:left w:w="100" w:type="dxa"/>
              <w:bottom w:w="0" w:type="dxa"/>
              <w:right w:w="100" w:type="dxa"/>
            </w:tcMar>
          </w:tcPr>
          <w:p w14:paraId="5717D3BE"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BD Biosciences</w:t>
            </w:r>
          </w:p>
        </w:tc>
        <w:tc>
          <w:tcPr>
            <w:tcW w:w="1500" w:type="dxa"/>
            <w:tcBorders>
              <w:top w:val="nil"/>
              <w:left w:val="nil"/>
              <w:bottom w:val="nil"/>
              <w:right w:val="nil"/>
            </w:tcBorders>
            <w:tcMar>
              <w:top w:w="0" w:type="dxa"/>
              <w:left w:w="100" w:type="dxa"/>
              <w:bottom w:w="0" w:type="dxa"/>
              <w:right w:w="100" w:type="dxa"/>
            </w:tcMar>
          </w:tcPr>
          <w:p w14:paraId="48230600"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559925</w:t>
            </w:r>
          </w:p>
        </w:tc>
      </w:tr>
      <w:tr w:rsidR="00A64256" w14:paraId="4D5D11F1" w14:textId="77777777">
        <w:trPr>
          <w:trHeight w:val="915"/>
        </w:trPr>
        <w:tc>
          <w:tcPr>
            <w:tcW w:w="1470" w:type="dxa"/>
            <w:tcBorders>
              <w:top w:val="nil"/>
              <w:left w:val="nil"/>
              <w:bottom w:val="single" w:sz="5" w:space="0" w:color="000000"/>
              <w:right w:val="nil"/>
            </w:tcBorders>
            <w:tcMar>
              <w:top w:w="0" w:type="dxa"/>
              <w:left w:w="100" w:type="dxa"/>
              <w:bottom w:w="0" w:type="dxa"/>
              <w:right w:w="100" w:type="dxa"/>
            </w:tcMar>
          </w:tcPr>
          <w:p w14:paraId="5134E6AE"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Annexin V</w:t>
            </w:r>
          </w:p>
        </w:tc>
        <w:tc>
          <w:tcPr>
            <w:tcW w:w="1680" w:type="dxa"/>
            <w:tcBorders>
              <w:top w:val="nil"/>
              <w:left w:val="nil"/>
              <w:bottom w:val="single" w:sz="5" w:space="0" w:color="000000"/>
              <w:right w:val="nil"/>
            </w:tcBorders>
            <w:tcMar>
              <w:top w:w="0" w:type="dxa"/>
              <w:left w:w="100" w:type="dxa"/>
              <w:bottom w:w="0" w:type="dxa"/>
              <w:right w:w="100" w:type="dxa"/>
            </w:tcMar>
          </w:tcPr>
          <w:p w14:paraId="758285C4"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PE</w:t>
            </w:r>
          </w:p>
        </w:tc>
        <w:tc>
          <w:tcPr>
            <w:tcW w:w="1200" w:type="dxa"/>
            <w:tcBorders>
              <w:top w:val="nil"/>
              <w:left w:val="nil"/>
              <w:bottom w:val="single" w:sz="5" w:space="0" w:color="000000"/>
              <w:right w:val="nil"/>
            </w:tcBorders>
            <w:tcMar>
              <w:top w:w="0" w:type="dxa"/>
              <w:left w:w="100" w:type="dxa"/>
              <w:bottom w:w="0" w:type="dxa"/>
              <w:right w:w="100" w:type="dxa"/>
            </w:tcMar>
          </w:tcPr>
          <w:p w14:paraId="2B5297E8"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N/A</w:t>
            </w:r>
          </w:p>
        </w:tc>
        <w:tc>
          <w:tcPr>
            <w:tcW w:w="1140" w:type="dxa"/>
            <w:tcBorders>
              <w:top w:val="nil"/>
              <w:left w:val="nil"/>
              <w:bottom w:val="single" w:sz="5" w:space="0" w:color="000000"/>
              <w:right w:val="nil"/>
            </w:tcBorders>
            <w:tcMar>
              <w:top w:w="0" w:type="dxa"/>
              <w:left w:w="100" w:type="dxa"/>
              <w:bottom w:w="0" w:type="dxa"/>
              <w:right w:w="100" w:type="dxa"/>
            </w:tcMar>
          </w:tcPr>
          <w:p w14:paraId="1A9A61BF"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1/100</w:t>
            </w:r>
          </w:p>
        </w:tc>
        <w:tc>
          <w:tcPr>
            <w:tcW w:w="1890" w:type="dxa"/>
            <w:tcBorders>
              <w:top w:val="nil"/>
              <w:left w:val="nil"/>
              <w:bottom w:val="single" w:sz="5" w:space="0" w:color="000000"/>
              <w:right w:val="nil"/>
            </w:tcBorders>
            <w:tcMar>
              <w:top w:w="0" w:type="dxa"/>
              <w:left w:w="100" w:type="dxa"/>
              <w:bottom w:w="0" w:type="dxa"/>
              <w:right w:w="100" w:type="dxa"/>
            </w:tcMar>
          </w:tcPr>
          <w:p w14:paraId="2FA49449"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BD Biosciences</w:t>
            </w:r>
          </w:p>
        </w:tc>
        <w:tc>
          <w:tcPr>
            <w:tcW w:w="1500" w:type="dxa"/>
            <w:tcBorders>
              <w:top w:val="nil"/>
              <w:left w:val="nil"/>
              <w:bottom w:val="single" w:sz="5" w:space="0" w:color="000000"/>
              <w:right w:val="nil"/>
            </w:tcBorders>
            <w:tcMar>
              <w:top w:w="0" w:type="dxa"/>
              <w:left w:w="100" w:type="dxa"/>
              <w:bottom w:w="0" w:type="dxa"/>
              <w:right w:w="100" w:type="dxa"/>
            </w:tcMar>
          </w:tcPr>
          <w:p w14:paraId="57D97B53" w14:textId="77777777" w:rsidR="00A64256" w:rsidRDefault="00FA71C2">
            <w:pPr>
              <w:spacing w:before="240" w:line="240" w:lineRule="auto"/>
              <w:jc w:val="both"/>
              <w:rPr>
                <w:rFonts w:ascii="Calibri" w:eastAsia="Calibri" w:hAnsi="Calibri" w:cs="Calibri"/>
                <w:sz w:val="20"/>
                <w:szCs w:val="20"/>
              </w:rPr>
            </w:pPr>
            <w:r>
              <w:rPr>
                <w:rFonts w:ascii="Calibri" w:eastAsia="Calibri" w:hAnsi="Calibri" w:cs="Calibri"/>
                <w:sz w:val="20"/>
                <w:szCs w:val="20"/>
              </w:rPr>
              <w:t>51-65875X</w:t>
            </w:r>
          </w:p>
        </w:tc>
      </w:tr>
    </w:tbl>
    <w:p w14:paraId="06862EE2" w14:textId="3273B487" w:rsidR="00A64256" w:rsidRDefault="00FA71C2">
      <w:pPr>
        <w:spacing w:before="240" w:after="240" w:line="240" w:lineRule="auto"/>
        <w:jc w:val="both"/>
        <w:rPr>
          <w:rFonts w:ascii="Calibri" w:eastAsia="Calibri" w:hAnsi="Calibri" w:cs="Calibri"/>
          <w:sz w:val="24"/>
          <w:szCs w:val="24"/>
        </w:rPr>
      </w:pPr>
      <w:r>
        <w:rPr>
          <w:rFonts w:ascii="Calibri" w:eastAsia="Calibri" w:hAnsi="Calibri" w:cs="Calibri"/>
          <w:b/>
          <w:sz w:val="24"/>
          <w:szCs w:val="24"/>
        </w:rPr>
        <w:t>Table S</w:t>
      </w:r>
      <w:r w:rsidR="00906F94">
        <w:rPr>
          <w:rFonts w:ascii="Calibri" w:eastAsia="Calibri" w:hAnsi="Calibri" w:cs="Calibri"/>
          <w:b/>
          <w:sz w:val="24"/>
          <w:szCs w:val="24"/>
        </w:rPr>
        <w:t>6</w:t>
      </w:r>
      <w:r>
        <w:rPr>
          <w:rFonts w:ascii="Calibri" w:eastAsia="Calibri" w:hAnsi="Calibri" w:cs="Calibri"/>
          <w:b/>
          <w:sz w:val="24"/>
          <w:szCs w:val="24"/>
        </w:rPr>
        <w:t>.</w:t>
      </w:r>
      <w:r>
        <w:rPr>
          <w:rFonts w:ascii="Calibri" w:eastAsia="Calibri" w:hAnsi="Calibri" w:cs="Calibri"/>
          <w:sz w:val="24"/>
          <w:szCs w:val="24"/>
        </w:rPr>
        <w:t xml:space="preserve"> Antibodies used for flow cytometry. N/A=not applicable</w:t>
      </w:r>
    </w:p>
    <w:p w14:paraId="68B96ED8" w14:textId="77777777" w:rsidR="00910991" w:rsidRDefault="00910991">
      <w:pPr>
        <w:spacing w:before="240" w:after="240" w:line="240" w:lineRule="auto"/>
        <w:jc w:val="both"/>
        <w:rPr>
          <w:rFonts w:ascii="Calibri" w:eastAsia="Calibri" w:hAnsi="Calibri" w:cs="Calibri"/>
          <w:sz w:val="24"/>
          <w:szCs w:val="24"/>
        </w:rPr>
      </w:pPr>
    </w:p>
    <w:p w14:paraId="686BBBC4" w14:textId="77777777" w:rsidR="00910991" w:rsidRDefault="00910991">
      <w:pPr>
        <w:spacing w:before="240" w:after="240" w:line="240" w:lineRule="auto"/>
        <w:jc w:val="both"/>
        <w:rPr>
          <w:rFonts w:ascii="Calibri" w:eastAsia="Calibri" w:hAnsi="Calibri" w:cs="Calibri"/>
          <w:sz w:val="24"/>
          <w:szCs w:val="24"/>
        </w:rPr>
      </w:pPr>
    </w:p>
    <w:p w14:paraId="280BE6B5" w14:textId="77777777" w:rsidR="00203B50" w:rsidRDefault="00203B50">
      <w:pPr>
        <w:rPr>
          <w:rFonts w:ascii="Calibri" w:eastAsia="Calibri" w:hAnsi="Calibri" w:cs="Calibri"/>
          <w:b/>
          <w:sz w:val="28"/>
          <w:szCs w:val="28"/>
        </w:rPr>
      </w:pPr>
      <w:r>
        <w:rPr>
          <w:rFonts w:ascii="Calibri" w:eastAsia="Calibri" w:hAnsi="Calibri" w:cs="Calibri"/>
          <w:b/>
          <w:sz w:val="28"/>
          <w:szCs w:val="28"/>
        </w:rPr>
        <w:br w:type="page"/>
      </w:r>
    </w:p>
    <w:p w14:paraId="6722DC15" w14:textId="6F22A997" w:rsidR="00A64256" w:rsidRPr="00D50ADC" w:rsidRDefault="00FA71C2" w:rsidP="00D50ADC">
      <w:pPr>
        <w:pStyle w:val="ListParagraph"/>
        <w:numPr>
          <w:ilvl w:val="0"/>
          <w:numId w:val="1"/>
        </w:numPr>
        <w:spacing w:before="240" w:after="240" w:line="360" w:lineRule="auto"/>
        <w:jc w:val="both"/>
        <w:rPr>
          <w:rFonts w:ascii="Calibri" w:eastAsia="Calibri" w:hAnsi="Calibri" w:cs="Calibri"/>
          <w:b/>
          <w:sz w:val="28"/>
          <w:szCs w:val="28"/>
        </w:rPr>
      </w:pPr>
      <w:r w:rsidRPr="00D50ADC">
        <w:rPr>
          <w:rFonts w:ascii="Calibri" w:eastAsia="Calibri" w:hAnsi="Calibri" w:cs="Calibri"/>
          <w:b/>
          <w:sz w:val="28"/>
          <w:szCs w:val="28"/>
        </w:rPr>
        <w:lastRenderedPageBreak/>
        <w:t>Supplementary figures</w:t>
      </w:r>
    </w:p>
    <w:p w14:paraId="4BBA78C6" w14:textId="77777777" w:rsidR="00432074" w:rsidRDefault="00432074" w:rsidP="00432074">
      <w:pPr>
        <w:spacing w:before="240" w:after="240" w:line="240" w:lineRule="auto"/>
        <w:jc w:val="center"/>
        <w:rPr>
          <w:rFonts w:ascii="Calibri" w:eastAsia="Calibri" w:hAnsi="Calibri" w:cs="Calibri"/>
        </w:rPr>
      </w:pPr>
      <w:r>
        <w:rPr>
          <w:rFonts w:ascii="Calibri" w:eastAsia="Calibri" w:hAnsi="Calibri" w:cs="Calibri"/>
          <w:noProof/>
          <w:lang w:val="fr-FR"/>
        </w:rPr>
        <w:drawing>
          <wp:inline distT="114300" distB="114300" distL="114300" distR="114300" wp14:anchorId="72607478" wp14:editId="19873AE7">
            <wp:extent cx="4300538" cy="3464806"/>
            <wp:effectExtent l="0" t="0" r="0" b="0"/>
            <wp:docPr id="8" name="image4.png" descr="Une image contenant texte, capture d’écran, diagramme, Polic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8" name="image4.png" descr="Une image contenant texte, capture d’écran, diagramme, Police&#10;&#10;Le contenu généré par l’IA peut être incorrect."/>
                    <pic:cNvPicPr preferRelativeResize="0"/>
                  </pic:nvPicPr>
                  <pic:blipFill>
                    <a:blip r:embed="rId9"/>
                    <a:srcRect t="12339" b="7051"/>
                    <a:stretch>
                      <a:fillRect/>
                    </a:stretch>
                  </pic:blipFill>
                  <pic:spPr>
                    <a:xfrm>
                      <a:off x="0" y="0"/>
                      <a:ext cx="4300538" cy="3464806"/>
                    </a:xfrm>
                    <a:prstGeom prst="rect">
                      <a:avLst/>
                    </a:prstGeom>
                    <a:ln/>
                  </pic:spPr>
                </pic:pic>
              </a:graphicData>
            </a:graphic>
          </wp:inline>
        </w:drawing>
      </w:r>
    </w:p>
    <w:p w14:paraId="4BB82496" w14:textId="029EF184" w:rsidR="00432074" w:rsidRDefault="00432074" w:rsidP="00432074">
      <w:pPr>
        <w:spacing w:before="240" w:after="240" w:line="240" w:lineRule="auto"/>
        <w:jc w:val="both"/>
        <w:rPr>
          <w:rFonts w:ascii="Calibri" w:eastAsia="Calibri" w:hAnsi="Calibri" w:cs="Calibri"/>
          <w:sz w:val="24"/>
          <w:szCs w:val="24"/>
        </w:rPr>
      </w:pPr>
      <w:r w:rsidRPr="00576620">
        <w:rPr>
          <w:rFonts w:ascii="Calibri" w:eastAsia="Calibri" w:hAnsi="Calibri" w:cs="Calibri"/>
          <w:b/>
          <w:sz w:val="24"/>
          <w:szCs w:val="24"/>
        </w:rPr>
        <w:t>Figure S</w:t>
      </w:r>
      <w:r>
        <w:rPr>
          <w:rFonts w:ascii="Calibri" w:eastAsia="Calibri" w:hAnsi="Calibri" w:cs="Calibri"/>
          <w:b/>
          <w:sz w:val="24"/>
          <w:szCs w:val="24"/>
        </w:rPr>
        <w:t>1</w:t>
      </w:r>
      <w:r>
        <w:rPr>
          <w:rFonts w:ascii="Calibri" w:eastAsia="Calibri" w:hAnsi="Calibri" w:cs="Calibri"/>
        </w:rPr>
        <w:t xml:space="preserve">. </w:t>
      </w:r>
      <w:r>
        <w:rPr>
          <w:rFonts w:ascii="Calibri" w:eastAsia="Calibri" w:hAnsi="Calibri" w:cs="Calibri"/>
          <w:sz w:val="24"/>
          <w:szCs w:val="24"/>
        </w:rPr>
        <w:t xml:space="preserve">Volcano plot of upregulated and downregulated genes in CMP1 </w:t>
      </w:r>
      <w:r>
        <w:rPr>
          <w:rFonts w:ascii="Calibri" w:eastAsia="Calibri" w:hAnsi="Calibri" w:cs="Calibri"/>
          <w:i/>
          <w:sz w:val="24"/>
          <w:szCs w:val="24"/>
        </w:rPr>
        <w:t>versus</w:t>
      </w:r>
      <w:r>
        <w:rPr>
          <w:rFonts w:ascii="Calibri" w:eastAsia="Calibri" w:hAnsi="Calibri" w:cs="Calibri"/>
          <w:sz w:val="24"/>
          <w:szCs w:val="24"/>
        </w:rPr>
        <w:t xml:space="preserve"> CMP2 (Wilcoxon test).</w:t>
      </w:r>
    </w:p>
    <w:p w14:paraId="7144FEE8" w14:textId="35C76A00" w:rsidR="00432074" w:rsidRPr="00EC2493" w:rsidRDefault="00432074" w:rsidP="00EC2493">
      <w:pPr>
        <w:spacing w:before="240" w:after="240" w:line="240" w:lineRule="auto"/>
        <w:jc w:val="both"/>
        <w:rPr>
          <w:rFonts w:ascii="Calibri" w:eastAsia="Calibri" w:hAnsi="Calibri" w:cs="Calibri"/>
          <w:sz w:val="24"/>
          <w:szCs w:val="24"/>
        </w:rPr>
      </w:pPr>
    </w:p>
    <w:p w14:paraId="3F61EDF1" w14:textId="77777777" w:rsidR="00A64256" w:rsidRDefault="00FA71C2">
      <w:pPr>
        <w:spacing w:before="240" w:after="240" w:line="360" w:lineRule="auto"/>
        <w:jc w:val="center"/>
        <w:rPr>
          <w:sz w:val="24"/>
          <w:szCs w:val="24"/>
        </w:rPr>
      </w:pPr>
      <w:r>
        <w:rPr>
          <w:noProof/>
          <w:sz w:val="24"/>
          <w:szCs w:val="24"/>
          <w:lang w:val="fr-FR"/>
        </w:rPr>
        <w:drawing>
          <wp:inline distT="114300" distB="114300" distL="114300" distR="114300" wp14:anchorId="5EE5C2C9" wp14:editId="2F6E8DAF">
            <wp:extent cx="3000375" cy="2009775"/>
            <wp:effectExtent l="0" t="0" r="0" b="0"/>
            <wp:docPr id="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r="49519"/>
                    <a:stretch>
                      <a:fillRect/>
                    </a:stretch>
                  </pic:blipFill>
                  <pic:spPr>
                    <a:xfrm>
                      <a:off x="0" y="0"/>
                      <a:ext cx="3000375" cy="2009775"/>
                    </a:xfrm>
                    <a:prstGeom prst="rect">
                      <a:avLst/>
                    </a:prstGeom>
                    <a:ln/>
                  </pic:spPr>
                </pic:pic>
              </a:graphicData>
            </a:graphic>
          </wp:inline>
        </w:drawing>
      </w:r>
    </w:p>
    <w:p w14:paraId="33915309" w14:textId="0CDF7FAD" w:rsidR="00EC2493" w:rsidRDefault="00FA71C2">
      <w:pPr>
        <w:spacing w:before="240" w:after="240" w:line="240" w:lineRule="auto"/>
        <w:jc w:val="both"/>
        <w:rPr>
          <w:rFonts w:ascii="Calibri" w:eastAsia="Calibri" w:hAnsi="Calibri" w:cs="Calibri"/>
          <w:sz w:val="24"/>
          <w:szCs w:val="24"/>
        </w:rPr>
      </w:pPr>
      <w:r w:rsidRPr="00576620">
        <w:rPr>
          <w:rFonts w:ascii="Calibri" w:eastAsia="Calibri" w:hAnsi="Calibri" w:cs="Calibri"/>
          <w:b/>
          <w:sz w:val="24"/>
          <w:szCs w:val="24"/>
        </w:rPr>
        <w:t>Figure S</w:t>
      </w:r>
      <w:r w:rsidR="004F70FC">
        <w:rPr>
          <w:rFonts w:ascii="Calibri" w:eastAsia="Calibri" w:hAnsi="Calibri" w:cs="Calibri"/>
          <w:b/>
          <w:sz w:val="24"/>
          <w:szCs w:val="24"/>
        </w:rPr>
        <w:t>2</w:t>
      </w:r>
      <w:r w:rsidRPr="00576620">
        <w:rPr>
          <w:rFonts w:ascii="Calibri" w:eastAsia="Calibri" w:hAnsi="Calibri" w:cs="Calibri"/>
          <w:sz w:val="24"/>
          <w:szCs w:val="24"/>
        </w:rPr>
        <w:t xml:space="preserve">. GMP from HD (n=3) and patients with SCA (n=4) were FACS-sorted based on CD34, CD38, CD123 and CD45RA and grown on </w:t>
      </w:r>
      <w:proofErr w:type="spellStart"/>
      <w:r w:rsidRPr="00576620">
        <w:rPr>
          <w:rFonts w:ascii="Calibri" w:eastAsia="Calibri" w:hAnsi="Calibri" w:cs="Calibri"/>
          <w:sz w:val="24"/>
          <w:szCs w:val="24"/>
        </w:rPr>
        <w:t>Methocult</w:t>
      </w:r>
      <w:proofErr w:type="spellEnd"/>
      <w:r w:rsidRPr="00576620">
        <w:rPr>
          <w:rFonts w:ascii="Calibri" w:eastAsia="Calibri" w:hAnsi="Calibri" w:cs="Calibri"/>
          <w:sz w:val="24"/>
          <w:szCs w:val="24"/>
        </w:rPr>
        <w:t xml:space="preserve">™. Histograms represent the proportion of CFU-GEMM, CFU-GM, and BFU-E colonies at day 14. Statistical analysis performed using Mann-Whitney test did not show any significant difference. </w:t>
      </w:r>
    </w:p>
    <w:p w14:paraId="3D07AE8C" w14:textId="77777777" w:rsidR="00EC2493" w:rsidRDefault="00EC2493">
      <w:pPr>
        <w:spacing w:before="240" w:after="240" w:line="240" w:lineRule="auto"/>
        <w:jc w:val="both"/>
        <w:rPr>
          <w:rFonts w:ascii="Calibri" w:eastAsia="Calibri" w:hAnsi="Calibri" w:cs="Calibri"/>
        </w:rPr>
      </w:pPr>
    </w:p>
    <w:p w14:paraId="3EB94C10" w14:textId="77777777" w:rsidR="00A64256" w:rsidRDefault="00FA71C2">
      <w:pPr>
        <w:spacing w:before="240" w:after="240" w:line="240" w:lineRule="auto"/>
        <w:jc w:val="both"/>
        <w:rPr>
          <w:rFonts w:ascii="Calibri" w:eastAsia="Calibri" w:hAnsi="Calibri" w:cs="Calibri"/>
          <w:sz w:val="24"/>
          <w:szCs w:val="24"/>
        </w:rPr>
      </w:pPr>
      <w:r>
        <w:rPr>
          <w:rFonts w:ascii="Calibri" w:eastAsia="Calibri" w:hAnsi="Calibri" w:cs="Calibri"/>
          <w:noProof/>
          <w:sz w:val="24"/>
          <w:szCs w:val="24"/>
          <w:lang w:val="fr-FR"/>
        </w:rPr>
        <w:drawing>
          <wp:inline distT="114300" distB="114300" distL="114300" distR="114300" wp14:anchorId="0F7F6B30" wp14:editId="263FB707">
            <wp:extent cx="5943600" cy="1879600"/>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5943600" cy="1879600"/>
                    </a:xfrm>
                    <a:prstGeom prst="rect">
                      <a:avLst/>
                    </a:prstGeom>
                    <a:ln/>
                  </pic:spPr>
                </pic:pic>
              </a:graphicData>
            </a:graphic>
          </wp:inline>
        </w:drawing>
      </w:r>
    </w:p>
    <w:p w14:paraId="65A7D0B6" w14:textId="70D0C913" w:rsidR="00A64256" w:rsidRDefault="00FA71C2">
      <w:pPr>
        <w:spacing w:before="240" w:after="240" w:line="240" w:lineRule="auto"/>
        <w:jc w:val="both"/>
        <w:rPr>
          <w:rFonts w:ascii="Calibri" w:eastAsia="Calibri" w:hAnsi="Calibri" w:cs="Calibri"/>
          <w:sz w:val="24"/>
          <w:szCs w:val="24"/>
        </w:rPr>
      </w:pPr>
      <w:r>
        <w:rPr>
          <w:rFonts w:ascii="Calibri" w:eastAsia="Calibri" w:hAnsi="Calibri" w:cs="Calibri"/>
          <w:b/>
          <w:sz w:val="24"/>
          <w:szCs w:val="24"/>
        </w:rPr>
        <w:t>Figure S</w:t>
      </w:r>
      <w:r w:rsidR="0060381B">
        <w:rPr>
          <w:rFonts w:ascii="Calibri" w:eastAsia="Calibri" w:hAnsi="Calibri" w:cs="Calibri"/>
          <w:b/>
          <w:sz w:val="24"/>
          <w:szCs w:val="24"/>
        </w:rPr>
        <w:t>3</w:t>
      </w:r>
      <w:r>
        <w:rPr>
          <w:rFonts w:ascii="Calibri" w:eastAsia="Calibri" w:hAnsi="Calibri" w:cs="Calibri"/>
          <w:b/>
          <w:sz w:val="24"/>
          <w:szCs w:val="24"/>
        </w:rPr>
        <w:t>.</w:t>
      </w:r>
      <w:r>
        <w:rPr>
          <w:rFonts w:ascii="Calibri" w:eastAsia="Calibri" w:hAnsi="Calibri" w:cs="Calibri"/>
          <w:sz w:val="24"/>
          <w:szCs w:val="24"/>
        </w:rPr>
        <w:t xml:space="preserve"> </w:t>
      </w:r>
      <w:r>
        <w:rPr>
          <w:rFonts w:ascii="Calibri" w:eastAsia="Calibri" w:hAnsi="Calibri" w:cs="Calibri"/>
          <w:b/>
          <w:sz w:val="24"/>
          <w:szCs w:val="24"/>
        </w:rPr>
        <w:t>(A)</w:t>
      </w:r>
      <w:r>
        <w:rPr>
          <w:rFonts w:ascii="Calibri" w:eastAsia="Calibri" w:hAnsi="Calibri" w:cs="Calibri"/>
          <w:sz w:val="24"/>
          <w:szCs w:val="24"/>
        </w:rPr>
        <w:t xml:space="preserve"> Representative dot plots of apoptotic and necrotic cells monitored by Annexin V and </w:t>
      </w:r>
      <w:proofErr w:type="spellStart"/>
      <w:r>
        <w:rPr>
          <w:rFonts w:ascii="Calibri" w:eastAsia="Calibri" w:hAnsi="Calibri" w:cs="Calibri"/>
          <w:sz w:val="24"/>
          <w:szCs w:val="24"/>
        </w:rPr>
        <w:t>Sytox</w:t>
      </w:r>
      <w:proofErr w:type="spellEnd"/>
      <w:r>
        <w:rPr>
          <w:rFonts w:ascii="Calibri" w:eastAsia="Calibri" w:hAnsi="Calibri" w:cs="Calibri"/>
          <w:sz w:val="24"/>
          <w:szCs w:val="24"/>
        </w:rPr>
        <w:t xml:space="preserve"> Blue, at days 7 and 19 of HD and SCA</w:t>
      </w:r>
      <w:r>
        <w:rPr>
          <w:rFonts w:ascii="Calibri" w:eastAsia="Calibri" w:hAnsi="Calibri" w:cs="Calibri"/>
          <w:i/>
          <w:sz w:val="24"/>
          <w:szCs w:val="24"/>
        </w:rPr>
        <w:t xml:space="preserve"> ex vivo</w:t>
      </w:r>
      <w:r>
        <w:rPr>
          <w:rFonts w:ascii="Calibri" w:eastAsia="Calibri" w:hAnsi="Calibri" w:cs="Calibri"/>
          <w:sz w:val="24"/>
          <w:szCs w:val="24"/>
        </w:rPr>
        <w:t xml:space="preserve"> granulopoiesis. </w:t>
      </w:r>
      <w:r>
        <w:rPr>
          <w:rFonts w:ascii="Calibri" w:eastAsia="Calibri" w:hAnsi="Calibri" w:cs="Calibri"/>
          <w:b/>
          <w:sz w:val="24"/>
          <w:szCs w:val="24"/>
        </w:rPr>
        <w:t>(B)</w:t>
      </w:r>
      <w:r>
        <w:rPr>
          <w:rFonts w:ascii="Calibri" w:eastAsia="Calibri" w:hAnsi="Calibri" w:cs="Calibri"/>
          <w:sz w:val="24"/>
          <w:szCs w:val="24"/>
        </w:rPr>
        <w:t xml:space="preserve"> Percentages of apoptotic (</w:t>
      </w:r>
      <w:proofErr w:type="spellStart"/>
      <w:r>
        <w:rPr>
          <w:rFonts w:ascii="Calibri" w:eastAsia="Calibri" w:hAnsi="Calibri" w:cs="Calibri"/>
          <w:sz w:val="24"/>
          <w:szCs w:val="24"/>
        </w:rPr>
        <w:t>AnnexinV</w:t>
      </w:r>
      <w:r>
        <w:rPr>
          <w:rFonts w:ascii="Calibri" w:eastAsia="Calibri" w:hAnsi="Calibri" w:cs="Calibri"/>
          <w:sz w:val="24"/>
          <w:szCs w:val="24"/>
          <w:vertAlign w:val="superscript"/>
        </w:rPr>
        <w:t>+</w:t>
      </w:r>
      <w:r>
        <w:rPr>
          <w:rFonts w:ascii="Calibri" w:eastAsia="Calibri" w:hAnsi="Calibri" w:cs="Calibri"/>
          <w:sz w:val="24"/>
          <w:szCs w:val="24"/>
        </w:rPr>
        <w:t>Sytox</w:t>
      </w:r>
      <w:proofErr w:type="spellEnd"/>
      <w:r>
        <w:rPr>
          <w:rFonts w:ascii="Calibri" w:eastAsia="Calibri" w:hAnsi="Calibri" w:cs="Calibri"/>
          <w:sz w:val="24"/>
          <w:szCs w:val="24"/>
        </w:rPr>
        <w:t xml:space="preserve"> Blue</w:t>
      </w:r>
      <w:r>
        <w:rPr>
          <w:rFonts w:ascii="Calibri" w:eastAsia="Calibri" w:hAnsi="Calibri" w:cs="Calibri"/>
          <w:sz w:val="24"/>
          <w:szCs w:val="24"/>
          <w:vertAlign w:val="superscript"/>
        </w:rPr>
        <w:t>-</w:t>
      </w:r>
      <w:r>
        <w:rPr>
          <w:rFonts w:ascii="Calibri" w:eastAsia="Calibri" w:hAnsi="Calibri" w:cs="Calibri"/>
          <w:sz w:val="24"/>
          <w:szCs w:val="24"/>
        </w:rPr>
        <w:t>) and necrotic (</w:t>
      </w:r>
      <w:proofErr w:type="spellStart"/>
      <w:r>
        <w:rPr>
          <w:rFonts w:ascii="Calibri" w:eastAsia="Calibri" w:hAnsi="Calibri" w:cs="Calibri"/>
          <w:sz w:val="24"/>
          <w:szCs w:val="24"/>
        </w:rPr>
        <w:t>AnnexinV</w:t>
      </w:r>
      <w:r>
        <w:rPr>
          <w:rFonts w:ascii="Calibri" w:eastAsia="Calibri" w:hAnsi="Calibri" w:cs="Calibri"/>
          <w:sz w:val="24"/>
          <w:szCs w:val="24"/>
          <w:vertAlign w:val="superscript"/>
        </w:rPr>
        <w:t>+</w:t>
      </w:r>
      <w:r>
        <w:rPr>
          <w:rFonts w:ascii="Calibri" w:eastAsia="Calibri" w:hAnsi="Calibri" w:cs="Calibri"/>
          <w:sz w:val="24"/>
          <w:szCs w:val="24"/>
        </w:rPr>
        <w:t>Sytox</w:t>
      </w:r>
      <w:proofErr w:type="spellEnd"/>
      <w:r>
        <w:rPr>
          <w:rFonts w:ascii="Calibri" w:eastAsia="Calibri" w:hAnsi="Calibri" w:cs="Calibri"/>
          <w:sz w:val="24"/>
          <w:szCs w:val="24"/>
        </w:rPr>
        <w:t xml:space="preserve"> Blue</w:t>
      </w:r>
      <w:r>
        <w:rPr>
          <w:rFonts w:ascii="Calibri" w:eastAsia="Calibri" w:hAnsi="Calibri" w:cs="Calibri"/>
          <w:sz w:val="24"/>
          <w:szCs w:val="24"/>
          <w:vertAlign w:val="superscript"/>
        </w:rPr>
        <w:t>+</w:t>
      </w:r>
      <w:r>
        <w:rPr>
          <w:rFonts w:ascii="Calibri" w:eastAsia="Calibri" w:hAnsi="Calibri" w:cs="Calibri"/>
          <w:sz w:val="24"/>
          <w:szCs w:val="24"/>
        </w:rPr>
        <w:t xml:space="preserve">) cells from HD (n=5) and SCA (n=4) </w:t>
      </w:r>
      <w:r>
        <w:rPr>
          <w:rFonts w:ascii="Calibri" w:eastAsia="Calibri" w:hAnsi="Calibri" w:cs="Calibri"/>
          <w:i/>
          <w:sz w:val="24"/>
          <w:szCs w:val="24"/>
        </w:rPr>
        <w:t xml:space="preserve">ex vivo </w:t>
      </w:r>
      <w:r>
        <w:rPr>
          <w:rFonts w:ascii="Calibri" w:eastAsia="Calibri" w:hAnsi="Calibri" w:cs="Calibri"/>
          <w:sz w:val="24"/>
          <w:szCs w:val="24"/>
        </w:rPr>
        <w:t xml:space="preserve">granulopoiesis, at days 7, 10, 13, and 19 of differentiation. Statistical analysis was performed using a Mann-Whitney </w:t>
      </w:r>
      <w:proofErr w:type="gramStart"/>
      <w:r>
        <w:rPr>
          <w:rFonts w:ascii="Calibri" w:eastAsia="Calibri" w:hAnsi="Calibri" w:cs="Calibri"/>
          <w:sz w:val="24"/>
          <w:szCs w:val="24"/>
        </w:rPr>
        <w:t>test ;</w:t>
      </w:r>
      <w:proofErr w:type="gramEnd"/>
      <w:r>
        <w:rPr>
          <w:rFonts w:ascii="Calibri" w:eastAsia="Calibri" w:hAnsi="Calibri" w:cs="Calibri"/>
          <w:sz w:val="24"/>
          <w:szCs w:val="24"/>
        </w:rPr>
        <w:t xml:space="preserve"> ns=non-significant. </w:t>
      </w:r>
    </w:p>
    <w:p w14:paraId="71FEBA38" w14:textId="77777777" w:rsidR="00A64256" w:rsidRDefault="00A64256">
      <w:pPr>
        <w:spacing w:before="240" w:after="240" w:line="240" w:lineRule="auto"/>
        <w:jc w:val="both"/>
        <w:rPr>
          <w:rFonts w:ascii="Calibri" w:eastAsia="Calibri" w:hAnsi="Calibri" w:cs="Calibri"/>
          <w:sz w:val="24"/>
          <w:szCs w:val="24"/>
        </w:rPr>
      </w:pPr>
    </w:p>
    <w:p w14:paraId="543AE9F5" w14:textId="77777777" w:rsidR="00A64256" w:rsidRDefault="00FA71C2">
      <w:pPr>
        <w:spacing w:before="240" w:after="240" w:line="240" w:lineRule="auto"/>
        <w:jc w:val="both"/>
        <w:rPr>
          <w:rFonts w:ascii="Calibri" w:eastAsia="Calibri" w:hAnsi="Calibri" w:cs="Calibri"/>
          <w:sz w:val="24"/>
          <w:szCs w:val="24"/>
        </w:rPr>
      </w:pPr>
      <w:r>
        <w:rPr>
          <w:rFonts w:ascii="Calibri" w:eastAsia="Calibri" w:hAnsi="Calibri" w:cs="Calibri"/>
          <w:noProof/>
          <w:sz w:val="24"/>
          <w:szCs w:val="24"/>
          <w:lang w:val="fr-FR"/>
        </w:rPr>
        <w:drawing>
          <wp:inline distT="114300" distB="114300" distL="114300" distR="114300" wp14:anchorId="755D4FEC" wp14:editId="17CFFC69">
            <wp:extent cx="5943600" cy="2489200"/>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5943600" cy="2489200"/>
                    </a:xfrm>
                    <a:prstGeom prst="rect">
                      <a:avLst/>
                    </a:prstGeom>
                    <a:ln/>
                  </pic:spPr>
                </pic:pic>
              </a:graphicData>
            </a:graphic>
          </wp:inline>
        </w:drawing>
      </w:r>
    </w:p>
    <w:p w14:paraId="732E4055" w14:textId="7A21DA8E" w:rsidR="00A64256" w:rsidRDefault="00FA71C2">
      <w:pPr>
        <w:spacing w:line="240" w:lineRule="auto"/>
        <w:jc w:val="both"/>
        <w:rPr>
          <w:rFonts w:ascii="Calibri" w:eastAsia="Calibri" w:hAnsi="Calibri" w:cs="Calibri"/>
          <w:sz w:val="24"/>
          <w:szCs w:val="24"/>
        </w:rPr>
      </w:pPr>
      <w:r>
        <w:rPr>
          <w:rFonts w:ascii="Calibri" w:eastAsia="Calibri" w:hAnsi="Calibri" w:cs="Calibri"/>
          <w:b/>
          <w:sz w:val="24"/>
          <w:szCs w:val="24"/>
        </w:rPr>
        <w:t>Figure S</w:t>
      </w:r>
      <w:r w:rsidR="0060381B">
        <w:rPr>
          <w:rFonts w:ascii="Calibri" w:eastAsia="Calibri" w:hAnsi="Calibri" w:cs="Calibri"/>
          <w:b/>
          <w:sz w:val="24"/>
          <w:szCs w:val="24"/>
        </w:rPr>
        <w:t>4</w:t>
      </w:r>
      <w:r>
        <w:rPr>
          <w:rFonts w:ascii="Calibri" w:eastAsia="Calibri" w:hAnsi="Calibri" w:cs="Calibri"/>
          <w:b/>
          <w:sz w:val="24"/>
          <w:szCs w:val="24"/>
        </w:rPr>
        <w:t>. (A)</w:t>
      </w:r>
      <w:r>
        <w:rPr>
          <w:rFonts w:ascii="Calibri" w:eastAsia="Calibri" w:hAnsi="Calibri" w:cs="Calibri"/>
          <w:sz w:val="24"/>
          <w:szCs w:val="24"/>
        </w:rPr>
        <w:t xml:space="preserve"> Cell cycle was assessed by </w:t>
      </w:r>
      <w:proofErr w:type="spellStart"/>
      <w:r>
        <w:rPr>
          <w:rFonts w:ascii="Calibri" w:eastAsia="Calibri" w:hAnsi="Calibri" w:cs="Calibri"/>
          <w:sz w:val="24"/>
          <w:szCs w:val="24"/>
        </w:rPr>
        <w:t>CytoPhase</w:t>
      </w:r>
      <w:proofErr w:type="spellEnd"/>
      <w:r>
        <w:rPr>
          <w:rFonts w:ascii="Calibri" w:eastAsia="Calibri" w:hAnsi="Calibri" w:cs="Calibri"/>
          <w:sz w:val="24"/>
          <w:szCs w:val="24"/>
        </w:rPr>
        <w:t xml:space="preserve"> Violet staining at indicated days of HD and SCA </w:t>
      </w:r>
      <w:r>
        <w:rPr>
          <w:rFonts w:ascii="Calibri" w:eastAsia="Calibri" w:hAnsi="Calibri" w:cs="Calibri"/>
          <w:i/>
          <w:sz w:val="24"/>
          <w:szCs w:val="24"/>
        </w:rPr>
        <w:t>ex vivo</w:t>
      </w:r>
      <w:r>
        <w:rPr>
          <w:rFonts w:ascii="Calibri" w:eastAsia="Calibri" w:hAnsi="Calibri" w:cs="Calibri"/>
          <w:sz w:val="24"/>
          <w:szCs w:val="24"/>
        </w:rPr>
        <w:t xml:space="preserve"> granulopoiesis. G1, S and G2/M phases are pictured in blue, yellow and green, respectively. </w:t>
      </w:r>
      <w:r>
        <w:rPr>
          <w:rFonts w:ascii="Calibri" w:eastAsia="Calibri" w:hAnsi="Calibri" w:cs="Calibri"/>
          <w:b/>
          <w:sz w:val="24"/>
          <w:szCs w:val="24"/>
        </w:rPr>
        <w:t xml:space="preserve">(B) </w:t>
      </w:r>
      <w:r>
        <w:rPr>
          <w:rFonts w:ascii="Calibri" w:eastAsia="Calibri" w:hAnsi="Calibri" w:cs="Calibri"/>
          <w:sz w:val="24"/>
          <w:szCs w:val="24"/>
        </w:rPr>
        <w:t xml:space="preserve">Percentages of cells in G1, S and G2/M phases are plotted in bar histograms at days 7, 10, 13, and 19 of HD and SCA </w:t>
      </w:r>
      <w:r>
        <w:rPr>
          <w:rFonts w:ascii="Calibri" w:eastAsia="Calibri" w:hAnsi="Calibri" w:cs="Calibri"/>
          <w:i/>
          <w:sz w:val="24"/>
          <w:szCs w:val="24"/>
        </w:rPr>
        <w:t>ex vivo</w:t>
      </w:r>
      <w:r>
        <w:rPr>
          <w:rFonts w:ascii="Calibri" w:eastAsia="Calibri" w:hAnsi="Calibri" w:cs="Calibri"/>
          <w:sz w:val="24"/>
          <w:szCs w:val="24"/>
        </w:rPr>
        <w:t xml:space="preserve"> granulopoiesis. Statistical analysis was performed using a Mann-Whitney test; ns=non-significant. </w:t>
      </w:r>
    </w:p>
    <w:p w14:paraId="5066DF09" w14:textId="77777777" w:rsidR="00A64256" w:rsidRDefault="00A64256">
      <w:pPr>
        <w:spacing w:line="240" w:lineRule="auto"/>
        <w:jc w:val="both"/>
        <w:rPr>
          <w:rFonts w:ascii="Calibri" w:eastAsia="Calibri" w:hAnsi="Calibri" w:cs="Calibri"/>
          <w:sz w:val="24"/>
          <w:szCs w:val="24"/>
        </w:rPr>
      </w:pPr>
    </w:p>
    <w:p w14:paraId="15873450" w14:textId="77777777" w:rsidR="00A64256" w:rsidRDefault="00FA71C2">
      <w:pPr>
        <w:spacing w:line="240" w:lineRule="auto"/>
        <w:jc w:val="both"/>
        <w:rPr>
          <w:rFonts w:ascii="Calibri" w:eastAsia="Calibri" w:hAnsi="Calibri" w:cs="Calibri"/>
          <w:sz w:val="24"/>
          <w:szCs w:val="24"/>
        </w:rPr>
      </w:pPr>
      <w:r>
        <w:rPr>
          <w:rFonts w:ascii="Calibri" w:eastAsia="Calibri" w:hAnsi="Calibri" w:cs="Calibri"/>
          <w:noProof/>
          <w:sz w:val="24"/>
          <w:szCs w:val="24"/>
          <w:lang w:val="fr-FR"/>
        </w:rPr>
        <w:lastRenderedPageBreak/>
        <w:drawing>
          <wp:inline distT="114300" distB="114300" distL="114300" distR="114300" wp14:anchorId="2112FC5F" wp14:editId="70689323">
            <wp:extent cx="5943600" cy="2489200"/>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5943600" cy="2489200"/>
                    </a:xfrm>
                    <a:prstGeom prst="rect">
                      <a:avLst/>
                    </a:prstGeom>
                    <a:ln/>
                  </pic:spPr>
                </pic:pic>
              </a:graphicData>
            </a:graphic>
          </wp:inline>
        </w:drawing>
      </w:r>
    </w:p>
    <w:p w14:paraId="3F7970F5" w14:textId="133F4845" w:rsidR="00910991" w:rsidRDefault="00FA71C2" w:rsidP="00EC4403">
      <w:pPr>
        <w:spacing w:before="240" w:after="240" w:line="240" w:lineRule="auto"/>
        <w:jc w:val="both"/>
        <w:rPr>
          <w:rFonts w:ascii="Calibri" w:eastAsia="Calibri" w:hAnsi="Calibri" w:cs="Calibri"/>
          <w:sz w:val="24"/>
          <w:szCs w:val="24"/>
        </w:rPr>
      </w:pPr>
      <w:r>
        <w:rPr>
          <w:rFonts w:ascii="Calibri" w:eastAsia="Calibri" w:hAnsi="Calibri" w:cs="Calibri"/>
          <w:b/>
          <w:sz w:val="24"/>
          <w:szCs w:val="24"/>
        </w:rPr>
        <w:t>Figure S</w:t>
      </w:r>
      <w:r w:rsidR="0060381B">
        <w:rPr>
          <w:rFonts w:ascii="Calibri" w:eastAsia="Calibri" w:hAnsi="Calibri" w:cs="Calibri"/>
          <w:b/>
          <w:sz w:val="24"/>
          <w:szCs w:val="24"/>
        </w:rPr>
        <w:t>5</w:t>
      </w:r>
      <w:r>
        <w:rPr>
          <w:rFonts w:ascii="Calibri" w:eastAsia="Calibri" w:hAnsi="Calibri" w:cs="Calibri"/>
          <w:b/>
          <w:sz w:val="24"/>
          <w:szCs w:val="24"/>
        </w:rPr>
        <w:t>.</w:t>
      </w:r>
      <w:r>
        <w:rPr>
          <w:rFonts w:ascii="Calibri" w:eastAsia="Calibri" w:hAnsi="Calibri" w:cs="Calibri"/>
          <w:sz w:val="24"/>
          <w:szCs w:val="24"/>
        </w:rPr>
        <w:t xml:space="preserve"> </w:t>
      </w:r>
      <w:r>
        <w:rPr>
          <w:rFonts w:ascii="Calibri" w:eastAsia="Calibri" w:hAnsi="Calibri" w:cs="Calibri"/>
          <w:b/>
          <w:sz w:val="24"/>
          <w:szCs w:val="24"/>
        </w:rPr>
        <w:t>(A)</w:t>
      </w:r>
      <w:r>
        <w:rPr>
          <w:rFonts w:ascii="Calibri" w:eastAsia="Calibri" w:hAnsi="Calibri" w:cs="Calibri"/>
          <w:sz w:val="24"/>
          <w:szCs w:val="24"/>
        </w:rPr>
        <w:t xml:space="preserve"> Peak histograms of CD34 expression on cells from HD and SCA </w:t>
      </w:r>
      <w:r>
        <w:rPr>
          <w:rFonts w:ascii="Calibri" w:eastAsia="Calibri" w:hAnsi="Calibri" w:cs="Calibri"/>
          <w:i/>
          <w:sz w:val="24"/>
          <w:szCs w:val="24"/>
        </w:rPr>
        <w:t>ex vivo</w:t>
      </w:r>
      <w:r>
        <w:rPr>
          <w:rFonts w:ascii="Calibri" w:eastAsia="Calibri" w:hAnsi="Calibri" w:cs="Calibri"/>
          <w:sz w:val="24"/>
          <w:szCs w:val="24"/>
        </w:rPr>
        <w:t xml:space="preserve"> granulopoiesis at indicated days. Grey histograms represent unstained controls. </w:t>
      </w:r>
      <w:r>
        <w:rPr>
          <w:rFonts w:ascii="Calibri" w:eastAsia="Calibri" w:hAnsi="Calibri" w:cs="Calibri"/>
          <w:b/>
          <w:sz w:val="24"/>
          <w:szCs w:val="24"/>
        </w:rPr>
        <w:t>(B)</w:t>
      </w:r>
      <w:r>
        <w:rPr>
          <w:rFonts w:ascii="Calibri" w:eastAsia="Calibri" w:hAnsi="Calibri" w:cs="Calibri"/>
          <w:sz w:val="24"/>
          <w:szCs w:val="24"/>
        </w:rPr>
        <w:t xml:space="preserve"> Percentages of CD34-positive cells are plotted at days 5, 7, 10, and 13 with corresponding group color.  Statistical analysis was performed using a Mann-Whitney test; ns=non-significant.</w:t>
      </w:r>
    </w:p>
    <w:p w14:paraId="1BB5CC9F" w14:textId="77777777" w:rsidR="00AC6AB6" w:rsidRDefault="00AC6AB6" w:rsidP="00EC4403">
      <w:pPr>
        <w:spacing w:before="240" w:after="240" w:line="240" w:lineRule="auto"/>
        <w:jc w:val="both"/>
        <w:rPr>
          <w:rFonts w:ascii="Calibri" w:eastAsia="Calibri" w:hAnsi="Calibri" w:cs="Calibri"/>
          <w:sz w:val="24"/>
          <w:szCs w:val="24"/>
        </w:rPr>
      </w:pPr>
    </w:p>
    <w:p w14:paraId="5A697D76" w14:textId="77777777" w:rsidR="00F70D55" w:rsidRDefault="00F70D55">
      <w:pPr>
        <w:spacing w:before="240" w:after="240" w:line="240" w:lineRule="auto"/>
        <w:jc w:val="both"/>
        <w:rPr>
          <w:rFonts w:ascii="Calibri" w:eastAsia="Calibri" w:hAnsi="Calibri" w:cs="Calibri"/>
          <w:sz w:val="24"/>
          <w:szCs w:val="24"/>
        </w:rPr>
      </w:pPr>
    </w:p>
    <w:p w14:paraId="762B88C0" w14:textId="621BD1A1" w:rsidR="00F70D55" w:rsidRPr="00D50ADC" w:rsidRDefault="00F70D55" w:rsidP="00D50ADC">
      <w:pPr>
        <w:pStyle w:val="ListParagraph"/>
        <w:numPr>
          <w:ilvl w:val="0"/>
          <w:numId w:val="1"/>
        </w:numPr>
        <w:spacing w:before="240" w:after="240" w:line="360" w:lineRule="auto"/>
        <w:jc w:val="both"/>
        <w:rPr>
          <w:rFonts w:ascii="Calibri" w:eastAsia="Calibri" w:hAnsi="Calibri" w:cs="Calibri"/>
          <w:b/>
          <w:sz w:val="28"/>
          <w:szCs w:val="28"/>
        </w:rPr>
      </w:pPr>
      <w:r w:rsidRPr="00D50ADC">
        <w:rPr>
          <w:rFonts w:ascii="Calibri" w:eastAsia="Calibri" w:hAnsi="Calibri" w:cs="Calibri"/>
          <w:b/>
          <w:sz w:val="28"/>
          <w:szCs w:val="28"/>
        </w:rPr>
        <w:t>Supplemental references</w:t>
      </w:r>
    </w:p>
    <w:p w14:paraId="60978357" w14:textId="77777777" w:rsidR="006C17C6" w:rsidRPr="006C17C6" w:rsidRDefault="00910991" w:rsidP="00D50ADC">
      <w:pPr>
        <w:pStyle w:val="Bibliography"/>
        <w:spacing w:line="240" w:lineRule="auto"/>
        <w:jc w:val="both"/>
        <w:rPr>
          <w:rFonts w:ascii="Calibri" w:hAnsi="Calibri" w:cs="Calibri"/>
          <w:sz w:val="24"/>
        </w:rPr>
      </w:pPr>
      <w:r w:rsidRPr="00910991">
        <w:rPr>
          <w:rFonts w:asciiTheme="majorHAnsi" w:hAnsiTheme="majorHAnsi" w:cstheme="majorHAnsi"/>
          <w:sz w:val="24"/>
          <w:szCs w:val="24"/>
        </w:rPr>
        <w:fldChar w:fldCharType="begin"/>
      </w:r>
      <w:r w:rsidRPr="00910991">
        <w:rPr>
          <w:rFonts w:asciiTheme="majorHAnsi" w:hAnsiTheme="majorHAnsi" w:cstheme="majorHAnsi"/>
          <w:sz w:val="24"/>
          <w:szCs w:val="24"/>
        </w:rPr>
        <w:instrText xml:space="preserve"> ADDIN ZOTERO_BIBL {"uncited":[],"omitted":[],"custom":[]} CSL_BIBLIOGRAPHY </w:instrText>
      </w:r>
      <w:r w:rsidRPr="00910991">
        <w:rPr>
          <w:rFonts w:asciiTheme="majorHAnsi" w:hAnsiTheme="majorHAnsi" w:cstheme="majorHAnsi"/>
          <w:sz w:val="24"/>
          <w:szCs w:val="24"/>
        </w:rPr>
        <w:fldChar w:fldCharType="separate"/>
      </w:r>
      <w:r w:rsidR="006C17C6" w:rsidRPr="006C17C6">
        <w:rPr>
          <w:rFonts w:ascii="Calibri" w:hAnsi="Calibri" w:cs="Calibri"/>
          <w:sz w:val="24"/>
        </w:rPr>
        <w:t>1.</w:t>
      </w:r>
      <w:r w:rsidR="006C17C6" w:rsidRPr="006C17C6">
        <w:rPr>
          <w:rFonts w:ascii="Calibri" w:hAnsi="Calibri" w:cs="Calibri"/>
          <w:sz w:val="24"/>
        </w:rPr>
        <w:tab/>
        <w:t xml:space="preserve">Koehl, B. </w:t>
      </w:r>
      <w:r w:rsidR="006C17C6" w:rsidRPr="006C17C6">
        <w:rPr>
          <w:rFonts w:ascii="Calibri" w:hAnsi="Calibri" w:cs="Calibri"/>
          <w:i/>
          <w:iCs/>
          <w:sz w:val="24"/>
        </w:rPr>
        <w:t>et al.</w:t>
      </w:r>
      <w:r w:rsidR="006C17C6" w:rsidRPr="006C17C6">
        <w:rPr>
          <w:rFonts w:ascii="Calibri" w:hAnsi="Calibri" w:cs="Calibri"/>
          <w:sz w:val="24"/>
        </w:rPr>
        <w:t xml:space="preserve"> The endothelin B receptor plays a crucial role in the adhesion of neutrophils to the endothelium in sickle cell disease. </w:t>
      </w:r>
      <w:r w:rsidR="006C17C6" w:rsidRPr="006C17C6">
        <w:rPr>
          <w:rFonts w:ascii="Calibri" w:hAnsi="Calibri" w:cs="Calibri"/>
          <w:i/>
          <w:iCs/>
          <w:sz w:val="24"/>
        </w:rPr>
        <w:t>Haematologica</w:t>
      </w:r>
      <w:r w:rsidR="006C17C6" w:rsidRPr="006C17C6">
        <w:rPr>
          <w:rFonts w:ascii="Calibri" w:hAnsi="Calibri" w:cs="Calibri"/>
          <w:sz w:val="24"/>
        </w:rPr>
        <w:t xml:space="preserve"> </w:t>
      </w:r>
      <w:r w:rsidR="006C17C6" w:rsidRPr="006C17C6">
        <w:rPr>
          <w:rFonts w:ascii="Calibri" w:hAnsi="Calibri" w:cs="Calibri"/>
          <w:b/>
          <w:bCs/>
          <w:sz w:val="24"/>
        </w:rPr>
        <w:t>102</w:t>
      </w:r>
      <w:r w:rsidR="006C17C6" w:rsidRPr="006C17C6">
        <w:rPr>
          <w:rFonts w:ascii="Calibri" w:hAnsi="Calibri" w:cs="Calibri"/>
          <w:sz w:val="24"/>
        </w:rPr>
        <w:t>, 1161–1172 (2017).</w:t>
      </w:r>
    </w:p>
    <w:p w14:paraId="2F969100" w14:textId="77777777" w:rsidR="006C17C6" w:rsidRPr="006C17C6" w:rsidRDefault="006C17C6" w:rsidP="00D50ADC">
      <w:pPr>
        <w:pStyle w:val="Bibliography"/>
        <w:spacing w:line="240" w:lineRule="auto"/>
        <w:jc w:val="both"/>
        <w:rPr>
          <w:rFonts w:ascii="Calibri" w:hAnsi="Calibri" w:cs="Calibri"/>
          <w:sz w:val="24"/>
        </w:rPr>
      </w:pPr>
      <w:r w:rsidRPr="006C17C6">
        <w:rPr>
          <w:rFonts w:ascii="Calibri" w:hAnsi="Calibri" w:cs="Calibri"/>
          <w:sz w:val="24"/>
        </w:rPr>
        <w:t>2.</w:t>
      </w:r>
      <w:r w:rsidRPr="006C17C6">
        <w:rPr>
          <w:rFonts w:ascii="Calibri" w:hAnsi="Calibri" w:cs="Calibri"/>
          <w:sz w:val="24"/>
        </w:rPr>
        <w:tab/>
        <w:t xml:space="preserve">Bray, N. L., Pimentel, H., Melsted, P. &amp; Pachter, L. Near-optimal probabilistic RNA-seq quantification. </w:t>
      </w:r>
      <w:r w:rsidRPr="006C17C6">
        <w:rPr>
          <w:rFonts w:ascii="Calibri" w:hAnsi="Calibri" w:cs="Calibri"/>
          <w:i/>
          <w:iCs/>
          <w:sz w:val="24"/>
        </w:rPr>
        <w:t>Nat Biotechnol</w:t>
      </w:r>
      <w:r w:rsidRPr="006C17C6">
        <w:rPr>
          <w:rFonts w:ascii="Calibri" w:hAnsi="Calibri" w:cs="Calibri"/>
          <w:sz w:val="24"/>
        </w:rPr>
        <w:t xml:space="preserve"> </w:t>
      </w:r>
      <w:r w:rsidRPr="006C17C6">
        <w:rPr>
          <w:rFonts w:ascii="Calibri" w:hAnsi="Calibri" w:cs="Calibri"/>
          <w:b/>
          <w:bCs/>
          <w:sz w:val="24"/>
        </w:rPr>
        <w:t>34</w:t>
      </w:r>
      <w:r w:rsidRPr="006C17C6">
        <w:rPr>
          <w:rFonts w:ascii="Calibri" w:hAnsi="Calibri" w:cs="Calibri"/>
          <w:sz w:val="24"/>
        </w:rPr>
        <w:t>, 525–527 (2016).</w:t>
      </w:r>
    </w:p>
    <w:p w14:paraId="3E457229" w14:textId="77777777" w:rsidR="006C17C6" w:rsidRPr="006C17C6" w:rsidRDefault="006C17C6" w:rsidP="00D50ADC">
      <w:pPr>
        <w:pStyle w:val="Bibliography"/>
        <w:spacing w:line="240" w:lineRule="auto"/>
        <w:jc w:val="both"/>
        <w:rPr>
          <w:rFonts w:ascii="Calibri" w:hAnsi="Calibri" w:cs="Calibri"/>
          <w:sz w:val="24"/>
        </w:rPr>
      </w:pPr>
      <w:r w:rsidRPr="006C17C6">
        <w:rPr>
          <w:rFonts w:ascii="Calibri" w:hAnsi="Calibri" w:cs="Calibri"/>
          <w:sz w:val="24"/>
        </w:rPr>
        <w:t>3.</w:t>
      </w:r>
      <w:r w:rsidRPr="006C17C6">
        <w:rPr>
          <w:rFonts w:ascii="Calibri" w:hAnsi="Calibri" w:cs="Calibri"/>
          <w:sz w:val="24"/>
        </w:rPr>
        <w:tab/>
        <w:t xml:space="preserve">Melsted, P., Ntranos, V. &amp; Pachter, L. The barcode, UMI, set format and BUStools. </w:t>
      </w:r>
      <w:r w:rsidRPr="006C17C6">
        <w:rPr>
          <w:rFonts w:ascii="Calibri" w:hAnsi="Calibri" w:cs="Calibri"/>
          <w:i/>
          <w:iCs/>
          <w:sz w:val="24"/>
        </w:rPr>
        <w:t>Bioinformatics</w:t>
      </w:r>
      <w:r w:rsidRPr="006C17C6">
        <w:rPr>
          <w:rFonts w:ascii="Calibri" w:hAnsi="Calibri" w:cs="Calibri"/>
          <w:sz w:val="24"/>
        </w:rPr>
        <w:t xml:space="preserve"> </w:t>
      </w:r>
      <w:r w:rsidRPr="006C17C6">
        <w:rPr>
          <w:rFonts w:ascii="Calibri" w:hAnsi="Calibri" w:cs="Calibri"/>
          <w:b/>
          <w:bCs/>
          <w:sz w:val="24"/>
        </w:rPr>
        <w:t>35</w:t>
      </w:r>
      <w:r w:rsidRPr="006C17C6">
        <w:rPr>
          <w:rFonts w:ascii="Calibri" w:hAnsi="Calibri" w:cs="Calibri"/>
          <w:sz w:val="24"/>
        </w:rPr>
        <w:t>, 4472–4473 (2019).</w:t>
      </w:r>
    </w:p>
    <w:p w14:paraId="09395B7A" w14:textId="77777777" w:rsidR="006C17C6" w:rsidRPr="006C17C6" w:rsidRDefault="006C17C6" w:rsidP="00D50ADC">
      <w:pPr>
        <w:pStyle w:val="Bibliography"/>
        <w:spacing w:line="240" w:lineRule="auto"/>
        <w:jc w:val="both"/>
        <w:rPr>
          <w:rFonts w:ascii="Calibri" w:hAnsi="Calibri" w:cs="Calibri"/>
          <w:sz w:val="24"/>
        </w:rPr>
      </w:pPr>
      <w:r w:rsidRPr="006C17C6">
        <w:rPr>
          <w:rFonts w:ascii="Calibri" w:hAnsi="Calibri" w:cs="Calibri"/>
          <w:sz w:val="24"/>
        </w:rPr>
        <w:t>4.</w:t>
      </w:r>
      <w:r w:rsidRPr="006C17C6">
        <w:rPr>
          <w:rFonts w:ascii="Calibri" w:hAnsi="Calibri" w:cs="Calibri"/>
          <w:sz w:val="24"/>
        </w:rPr>
        <w:tab/>
        <w:t xml:space="preserve">Lun, A. T. L. </w:t>
      </w:r>
      <w:r w:rsidRPr="006C17C6">
        <w:rPr>
          <w:rFonts w:ascii="Calibri" w:hAnsi="Calibri" w:cs="Calibri"/>
          <w:i/>
          <w:iCs/>
          <w:sz w:val="24"/>
        </w:rPr>
        <w:t>et al.</w:t>
      </w:r>
      <w:r w:rsidRPr="006C17C6">
        <w:rPr>
          <w:rFonts w:ascii="Calibri" w:hAnsi="Calibri" w:cs="Calibri"/>
          <w:sz w:val="24"/>
        </w:rPr>
        <w:t xml:space="preserve"> EmptyDrops: distinguishing cells from empty droplets in droplet-based single-cell RNA sequencing data. </w:t>
      </w:r>
      <w:r w:rsidRPr="006C17C6">
        <w:rPr>
          <w:rFonts w:ascii="Calibri" w:hAnsi="Calibri" w:cs="Calibri"/>
          <w:i/>
          <w:iCs/>
          <w:sz w:val="24"/>
        </w:rPr>
        <w:t>Genome Biology</w:t>
      </w:r>
      <w:r w:rsidRPr="006C17C6">
        <w:rPr>
          <w:rFonts w:ascii="Calibri" w:hAnsi="Calibri" w:cs="Calibri"/>
          <w:sz w:val="24"/>
        </w:rPr>
        <w:t xml:space="preserve"> </w:t>
      </w:r>
      <w:r w:rsidRPr="006C17C6">
        <w:rPr>
          <w:rFonts w:ascii="Calibri" w:hAnsi="Calibri" w:cs="Calibri"/>
          <w:b/>
          <w:bCs/>
          <w:sz w:val="24"/>
        </w:rPr>
        <w:t>20</w:t>
      </w:r>
      <w:r w:rsidRPr="006C17C6">
        <w:rPr>
          <w:rFonts w:ascii="Calibri" w:hAnsi="Calibri" w:cs="Calibri"/>
          <w:sz w:val="24"/>
        </w:rPr>
        <w:t>, 63 (2019).</w:t>
      </w:r>
    </w:p>
    <w:p w14:paraId="7876FCDB" w14:textId="77777777" w:rsidR="006C17C6" w:rsidRPr="006C17C6" w:rsidRDefault="006C17C6" w:rsidP="00D50ADC">
      <w:pPr>
        <w:pStyle w:val="Bibliography"/>
        <w:spacing w:line="240" w:lineRule="auto"/>
        <w:jc w:val="both"/>
        <w:rPr>
          <w:rFonts w:ascii="Calibri" w:hAnsi="Calibri" w:cs="Calibri"/>
          <w:sz w:val="24"/>
        </w:rPr>
      </w:pPr>
      <w:r w:rsidRPr="006C17C6">
        <w:rPr>
          <w:rFonts w:ascii="Calibri" w:hAnsi="Calibri" w:cs="Calibri"/>
          <w:sz w:val="24"/>
        </w:rPr>
        <w:t>5.</w:t>
      </w:r>
      <w:r w:rsidRPr="006C17C6">
        <w:rPr>
          <w:rFonts w:ascii="Calibri" w:hAnsi="Calibri" w:cs="Calibri"/>
          <w:sz w:val="24"/>
        </w:rPr>
        <w:tab/>
        <w:t xml:space="preserve">Bais, A. S. &amp; Kostka, D. scds: computational annotation of doublets in single-cell RNA sequencing data. </w:t>
      </w:r>
      <w:r w:rsidRPr="006C17C6">
        <w:rPr>
          <w:rFonts w:ascii="Calibri" w:hAnsi="Calibri" w:cs="Calibri"/>
          <w:i/>
          <w:iCs/>
          <w:sz w:val="24"/>
        </w:rPr>
        <w:t>Bioinformatics</w:t>
      </w:r>
      <w:r w:rsidRPr="006C17C6">
        <w:rPr>
          <w:rFonts w:ascii="Calibri" w:hAnsi="Calibri" w:cs="Calibri"/>
          <w:sz w:val="24"/>
        </w:rPr>
        <w:t xml:space="preserve"> </w:t>
      </w:r>
      <w:r w:rsidRPr="006C17C6">
        <w:rPr>
          <w:rFonts w:ascii="Calibri" w:hAnsi="Calibri" w:cs="Calibri"/>
          <w:b/>
          <w:bCs/>
          <w:sz w:val="24"/>
        </w:rPr>
        <w:t>36</w:t>
      </w:r>
      <w:r w:rsidRPr="006C17C6">
        <w:rPr>
          <w:rFonts w:ascii="Calibri" w:hAnsi="Calibri" w:cs="Calibri"/>
          <w:sz w:val="24"/>
        </w:rPr>
        <w:t>, 1150–1158 (2020).</w:t>
      </w:r>
    </w:p>
    <w:p w14:paraId="07CF5DD7" w14:textId="77777777" w:rsidR="006C17C6" w:rsidRPr="006C17C6" w:rsidRDefault="006C17C6" w:rsidP="00D50ADC">
      <w:pPr>
        <w:pStyle w:val="Bibliography"/>
        <w:spacing w:line="240" w:lineRule="auto"/>
        <w:jc w:val="both"/>
        <w:rPr>
          <w:rFonts w:ascii="Calibri" w:hAnsi="Calibri" w:cs="Calibri"/>
          <w:sz w:val="24"/>
        </w:rPr>
      </w:pPr>
      <w:r w:rsidRPr="006C17C6">
        <w:rPr>
          <w:rFonts w:ascii="Calibri" w:hAnsi="Calibri" w:cs="Calibri"/>
          <w:sz w:val="24"/>
        </w:rPr>
        <w:t>6.</w:t>
      </w:r>
      <w:r w:rsidRPr="006C17C6">
        <w:rPr>
          <w:rFonts w:ascii="Calibri" w:hAnsi="Calibri" w:cs="Calibri"/>
          <w:sz w:val="24"/>
        </w:rPr>
        <w:tab/>
        <w:t xml:space="preserve">Korsunsky, I. </w:t>
      </w:r>
      <w:r w:rsidRPr="006C17C6">
        <w:rPr>
          <w:rFonts w:ascii="Calibri" w:hAnsi="Calibri" w:cs="Calibri"/>
          <w:i/>
          <w:iCs/>
          <w:sz w:val="24"/>
        </w:rPr>
        <w:t>et al.</w:t>
      </w:r>
      <w:r w:rsidRPr="006C17C6">
        <w:rPr>
          <w:rFonts w:ascii="Calibri" w:hAnsi="Calibri" w:cs="Calibri"/>
          <w:sz w:val="24"/>
        </w:rPr>
        <w:t xml:space="preserve"> Fast, sensitive and accurate integration of single-cell data with Harmony. </w:t>
      </w:r>
      <w:r w:rsidRPr="006C17C6">
        <w:rPr>
          <w:rFonts w:ascii="Calibri" w:hAnsi="Calibri" w:cs="Calibri"/>
          <w:i/>
          <w:iCs/>
          <w:sz w:val="24"/>
        </w:rPr>
        <w:t>Nat Methods</w:t>
      </w:r>
      <w:r w:rsidRPr="006C17C6">
        <w:rPr>
          <w:rFonts w:ascii="Calibri" w:hAnsi="Calibri" w:cs="Calibri"/>
          <w:sz w:val="24"/>
        </w:rPr>
        <w:t xml:space="preserve"> </w:t>
      </w:r>
      <w:r w:rsidRPr="006C17C6">
        <w:rPr>
          <w:rFonts w:ascii="Calibri" w:hAnsi="Calibri" w:cs="Calibri"/>
          <w:b/>
          <w:bCs/>
          <w:sz w:val="24"/>
        </w:rPr>
        <w:t>16</w:t>
      </w:r>
      <w:r w:rsidRPr="006C17C6">
        <w:rPr>
          <w:rFonts w:ascii="Calibri" w:hAnsi="Calibri" w:cs="Calibri"/>
          <w:sz w:val="24"/>
        </w:rPr>
        <w:t>, 1289–1296 (2019).</w:t>
      </w:r>
    </w:p>
    <w:p w14:paraId="394FB362" w14:textId="77777777" w:rsidR="006C17C6" w:rsidRPr="006C17C6" w:rsidRDefault="006C17C6" w:rsidP="00D50ADC">
      <w:pPr>
        <w:pStyle w:val="Bibliography"/>
        <w:spacing w:line="240" w:lineRule="auto"/>
        <w:jc w:val="both"/>
        <w:rPr>
          <w:rFonts w:ascii="Calibri" w:hAnsi="Calibri" w:cs="Calibri"/>
          <w:sz w:val="24"/>
        </w:rPr>
      </w:pPr>
      <w:r w:rsidRPr="006C17C6">
        <w:rPr>
          <w:rFonts w:ascii="Calibri" w:hAnsi="Calibri" w:cs="Calibri"/>
          <w:sz w:val="24"/>
        </w:rPr>
        <w:t>7.</w:t>
      </w:r>
      <w:r w:rsidRPr="006C17C6">
        <w:rPr>
          <w:rFonts w:ascii="Calibri" w:hAnsi="Calibri" w:cs="Calibri"/>
          <w:sz w:val="24"/>
        </w:rPr>
        <w:tab/>
        <w:t xml:space="preserve">Hafemeister, C. &amp; Satija, R. Normalization and variance stabilization of single-cell RNA-seq data using regularized negative binomial regression. </w:t>
      </w:r>
      <w:r w:rsidRPr="006C17C6">
        <w:rPr>
          <w:rFonts w:ascii="Calibri" w:hAnsi="Calibri" w:cs="Calibri"/>
          <w:i/>
          <w:iCs/>
          <w:sz w:val="24"/>
        </w:rPr>
        <w:t>Genome Biology</w:t>
      </w:r>
      <w:r w:rsidRPr="006C17C6">
        <w:rPr>
          <w:rFonts w:ascii="Calibri" w:hAnsi="Calibri" w:cs="Calibri"/>
          <w:sz w:val="24"/>
        </w:rPr>
        <w:t xml:space="preserve"> </w:t>
      </w:r>
      <w:r w:rsidRPr="006C17C6">
        <w:rPr>
          <w:rFonts w:ascii="Calibri" w:hAnsi="Calibri" w:cs="Calibri"/>
          <w:b/>
          <w:bCs/>
          <w:sz w:val="24"/>
        </w:rPr>
        <w:t>20</w:t>
      </w:r>
      <w:r w:rsidRPr="006C17C6">
        <w:rPr>
          <w:rFonts w:ascii="Calibri" w:hAnsi="Calibri" w:cs="Calibri"/>
          <w:sz w:val="24"/>
        </w:rPr>
        <w:t>, 296 (2019).</w:t>
      </w:r>
    </w:p>
    <w:p w14:paraId="41A18BDF" w14:textId="77777777" w:rsidR="006C17C6" w:rsidRPr="006C17C6" w:rsidRDefault="006C17C6" w:rsidP="00D50ADC">
      <w:pPr>
        <w:pStyle w:val="Bibliography"/>
        <w:spacing w:line="240" w:lineRule="auto"/>
        <w:jc w:val="both"/>
        <w:rPr>
          <w:rFonts w:ascii="Calibri" w:hAnsi="Calibri" w:cs="Calibri"/>
          <w:sz w:val="24"/>
        </w:rPr>
      </w:pPr>
      <w:r w:rsidRPr="006C17C6">
        <w:rPr>
          <w:rFonts w:ascii="Calibri" w:hAnsi="Calibri" w:cs="Calibri"/>
          <w:sz w:val="24"/>
        </w:rPr>
        <w:t>8.</w:t>
      </w:r>
      <w:r w:rsidRPr="006C17C6">
        <w:rPr>
          <w:rFonts w:ascii="Calibri" w:hAnsi="Calibri" w:cs="Calibri"/>
          <w:sz w:val="24"/>
        </w:rPr>
        <w:tab/>
        <w:t xml:space="preserve">Aran, D. </w:t>
      </w:r>
      <w:r w:rsidRPr="006C17C6">
        <w:rPr>
          <w:rFonts w:ascii="Calibri" w:hAnsi="Calibri" w:cs="Calibri"/>
          <w:i/>
          <w:iCs/>
          <w:sz w:val="24"/>
        </w:rPr>
        <w:t>et al.</w:t>
      </w:r>
      <w:r w:rsidRPr="006C17C6">
        <w:rPr>
          <w:rFonts w:ascii="Calibri" w:hAnsi="Calibri" w:cs="Calibri"/>
          <w:sz w:val="24"/>
        </w:rPr>
        <w:t xml:space="preserve"> Reference-based analysis of lung single-cell sequencing reveals a transitional profibrotic macrophage. </w:t>
      </w:r>
      <w:r w:rsidRPr="006C17C6">
        <w:rPr>
          <w:rFonts w:ascii="Calibri" w:hAnsi="Calibri" w:cs="Calibri"/>
          <w:i/>
          <w:iCs/>
          <w:sz w:val="24"/>
        </w:rPr>
        <w:t>Nat Immunol</w:t>
      </w:r>
      <w:r w:rsidRPr="006C17C6">
        <w:rPr>
          <w:rFonts w:ascii="Calibri" w:hAnsi="Calibri" w:cs="Calibri"/>
          <w:sz w:val="24"/>
        </w:rPr>
        <w:t xml:space="preserve"> </w:t>
      </w:r>
      <w:r w:rsidRPr="006C17C6">
        <w:rPr>
          <w:rFonts w:ascii="Calibri" w:hAnsi="Calibri" w:cs="Calibri"/>
          <w:b/>
          <w:bCs/>
          <w:sz w:val="24"/>
        </w:rPr>
        <w:t>20</w:t>
      </w:r>
      <w:r w:rsidRPr="006C17C6">
        <w:rPr>
          <w:rFonts w:ascii="Calibri" w:hAnsi="Calibri" w:cs="Calibri"/>
          <w:sz w:val="24"/>
        </w:rPr>
        <w:t>, 163–172 (2019).</w:t>
      </w:r>
    </w:p>
    <w:p w14:paraId="6D7FB89C" w14:textId="77777777" w:rsidR="006C17C6" w:rsidRPr="006C17C6" w:rsidRDefault="006C17C6" w:rsidP="00D50ADC">
      <w:pPr>
        <w:pStyle w:val="Bibliography"/>
        <w:spacing w:line="240" w:lineRule="auto"/>
        <w:jc w:val="both"/>
        <w:rPr>
          <w:rFonts w:ascii="Calibri" w:hAnsi="Calibri" w:cs="Calibri"/>
          <w:sz w:val="24"/>
        </w:rPr>
      </w:pPr>
      <w:r w:rsidRPr="006C17C6">
        <w:rPr>
          <w:rFonts w:ascii="Calibri" w:hAnsi="Calibri" w:cs="Calibri"/>
          <w:sz w:val="24"/>
        </w:rPr>
        <w:t>9.</w:t>
      </w:r>
      <w:r w:rsidRPr="006C17C6">
        <w:rPr>
          <w:rFonts w:ascii="Calibri" w:hAnsi="Calibri" w:cs="Calibri"/>
          <w:sz w:val="24"/>
        </w:rPr>
        <w:tab/>
        <w:t xml:space="preserve">Mende, N. </w:t>
      </w:r>
      <w:r w:rsidRPr="006C17C6">
        <w:rPr>
          <w:rFonts w:ascii="Calibri" w:hAnsi="Calibri" w:cs="Calibri"/>
          <w:i/>
          <w:iCs/>
          <w:sz w:val="24"/>
        </w:rPr>
        <w:t>et al.</w:t>
      </w:r>
      <w:r w:rsidRPr="006C17C6">
        <w:rPr>
          <w:rFonts w:ascii="Calibri" w:hAnsi="Calibri" w:cs="Calibri"/>
          <w:sz w:val="24"/>
        </w:rPr>
        <w:t xml:space="preserve"> Unique molecular and functional features of extramedullary hematopoietic stem and progenitor cell reservoirs in humans. </w:t>
      </w:r>
      <w:r w:rsidRPr="006C17C6">
        <w:rPr>
          <w:rFonts w:ascii="Calibri" w:hAnsi="Calibri" w:cs="Calibri"/>
          <w:i/>
          <w:iCs/>
          <w:sz w:val="24"/>
        </w:rPr>
        <w:t>Blood</w:t>
      </w:r>
      <w:r w:rsidRPr="006C17C6">
        <w:rPr>
          <w:rFonts w:ascii="Calibri" w:hAnsi="Calibri" w:cs="Calibri"/>
          <w:sz w:val="24"/>
        </w:rPr>
        <w:t xml:space="preserve"> </w:t>
      </w:r>
      <w:r w:rsidRPr="006C17C6">
        <w:rPr>
          <w:rFonts w:ascii="Calibri" w:hAnsi="Calibri" w:cs="Calibri"/>
          <w:b/>
          <w:bCs/>
          <w:sz w:val="24"/>
        </w:rPr>
        <w:t>139</w:t>
      </w:r>
      <w:r w:rsidRPr="006C17C6">
        <w:rPr>
          <w:rFonts w:ascii="Calibri" w:hAnsi="Calibri" w:cs="Calibri"/>
          <w:sz w:val="24"/>
        </w:rPr>
        <w:t>, 3387–3401 (2022).</w:t>
      </w:r>
    </w:p>
    <w:p w14:paraId="57DA2744" w14:textId="77777777" w:rsidR="006C17C6" w:rsidRPr="006C17C6" w:rsidRDefault="006C17C6" w:rsidP="00D50ADC">
      <w:pPr>
        <w:pStyle w:val="Bibliography"/>
        <w:spacing w:line="240" w:lineRule="auto"/>
        <w:jc w:val="both"/>
        <w:rPr>
          <w:rFonts w:ascii="Calibri" w:hAnsi="Calibri" w:cs="Calibri"/>
          <w:sz w:val="24"/>
        </w:rPr>
      </w:pPr>
      <w:r w:rsidRPr="006C17C6">
        <w:rPr>
          <w:rFonts w:ascii="Calibri" w:hAnsi="Calibri" w:cs="Calibri"/>
          <w:sz w:val="24"/>
        </w:rPr>
        <w:lastRenderedPageBreak/>
        <w:t>10.</w:t>
      </w:r>
      <w:r w:rsidRPr="006C17C6">
        <w:rPr>
          <w:rFonts w:ascii="Calibri" w:hAnsi="Calibri" w:cs="Calibri"/>
          <w:sz w:val="24"/>
        </w:rPr>
        <w:tab/>
        <w:t xml:space="preserve">Langfelder, P. &amp; Horvath, S. WGCNA: an R package for weighted correlation network analysis. </w:t>
      </w:r>
      <w:r w:rsidRPr="006C17C6">
        <w:rPr>
          <w:rFonts w:ascii="Calibri" w:hAnsi="Calibri" w:cs="Calibri"/>
          <w:i/>
          <w:iCs/>
          <w:sz w:val="24"/>
        </w:rPr>
        <w:t>BMC Bioinformatics</w:t>
      </w:r>
      <w:r w:rsidRPr="006C17C6">
        <w:rPr>
          <w:rFonts w:ascii="Calibri" w:hAnsi="Calibri" w:cs="Calibri"/>
          <w:sz w:val="24"/>
        </w:rPr>
        <w:t xml:space="preserve"> </w:t>
      </w:r>
      <w:r w:rsidRPr="006C17C6">
        <w:rPr>
          <w:rFonts w:ascii="Calibri" w:hAnsi="Calibri" w:cs="Calibri"/>
          <w:b/>
          <w:bCs/>
          <w:sz w:val="24"/>
        </w:rPr>
        <w:t>9</w:t>
      </w:r>
      <w:r w:rsidRPr="006C17C6">
        <w:rPr>
          <w:rFonts w:ascii="Calibri" w:hAnsi="Calibri" w:cs="Calibri"/>
          <w:sz w:val="24"/>
        </w:rPr>
        <w:t>, 559 (2008).</w:t>
      </w:r>
    </w:p>
    <w:p w14:paraId="67213970" w14:textId="77777777" w:rsidR="006C17C6" w:rsidRPr="006C17C6" w:rsidRDefault="006C17C6" w:rsidP="00D50ADC">
      <w:pPr>
        <w:pStyle w:val="Bibliography"/>
        <w:spacing w:line="240" w:lineRule="auto"/>
        <w:jc w:val="both"/>
        <w:rPr>
          <w:rFonts w:ascii="Calibri" w:hAnsi="Calibri" w:cs="Calibri"/>
          <w:sz w:val="24"/>
        </w:rPr>
      </w:pPr>
      <w:r w:rsidRPr="006C17C6">
        <w:rPr>
          <w:rFonts w:ascii="Calibri" w:hAnsi="Calibri" w:cs="Calibri"/>
          <w:sz w:val="24"/>
        </w:rPr>
        <w:t>11.</w:t>
      </w:r>
      <w:r w:rsidRPr="006C17C6">
        <w:rPr>
          <w:rFonts w:ascii="Calibri" w:hAnsi="Calibri" w:cs="Calibri"/>
          <w:sz w:val="24"/>
        </w:rPr>
        <w:tab/>
        <w:t xml:space="preserve">Hermand, P. </w:t>
      </w:r>
      <w:r w:rsidRPr="006C17C6">
        <w:rPr>
          <w:rFonts w:ascii="Calibri" w:hAnsi="Calibri" w:cs="Calibri"/>
          <w:i/>
          <w:iCs/>
          <w:sz w:val="24"/>
        </w:rPr>
        <w:t>et al.</w:t>
      </w:r>
      <w:r w:rsidRPr="006C17C6">
        <w:rPr>
          <w:rFonts w:ascii="Calibri" w:hAnsi="Calibri" w:cs="Calibri"/>
          <w:sz w:val="24"/>
        </w:rPr>
        <w:t xml:space="preserve"> The proteome of neutrophils in sickle cell disease reveals an unexpected activation of interferon alpha signaling pathway. </w:t>
      </w:r>
      <w:r w:rsidRPr="006C17C6">
        <w:rPr>
          <w:rFonts w:ascii="Calibri" w:hAnsi="Calibri" w:cs="Calibri"/>
          <w:i/>
          <w:iCs/>
          <w:sz w:val="24"/>
        </w:rPr>
        <w:t>Haematologica</w:t>
      </w:r>
      <w:r w:rsidRPr="006C17C6">
        <w:rPr>
          <w:rFonts w:ascii="Calibri" w:hAnsi="Calibri" w:cs="Calibri"/>
          <w:sz w:val="24"/>
        </w:rPr>
        <w:t xml:space="preserve"> </w:t>
      </w:r>
      <w:r w:rsidRPr="006C17C6">
        <w:rPr>
          <w:rFonts w:ascii="Calibri" w:hAnsi="Calibri" w:cs="Calibri"/>
          <w:b/>
          <w:bCs/>
          <w:sz w:val="24"/>
        </w:rPr>
        <w:t>105</w:t>
      </w:r>
      <w:r w:rsidRPr="006C17C6">
        <w:rPr>
          <w:rFonts w:ascii="Calibri" w:hAnsi="Calibri" w:cs="Calibri"/>
          <w:sz w:val="24"/>
        </w:rPr>
        <w:t>, 2851–2854 (2020).</w:t>
      </w:r>
    </w:p>
    <w:p w14:paraId="243AC77C" w14:textId="1CB929DD" w:rsidR="00A64256" w:rsidRPr="00EC4403" w:rsidRDefault="00910991" w:rsidP="00D50ADC">
      <w:pPr>
        <w:spacing w:before="240" w:after="240" w:line="240" w:lineRule="auto"/>
        <w:jc w:val="both"/>
        <w:rPr>
          <w:sz w:val="24"/>
          <w:szCs w:val="24"/>
        </w:rPr>
      </w:pPr>
      <w:r w:rsidRPr="00910991">
        <w:rPr>
          <w:rFonts w:asciiTheme="majorHAnsi" w:hAnsiTheme="majorHAnsi" w:cstheme="majorHAnsi"/>
          <w:sz w:val="24"/>
          <w:szCs w:val="24"/>
        </w:rPr>
        <w:fldChar w:fldCharType="end"/>
      </w:r>
    </w:p>
    <w:sectPr w:rsidR="00A64256" w:rsidRPr="00EC440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958439" w14:textId="77777777" w:rsidR="00B65E65" w:rsidRDefault="00B65E65">
      <w:pPr>
        <w:spacing w:line="240" w:lineRule="auto"/>
      </w:pPr>
      <w:r>
        <w:separator/>
      </w:r>
    </w:p>
  </w:endnote>
  <w:endnote w:type="continuationSeparator" w:id="0">
    <w:p w14:paraId="67CF6722" w14:textId="77777777" w:rsidR="00B65E65" w:rsidRDefault="00B65E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558152" w14:textId="77777777" w:rsidR="00B65E65" w:rsidRDefault="00B65E65">
      <w:pPr>
        <w:spacing w:line="240" w:lineRule="auto"/>
      </w:pPr>
      <w:r>
        <w:separator/>
      </w:r>
    </w:p>
  </w:footnote>
  <w:footnote w:type="continuationSeparator" w:id="0">
    <w:p w14:paraId="264606CC" w14:textId="77777777" w:rsidR="00B65E65" w:rsidRDefault="00B65E6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3B57"/>
    <w:multiLevelType w:val="hybridMultilevel"/>
    <w:tmpl w:val="CAA80F3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364540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4256"/>
    <w:rsid w:val="00043903"/>
    <w:rsid w:val="000E0996"/>
    <w:rsid w:val="00102F8E"/>
    <w:rsid w:val="00203B50"/>
    <w:rsid w:val="002B6DEB"/>
    <w:rsid w:val="00304338"/>
    <w:rsid w:val="0040568C"/>
    <w:rsid w:val="004142BC"/>
    <w:rsid w:val="0043118B"/>
    <w:rsid w:val="00432074"/>
    <w:rsid w:val="00454182"/>
    <w:rsid w:val="004A1DD4"/>
    <w:rsid w:val="004F70FC"/>
    <w:rsid w:val="00506470"/>
    <w:rsid w:val="00576620"/>
    <w:rsid w:val="005935C2"/>
    <w:rsid w:val="005B7415"/>
    <w:rsid w:val="0060381B"/>
    <w:rsid w:val="0061160E"/>
    <w:rsid w:val="006B7482"/>
    <w:rsid w:val="006C17C6"/>
    <w:rsid w:val="00712355"/>
    <w:rsid w:val="007143BF"/>
    <w:rsid w:val="007E6CBF"/>
    <w:rsid w:val="00855064"/>
    <w:rsid w:val="008B0BC7"/>
    <w:rsid w:val="008D3B15"/>
    <w:rsid w:val="008F1822"/>
    <w:rsid w:val="00906F94"/>
    <w:rsid w:val="00910991"/>
    <w:rsid w:val="00964179"/>
    <w:rsid w:val="00A64256"/>
    <w:rsid w:val="00AA14C6"/>
    <w:rsid w:val="00AB43CA"/>
    <w:rsid w:val="00AC6AB6"/>
    <w:rsid w:val="00B511D0"/>
    <w:rsid w:val="00B65E65"/>
    <w:rsid w:val="00B72885"/>
    <w:rsid w:val="00BA3A62"/>
    <w:rsid w:val="00BF68C3"/>
    <w:rsid w:val="00CA5477"/>
    <w:rsid w:val="00CF328C"/>
    <w:rsid w:val="00D0188C"/>
    <w:rsid w:val="00D34233"/>
    <w:rsid w:val="00D50ADC"/>
    <w:rsid w:val="00DB74C5"/>
    <w:rsid w:val="00E06AEB"/>
    <w:rsid w:val="00E71DBF"/>
    <w:rsid w:val="00EC2493"/>
    <w:rsid w:val="00EC4403"/>
    <w:rsid w:val="00EF51A2"/>
    <w:rsid w:val="00F31BED"/>
    <w:rsid w:val="00F34909"/>
    <w:rsid w:val="00F70D55"/>
    <w:rsid w:val="00FA71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AA255"/>
  <w15:docId w15:val="{77C2051A-224F-4016-8C4E-DAB92AE88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1"/>
    <w:tblPr>
      <w:tblStyleRowBandSize w:val="1"/>
      <w:tblStyleColBandSize w:val="1"/>
      <w:tblCellMar>
        <w:top w:w="100" w:type="dxa"/>
        <w:left w:w="100" w:type="dxa"/>
        <w:bottom w:w="100" w:type="dxa"/>
        <w:right w:w="100" w:type="dxa"/>
      </w:tblCellMar>
    </w:tblPr>
  </w:style>
  <w:style w:type="paragraph" w:styleId="Bibliography">
    <w:name w:val="Bibliography"/>
    <w:basedOn w:val="Normal"/>
    <w:next w:val="Normal"/>
    <w:uiPriority w:val="37"/>
    <w:unhideWhenUsed/>
    <w:rsid w:val="00910991"/>
    <w:pPr>
      <w:tabs>
        <w:tab w:val="left" w:pos="264"/>
      </w:tabs>
      <w:spacing w:line="480" w:lineRule="auto"/>
      <w:ind w:left="264" w:hanging="264"/>
    </w:pPr>
  </w:style>
  <w:style w:type="character" w:styleId="CommentReference">
    <w:name w:val="annotation reference"/>
    <w:basedOn w:val="DefaultParagraphFont"/>
    <w:uiPriority w:val="99"/>
    <w:semiHidden/>
    <w:unhideWhenUsed/>
    <w:rsid w:val="004142BC"/>
    <w:rPr>
      <w:sz w:val="16"/>
      <w:szCs w:val="16"/>
    </w:rPr>
  </w:style>
  <w:style w:type="paragraph" w:styleId="CommentText">
    <w:name w:val="annotation text"/>
    <w:basedOn w:val="Normal"/>
    <w:link w:val="CommentTextChar"/>
    <w:uiPriority w:val="99"/>
    <w:semiHidden/>
    <w:unhideWhenUsed/>
    <w:rsid w:val="004142BC"/>
    <w:pPr>
      <w:spacing w:line="240" w:lineRule="auto"/>
    </w:pPr>
    <w:rPr>
      <w:sz w:val="20"/>
      <w:szCs w:val="20"/>
    </w:rPr>
  </w:style>
  <w:style w:type="character" w:customStyle="1" w:styleId="CommentTextChar">
    <w:name w:val="Comment Text Char"/>
    <w:basedOn w:val="DefaultParagraphFont"/>
    <w:link w:val="CommentText"/>
    <w:uiPriority w:val="99"/>
    <w:semiHidden/>
    <w:rsid w:val="004142BC"/>
    <w:rPr>
      <w:sz w:val="20"/>
      <w:szCs w:val="20"/>
    </w:rPr>
  </w:style>
  <w:style w:type="paragraph" w:styleId="CommentSubject">
    <w:name w:val="annotation subject"/>
    <w:basedOn w:val="CommentText"/>
    <w:next w:val="CommentText"/>
    <w:link w:val="CommentSubjectChar"/>
    <w:uiPriority w:val="99"/>
    <w:semiHidden/>
    <w:unhideWhenUsed/>
    <w:rsid w:val="004142BC"/>
    <w:rPr>
      <w:b/>
      <w:bCs/>
    </w:rPr>
  </w:style>
  <w:style w:type="character" w:customStyle="1" w:styleId="CommentSubjectChar">
    <w:name w:val="Comment Subject Char"/>
    <w:basedOn w:val="CommentTextChar"/>
    <w:link w:val="CommentSubject"/>
    <w:uiPriority w:val="99"/>
    <w:semiHidden/>
    <w:rsid w:val="004142BC"/>
    <w:rPr>
      <w:b/>
      <w:bCs/>
      <w:sz w:val="20"/>
      <w:szCs w:val="20"/>
    </w:rPr>
  </w:style>
  <w:style w:type="paragraph" w:styleId="Revision">
    <w:name w:val="Revision"/>
    <w:hidden/>
    <w:uiPriority w:val="99"/>
    <w:semiHidden/>
    <w:rsid w:val="00D34233"/>
    <w:pPr>
      <w:spacing w:line="240" w:lineRule="auto"/>
    </w:pPr>
  </w:style>
  <w:style w:type="paragraph" w:styleId="ListParagraph">
    <w:name w:val="List Paragraph"/>
    <w:basedOn w:val="Normal"/>
    <w:uiPriority w:val="34"/>
    <w:qFormat/>
    <w:rsid w:val="00203B50"/>
    <w:pPr>
      <w:ind w:left="720"/>
      <w:contextualSpacing/>
    </w:pPr>
  </w:style>
  <w:style w:type="paragraph" w:styleId="Header">
    <w:name w:val="header"/>
    <w:basedOn w:val="Normal"/>
    <w:link w:val="HeaderChar"/>
    <w:uiPriority w:val="99"/>
    <w:unhideWhenUsed/>
    <w:rsid w:val="00D50ADC"/>
    <w:pPr>
      <w:tabs>
        <w:tab w:val="center" w:pos="4536"/>
        <w:tab w:val="right" w:pos="9072"/>
      </w:tabs>
      <w:spacing w:line="240" w:lineRule="auto"/>
    </w:pPr>
  </w:style>
  <w:style w:type="character" w:customStyle="1" w:styleId="HeaderChar">
    <w:name w:val="Header Char"/>
    <w:basedOn w:val="DefaultParagraphFont"/>
    <w:link w:val="Header"/>
    <w:uiPriority w:val="99"/>
    <w:rsid w:val="00D50ADC"/>
  </w:style>
  <w:style w:type="paragraph" w:styleId="Footer">
    <w:name w:val="footer"/>
    <w:basedOn w:val="Normal"/>
    <w:link w:val="FooterChar"/>
    <w:uiPriority w:val="99"/>
    <w:unhideWhenUsed/>
    <w:rsid w:val="00D50ADC"/>
    <w:pPr>
      <w:tabs>
        <w:tab w:val="center" w:pos="4536"/>
        <w:tab w:val="right" w:pos="9072"/>
      </w:tabs>
      <w:spacing w:line="240" w:lineRule="auto"/>
    </w:pPr>
  </w:style>
  <w:style w:type="character" w:customStyle="1" w:styleId="FooterChar">
    <w:name w:val="Footer Char"/>
    <w:basedOn w:val="DefaultParagraphFont"/>
    <w:link w:val="Footer"/>
    <w:uiPriority w:val="99"/>
    <w:rsid w:val="00D50A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872645">
      <w:bodyDiv w:val="1"/>
      <w:marLeft w:val="0"/>
      <w:marRight w:val="0"/>
      <w:marTop w:val="0"/>
      <w:marBottom w:val="0"/>
      <w:divBdr>
        <w:top w:val="none" w:sz="0" w:space="0" w:color="auto"/>
        <w:left w:val="none" w:sz="0" w:space="0" w:color="auto"/>
        <w:bottom w:val="none" w:sz="0" w:space="0" w:color="auto"/>
        <w:right w:val="none" w:sz="0" w:space="0" w:color="auto"/>
      </w:divBdr>
    </w:div>
    <w:div w:id="1143889519">
      <w:bodyDiv w:val="1"/>
      <w:marLeft w:val="0"/>
      <w:marRight w:val="0"/>
      <w:marTop w:val="0"/>
      <w:marBottom w:val="0"/>
      <w:divBdr>
        <w:top w:val="none" w:sz="0" w:space="0" w:color="auto"/>
        <w:left w:val="none" w:sz="0" w:space="0" w:color="auto"/>
        <w:bottom w:val="none" w:sz="0" w:space="0" w:color="auto"/>
        <w:right w:val="none" w:sz="0" w:space="0" w:color="auto"/>
      </w:divBdr>
    </w:div>
    <w:div w:id="1827284202">
      <w:bodyDiv w:val="1"/>
      <w:marLeft w:val="0"/>
      <w:marRight w:val="0"/>
      <w:marTop w:val="0"/>
      <w:marBottom w:val="0"/>
      <w:divBdr>
        <w:top w:val="none" w:sz="0" w:space="0" w:color="auto"/>
        <w:left w:val="none" w:sz="0" w:space="0" w:color="auto"/>
        <w:bottom w:val="none" w:sz="0" w:space="0" w:color="auto"/>
        <w:right w:val="none" w:sz="0" w:space="0" w:color="auto"/>
      </w:divBdr>
    </w:div>
    <w:div w:id="21027245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14</Pages>
  <Words>6705</Words>
  <Characters>36882</Characters>
  <Application>Microsoft Office Word</Application>
  <DocSecurity>0</DocSecurity>
  <Lines>307</Lines>
  <Paragraphs>86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jade merrer</dc:creator>
  <cp:lastModifiedBy>Marion SERRA</cp:lastModifiedBy>
  <cp:revision>3</cp:revision>
  <dcterms:created xsi:type="dcterms:W3CDTF">2025-07-31T13:53:00Z</dcterms:created>
  <dcterms:modified xsi:type="dcterms:W3CDTF">2025-09-01T17:52:00Z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id="UOj6EWkn"/&gt;&lt;style id="http://www.zotero.org/styles/nature" hasBibliography="1" bibliographyStyleHasBeenSet="1"/&gt;&lt;prefs&gt;&lt;pref name="fieldType" value="Field"/&gt;&lt;/prefs&gt;&lt;/data&gt;</vt:lpwstr>
  </property>
</Properties>
</file>