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25BC" w14:textId="483F78F1" w:rsidR="0048073D" w:rsidRDefault="00D05D2F">
      <w:pPr>
        <w:rPr>
          <w:rFonts w:ascii="Times New Roman" w:hAnsi="Times New Roman" w:cs="Times New Roman"/>
          <w:b/>
          <w:bCs/>
        </w:rPr>
      </w:pPr>
      <w:r w:rsidRPr="00D05D2F">
        <w:rPr>
          <w:rFonts w:ascii="Times New Roman" w:hAnsi="Times New Roman" w:cs="Times New Roman"/>
          <w:b/>
          <w:bCs/>
        </w:rPr>
        <w:t>Supplementary Figure Legends</w:t>
      </w:r>
    </w:p>
    <w:p w14:paraId="4E6D9FF9" w14:textId="65B91D17" w:rsidR="0059749E" w:rsidRPr="00E44785" w:rsidRDefault="00B31F7A" w:rsidP="00D05D2F">
      <w:pPr>
        <w:pStyle w:val="NormalWeb"/>
        <w:spacing w:before="0" w:beforeAutospacing="0" w:after="0" w:afterAutospacing="0" w:line="480" w:lineRule="auto"/>
        <w:jc w:val="both"/>
        <w:rPr>
          <w:rFonts w:eastAsia="Aptos"/>
          <w:color w:val="000000"/>
          <w:kern w:val="2"/>
        </w:rPr>
      </w:pPr>
      <w:r w:rsidRPr="26380354">
        <w:rPr>
          <w:b/>
          <w:bCs/>
        </w:rPr>
        <w:t xml:space="preserve">Supplementary </w:t>
      </w:r>
      <w:r w:rsidR="00D05D2F" w:rsidRPr="26380354">
        <w:rPr>
          <w:b/>
          <w:bCs/>
        </w:rPr>
        <w:t xml:space="preserve">Figure 1. (A) </w:t>
      </w:r>
      <w:r>
        <w:t>SG3199 showed significantly higher cytotoxicity against TF-1 cells compared to other drug toxins commonly used for ADC production</w:t>
      </w:r>
      <w:r w:rsidRPr="26380354">
        <w:rPr>
          <w:b/>
          <w:bCs/>
        </w:rPr>
        <w:t xml:space="preserve"> </w:t>
      </w:r>
      <w:r>
        <w:t xml:space="preserve">(DM1, MME, </w:t>
      </w:r>
      <w:proofErr w:type="spellStart"/>
      <w:r>
        <w:t>Exatecan</w:t>
      </w:r>
      <w:proofErr w:type="spellEnd"/>
      <w:r>
        <w:t>, SN38).</w:t>
      </w:r>
      <w:r w:rsidR="0079721F">
        <w:t xml:space="preserve"> (</w:t>
      </w:r>
      <w:r w:rsidR="0079721F" w:rsidRPr="00C06153">
        <w:rPr>
          <w:b/>
          <w:bCs/>
        </w:rPr>
        <w:t>B</w:t>
      </w:r>
      <w:r w:rsidR="0079721F">
        <w:t xml:space="preserve">) CCRL2 KO does not affect the sensitivity of TF-1 cell to SG3199. </w:t>
      </w:r>
      <w:r w:rsidR="0079721F">
        <w:rPr>
          <w:rFonts w:eastAsia="Aptos"/>
          <w:color w:val="000000"/>
          <w:kern w:val="2"/>
        </w:rPr>
        <w:t xml:space="preserve">Development of </w:t>
      </w:r>
      <w:r w:rsidR="00EA7DB6">
        <w:rPr>
          <w:rFonts w:eastAsia="Aptos"/>
          <w:color w:val="000000"/>
          <w:kern w:val="2"/>
        </w:rPr>
        <w:t>ADCs by conjugating anti-CCRL2 (</w:t>
      </w:r>
      <w:r w:rsidR="00EA7DB6" w:rsidRPr="00EA7DB6">
        <w:rPr>
          <w:rFonts w:eastAsia="Aptos"/>
          <w:b/>
          <w:bCs/>
          <w:color w:val="000000"/>
          <w:kern w:val="2"/>
        </w:rPr>
        <w:t>C</w:t>
      </w:r>
      <w:r w:rsidR="00EA7DB6">
        <w:rPr>
          <w:rFonts w:eastAsia="Aptos"/>
          <w:color w:val="000000"/>
          <w:kern w:val="2"/>
        </w:rPr>
        <w:t>), IgG2a (</w:t>
      </w:r>
      <w:r w:rsidR="00EA7DB6" w:rsidRPr="00EA7DB6">
        <w:rPr>
          <w:rFonts w:eastAsia="Aptos"/>
          <w:b/>
          <w:bCs/>
          <w:color w:val="000000"/>
          <w:kern w:val="2"/>
        </w:rPr>
        <w:t>D</w:t>
      </w:r>
      <w:r w:rsidR="00EA7DB6">
        <w:rPr>
          <w:rFonts w:eastAsia="Aptos"/>
          <w:color w:val="000000"/>
          <w:kern w:val="2"/>
        </w:rPr>
        <w:t>), anti-CD33 (</w:t>
      </w:r>
      <w:r w:rsidR="00EA7DB6" w:rsidRPr="00EA7DB6">
        <w:rPr>
          <w:rFonts w:eastAsia="Aptos"/>
          <w:b/>
          <w:bCs/>
          <w:color w:val="000000"/>
          <w:kern w:val="2"/>
        </w:rPr>
        <w:t>E</w:t>
      </w:r>
      <w:r w:rsidR="00EA7DB6">
        <w:rPr>
          <w:rFonts w:eastAsia="Aptos"/>
          <w:color w:val="000000"/>
          <w:kern w:val="2"/>
        </w:rPr>
        <w:t>) and anti-CD123 (</w:t>
      </w:r>
      <w:r w:rsidR="00EA7DB6" w:rsidRPr="00EA7DB6">
        <w:rPr>
          <w:rFonts w:eastAsia="Aptos"/>
          <w:b/>
          <w:bCs/>
          <w:color w:val="000000"/>
          <w:kern w:val="2"/>
        </w:rPr>
        <w:t>F</w:t>
      </w:r>
      <w:r w:rsidR="00EA7DB6">
        <w:rPr>
          <w:rFonts w:eastAsia="Aptos"/>
          <w:color w:val="000000"/>
          <w:kern w:val="2"/>
        </w:rPr>
        <w:t xml:space="preserve">). </w:t>
      </w:r>
      <w:r w:rsidR="0079721F" w:rsidRPr="0098556F">
        <w:rPr>
          <w:rFonts w:eastAsia="Aptos"/>
          <w:color w:val="000000"/>
          <w:kern w:val="2"/>
        </w:rPr>
        <w:t>The antibody-drug conjugation was confirmed by high-performance liquid chromatography.</w:t>
      </w:r>
      <w:r w:rsidR="00BC62A9">
        <w:rPr>
          <w:rFonts w:eastAsia="Aptos"/>
          <w:color w:val="000000"/>
          <w:kern w:val="2"/>
        </w:rPr>
        <w:t xml:space="preserve"> (</w:t>
      </w:r>
      <w:r w:rsidR="00BC62A9" w:rsidRPr="00BC62A9">
        <w:rPr>
          <w:rFonts w:eastAsia="Aptos"/>
          <w:b/>
          <w:bCs/>
          <w:color w:val="000000"/>
          <w:kern w:val="2"/>
        </w:rPr>
        <w:t>G</w:t>
      </w:r>
      <w:r w:rsidR="00BC62A9">
        <w:rPr>
          <w:rFonts w:eastAsia="Aptos"/>
          <w:color w:val="000000"/>
          <w:kern w:val="2"/>
        </w:rPr>
        <w:t xml:space="preserve">) Flow cytometry analysis shows that </w:t>
      </w:r>
      <w:r w:rsidR="00AB0BED">
        <w:rPr>
          <w:rFonts w:eastAsia="Aptos"/>
          <w:color w:val="000000"/>
          <w:kern w:val="2"/>
        </w:rPr>
        <w:t xml:space="preserve">cell lines derived from patients with </w:t>
      </w:r>
      <w:r w:rsidR="00AB0BED" w:rsidRPr="00AB0BED">
        <w:rPr>
          <w:rFonts w:eastAsia="Aptos"/>
          <w:i/>
          <w:iCs/>
          <w:color w:val="000000"/>
          <w:kern w:val="2"/>
        </w:rPr>
        <w:t>TP53</w:t>
      </w:r>
      <w:r w:rsidR="00AB0BED">
        <w:rPr>
          <w:rFonts w:eastAsia="Aptos"/>
          <w:color w:val="000000"/>
          <w:kern w:val="2"/>
        </w:rPr>
        <w:t>-mutated MDS/AML or erythroleukemia (</w:t>
      </w:r>
      <w:r w:rsidR="00BC62A9">
        <w:rPr>
          <w:rFonts w:eastAsia="Aptos"/>
          <w:color w:val="000000"/>
          <w:kern w:val="2"/>
        </w:rPr>
        <w:t>TF-1, F36P and SKM1</w:t>
      </w:r>
      <w:r w:rsidR="00AB0BED">
        <w:rPr>
          <w:rFonts w:eastAsia="Aptos"/>
          <w:color w:val="000000"/>
          <w:kern w:val="2"/>
        </w:rPr>
        <w:t>)</w:t>
      </w:r>
      <w:r w:rsidR="00BC62A9">
        <w:rPr>
          <w:rFonts w:eastAsia="Aptos"/>
          <w:color w:val="000000"/>
          <w:kern w:val="2"/>
        </w:rPr>
        <w:t xml:space="preserve"> express significantly higher surface CCRL2 compared to </w:t>
      </w:r>
      <w:r w:rsidR="00AB0BED">
        <w:rPr>
          <w:rFonts w:eastAsia="Aptos"/>
          <w:color w:val="000000"/>
          <w:kern w:val="2"/>
        </w:rPr>
        <w:t xml:space="preserve">cell lines derived from patients with </w:t>
      </w:r>
      <w:r w:rsidR="00AB0BED" w:rsidRPr="00AB0BED">
        <w:rPr>
          <w:rFonts w:eastAsia="Aptos"/>
          <w:i/>
          <w:iCs/>
          <w:color w:val="000000"/>
          <w:kern w:val="2"/>
        </w:rPr>
        <w:t>de novo</w:t>
      </w:r>
      <w:r w:rsidR="00AB0BED">
        <w:rPr>
          <w:rFonts w:eastAsia="Aptos"/>
          <w:color w:val="000000"/>
          <w:kern w:val="2"/>
        </w:rPr>
        <w:t>/</w:t>
      </w:r>
      <w:r w:rsidR="00AB0BED" w:rsidRPr="00AB0BED">
        <w:rPr>
          <w:rFonts w:eastAsia="Aptos"/>
          <w:i/>
          <w:iCs/>
          <w:color w:val="000000"/>
          <w:kern w:val="2"/>
        </w:rPr>
        <w:t>TP53</w:t>
      </w:r>
      <w:r w:rsidR="00AB0BED">
        <w:rPr>
          <w:rFonts w:eastAsia="Aptos"/>
          <w:color w:val="000000"/>
          <w:kern w:val="2"/>
        </w:rPr>
        <w:t>-wild type AML</w:t>
      </w:r>
      <w:r w:rsidR="00BC62A9">
        <w:rPr>
          <w:rFonts w:eastAsia="Aptos"/>
          <w:color w:val="000000"/>
          <w:kern w:val="2"/>
        </w:rPr>
        <w:t xml:space="preserve"> </w:t>
      </w:r>
      <w:r w:rsidR="00AB0BED">
        <w:rPr>
          <w:rFonts w:eastAsia="Aptos"/>
          <w:color w:val="000000"/>
          <w:kern w:val="2"/>
        </w:rPr>
        <w:t>(</w:t>
      </w:r>
      <w:r w:rsidR="00BC62A9">
        <w:rPr>
          <w:rFonts w:eastAsia="Aptos"/>
          <w:color w:val="000000"/>
          <w:kern w:val="2"/>
        </w:rPr>
        <w:t>MOLM13, OCI-AML3 and MV4-11</w:t>
      </w:r>
      <w:r w:rsidR="00AB0BED">
        <w:rPr>
          <w:rFonts w:eastAsia="Aptos"/>
          <w:color w:val="000000"/>
          <w:kern w:val="2"/>
        </w:rPr>
        <w:t>)</w:t>
      </w:r>
      <w:r w:rsidR="00BC62A9">
        <w:rPr>
          <w:rFonts w:eastAsia="Aptos"/>
          <w:color w:val="000000"/>
          <w:kern w:val="2"/>
        </w:rPr>
        <w:t xml:space="preserve"> cells.  </w:t>
      </w:r>
    </w:p>
    <w:p w14:paraId="17D0C448" w14:textId="578D63DB" w:rsidR="00B31F7A" w:rsidRPr="00E44785" w:rsidRDefault="0059749E" w:rsidP="00D05D2F">
      <w:pPr>
        <w:pStyle w:val="NormalWeb"/>
        <w:spacing w:before="0" w:beforeAutospacing="0" w:after="0" w:afterAutospacing="0" w:line="480" w:lineRule="auto"/>
        <w:jc w:val="both"/>
      </w:pPr>
      <w:r w:rsidRPr="00C06153">
        <w:rPr>
          <w:rFonts w:eastAsia="Aptos"/>
          <w:b/>
          <w:bCs/>
          <w:color w:val="000000"/>
        </w:rPr>
        <w:t xml:space="preserve">Supplementary Figure </w:t>
      </w:r>
      <w:r w:rsidR="00E44785">
        <w:rPr>
          <w:rFonts w:eastAsia="Aptos"/>
          <w:b/>
          <w:bCs/>
          <w:color w:val="000000"/>
        </w:rPr>
        <w:t>2</w:t>
      </w:r>
      <w:r w:rsidRPr="00C06153">
        <w:rPr>
          <w:rFonts w:eastAsia="Aptos"/>
          <w:b/>
          <w:bCs/>
          <w:color w:val="000000"/>
        </w:rPr>
        <w:t>.</w:t>
      </w:r>
      <w:r>
        <w:rPr>
          <w:rFonts w:eastAsia="Aptos"/>
          <w:color w:val="000000"/>
        </w:rPr>
        <w:t xml:space="preserve"> Single colonies from primary cells from two independent </w:t>
      </w:r>
      <w:r w:rsidRPr="00C06153">
        <w:rPr>
          <w:rFonts w:eastAsia="Aptos"/>
          <w:i/>
          <w:iCs/>
          <w:color w:val="000000"/>
        </w:rPr>
        <w:t>TP53</w:t>
      </w:r>
      <w:r>
        <w:rPr>
          <w:rFonts w:eastAsia="Aptos"/>
          <w:color w:val="000000"/>
        </w:rPr>
        <w:t xml:space="preserve">-mutated MDS/AML with complex karyotype treated with IgG2a </w:t>
      </w:r>
      <w:r w:rsidR="00FA5448">
        <w:rPr>
          <w:rFonts w:eastAsia="Aptos"/>
          <w:color w:val="000000"/>
        </w:rPr>
        <w:t xml:space="preserve">(N=3 from patient 1 and 2 from patient 2) </w:t>
      </w:r>
      <w:r>
        <w:rPr>
          <w:rFonts w:eastAsia="Aptos"/>
          <w:color w:val="000000"/>
        </w:rPr>
        <w:t xml:space="preserve">or anti-CCRL2 ADC </w:t>
      </w:r>
      <w:r w:rsidR="00FA5448">
        <w:rPr>
          <w:rFonts w:eastAsia="Aptos"/>
          <w:color w:val="000000"/>
        </w:rPr>
        <w:t xml:space="preserve">(N=2 from patient 1 and 3 from patient 2) </w:t>
      </w:r>
      <w:r>
        <w:rPr>
          <w:rFonts w:eastAsia="Aptos"/>
          <w:color w:val="000000"/>
        </w:rPr>
        <w:t>were analyzed by fluorescence in situ hybridization (FISH) identifying chromosomal abnormalities (</w:t>
      </w:r>
      <w:r w:rsidRPr="00C06153">
        <w:rPr>
          <w:rFonts w:eastAsia="Aptos"/>
          <w:i/>
          <w:iCs/>
          <w:color w:val="000000"/>
        </w:rPr>
        <w:t>TP53</w:t>
      </w:r>
      <w:r>
        <w:rPr>
          <w:rFonts w:eastAsia="Aptos"/>
          <w:color w:val="000000"/>
        </w:rPr>
        <w:t xml:space="preserve"> deletion, 5q deletion and trisomy 8) </w:t>
      </w:r>
      <w:r w:rsidR="00FA5448">
        <w:rPr>
          <w:rFonts w:eastAsia="Aptos"/>
          <w:color w:val="000000"/>
        </w:rPr>
        <w:t>reported in the clinical samples at a significant percentage of tested cells.</w:t>
      </w:r>
    </w:p>
    <w:p w14:paraId="7A95D115" w14:textId="6A6764A7" w:rsidR="00E44785" w:rsidRPr="00D05D2F" w:rsidRDefault="00FA5448" w:rsidP="00E44785">
      <w:pPr>
        <w:pStyle w:val="NormalWeb"/>
        <w:spacing w:before="0" w:beforeAutospacing="0" w:after="0" w:afterAutospacing="0" w:line="480" w:lineRule="auto"/>
        <w:jc w:val="both"/>
      </w:pPr>
      <w:bookmarkStart w:id="0" w:name="_Hlk203346751"/>
      <w:r w:rsidRPr="009B0556">
        <w:rPr>
          <w:b/>
        </w:rPr>
        <w:t xml:space="preserve">Supplementary Figure </w:t>
      </w:r>
      <w:r w:rsidR="00E44785">
        <w:rPr>
          <w:b/>
        </w:rPr>
        <w:t>3</w:t>
      </w:r>
      <w:r w:rsidRPr="009B0556">
        <w:rPr>
          <w:b/>
        </w:rPr>
        <w:t>.</w:t>
      </w:r>
      <w:r>
        <w:rPr>
          <w:bCs/>
        </w:rPr>
        <w:t xml:space="preserve"> </w:t>
      </w:r>
      <w:r w:rsidR="00E44785">
        <w:rPr>
          <w:bCs/>
        </w:rPr>
        <w:t>(</w:t>
      </w:r>
      <w:r w:rsidR="00E44785" w:rsidRPr="009B0556">
        <w:rPr>
          <w:b/>
        </w:rPr>
        <w:t>A</w:t>
      </w:r>
      <w:r w:rsidR="00E44785">
        <w:rPr>
          <w:bCs/>
        </w:rPr>
        <w:t xml:space="preserve">) </w:t>
      </w:r>
      <w:r w:rsidR="00E44785">
        <w:rPr>
          <w:rFonts w:eastAsia="Aptos"/>
          <w:color w:val="000000"/>
        </w:rPr>
        <w:t xml:space="preserve">Development of the anti-mouse CCRL2 ADC by conjugating anti-mouse CCRL2 antibody or IgG2b with </w:t>
      </w:r>
      <w:proofErr w:type="spellStart"/>
      <w:r w:rsidR="00E44785">
        <w:rPr>
          <w:rFonts w:eastAsia="Aptos"/>
          <w:color w:val="000000"/>
        </w:rPr>
        <w:t>pyrrolobenzodiazepine</w:t>
      </w:r>
      <w:proofErr w:type="spellEnd"/>
      <w:r w:rsidR="00E44785">
        <w:rPr>
          <w:rFonts w:eastAsia="Aptos"/>
          <w:color w:val="000000"/>
        </w:rPr>
        <w:t xml:space="preserve"> (PBD). (</w:t>
      </w:r>
      <w:r w:rsidR="00E44785">
        <w:rPr>
          <w:rFonts w:eastAsia="Aptos"/>
          <w:b/>
          <w:bCs/>
          <w:color w:val="000000"/>
        </w:rPr>
        <w:t>B</w:t>
      </w:r>
      <w:r w:rsidR="00E44785">
        <w:rPr>
          <w:rFonts w:eastAsia="Aptos"/>
          <w:color w:val="000000"/>
        </w:rPr>
        <w:t>) Kidney and spleen weights were not different between anti-CCRL2 ADC or IgG2b treated mice. (</w:t>
      </w:r>
      <w:r w:rsidR="00E44785" w:rsidRPr="00E44785">
        <w:rPr>
          <w:rFonts w:eastAsia="Aptos"/>
          <w:b/>
          <w:bCs/>
          <w:color w:val="000000"/>
        </w:rPr>
        <w:t>C</w:t>
      </w:r>
      <w:r w:rsidR="00E44785">
        <w:rPr>
          <w:rFonts w:eastAsia="Aptos"/>
          <w:color w:val="000000"/>
        </w:rPr>
        <w:t>) Absolute neutrophils and lymphocytes were not significantly different between mice treated with anti-CCRL2 ADC or conjugated IgG2b. (</w:t>
      </w:r>
      <w:r w:rsidR="00E44785" w:rsidRPr="00E44785">
        <w:rPr>
          <w:rFonts w:eastAsia="Aptos"/>
          <w:b/>
          <w:bCs/>
          <w:color w:val="000000"/>
        </w:rPr>
        <w:t>D</w:t>
      </w:r>
      <w:r w:rsidR="00E44785">
        <w:rPr>
          <w:rFonts w:eastAsia="Aptos"/>
          <w:color w:val="000000"/>
        </w:rPr>
        <w:t>)</w:t>
      </w:r>
      <w:bookmarkStart w:id="1" w:name="_Hlk205386018"/>
      <w:r w:rsidR="00E44785" w:rsidRPr="00E44785">
        <w:rPr>
          <w:rFonts w:eastAsia="Aptos"/>
          <w:color w:val="000000"/>
        </w:rPr>
        <w:t xml:space="preserve"> </w:t>
      </w:r>
      <w:r w:rsidR="00E44785">
        <w:rPr>
          <w:rFonts w:eastAsia="Aptos"/>
          <w:color w:val="000000"/>
        </w:rPr>
        <w:t>Chemistry panels are not different between anti-CCRL2 ADC or conjugated IgG2b treated mice.</w:t>
      </w:r>
      <w:bookmarkEnd w:id="1"/>
      <w:r w:rsidR="00E44785">
        <w:rPr>
          <w:rFonts w:eastAsia="Aptos"/>
          <w:color w:val="000000"/>
        </w:rPr>
        <w:t xml:space="preserve"> </w:t>
      </w:r>
    </w:p>
    <w:bookmarkEnd w:id="0"/>
    <w:p w14:paraId="66BC87FC" w14:textId="07BBF9CA" w:rsidR="00D05D2F" w:rsidRPr="00B231D2" w:rsidRDefault="00B31F7A" w:rsidP="00674562">
      <w:pPr>
        <w:pStyle w:val="NormalWeb"/>
        <w:spacing w:before="0" w:beforeAutospacing="0" w:after="0" w:afterAutospacing="0" w:line="480" w:lineRule="auto"/>
        <w:jc w:val="both"/>
        <w:rPr>
          <w:b/>
        </w:rPr>
      </w:pPr>
      <w:r>
        <w:rPr>
          <w:rFonts w:eastAsia="Aptos"/>
          <w:b/>
          <w:bCs/>
          <w:color w:val="000000"/>
          <w:kern w:val="24"/>
        </w:rPr>
        <w:t xml:space="preserve">Supplementary </w:t>
      </w:r>
      <w:r w:rsidR="0063122C" w:rsidRPr="0063122C">
        <w:rPr>
          <w:rFonts w:eastAsia="Aptos"/>
          <w:b/>
          <w:bCs/>
          <w:color w:val="000000"/>
          <w:kern w:val="24"/>
        </w:rPr>
        <w:t xml:space="preserve">Figure </w:t>
      </w:r>
      <w:r w:rsidR="00E44785">
        <w:rPr>
          <w:rFonts w:eastAsia="Aptos"/>
          <w:b/>
          <w:bCs/>
          <w:color w:val="000000"/>
          <w:kern w:val="24"/>
        </w:rPr>
        <w:t>4</w:t>
      </w:r>
      <w:r w:rsidR="0063122C" w:rsidRPr="0063122C">
        <w:rPr>
          <w:rFonts w:eastAsia="Aptos"/>
          <w:b/>
          <w:bCs/>
          <w:color w:val="000000"/>
          <w:kern w:val="24"/>
        </w:rPr>
        <w:t>.</w:t>
      </w:r>
      <w:r>
        <w:rPr>
          <w:rFonts w:eastAsia="Aptos"/>
          <w:b/>
          <w:bCs/>
          <w:color w:val="000000"/>
          <w:kern w:val="24"/>
        </w:rPr>
        <w:t xml:space="preserve"> (A</w:t>
      </w:r>
      <w:r w:rsidR="0063122C" w:rsidRPr="0063122C">
        <w:rPr>
          <w:b/>
          <w:bCs/>
        </w:rPr>
        <w:t>)</w:t>
      </w:r>
      <w:r w:rsidR="0063122C">
        <w:rPr>
          <w:b/>
          <w:bCs/>
        </w:rPr>
        <w:t xml:space="preserve"> </w:t>
      </w:r>
      <w:r>
        <w:rPr>
          <w:bCs/>
        </w:rPr>
        <w:t xml:space="preserve">Bioluminescence signal of NSG mice engrafted with F36P cells, treated with 1 mg/kg anti-CCRL2 ADC or IgG2a </w:t>
      </w:r>
      <w:r w:rsidR="006A5C33">
        <w:rPr>
          <w:bCs/>
        </w:rPr>
        <w:t xml:space="preserve">ADC </w:t>
      </w:r>
      <w:r>
        <w:rPr>
          <w:bCs/>
        </w:rPr>
        <w:t xml:space="preserve">at day 15 and harvested at day 35 to assess </w:t>
      </w:r>
      <w:r>
        <w:rPr>
          <w:bCs/>
        </w:rPr>
        <w:lastRenderedPageBreak/>
        <w:t>disease burden.</w:t>
      </w:r>
      <w:r w:rsidRPr="006A5C33">
        <w:rPr>
          <w:b/>
        </w:rPr>
        <w:t xml:space="preserve"> </w:t>
      </w:r>
      <w:r w:rsidR="00B231D2">
        <w:rPr>
          <w:b/>
        </w:rPr>
        <w:t xml:space="preserve">(B) </w:t>
      </w:r>
      <w:r w:rsidR="00B231D2" w:rsidRPr="00B231D2">
        <w:rPr>
          <w:bCs/>
        </w:rPr>
        <w:t>H</w:t>
      </w:r>
      <w:r w:rsidR="00B231D2" w:rsidRPr="00B231D2">
        <w:rPr>
          <w:bCs/>
        </w:rPr>
        <w:t xml:space="preserve">uman CD45+% </w:t>
      </w:r>
      <w:r w:rsidR="00B231D2">
        <w:rPr>
          <w:bCs/>
        </w:rPr>
        <w:t>was not significantly different between mice treated with anti-CCRL2 ADC and mice treated with IgG2a</w:t>
      </w:r>
      <w:r w:rsidR="00B231D2" w:rsidRPr="00B231D2">
        <w:rPr>
          <w:bCs/>
        </w:rPr>
        <w:t xml:space="preserve"> (p=0.</w:t>
      </w:r>
      <w:r w:rsidR="00B231D2">
        <w:rPr>
          <w:bCs/>
        </w:rPr>
        <w:t>178</w:t>
      </w:r>
      <w:r w:rsidR="00B231D2" w:rsidRPr="00B231D2">
        <w:rPr>
          <w:bCs/>
        </w:rPr>
        <w:t>).</w:t>
      </w:r>
      <w:r w:rsidR="00B231D2">
        <w:rPr>
          <w:b/>
        </w:rPr>
        <w:t xml:space="preserve"> </w:t>
      </w:r>
      <w:r>
        <w:rPr>
          <w:bCs/>
        </w:rPr>
        <w:t>(</w:t>
      </w:r>
      <w:r w:rsidR="00B231D2">
        <w:rPr>
          <w:b/>
          <w:bCs/>
        </w:rPr>
        <w:t>C</w:t>
      </w:r>
      <w:r>
        <w:rPr>
          <w:bCs/>
        </w:rPr>
        <w:t xml:space="preserve">) </w:t>
      </w:r>
      <w:r w:rsidR="00485A54">
        <w:rPr>
          <w:bCs/>
        </w:rPr>
        <w:t>MDS/AML involvement score developed based on involvement of spleen, bone marrow and liver by leukemic cells.</w:t>
      </w:r>
    </w:p>
    <w:p w14:paraId="1C5758AB" w14:textId="5DF157E2" w:rsidR="00F83D39" w:rsidRDefault="00F83D39" w:rsidP="00674562">
      <w:pPr>
        <w:pStyle w:val="NormalWeb"/>
        <w:spacing w:before="0" w:beforeAutospacing="0" w:after="0" w:afterAutospacing="0" w:line="480" w:lineRule="auto"/>
        <w:jc w:val="both"/>
        <w:rPr>
          <w:bCs/>
        </w:rPr>
      </w:pPr>
    </w:p>
    <w:p w14:paraId="0EC5690C" w14:textId="0BB3654F" w:rsidR="00F83D39" w:rsidRPr="00D05D2F" w:rsidRDefault="00F83D39" w:rsidP="00FA5448">
      <w:pPr>
        <w:pStyle w:val="NormalWeb"/>
        <w:spacing w:before="0" w:beforeAutospacing="0" w:after="0" w:afterAutospacing="0" w:line="480" w:lineRule="auto"/>
        <w:jc w:val="both"/>
      </w:pPr>
    </w:p>
    <w:sectPr w:rsidR="00F83D39" w:rsidRPr="00D05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2F"/>
    <w:rsid w:val="00136D24"/>
    <w:rsid w:val="0016266D"/>
    <w:rsid w:val="00171887"/>
    <w:rsid w:val="00253619"/>
    <w:rsid w:val="00255ED7"/>
    <w:rsid w:val="00407AD2"/>
    <w:rsid w:val="004752D1"/>
    <w:rsid w:val="0048073D"/>
    <w:rsid w:val="00485A54"/>
    <w:rsid w:val="00561070"/>
    <w:rsid w:val="0059749E"/>
    <w:rsid w:val="005F2EFB"/>
    <w:rsid w:val="0063122C"/>
    <w:rsid w:val="00674562"/>
    <w:rsid w:val="006A5C33"/>
    <w:rsid w:val="006B24D4"/>
    <w:rsid w:val="007006B8"/>
    <w:rsid w:val="00733BDD"/>
    <w:rsid w:val="00747CD2"/>
    <w:rsid w:val="007566A6"/>
    <w:rsid w:val="0079721F"/>
    <w:rsid w:val="008351E9"/>
    <w:rsid w:val="00843427"/>
    <w:rsid w:val="00866CE2"/>
    <w:rsid w:val="009E696F"/>
    <w:rsid w:val="00AB0BED"/>
    <w:rsid w:val="00B20FA8"/>
    <w:rsid w:val="00B231D2"/>
    <w:rsid w:val="00B30587"/>
    <w:rsid w:val="00B31F7A"/>
    <w:rsid w:val="00BC62A9"/>
    <w:rsid w:val="00BD7178"/>
    <w:rsid w:val="00C06153"/>
    <w:rsid w:val="00C36635"/>
    <w:rsid w:val="00D05D2F"/>
    <w:rsid w:val="00D81378"/>
    <w:rsid w:val="00DD12B9"/>
    <w:rsid w:val="00E44785"/>
    <w:rsid w:val="00EA5B18"/>
    <w:rsid w:val="00EA7DB6"/>
    <w:rsid w:val="00EB12CA"/>
    <w:rsid w:val="00F83D39"/>
    <w:rsid w:val="00FA5448"/>
    <w:rsid w:val="00FA5960"/>
    <w:rsid w:val="151F9BB8"/>
    <w:rsid w:val="26380354"/>
    <w:rsid w:val="3D018E79"/>
    <w:rsid w:val="404314D1"/>
    <w:rsid w:val="408DC820"/>
    <w:rsid w:val="4CB79B44"/>
    <w:rsid w:val="5898F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3E8C"/>
  <w15:chartTrackingRefBased/>
  <w15:docId w15:val="{F90B5D2E-46E1-BC4C-93ED-A3FDC7F3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D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0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F7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81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Naji</dc:creator>
  <cp:keywords/>
  <dc:description/>
  <cp:lastModifiedBy>Theodoros Karantanos</cp:lastModifiedBy>
  <cp:revision>2</cp:revision>
  <cp:lastPrinted>2025-07-18T15:56:00Z</cp:lastPrinted>
  <dcterms:created xsi:type="dcterms:W3CDTF">2025-09-30T16:09:00Z</dcterms:created>
  <dcterms:modified xsi:type="dcterms:W3CDTF">2025-09-30T16:09:00Z</dcterms:modified>
</cp:coreProperties>
</file>