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E1E2F" w14:textId="77777777" w:rsidR="00551DC2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</w:rPr>
      </w:pPr>
      <w:bookmarkStart w:id="0" w:name="_Hlk206572303"/>
      <w:r>
        <w:rPr>
          <w:rFonts w:ascii="Times New Roman" w:hAnsi="Times New Roman" w:cs="Times New Roman"/>
          <w:b/>
          <w:bCs/>
          <w:kern w:val="2"/>
          <w:sz w:val="32"/>
          <w:szCs w:val="32"/>
        </w:rPr>
        <w:t>From resource-rich to resource-poor grasslands: A shift in β-diversity assembly mechanisms from biotic control to abiotic dominance</w:t>
      </w:r>
    </w:p>
    <w:bookmarkEnd w:id="0"/>
    <w:p w14:paraId="1BD8DFBF" w14:textId="77777777" w:rsidR="00551DC2" w:rsidRDefault="00551DC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C60BA" w14:textId="136C7458" w:rsidR="00551DC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Tao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Liu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1,2,</w:t>
      </w:r>
      <w:r w:rsidR="00D85751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Qingqing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Wang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1,2,</w:t>
      </w:r>
      <w:r w:rsidR="00D85751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Chengzhen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Jia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Ziqing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Gong</w:t>
      </w:r>
      <w:r w:rsidR="00D85751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 Xu Wang</w:t>
      </w:r>
      <w:r w:rsidR="00D85751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Zhiyong Li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Huamin Liu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Lixin Wang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Wang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Lei Dong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Cunzhu Liang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Jinghui Zhang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1,2*</w:t>
      </w:r>
    </w:p>
    <w:p w14:paraId="77E79E34" w14:textId="77777777" w:rsidR="00551DC2" w:rsidRPr="00D85751" w:rsidRDefault="00551DC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0BAD1A8B" w14:textId="77777777" w:rsidR="00551DC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Affiliations</w:t>
      </w:r>
    </w:p>
    <w:p w14:paraId="0ADFFE79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Ministry of Education Key Laboratory of Ecology and Resource Use of the Mongolian Plateau &amp; Inner Mongolia Key Laboratory of Grassland Ecology and the Candidate State Key Laboratory of Ministry of Science and Technology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&amp; Observation and Research Station for the Typical Steppe Ecosystem of the Ministry of Education, Hohhot, China</w:t>
      </w:r>
      <w:r>
        <w:rPr>
          <w:rFonts w:ascii="Times New Roman" w:hAnsi="Times New Roman" w:cs="Times New Roman" w:hint="eastAsia"/>
          <w:sz w:val="24"/>
          <w:szCs w:val="24"/>
        </w:rPr>
        <w:t>;</w:t>
      </w:r>
    </w:p>
    <w:p w14:paraId="4E320F5E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School of Ecology and Environment, Inner Mongolia University, Hohhot, China</w:t>
      </w:r>
      <w:r>
        <w:rPr>
          <w:rFonts w:ascii="Times New Roman" w:hAnsi="Times New Roman" w:cs="Times New Roman" w:hint="eastAsia"/>
          <w:sz w:val="24"/>
          <w:szCs w:val="24"/>
        </w:rPr>
        <w:t>;</w:t>
      </w:r>
    </w:p>
    <w:p w14:paraId="718477D1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Inner Mongolia Institute of Meteorological Sciences, Hohhot, China</w:t>
      </w:r>
      <w:r>
        <w:rPr>
          <w:rFonts w:ascii="Times New Roman" w:hAnsi="Times New Roman" w:cs="Times New Roman" w:hint="eastAsia"/>
          <w:sz w:val="24"/>
          <w:szCs w:val="24"/>
        </w:rPr>
        <w:t>;</w:t>
      </w:r>
    </w:p>
    <w:p w14:paraId="01F571A2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Bureau of Housing and Urban-Rural Development, Kundulun District, Baotou City, Inner Mongolia Autonomous Region, China</w:t>
      </w:r>
    </w:p>
    <w:p w14:paraId="40150C1F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State Key Laboratory of Herbage Improvement and Grassland Agro-ecosystems, College of Ecology, Lanzhou University, Lanzhou, China</w:t>
      </w:r>
    </w:p>
    <w:p w14:paraId="027EEAEB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College of Life Science and Technology, Inner Mongolia Normal University, Hohhot, China;</w:t>
      </w:r>
    </w:p>
    <w:p w14:paraId="5A06E1D5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>Institute of Water Resources for Pastoral Areas, Ministry of Water Resources, Hohhot, China</w:t>
      </w:r>
    </w:p>
    <w:p w14:paraId="55128584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lastRenderedPageBreak/>
        <w:t>#</w:t>
      </w:r>
      <w:r>
        <w:rPr>
          <w:rFonts w:ascii="Times New Roman" w:hAnsi="Times New Roman" w:cs="Times New Roman" w:hint="eastAsia"/>
          <w:sz w:val="24"/>
          <w:szCs w:val="24"/>
        </w:rPr>
        <w:t>These authors contributed equally to this work</w:t>
      </w:r>
      <w:bookmarkStart w:id="1" w:name="_Hlk189129029"/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2990154" w14:textId="77777777" w:rsidR="00551DC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Corresponding author:</w:t>
      </w:r>
      <w:bookmarkEnd w:id="1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Jinghui Zhang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Email: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hyperlink r:id="rId4" w:history="1">
        <w:r w:rsidR="00551DC2">
          <w:rPr>
            <w:rFonts w:ascii="Times New Roman" w:hAnsi="Times New Roman" w:cs="Times New Roman" w:hint="eastAsia"/>
            <w:sz w:val="24"/>
            <w:szCs w:val="24"/>
          </w:rPr>
          <w:t>jhzhang1001@126.com</w:t>
        </w:r>
      </w:hyperlink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2D4CE55" w14:textId="77777777" w:rsidR="00551DC2" w:rsidRDefault="00551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FC4C0D" w14:textId="77777777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This file includes: Supplementary Figures 1- 7</w:t>
      </w:r>
    </w:p>
    <w:p w14:paraId="41FE58E7" w14:textId="77777777" w:rsidR="00551DC2" w:rsidRDefault="00551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A58004" w14:textId="77777777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1558E" wp14:editId="43FC0D97">
            <wp:extent cx="5274310" cy="2435225"/>
            <wp:effectExtent l="0" t="0" r="2540" b="3175"/>
            <wp:docPr id="326427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2757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4877" w14:textId="3B0FAF71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 1. </w:t>
      </w:r>
      <w:r>
        <w:rPr>
          <w:rFonts w:ascii="Times New Roman" w:hAnsi="Times New Roman" w:cs="Times New Roman"/>
          <w:sz w:val="24"/>
          <w:szCs w:val="24"/>
        </w:rPr>
        <w:t>Spatial design and nested quadrat structure for vegetation sampling.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Sampling sites were systematically arranged across a 10 × 10 km grid, with nested plots established at selected locations. Each core plot consisted of a 160 m² circular area (14.14 m diameter), within which a series of nested quadrats (from 10 m² to 0.0001 m²) were placed concentrically to capture multi-scale vegetation patterns. The smallest quadrats were positioned using point-intercept methods. Sampling arms extended in three directions at 120° angles for spatial replication. Green squares indicate 1 m² quadrats used for species composition, and red dots represent selected grid sites.</w:t>
      </w:r>
    </w:p>
    <w:p w14:paraId="66A9BAB0" w14:textId="77777777" w:rsidR="001E1C1B" w:rsidRDefault="001E1C1B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3C219A4E" w14:textId="2F6D4B9D" w:rsidR="00551DC2" w:rsidRDefault="001E1C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3DC5F1" wp14:editId="6EAD380B">
            <wp:extent cx="5274310" cy="1758315"/>
            <wp:effectExtent l="0" t="0" r="2540" b="0"/>
            <wp:docPr id="6284566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73B5" w14:textId="4793D4AF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Fig 2.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Geographic patterns of community β-diversity (z-values) across steppe types.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Relationships between z-values and (a) latitude, (b) longitude, and (c) elevation in</w:t>
      </w:r>
      <w:r w:rsidR="001E1C1B">
        <w:rPr>
          <w:rFonts w:ascii="Times New Roman" w:hAnsi="Times New Roman" w:cs="Times New Roman"/>
          <w:sz w:val="24"/>
          <w:szCs w:val="24"/>
        </w:rPr>
        <w:t xml:space="preserve">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resource-rich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RRG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blue)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resource-poor grassland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GPG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orange)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E1C1B" w:rsidRPr="003F4EB2">
        <w:rPr>
          <w:rFonts w:ascii="Times New Roman" w:hAnsi="Times New Roman" w:cs="Times New Roman"/>
          <w:sz w:val="24"/>
          <w:szCs w:val="24"/>
        </w:rPr>
        <w:t>integrated grassland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(IMG, black)</w:t>
      </w:r>
      <w:r>
        <w:rPr>
          <w:rFonts w:ascii="Times New Roman" w:hAnsi="Times New Roman" w:cs="Times New Roman"/>
          <w:sz w:val="24"/>
          <w:szCs w:val="24"/>
        </w:rPr>
        <w:t>. Solid lines represent linear regressions for each steppe type, with the overall trend shown in black with 95% confidence intervals (shaded area). Coefficients of determination (R²) and P-values are given for each regression.</w:t>
      </w:r>
    </w:p>
    <w:p w14:paraId="0148CAA3" w14:textId="77777777" w:rsidR="00551DC2" w:rsidRDefault="00551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9287A2" w14:textId="3A005328" w:rsidR="00551DC2" w:rsidRDefault="00880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DBE169" wp14:editId="142C3D74">
            <wp:extent cx="5274310" cy="2637155"/>
            <wp:effectExtent l="0" t="0" r="2540" b="0"/>
            <wp:docPr id="1614065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4970" w14:textId="70877E7A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Fig 3.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Relationships between soil properties and community β-diversity.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Linear regressions between z-values and (a) pH, (b) electrical conductivity (EC), (c)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1E1C1B" w:rsidRPr="001E1C1B">
        <w:rPr>
          <w:rFonts w:ascii="Times New Roman" w:hAnsi="Times New Roman" w:cs="Times New Roman"/>
          <w:sz w:val="24"/>
          <w:szCs w:val="24"/>
        </w:rPr>
        <w:t>oil bulk density (BD)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(d) </w:t>
      </w:r>
      <w:r w:rsidR="001E1C1B" w:rsidRPr="001E1C1B">
        <w:rPr>
          <w:rFonts w:ascii="Times New Roman" w:hAnsi="Times New Roman" w:cs="Times New Roman"/>
          <w:sz w:val="24"/>
          <w:szCs w:val="24"/>
        </w:rPr>
        <w:t>soil clay content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(SC), (e) </w:t>
      </w:r>
      <w:r>
        <w:rPr>
          <w:rFonts w:ascii="Times New Roman" w:hAnsi="Times New Roman" w:cs="Times New Roman"/>
          <w:sz w:val="24"/>
          <w:szCs w:val="24"/>
        </w:rPr>
        <w:t>total carbon (C), (</w:t>
      </w:r>
      <w:r w:rsidR="001E1C1B"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 total nitrogen (N), (</w:t>
      </w:r>
      <w:r w:rsidR="001E1C1B"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) C</w:t>
      </w:r>
      <w:r w:rsidR="001E1C1B"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N ratio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(C/N)</w:t>
      </w:r>
      <w:r>
        <w:rPr>
          <w:rFonts w:ascii="Times New Roman" w:hAnsi="Times New Roman" w:cs="Times New Roman"/>
          <w:sz w:val="24"/>
          <w:szCs w:val="24"/>
        </w:rPr>
        <w:t>, and (</w:t>
      </w:r>
      <w:r w:rsidR="001E1C1B">
        <w:rPr>
          <w:rFonts w:ascii="Times New Roman" w:hAnsi="Times New Roman" w:cs="Times New Roman" w:hint="eastAsia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) total organic carbon (TOC) in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resource-rich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RRG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blue)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resource-poor grassland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GPG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orange)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E1C1B" w:rsidRPr="003F4EB2">
        <w:rPr>
          <w:rFonts w:ascii="Times New Roman" w:hAnsi="Times New Roman" w:cs="Times New Roman"/>
          <w:sz w:val="24"/>
          <w:szCs w:val="24"/>
        </w:rPr>
        <w:t>integrated grassland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(IMG, black)</w:t>
      </w:r>
      <w:r>
        <w:rPr>
          <w:rFonts w:ascii="Times New Roman" w:hAnsi="Times New Roman" w:cs="Times New Roman"/>
          <w:sz w:val="24"/>
          <w:szCs w:val="24"/>
        </w:rPr>
        <w:t>. Shaded bands denote 95% confidence intervals.</w:t>
      </w:r>
    </w:p>
    <w:p w14:paraId="38902F18" w14:textId="2348C8F6" w:rsidR="00551DC2" w:rsidRDefault="00880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F8CB6F" wp14:editId="5FA5EA79">
            <wp:extent cx="5274310" cy="5274310"/>
            <wp:effectExtent l="0" t="0" r="2540" b="2540"/>
            <wp:docPr id="4701783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8AA8" w14:textId="7F175687" w:rsidR="00551DC2" w:rsidRDefault="00000000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Fig 4.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Climatic controls on community β-diversity.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Relationships between z-values and (a) mean annual temperature (MAT)</w:t>
      </w:r>
      <w:r w:rsidR="003F4EB2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(b) mean annual precipitation (MAP)</w:t>
      </w:r>
      <w:r w:rsidR="001E1C1B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1C1B">
        <w:rPr>
          <w:rFonts w:ascii="Times New Roman" w:hAnsi="Times New Roman" w:cs="Times New Roman"/>
          <w:sz w:val="24"/>
          <w:szCs w:val="24"/>
        </w:rPr>
        <w:t>(</w:t>
      </w:r>
      <w:r w:rsidR="001E1C1B">
        <w:rPr>
          <w:rFonts w:ascii="Times New Roman" w:hAnsi="Times New Roman" w:cs="Times New Roman" w:hint="eastAsia"/>
          <w:sz w:val="24"/>
          <w:szCs w:val="24"/>
        </w:rPr>
        <w:t>c</w:t>
      </w:r>
      <w:r w:rsidR="001E1C1B">
        <w:rPr>
          <w:rFonts w:ascii="Times New Roman" w:hAnsi="Times New Roman" w:cs="Times New Roman"/>
          <w:sz w:val="24"/>
          <w:szCs w:val="24"/>
        </w:rPr>
        <w:t>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C1B" w:rsidRPr="001E1C1B">
        <w:rPr>
          <w:rFonts w:ascii="Times New Roman" w:hAnsi="Times New Roman" w:cs="Times New Roman"/>
          <w:sz w:val="24"/>
          <w:szCs w:val="24"/>
        </w:rPr>
        <w:t xml:space="preserve">winter temperature (WT), and </w:t>
      </w:r>
      <w:r w:rsidR="001E1C1B">
        <w:rPr>
          <w:rFonts w:ascii="Times New Roman" w:hAnsi="Times New Roman" w:cs="Times New Roman"/>
          <w:sz w:val="24"/>
          <w:szCs w:val="24"/>
        </w:rPr>
        <w:t>(</w:t>
      </w:r>
      <w:r w:rsidR="001E1C1B">
        <w:rPr>
          <w:rFonts w:ascii="Times New Roman" w:hAnsi="Times New Roman" w:cs="Times New Roman" w:hint="eastAsia"/>
          <w:sz w:val="24"/>
          <w:szCs w:val="24"/>
        </w:rPr>
        <w:t>d</w:t>
      </w:r>
      <w:r w:rsidR="001E1C1B">
        <w:rPr>
          <w:rFonts w:ascii="Times New Roman" w:hAnsi="Times New Roman" w:cs="Times New Roman"/>
          <w:sz w:val="24"/>
          <w:szCs w:val="24"/>
        </w:rPr>
        <w:t>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C1B" w:rsidRPr="001E1C1B">
        <w:rPr>
          <w:rFonts w:ascii="Times New Roman" w:hAnsi="Times New Roman" w:cs="Times New Roman"/>
          <w:sz w:val="24"/>
          <w:szCs w:val="24"/>
        </w:rPr>
        <w:t>continentality (CT)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across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resource-rich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RRG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blue)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resource-poor grassland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GPG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orange)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E1C1B" w:rsidRPr="003F4EB2">
        <w:rPr>
          <w:rFonts w:ascii="Times New Roman" w:hAnsi="Times New Roman" w:cs="Times New Roman"/>
          <w:sz w:val="24"/>
          <w:szCs w:val="24"/>
        </w:rPr>
        <w:t>integrated grassland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(IMG, black)</w:t>
      </w:r>
      <w:r>
        <w:rPr>
          <w:rFonts w:ascii="Times New Roman" w:hAnsi="Times New Roman" w:cs="Times New Roman"/>
          <w:sz w:val="24"/>
          <w:szCs w:val="24"/>
        </w:rPr>
        <w:t>. Solid lines represent linear regressions with 95% confidence intervals.</w:t>
      </w:r>
    </w:p>
    <w:p w14:paraId="4EB307D4" w14:textId="07AD492D" w:rsidR="00551DC2" w:rsidRDefault="00880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44289D" wp14:editId="70E4AF65">
            <wp:extent cx="5274310" cy="5274310"/>
            <wp:effectExtent l="0" t="0" r="2540" b="2540"/>
            <wp:docPr id="11630869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1DB7" w14:textId="139E4D7F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Fig 5.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Associations between α-diversity and β-diversity across </w:t>
      </w:r>
      <w:r w:rsidR="003F4EB2">
        <w:rPr>
          <w:rFonts w:ascii="Times New Roman" w:hAnsi="Times New Roman" w:cs="Times New Roman" w:hint="eastAsia"/>
          <w:sz w:val="24"/>
          <w:szCs w:val="24"/>
        </w:rPr>
        <w:t>grassland</w:t>
      </w:r>
      <w:r>
        <w:rPr>
          <w:rFonts w:ascii="Times New Roman" w:hAnsi="Times New Roman" w:cs="Times New Roman"/>
          <w:sz w:val="24"/>
          <w:szCs w:val="24"/>
        </w:rPr>
        <w:t xml:space="preserve"> types.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Relationships between z-values and (a) Simpson index, (b) Shannon–Wiener index, (c) Pielou evenness, and (d) species richness (S) in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resource-rich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RRG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blue)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 w:rsidRPr="003F4EB2">
        <w:rPr>
          <w:rFonts w:ascii="Times New Roman" w:hAnsi="Times New Roman" w:cs="Times New Roman"/>
          <w:sz w:val="24"/>
          <w:szCs w:val="24"/>
        </w:rPr>
        <w:t>resource-poor grassland</w:t>
      </w:r>
      <w:r w:rsidR="001E1C1B">
        <w:rPr>
          <w:rFonts w:ascii="Times New Roman" w:hAnsi="Times New Roman" w:cs="Times New Roman"/>
          <w:sz w:val="24"/>
          <w:szCs w:val="24"/>
        </w:rPr>
        <w:t xml:space="preserve"> (</w:t>
      </w:r>
      <w:r w:rsidR="001E1C1B" w:rsidRPr="003F4EB2">
        <w:rPr>
          <w:rFonts w:ascii="Times New Roman" w:hAnsi="Times New Roman" w:cs="Times New Roman"/>
          <w:sz w:val="24"/>
          <w:szCs w:val="24"/>
        </w:rPr>
        <w:t>GPG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C1B">
        <w:rPr>
          <w:rFonts w:ascii="Times New Roman" w:hAnsi="Times New Roman" w:cs="Times New Roman"/>
          <w:sz w:val="24"/>
          <w:szCs w:val="24"/>
        </w:rPr>
        <w:t>orange)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E1C1B" w:rsidRPr="003F4EB2">
        <w:rPr>
          <w:rFonts w:ascii="Times New Roman" w:hAnsi="Times New Roman" w:cs="Times New Roman"/>
          <w:sz w:val="24"/>
          <w:szCs w:val="24"/>
        </w:rPr>
        <w:t>integrated grassland</w:t>
      </w:r>
      <w:r w:rsidR="001E1C1B">
        <w:rPr>
          <w:rFonts w:ascii="Times New Roman" w:hAnsi="Times New Roman" w:cs="Times New Roman" w:hint="eastAsia"/>
          <w:sz w:val="24"/>
          <w:szCs w:val="24"/>
        </w:rPr>
        <w:t xml:space="preserve"> (IMG, black)</w:t>
      </w:r>
      <w:r>
        <w:rPr>
          <w:rFonts w:ascii="Times New Roman" w:hAnsi="Times New Roman" w:cs="Times New Roman"/>
          <w:sz w:val="24"/>
          <w:szCs w:val="24"/>
        </w:rPr>
        <w:t>. Solid lines represent linear regressions with 95% confidence intervals (grey bands).</w:t>
      </w:r>
    </w:p>
    <w:p w14:paraId="47C0DD2E" w14:textId="246EF54A" w:rsidR="00551DC2" w:rsidRDefault="008802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A1FFBE" wp14:editId="416656DE">
            <wp:extent cx="5274310" cy="3515995"/>
            <wp:effectExtent l="0" t="0" r="2540" b="8255"/>
            <wp:docPr id="19814470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1689" w14:textId="5B5EC134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Fig 6.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Functional trait influences on community β-diversity.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Relationships between z-values and community-weighted means (CWM) of </w:t>
      </w:r>
      <w:r w:rsidR="003F4EB2" w:rsidRPr="003F4EB2">
        <w:rPr>
          <w:rFonts w:ascii="Times New Roman" w:hAnsi="Times New Roman" w:cs="Times New Roman"/>
          <w:sz w:val="24"/>
          <w:szCs w:val="24"/>
        </w:rPr>
        <w:t>(a) leaf dry matter content (LDMC), (b) leaf carbon content (LCC), (c) leaf nitrogen content (LNC), (d) leaf phosphorus content (LPC), (e) leaf C:N ratio (LCNR), (f) leaf N:P ratio (LNPR), (g) stem dry matter content (SDMC), (h) stem carbon content (SCC), (</w:t>
      </w:r>
      <w:proofErr w:type="spellStart"/>
      <w:r w:rsidR="003F4EB2" w:rsidRPr="003F4EB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F4EB2" w:rsidRPr="003F4EB2">
        <w:rPr>
          <w:rFonts w:ascii="Times New Roman" w:hAnsi="Times New Roman" w:cs="Times New Roman"/>
          <w:sz w:val="24"/>
          <w:szCs w:val="24"/>
        </w:rPr>
        <w:t>) stem nitrogen content (SNC), (j) stem phosphorus content (SPC), (k) stem C:N ratio (SCNR), (l) stem N:P ratio (SNPR), (m) root dry matter content (RDMC), (n) root carbon content (RCC), (o) root nitrogen content (RNC), (p) root phosphorus content (RPC), (q) root C:N ratio (RCNR), (r) root N:P ratio (RNPR), (s) specific leaf area (SLA), (t) water-use efficiency (WUE), (u) leaf length (LL), and (v) leaf thickness (LT)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F4EB2" w:rsidRPr="003F4EB2">
        <w:rPr>
          <w:rFonts w:ascii="Times New Roman" w:hAnsi="Times New Roman" w:cs="Times New Roman"/>
          <w:sz w:val="24"/>
          <w:szCs w:val="24"/>
        </w:rPr>
        <w:t>RRG, resource-rich grassland; GPG, resource-poor grassland; IMG, integrated grassland.</w:t>
      </w:r>
      <w:r w:rsidR="003F4EB2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Lines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shaded bands represent linear fits with 95% confidence intervals.</w:t>
      </w:r>
    </w:p>
    <w:p w14:paraId="7E576407" w14:textId="77777777" w:rsidR="00551DC2" w:rsidRDefault="00551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A54DB6" w14:textId="016388BC" w:rsidR="00551DC2" w:rsidRDefault="008802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95112B" wp14:editId="375C36FA">
            <wp:extent cx="5274310" cy="3515995"/>
            <wp:effectExtent l="0" t="0" r="2540" b="8255"/>
            <wp:docPr id="6105218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31FB" w14:textId="2E7F3003" w:rsidR="00551DC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Fig 7.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Effects of functional diversity on community β-diversity.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Relationships between z-values and </w:t>
      </w:r>
      <w:r w:rsidR="00880220">
        <w:rPr>
          <w:rFonts w:ascii="Times New Roman" w:hAnsi="Times New Roman" w:cs="Times New Roman" w:hint="eastAsia"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functional diversity metrics: </w:t>
      </w:r>
      <w:r w:rsidR="00880220" w:rsidRPr="00880220">
        <w:rPr>
          <w:rFonts w:ascii="Times New Roman" w:hAnsi="Times New Roman" w:cs="Times New Roman"/>
          <w:sz w:val="24"/>
          <w:szCs w:val="24"/>
        </w:rPr>
        <w:t>(a) Functional Richness (FRic), (b) Functional Evenness (</w:t>
      </w:r>
      <w:proofErr w:type="spellStart"/>
      <w:r w:rsidR="00880220" w:rsidRPr="00880220">
        <w:rPr>
          <w:rFonts w:ascii="Times New Roman" w:hAnsi="Times New Roman" w:cs="Times New Roman"/>
          <w:sz w:val="24"/>
          <w:szCs w:val="24"/>
        </w:rPr>
        <w:t>FEve</w:t>
      </w:r>
      <w:proofErr w:type="spellEnd"/>
      <w:r w:rsidR="00880220" w:rsidRPr="00880220">
        <w:rPr>
          <w:rFonts w:ascii="Times New Roman" w:hAnsi="Times New Roman" w:cs="Times New Roman"/>
          <w:sz w:val="24"/>
          <w:szCs w:val="24"/>
        </w:rPr>
        <w:t>), (c) Functional Divergence (</w:t>
      </w:r>
      <w:proofErr w:type="spellStart"/>
      <w:r w:rsidR="00880220" w:rsidRPr="00880220">
        <w:rPr>
          <w:rFonts w:ascii="Times New Roman" w:hAnsi="Times New Roman" w:cs="Times New Roman"/>
          <w:sz w:val="24"/>
          <w:szCs w:val="24"/>
        </w:rPr>
        <w:t>FDiv</w:t>
      </w:r>
      <w:proofErr w:type="spellEnd"/>
      <w:r w:rsidR="00880220" w:rsidRPr="00880220">
        <w:rPr>
          <w:rFonts w:ascii="Times New Roman" w:hAnsi="Times New Roman" w:cs="Times New Roman"/>
          <w:sz w:val="24"/>
          <w:szCs w:val="24"/>
        </w:rPr>
        <w:t>), (d) Functional Dispersion (</w:t>
      </w:r>
      <w:proofErr w:type="spellStart"/>
      <w:r w:rsidR="00880220" w:rsidRPr="00880220">
        <w:rPr>
          <w:rFonts w:ascii="Times New Roman" w:hAnsi="Times New Roman" w:cs="Times New Roman"/>
          <w:sz w:val="24"/>
          <w:szCs w:val="24"/>
        </w:rPr>
        <w:t>FDis</w:t>
      </w:r>
      <w:proofErr w:type="spellEnd"/>
      <w:r w:rsidR="00880220" w:rsidRPr="00880220">
        <w:rPr>
          <w:rFonts w:ascii="Times New Roman" w:hAnsi="Times New Roman" w:cs="Times New Roman"/>
          <w:sz w:val="24"/>
          <w:szCs w:val="24"/>
        </w:rPr>
        <w:t>), and (e) Rao’s Quadratic Entropy (</w:t>
      </w:r>
      <w:proofErr w:type="spellStart"/>
      <w:r w:rsidR="00880220" w:rsidRPr="00880220">
        <w:rPr>
          <w:rFonts w:ascii="Times New Roman" w:hAnsi="Times New Roman" w:cs="Times New Roman"/>
          <w:sz w:val="24"/>
          <w:szCs w:val="24"/>
        </w:rPr>
        <w:t>RaoQ</w:t>
      </w:r>
      <w:proofErr w:type="spellEnd"/>
      <w:r w:rsidR="00880220" w:rsidRPr="0088022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F4EB2" w:rsidRPr="003F4EB2">
        <w:rPr>
          <w:rFonts w:ascii="Times New Roman" w:hAnsi="Times New Roman" w:cs="Times New Roman"/>
          <w:sz w:val="24"/>
          <w:szCs w:val="24"/>
        </w:rPr>
        <w:t>RRG, resource-rich grassland; GPG, resource-poor grassland; IMG, integrated grassland.</w:t>
      </w:r>
      <w:r w:rsidR="003F4EB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Solid lines represent linear regressions with 95% confidence intervals.</w:t>
      </w:r>
    </w:p>
    <w:sectPr w:rsidR="00551D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019"/>
    <w:rsid w:val="00037898"/>
    <w:rsid w:val="00053E06"/>
    <w:rsid w:val="0005535C"/>
    <w:rsid w:val="000E29F0"/>
    <w:rsid w:val="000E3796"/>
    <w:rsid w:val="0010546B"/>
    <w:rsid w:val="00120389"/>
    <w:rsid w:val="001D18D4"/>
    <w:rsid w:val="001D426C"/>
    <w:rsid w:val="001E1C1B"/>
    <w:rsid w:val="00217327"/>
    <w:rsid w:val="00222E23"/>
    <w:rsid w:val="00251FE4"/>
    <w:rsid w:val="002653FA"/>
    <w:rsid w:val="002A3019"/>
    <w:rsid w:val="002F65B0"/>
    <w:rsid w:val="00387E68"/>
    <w:rsid w:val="003F4EB2"/>
    <w:rsid w:val="00467AA4"/>
    <w:rsid w:val="00472306"/>
    <w:rsid w:val="004E7378"/>
    <w:rsid w:val="004F1ECC"/>
    <w:rsid w:val="00551DC2"/>
    <w:rsid w:val="005647B4"/>
    <w:rsid w:val="005811B9"/>
    <w:rsid w:val="00585574"/>
    <w:rsid w:val="005F3DC9"/>
    <w:rsid w:val="00603D9F"/>
    <w:rsid w:val="006205E4"/>
    <w:rsid w:val="0062608E"/>
    <w:rsid w:val="006846D6"/>
    <w:rsid w:val="00690E4D"/>
    <w:rsid w:val="006A0B93"/>
    <w:rsid w:val="006D04DC"/>
    <w:rsid w:val="00702D87"/>
    <w:rsid w:val="00770B51"/>
    <w:rsid w:val="007D5C73"/>
    <w:rsid w:val="007E7C3A"/>
    <w:rsid w:val="00831707"/>
    <w:rsid w:val="008433DB"/>
    <w:rsid w:val="00880220"/>
    <w:rsid w:val="00894FFA"/>
    <w:rsid w:val="008C2C1A"/>
    <w:rsid w:val="008C7852"/>
    <w:rsid w:val="008D59DE"/>
    <w:rsid w:val="00904FF0"/>
    <w:rsid w:val="009152FA"/>
    <w:rsid w:val="00952853"/>
    <w:rsid w:val="009539FD"/>
    <w:rsid w:val="009C2E93"/>
    <w:rsid w:val="00A42BF8"/>
    <w:rsid w:val="00B01193"/>
    <w:rsid w:val="00B112DE"/>
    <w:rsid w:val="00B15B52"/>
    <w:rsid w:val="00B21B72"/>
    <w:rsid w:val="00B82566"/>
    <w:rsid w:val="00B96988"/>
    <w:rsid w:val="00D8178B"/>
    <w:rsid w:val="00D8514A"/>
    <w:rsid w:val="00D85751"/>
    <w:rsid w:val="00D92F27"/>
    <w:rsid w:val="00D948E6"/>
    <w:rsid w:val="00DC1B7D"/>
    <w:rsid w:val="00E01A3D"/>
    <w:rsid w:val="00E04E5F"/>
    <w:rsid w:val="00E4058C"/>
    <w:rsid w:val="00E4737C"/>
    <w:rsid w:val="00E669E6"/>
    <w:rsid w:val="00E95EA9"/>
    <w:rsid w:val="00ED2DD2"/>
    <w:rsid w:val="00F320B6"/>
    <w:rsid w:val="00F840D6"/>
    <w:rsid w:val="00FA29D6"/>
    <w:rsid w:val="00FD6CF6"/>
    <w:rsid w:val="48681508"/>
    <w:rsid w:val="4A4259F7"/>
    <w:rsid w:val="53AC1689"/>
    <w:rsid w:val="766C3C49"/>
    <w:rsid w:val="7A72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176C75"/>
  <w14:defaultImageDpi w14:val="330"/>
  <w15:docId w15:val="{2AEEA200-370D-4D52-B4E5-061322DB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kern w:val="2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:kern w:val="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kern w:val="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  <w:kern w:val="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  <w:kern w:val="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 w:after="160"/>
      <w:jc w:val="center"/>
    </w:pPr>
    <w:rPr>
      <w:i/>
      <w:iCs/>
      <w:color w:val="404040" w:themeColor="text1" w:themeTint="BF"/>
      <w:kern w:val="2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  <w:rPr>
      <w:kern w:val="2"/>
    </w:r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jhzhang1001@126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811</Words>
  <Characters>4624</Characters>
  <Application>Microsoft Office Word</Application>
  <DocSecurity>0</DocSecurity>
  <Lines>38</Lines>
  <Paragraphs>10</Paragraphs>
  <ScaleCrop>false</ScaleCrop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涛 刘</dc:creator>
  <cp:lastModifiedBy>涛 刘</cp:lastModifiedBy>
  <cp:revision>3</cp:revision>
  <dcterms:created xsi:type="dcterms:W3CDTF">2025-08-22T01:40:00Z</dcterms:created>
  <dcterms:modified xsi:type="dcterms:W3CDTF">2025-10-01T02:20:00Z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eyJoZGlkIjoiN2UwY2M2MWE3NGU3ZDFjN2ZkOTQ4ZjkwOWZmMzM4NzQiLCJ1c2VySWQiOiIyNTcyMTQzNjUifQ==</vt:lpwstr>
  </property>
  <property fmtid="{D5CDD505-2E9C-101B-9397-08002B2CF9AE}" pid="3" name="KSOProductBuildVer">
    <vt:lpwstr>2052-12.1.0.21541</vt:lpwstr>
  </property>
  <property fmtid="{D5CDD505-2E9C-101B-9397-08002B2CF9AE}" pid="4" name="ICV">
    <vt:lpwstr>FF62EC81650B431588635D4897E68BB2_12</vt:lpwstr>
  </property>
</Properties>
</file>