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7A214" w14:textId="77777777" w:rsidR="0048465A" w:rsidRPr="0048465A" w:rsidRDefault="0048465A" w:rsidP="0048465A">
      <w:pPr>
        <w:rPr>
          <w:b/>
          <w:bCs/>
          <w:lang w:val="en"/>
        </w:rPr>
      </w:pPr>
      <w:r w:rsidRPr="0048465A">
        <w:rPr>
          <w:b/>
          <w:bCs/>
          <w:lang w:val="en"/>
        </w:rPr>
        <w:t>Extended Data Figures</w:t>
      </w:r>
    </w:p>
    <w:p w14:paraId="7621A9A9" w14:textId="77777777" w:rsidR="0048465A" w:rsidRPr="0048465A" w:rsidRDefault="0048465A" w:rsidP="0048465A">
      <w:pPr>
        <w:rPr>
          <w:lang w:val="en"/>
        </w:rPr>
      </w:pPr>
    </w:p>
    <w:p w14:paraId="0476B4C8" w14:textId="0852A402" w:rsidR="0048465A" w:rsidRPr="0048465A" w:rsidRDefault="0048465A" w:rsidP="0048465A">
      <w:pPr>
        <w:rPr>
          <w:lang w:val="en"/>
        </w:rPr>
      </w:pPr>
      <w:r w:rsidRPr="0048465A">
        <w:rPr>
          <w:lang w:val="en"/>
        </w:rPr>
        <w:drawing>
          <wp:inline distT="0" distB="0" distL="0" distR="0" wp14:anchorId="3DDD6EAC" wp14:editId="3AE54346">
            <wp:extent cx="4314825" cy="6362700"/>
            <wp:effectExtent l="0" t="0" r="9525" b="0"/>
            <wp:docPr id="2146329514" name="Picture 8" descr="A close-up of several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A close-up of several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1FDD9" w14:textId="77777777" w:rsidR="0048465A" w:rsidRPr="0048465A" w:rsidRDefault="0048465A" w:rsidP="0048465A">
      <w:pPr>
        <w:rPr>
          <w:lang w:val="en"/>
        </w:rPr>
      </w:pPr>
      <w:r w:rsidRPr="0048465A">
        <w:rPr>
          <w:b/>
          <w:lang w:val="en"/>
        </w:rPr>
        <w:t xml:space="preserve">Extended Data Figure 1. Spatial sequencing reveals brain wide expression differences in microglia versus monocyte engrafted mice that are highly consistent with those detected by Wang and colleagues. (a) </w:t>
      </w:r>
      <w:r w:rsidRPr="0048465A">
        <w:rPr>
          <w:i/>
          <w:lang w:val="en"/>
        </w:rPr>
        <w:t>P2RY12</w:t>
      </w:r>
      <w:r w:rsidRPr="0048465A">
        <w:rPr>
          <w:lang w:val="en"/>
        </w:rPr>
        <w:t xml:space="preserve">, </w:t>
      </w:r>
      <w:r w:rsidRPr="0048465A">
        <w:rPr>
          <w:i/>
          <w:lang w:val="en"/>
        </w:rPr>
        <w:t>SALL1, APOE</w:t>
      </w:r>
      <w:r w:rsidRPr="0048465A">
        <w:rPr>
          <w:lang w:val="en"/>
        </w:rPr>
        <w:t xml:space="preserve">, </w:t>
      </w:r>
      <w:r w:rsidRPr="0048465A">
        <w:rPr>
          <w:i/>
          <w:iCs/>
          <w:lang w:val="en"/>
        </w:rPr>
        <w:t>CD14</w:t>
      </w:r>
      <w:r w:rsidRPr="0048465A">
        <w:rPr>
          <w:lang w:val="en"/>
        </w:rPr>
        <w:t xml:space="preserve">, </w:t>
      </w:r>
      <w:r w:rsidRPr="0048465A">
        <w:rPr>
          <w:i/>
          <w:lang w:val="en"/>
        </w:rPr>
        <w:t>CD74,</w:t>
      </w:r>
      <w:r w:rsidRPr="0048465A">
        <w:rPr>
          <w:lang w:val="en"/>
        </w:rPr>
        <w:t xml:space="preserve"> and </w:t>
      </w:r>
      <w:r w:rsidRPr="0048465A">
        <w:rPr>
          <w:i/>
          <w:lang w:val="en"/>
        </w:rPr>
        <w:t>MX1</w:t>
      </w:r>
      <w:r w:rsidRPr="0048465A">
        <w:rPr>
          <w:lang w:val="en"/>
        </w:rPr>
        <w:t xml:space="preserve"> mRNA expression between brain-wide xenografted human microglia and monocytes in three individual mice per group (normalized and scaled expression). </w:t>
      </w:r>
      <w:r w:rsidRPr="0048465A">
        <w:rPr>
          <w:b/>
          <w:lang w:val="en"/>
        </w:rPr>
        <w:t>(b)</w:t>
      </w:r>
      <w:r w:rsidRPr="0048465A">
        <w:rPr>
          <w:lang w:val="en"/>
        </w:rPr>
        <w:t xml:space="preserve"> Overlapping upregulated DEGs (Log2FC &gt;1, FDR&lt;0.05) detected in two independent studies using two distinct sequencing approaches (Spatial-seq versus </w:t>
      </w:r>
      <w:proofErr w:type="spellStart"/>
      <w:r w:rsidRPr="0048465A">
        <w:rPr>
          <w:lang w:val="en"/>
        </w:rPr>
        <w:t>scSeq</w:t>
      </w:r>
      <w:proofErr w:type="spellEnd"/>
      <w:r w:rsidRPr="0048465A">
        <w:rPr>
          <w:lang w:val="en"/>
        </w:rPr>
        <w:t>) reveal significant overlap via (hypergeometric p=1.98e</w:t>
      </w:r>
      <w:r w:rsidRPr="0048465A">
        <w:rPr>
          <w:vertAlign w:val="superscript"/>
          <w:lang w:val="en"/>
        </w:rPr>
        <w:t>-304</w:t>
      </w:r>
      <w:r w:rsidRPr="0048465A">
        <w:rPr>
          <w:lang w:val="en"/>
        </w:rPr>
        <w:t xml:space="preserve">). </w:t>
      </w:r>
      <w:r w:rsidRPr="0048465A">
        <w:rPr>
          <w:b/>
          <w:lang w:val="en"/>
        </w:rPr>
        <w:t>(c)</w:t>
      </w:r>
      <w:r w:rsidRPr="0048465A">
        <w:rPr>
          <w:lang w:val="en"/>
        </w:rPr>
        <w:t xml:space="preserve"> Module scores calculated from </w:t>
      </w:r>
      <w:r w:rsidRPr="0048465A">
        <w:rPr>
          <w:lang w:val="en"/>
        </w:rPr>
        <w:lastRenderedPageBreak/>
        <w:t xml:space="preserve">microglia or monocytes </w:t>
      </w:r>
      <w:proofErr w:type="spellStart"/>
      <w:r w:rsidRPr="0048465A">
        <w:rPr>
          <w:lang w:val="en"/>
        </w:rPr>
        <w:t>scSeq</w:t>
      </w:r>
      <w:proofErr w:type="spellEnd"/>
      <w:r w:rsidRPr="0048465A">
        <w:rPr>
          <w:lang w:val="en"/>
        </w:rPr>
        <w:t xml:space="preserve"> analysis by Wang et. al., exhibit corresponding enrichment in microglia or monocytes across all brain regions. P values calculated by two-sided Wilcoxon test and adjusted using the Benjamini–Hochberg (BH) method.</w:t>
      </w:r>
    </w:p>
    <w:p w14:paraId="3C745994" w14:textId="79C27F1C" w:rsidR="0048465A" w:rsidRPr="0048465A" w:rsidRDefault="0048465A" w:rsidP="0048465A">
      <w:pPr>
        <w:rPr>
          <w:lang w:val="en"/>
        </w:rPr>
      </w:pPr>
      <w:r w:rsidRPr="0048465A">
        <w:rPr>
          <w:lang w:val="en"/>
        </w:rPr>
        <w:drawing>
          <wp:inline distT="0" distB="0" distL="0" distR="0" wp14:anchorId="72EB8CA8" wp14:editId="5E478B93">
            <wp:extent cx="5486400" cy="6486525"/>
            <wp:effectExtent l="0" t="0" r="0" b="9525"/>
            <wp:docPr id="920476751" name="Picture 7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A close-up of a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63" r="15504" b="22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D643F" w14:textId="77777777" w:rsidR="0048465A" w:rsidRPr="0048465A" w:rsidRDefault="0048465A" w:rsidP="0048465A">
      <w:pPr>
        <w:rPr>
          <w:lang w:val="en"/>
        </w:rPr>
      </w:pPr>
    </w:p>
    <w:p w14:paraId="6F1BAAC9" w14:textId="77777777" w:rsidR="0048465A" w:rsidRPr="0048465A" w:rsidRDefault="0048465A" w:rsidP="0048465A">
      <w:pPr>
        <w:rPr>
          <w:bCs/>
          <w:lang w:val="en"/>
        </w:rPr>
      </w:pPr>
      <w:r w:rsidRPr="0048465A">
        <w:rPr>
          <w:b/>
          <w:lang w:val="en"/>
        </w:rPr>
        <w:t xml:space="preserve">Extended Data Figure 2. Gene ontology analysis of proteomic data reveals upregulation of proinflammatory signaling, but downregulation of synaptic pathways. </w:t>
      </w:r>
      <w:r w:rsidRPr="0048465A">
        <w:rPr>
          <w:bCs/>
          <w:lang w:val="en"/>
        </w:rPr>
        <w:t xml:space="preserve">(a) Heatmap showing log2-transformed intensities of 1185 significant DEPs between brain-wide xenografted microglia and monocytes. Enrichment analysis of proteomic data demonstrating a subset of KEGG pathways that are significantly </w:t>
      </w:r>
      <w:r w:rsidRPr="0048465A">
        <w:rPr>
          <w:bCs/>
          <w:lang w:val="en"/>
        </w:rPr>
        <w:lastRenderedPageBreak/>
        <w:t>upregulated (b, red) or downregulated (c, blue) with monocyte engraftment. Representative upregulated and downregulated KEGG pathways via over-representation analysis (</w:t>
      </w:r>
      <w:proofErr w:type="spellStart"/>
      <w:r w:rsidRPr="0048465A">
        <w:rPr>
          <w:bCs/>
          <w:lang w:val="en"/>
        </w:rPr>
        <w:t>ShinyGO</w:t>
      </w:r>
      <w:proofErr w:type="spellEnd"/>
      <w:r w:rsidRPr="0048465A">
        <w:rPr>
          <w:bCs/>
          <w:lang w:val="en"/>
        </w:rPr>
        <w:t xml:space="preserve">) of DEGs, </w:t>
      </w:r>
      <w:proofErr w:type="gramStart"/>
      <w:r w:rsidRPr="0048465A">
        <w:rPr>
          <w:bCs/>
          <w:lang w:val="en"/>
        </w:rPr>
        <w:t>The</w:t>
      </w:r>
      <w:proofErr w:type="gramEnd"/>
      <w:r w:rsidRPr="0048465A">
        <w:rPr>
          <w:bCs/>
          <w:lang w:val="en"/>
        </w:rPr>
        <w:t xml:space="preserve"> full list of 143 significantly upregulated and 175 significantly downregulated pathways are provided in Table 3. Enrichment p values were computed using a hypergeometric test and adjusted for multiple comparisons with the Benjamini–Hochberg (BH) method; pathways with FDR (q) &lt; 0.05 were considered significant.</w:t>
      </w:r>
    </w:p>
    <w:p w14:paraId="1373E26C" w14:textId="77777777" w:rsidR="0048465A" w:rsidRPr="0048465A" w:rsidRDefault="0048465A" w:rsidP="0048465A">
      <w:pPr>
        <w:rPr>
          <w:lang w:val="en"/>
        </w:rPr>
      </w:pPr>
    </w:p>
    <w:p w14:paraId="5FC21762" w14:textId="77777777" w:rsidR="0048465A" w:rsidRPr="0048465A" w:rsidRDefault="0048465A" w:rsidP="0048465A">
      <w:pPr>
        <w:rPr>
          <w:lang w:val="en"/>
        </w:rPr>
      </w:pPr>
    </w:p>
    <w:p w14:paraId="3407F5C0" w14:textId="57BC5795" w:rsidR="0048465A" w:rsidRPr="0048465A" w:rsidRDefault="0048465A" w:rsidP="0048465A">
      <w:pPr>
        <w:rPr>
          <w:lang w:val="en"/>
        </w:rPr>
      </w:pPr>
      <w:r w:rsidRPr="0048465A">
        <w:rPr>
          <w:lang w:val="en"/>
        </w:rPr>
        <w:drawing>
          <wp:inline distT="0" distB="0" distL="0" distR="0" wp14:anchorId="517FFBF8" wp14:editId="36EA5B46">
            <wp:extent cx="5731510" cy="4949190"/>
            <wp:effectExtent l="0" t="0" r="2540" b="3810"/>
            <wp:docPr id="1979295214" name="Picture 6" descr="A graph of different colored and black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A graph of different colored and black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48" b="18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4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B96DA" w14:textId="77777777" w:rsidR="0048465A" w:rsidRPr="0048465A" w:rsidRDefault="0048465A" w:rsidP="0048465A">
      <w:pPr>
        <w:rPr>
          <w:lang w:val="en"/>
        </w:rPr>
      </w:pPr>
    </w:p>
    <w:p w14:paraId="2A86E357" w14:textId="77777777" w:rsidR="0048465A" w:rsidRPr="0048465A" w:rsidRDefault="0048465A" w:rsidP="0048465A">
      <w:pPr>
        <w:rPr>
          <w:lang w:val="en"/>
        </w:rPr>
      </w:pPr>
    </w:p>
    <w:p w14:paraId="13CC58A6" w14:textId="77777777" w:rsidR="0048465A" w:rsidRPr="0048465A" w:rsidRDefault="0048465A" w:rsidP="0048465A">
      <w:pPr>
        <w:rPr>
          <w:b/>
          <w:lang w:val="en"/>
        </w:rPr>
      </w:pPr>
      <w:r w:rsidRPr="0048465A">
        <w:rPr>
          <w:b/>
          <w:lang w:val="en"/>
        </w:rPr>
        <w:t xml:space="preserve">Extended Data Figure 3. Multiplex ELISA analysis of plasma cytokines. (a) </w:t>
      </w:r>
      <w:r w:rsidRPr="0048465A">
        <w:rPr>
          <w:lang w:val="en"/>
        </w:rPr>
        <w:t xml:space="preserve">While six of the ten analytes examined by multiplex ELISA were increased in monocyte engrafted brains (Fig. 4b), the remaining four cytokines, IL-4, IL-6, IL-10, and IL-13 showed no significant differences.  </w:t>
      </w:r>
      <w:r w:rsidRPr="0048465A">
        <w:rPr>
          <w:b/>
          <w:lang w:val="en"/>
        </w:rPr>
        <w:t>(b)</w:t>
      </w:r>
      <w:r w:rsidRPr="0048465A">
        <w:rPr>
          <w:lang w:val="en"/>
        </w:rPr>
        <w:t xml:space="preserve"> In contrast, all ten cytokines were significantly increased in </w:t>
      </w:r>
      <w:r w:rsidRPr="0048465A">
        <w:rPr>
          <w:lang w:val="en"/>
        </w:rPr>
        <w:lastRenderedPageBreak/>
        <w:t xml:space="preserve">plasma samples collected from monocyte engrafted mice. </w:t>
      </w:r>
      <w:r w:rsidRPr="0048465A">
        <w:rPr>
          <w:i/>
          <w:lang w:val="en"/>
        </w:rPr>
        <w:t xml:space="preserve">p </w:t>
      </w:r>
      <w:r w:rsidRPr="0048465A">
        <w:rPr>
          <w:lang w:val="en"/>
        </w:rPr>
        <w:t xml:space="preserve">values from one-way ANOVA, </w:t>
      </w:r>
      <w:r w:rsidRPr="0048465A">
        <w:rPr>
          <w:rFonts w:ascii="Cambria Math" w:hAnsi="Cambria Math" w:cs="Cambria Math"/>
          <w:lang w:val="en"/>
        </w:rPr>
        <w:t>∗</w:t>
      </w:r>
      <w:r w:rsidRPr="0048465A">
        <w:rPr>
          <w:lang w:val="en"/>
        </w:rPr>
        <w:t xml:space="preserve">p &lt; 0.05, </w:t>
      </w:r>
      <w:r w:rsidRPr="0048465A">
        <w:rPr>
          <w:rFonts w:ascii="Cambria Math" w:hAnsi="Cambria Math" w:cs="Cambria Math"/>
          <w:lang w:val="en"/>
        </w:rPr>
        <w:t>∗∗</w:t>
      </w:r>
      <w:r w:rsidRPr="0048465A">
        <w:rPr>
          <w:lang w:val="en"/>
        </w:rPr>
        <w:t xml:space="preserve">p &lt; 0.01, </w:t>
      </w:r>
      <w:r w:rsidRPr="0048465A">
        <w:rPr>
          <w:rFonts w:ascii="Cambria Math" w:hAnsi="Cambria Math" w:cs="Cambria Math"/>
          <w:lang w:val="en"/>
        </w:rPr>
        <w:t>∗∗∗</w:t>
      </w:r>
      <w:r w:rsidRPr="0048465A">
        <w:rPr>
          <w:lang w:val="en"/>
        </w:rPr>
        <w:t xml:space="preserve">p &lt; 0.0001, and </w:t>
      </w:r>
      <w:r w:rsidRPr="0048465A">
        <w:rPr>
          <w:rFonts w:ascii="Cambria Math" w:hAnsi="Cambria Math" w:cs="Cambria Math"/>
          <w:lang w:val="en"/>
        </w:rPr>
        <w:t>∗∗∗∗</w:t>
      </w:r>
      <w:r w:rsidRPr="0048465A">
        <w:rPr>
          <w:lang w:val="en"/>
        </w:rPr>
        <w:t>p &lt; 0.0001. Comparisons not shown are not significant.</w:t>
      </w:r>
    </w:p>
    <w:p w14:paraId="21719C31" w14:textId="77777777" w:rsidR="0048465A" w:rsidRPr="0048465A" w:rsidRDefault="0048465A" w:rsidP="0048465A">
      <w:pPr>
        <w:rPr>
          <w:b/>
          <w:lang w:val="en"/>
        </w:rPr>
      </w:pPr>
    </w:p>
    <w:p w14:paraId="1E81CD02" w14:textId="77777777" w:rsidR="0048465A" w:rsidRPr="0048465A" w:rsidRDefault="0048465A" w:rsidP="0048465A">
      <w:pPr>
        <w:rPr>
          <w:lang w:val="en"/>
        </w:rPr>
      </w:pPr>
    </w:p>
    <w:p w14:paraId="74A28AF5" w14:textId="77777777" w:rsidR="0048465A" w:rsidRPr="0048465A" w:rsidRDefault="0048465A" w:rsidP="0048465A">
      <w:pPr>
        <w:rPr>
          <w:lang w:val="en"/>
        </w:rPr>
      </w:pPr>
    </w:p>
    <w:p w14:paraId="1AB9D2EA" w14:textId="5BE658E4" w:rsidR="0048465A" w:rsidRPr="0048465A" w:rsidRDefault="0048465A" w:rsidP="0048465A">
      <w:pPr>
        <w:rPr>
          <w:lang w:val="en"/>
        </w:rPr>
      </w:pPr>
      <w:r w:rsidRPr="0048465A">
        <w:rPr>
          <w:lang w:val="en"/>
        </w:rPr>
        <w:drawing>
          <wp:inline distT="0" distB="0" distL="0" distR="0" wp14:anchorId="35F24B83" wp14:editId="3FF1A0E3">
            <wp:extent cx="5731510" cy="5080635"/>
            <wp:effectExtent l="0" t="0" r="2540" b="5715"/>
            <wp:docPr id="1940682068" name="Picture 5" descr="A collage of images of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ollage of images of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D22DD" w14:textId="77777777" w:rsidR="0048465A" w:rsidRPr="0048465A" w:rsidRDefault="0048465A" w:rsidP="0048465A">
      <w:pPr>
        <w:rPr>
          <w:b/>
          <w:lang w:val="en"/>
        </w:rPr>
      </w:pPr>
    </w:p>
    <w:p w14:paraId="6F8F598A" w14:textId="77777777" w:rsidR="0048465A" w:rsidRPr="0048465A" w:rsidRDefault="0048465A" w:rsidP="0048465A">
      <w:pPr>
        <w:rPr>
          <w:lang w:val="en"/>
        </w:rPr>
      </w:pPr>
      <w:r w:rsidRPr="0048465A">
        <w:rPr>
          <w:b/>
          <w:lang w:val="en"/>
        </w:rPr>
        <w:t xml:space="preserve">Extended Data Figure 4. Human monocytes exhibit internalized </w:t>
      </w:r>
      <w:proofErr w:type="gramStart"/>
      <w:r w:rsidRPr="0048465A">
        <w:rPr>
          <w:b/>
          <w:lang w:val="en"/>
        </w:rPr>
        <w:t>synaptic</w:t>
      </w:r>
      <w:proofErr w:type="gramEnd"/>
      <w:r w:rsidRPr="0048465A">
        <w:rPr>
          <w:b/>
          <w:lang w:val="en"/>
        </w:rPr>
        <w:t xml:space="preserve"> and myelin </w:t>
      </w:r>
      <w:proofErr w:type="gramStart"/>
      <w:r w:rsidRPr="0048465A">
        <w:rPr>
          <w:b/>
          <w:lang w:val="en"/>
        </w:rPr>
        <w:t>associated</w:t>
      </w:r>
      <w:proofErr w:type="gramEnd"/>
      <w:r w:rsidRPr="0048465A">
        <w:rPr>
          <w:b/>
          <w:lang w:val="en"/>
        </w:rPr>
        <w:t xml:space="preserve"> proteins and increased levels of lipid droplets.</w:t>
      </w:r>
      <w:r w:rsidRPr="0048465A">
        <w:rPr>
          <w:lang w:val="en"/>
        </w:rPr>
        <w:t xml:space="preserve"> </w:t>
      </w:r>
      <w:r w:rsidRPr="0048465A">
        <w:rPr>
          <w:b/>
          <w:lang w:val="en"/>
        </w:rPr>
        <w:t xml:space="preserve">(a) </w:t>
      </w:r>
      <w:r w:rsidRPr="0048465A">
        <w:rPr>
          <w:lang w:val="en"/>
        </w:rPr>
        <w:t xml:space="preserve">Representative immunofluorescence imaging of IBA-1+ monocytes (green) and the presynaptic protein synaptophysin (purple). </w:t>
      </w:r>
      <w:r w:rsidRPr="0048465A">
        <w:rPr>
          <w:b/>
          <w:lang w:val="en"/>
        </w:rPr>
        <w:t>(b)</w:t>
      </w:r>
      <w:r w:rsidRPr="0048465A">
        <w:rPr>
          <w:lang w:val="en"/>
        </w:rPr>
        <w:t xml:space="preserve"> Higher power image of two representative monocytes </w:t>
      </w:r>
      <w:proofErr w:type="gramStart"/>
      <w:r w:rsidRPr="0048465A">
        <w:rPr>
          <w:lang w:val="en"/>
        </w:rPr>
        <w:t>show</w:t>
      </w:r>
      <w:proofErr w:type="gramEnd"/>
      <w:r w:rsidRPr="0048465A">
        <w:rPr>
          <w:lang w:val="en"/>
        </w:rPr>
        <w:t xml:space="preserve"> evidence of synaptic internalization (arrows) or synaptic puncta that are directly adjacent to the plasma membrane of monocytes (arrowheads). </w:t>
      </w:r>
      <w:r w:rsidRPr="0048465A">
        <w:rPr>
          <w:b/>
          <w:lang w:val="en"/>
        </w:rPr>
        <w:t>(c)</w:t>
      </w:r>
      <w:r w:rsidRPr="0048465A">
        <w:rPr>
          <w:lang w:val="en"/>
        </w:rPr>
        <w:t xml:space="preserve"> Confocal Z-stack image of IBA-1+ monocytes (green) within the corpus collosum that have internalized </w:t>
      </w:r>
      <w:r w:rsidRPr="0048465A">
        <w:rPr>
          <w:lang w:val="en"/>
        </w:rPr>
        <w:lastRenderedPageBreak/>
        <w:t xml:space="preserve">myelin basic protein immunoreactive puncta (red, arrows). </w:t>
      </w:r>
      <w:r w:rsidRPr="0048465A">
        <w:rPr>
          <w:b/>
          <w:lang w:val="en"/>
        </w:rPr>
        <w:t xml:space="preserve">(d) </w:t>
      </w:r>
      <w:r w:rsidRPr="0048465A">
        <w:rPr>
          <w:lang w:val="en"/>
        </w:rPr>
        <w:t xml:space="preserve">A higher power single confocal Z-slice of the monocyte shown in the center of (c), provides two examples of internalized MBP immunoreactive puncta (arrows). Representative confocal microscopy of PLIN-2+ lipid droplets (red) within cortical IBA1+ (white) microglia </w:t>
      </w:r>
      <w:r w:rsidRPr="0048465A">
        <w:rPr>
          <w:b/>
          <w:lang w:val="en"/>
        </w:rPr>
        <w:t xml:space="preserve">(e) </w:t>
      </w:r>
      <w:r w:rsidRPr="0048465A">
        <w:rPr>
          <w:lang w:val="en"/>
        </w:rPr>
        <w:t>or monocytes</w:t>
      </w:r>
      <w:r w:rsidRPr="0048465A">
        <w:rPr>
          <w:b/>
          <w:lang w:val="en"/>
        </w:rPr>
        <w:t xml:space="preserve"> (f)</w:t>
      </w:r>
      <w:r w:rsidRPr="0048465A">
        <w:rPr>
          <w:lang w:val="en"/>
        </w:rPr>
        <w:t xml:space="preserve">. IMARIS based quantification of PLIN2+ microglia and monocytes within the cortex </w:t>
      </w:r>
      <w:r w:rsidRPr="0048465A">
        <w:rPr>
          <w:b/>
          <w:lang w:val="en"/>
        </w:rPr>
        <w:t xml:space="preserve">(g) </w:t>
      </w:r>
      <w:r w:rsidRPr="0048465A">
        <w:rPr>
          <w:lang w:val="en"/>
        </w:rPr>
        <w:t xml:space="preserve">and hippocampus </w:t>
      </w:r>
      <w:r w:rsidRPr="0048465A">
        <w:rPr>
          <w:b/>
          <w:lang w:val="en"/>
        </w:rPr>
        <w:t>(h)</w:t>
      </w:r>
      <w:r w:rsidRPr="0048465A">
        <w:rPr>
          <w:lang w:val="en"/>
        </w:rPr>
        <w:t xml:space="preserve"> of engrafted mice. </w:t>
      </w:r>
      <w:r w:rsidRPr="0048465A">
        <w:rPr>
          <w:i/>
          <w:lang w:val="en"/>
        </w:rPr>
        <w:t>p</w:t>
      </w:r>
      <w:r w:rsidRPr="0048465A">
        <w:rPr>
          <w:lang w:val="en"/>
        </w:rPr>
        <w:t xml:space="preserve"> values from unpaired, two-sided t test (Cortex: </w:t>
      </w:r>
      <w:proofErr w:type="gramStart"/>
      <w:r w:rsidRPr="0048465A">
        <w:rPr>
          <w:lang w:val="en"/>
        </w:rPr>
        <w:t>t(</w:t>
      </w:r>
      <w:proofErr w:type="gramEnd"/>
      <w:r w:rsidRPr="0048465A">
        <w:rPr>
          <w:lang w:val="en"/>
        </w:rPr>
        <w:t>16) = 3.368, **</w:t>
      </w:r>
      <w:r w:rsidRPr="0048465A">
        <w:rPr>
          <w:i/>
          <w:lang w:val="en"/>
        </w:rPr>
        <w:t>P</w:t>
      </w:r>
      <w:r w:rsidRPr="0048465A">
        <w:rPr>
          <w:lang w:val="en"/>
        </w:rPr>
        <w:t xml:space="preserve">=0.0039) (Hippocampus: </w:t>
      </w:r>
      <w:proofErr w:type="gramStart"/>
      <w:r w:rsidRPr="0048465A">
        <w:rPr>
          <w:lang w:val="en"/>
        </w:rPr>
        <w:t>t(16)=</w:t>
      </w:r>
      <w:proofErr w:type="gramEnd"/>
      <w:r w:rsidRPr="0048465A">
        <w:rPr>
          <w:lang w:val="en"/>
        </w:rPr>
        <w:t xml:space="preserve"> 2.851; *</w:t>
      </w:r>
      <w:r w:rsidRPr="0048465A">
        <w:rPr>
          <w:i/>
          <w:lang w:val="en"/>
        </w:rPr>
        <w:t>P=</w:t>
      </w:r>
      <w:r w:rsidRPr="0048465A">
        <w:rPr>
          <w:lang w:val="en"/>
        </w:rPr>
        <w:t xml:space="preserve">0.0116). Data represented as average mean value ± SEM (Mg, n = 7; Mo, n = 12). </w:t>
      </w:r>
      <w:proofErr w:type="gramStart"/>
      <w:r w:rsidRPr="0048465A">
        <w:rPr>
          <w:rFonts w:ascii="Cambria Math" w:hAnsi="Cambria Math" w:cs="Cambria Math"/>
          <w:lang w:val="en"/>
        </w:rPr>
        <w:t>∗</w:t>
      </w:r>
      <w:r w:rsidRPr="0048465A">
        <w:rPr>
          <w:lang w:val="en"/>
        </w:rPr>
        <w:t>p &lt;</w:t>
      </w:r>
      <w:proofErr w:type="gramEnd"/>
      <w:r w:rsidRPr="0048465A">
        <w:rPr>
          <w:lang w:val="en"/>
        </w:rPr>
        <w:t xml:space="preserve"> 0.05 and </w:t>
      </w:r>
      <w:r w:rsidRPr="0048465A">
        <w:rPr>
          <w:rFonts w:ascii="Cambria Math" w:hAnsi="Cambria Math" w:cs="Cambria Math"/>
          <w:lang w:val="en"/>
        </w:rPr>
        <w:t>∗∗</w:t>
      </w:r>
      <w:r w:rsidRPr="0048465A">
        <w:rPr>
          <w:lang w:val="en"/>
        </w:rPr>
        <w:t>p &lt; 0.01.</w:t>
      </w:r>
    </w:p>
    <w:p w14:paraId="696AFA7E" w14:textId="77777777" w:rsidR="0048465A" w:rsidRPr="0048465A" w:rsidRDefault="0048465A" w:rsidP="0048465A">
      <w:pPr>
        <w:rPr>
          <w:lang w:val="en"/>
        </w:rPr>
      </w:pPr>
    </w:p>
    <w:p w14:paraId="2E2F308F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65A"/>
    <w:rsid w:val="0001294C"/>
    <w:rsid w:val="0048465A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B21AD"/>
  <w15:chartTrackingRefBased/>
  <w15:docId w15:val="{7E1828B1-5AF3-467B-A208-7435A6CA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4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6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6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6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6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6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6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4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4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6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4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78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539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2025-10-10T07:39:00Z</dcterms:created>
  <dcterms:modified xsi:type="dcterms:W3CDTF">2025-10-10T07:39:00Z</dcterms:modified>
</cp:coreProperties>
</file>