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CC8" w:rsidRPr="009A17EB" w:rsidRDefault="00916CC8" w:rsidP="00916C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Style w:val="Hyperlink"/>
          <w:rFonts w:ascii="Times New Roman" w:hAnsi="Times New Roman"/>
          <w:b/>
          <w:bCs/>
          <w:color w:val="auto"/>
          <w:sz w:val="36"/>
          <w:szCs w:val="36"/>
          <w:u w:val="none"/>
          <w:lang w:val="en-US"/>
        </w:rPr>
      </w:pPr>
      <w:r w:rsidRPr="009A17EB">
        <w:rPr>
          <w:rStyle w:val="Hyperlink"/>
          <w:rFonts w:ascii="Times New Roman" w:hAnsi="Times New Roman"/>
          <w:b/>
          <w:bCs/>
          <w:color w:val="auto"/>
          <w:sz w:val="36"/>
          <w:szCs w:val="36"/>
          <w:u w:val="none"/>
          <w:lang w:val="en-US"/>
        </w:rPr>
        <w:t xml:space="preserve">Supporting information </w:t>
      </w:r>
    </w:p>
    <w:p w:rsidR="00916CC8" w:rsidRPr="00E270C1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t>S1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</w:t>
      </w:r>
      <w:r>
        <w:rPr>
          <w:rFonts w:ascii="Times New Roman" w:hAnsi="Times New Roman"/>
          <w:b/>
          <w:bCs/>
          <w:color w:val="000000"/>
          <w:szCs w:val="24"/>
          <w:lang w:val="en-US"/>
        </w:rPr>
        <w:t>.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Trends in breast cancer screening coverage within the Brazilian Public Healthcare System, for Brazil as a whole and for each region and state, in women of 40-49 years of age between 2013 and 2022.  </w:t>
      </w: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357"/>
        <w:gridCol w:w="1088"/>
        <w:gridCol w:w="1926"/>
        <w:gridCol w:w="1836"/>
        <w:gridCol w:w="1357"/>
        <w:gridCol w:w="997"/>
        <w:gridCol w:w="1881"/>
        <w:gridCol w:w="1836"/>
      </w:tblGrid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-10.79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-19.17 to -7.80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13.54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-7.76 to 29.78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-9.56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-23.02 to -4.25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13.82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-8.45 to 31.64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3.25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-11.17 to 21.94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-14.57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-20.32 to -10.41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-13.01 to 6.66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Amapá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-40.92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-82.15 to 4.97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56.65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31.62 to 198.62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-8.32 to 0.51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-2.77 to 29.50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61.75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12.86 to 120.66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-17.83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-29.72 to 10.00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-9.91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-17.20 to -7.34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15.93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-4.73 to 31.32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-5.34 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-8.23 to -2.62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-9.54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-16.97 to -6.60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23.69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-0.33 to 44.25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-15.97 to 0.02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-23.94 to 3.68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32.76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1.55 to 64.47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lastRenderedPageBreak/>
              <w:t>Paraíba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-8.93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-14.73 to -4.16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-13.45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-18.25 to -10.11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Piauí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-5.23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-9.89 to -0.86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-5.58 to 1.30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-5.13 to 3.05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-10.72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-18.49 to -6.82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9.81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-8.56 to 23.93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-7.15 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-11.23 to -3.61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-19.99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-24.68 to -18.11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25.03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-4.60 to 46.08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-8.35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-12.35 to -5.23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-5.19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-8.65 to -2.35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-7.06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-10.00 to -4.65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-5.93 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-9.50 to -2.90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-5.62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-8.12 to -3.39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-13.42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-25.43 to -6.76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10.88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-13.96 to 34.28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-8.51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-16.84 to -5.45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18.81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-1.86 to 37.63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-46.97 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-71.11 to -34.45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15.45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-9.80 a 136.58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-3.9057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-7.96 to 0.03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-11.71 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-32.26 to -3.19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30.81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-8.40 to 70.27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27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-0.07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-5.86 to 5.85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</w:tbl>
    <w:p w:rsidR="00916CC8" w:rsidRPr="00E270C1" w:rsidRDefault="00916CC8" w:rsidP="00916CC8">
      <w:pPr>
        <w:spacing w:line="480" w:lineRule="auto"/>
        <w:rPr>
          <w:rFonts w:ascii="Times New Roman" w:hAnsi="Times New Roman"/>
          <w:color w:val="000000"/>
          <w:sz w:val="20"/>
          <w:lang w:val="en-US"/>
        </w:rPr>
      </w:pPr>
      <w:r w:rsidRPr="00E270C1">
        <w:rPr>
          <w:rFonts w:ascii="Times New Roman" w:hAnsi="Times New Roman"/>
          <w:color w:val="000000"/>
          <w:sz w:val="20"/>
          <w:lang w:val="en-US"/>
        </w:rPr>
        <w:lastRenderedPageBreak/>
        <w:t>* Statistically significant, p &lt;0.05; APC: Annual percent change; 95%CI: 95% confidence interval.</w:t>
      </w:r>
    </w:p>
    <w:p w:rsidR="00916CC8" w:rsidRPr="00F243A5" w:rsidRDefault="00916CC8" w:rsidP="00916CC8">
      <w:pPr>
        <w:spacing w:after="160" w:line="480" w:lineRule="auto"/>
        <w:rPr>
          <w:rFonts w:ascii="Times New Roman" w:hAnsi="Times New Roman"/>
          <w:b/>
          <w:bCs/>
          <w:color w:val="000000"/>
          <w:szCs w:val="24"/>
          <w:lang w:val="en-US"/>
        </w:rPr>
      </w:pP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br w:type="page"/>
      </w:r>
    </w:p>
    <w:p w:rsidR="00916CC8" w:rsidRPr="00E270C1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S2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 Trends in breast cancer screening coverage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within the Brazilian Public Healthcare System, for Brazil as a whole and for each region and state, in women of 50-69 years of age between 2013 and 2022.  </w:t>
      </w:r>
    </w:p>
    <w:tbl>
      <w:tblPr>
        <w:tblW w:w="14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1341"/>
        <w:gridCol w:w="1075"/>
        <w:gridCol w:w="1904"/>
        <w:gridCol w:w="1814"/>
        <w:gridCol w:w="1341"/>
        <w:gridCol w:w="1075"/>
        <w:gridCol w:w="1949"/>
        <w:gridCol w:w="1814"/>
      </w:tblGrid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-9.23-0.23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-22.96 to 16.11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-12.08 to 30.22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-10.50 to 16.85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-32.94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-75.64 to 0.30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68.57 *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37.29 to 192.34</w:t>
            </w:r>
          </w:p>
        </w:tc>
        <w:tc>
          <w:tcPr>
            <w:tcW w:w="0" w:type="auto"/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-10.33 *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-15.51 to -6.06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Amapá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-0.29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-4.84 to 4.63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-1.56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-10.20 to 7.67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8.29 *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0.66 to 20.18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-16.34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-30.19 to -6.48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-8.05 to 0.02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-2.08 to 4.65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-5.01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-9.67 to -0.71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-3.63 to 62.32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-10.45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-32.70 to -4.16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-17.08 to 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32.97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6.85 to 60.11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-7.03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-12.09 to -2.65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-6.39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-10.68 to -2.64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lastRenderedPageBreak/>
              <w:t>Piauí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12.68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2.37 to 62.95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-10.49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-34.69 to -4.12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-4.25 to 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-4.70 to 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-3.63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-7.01 to -0.48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-7.55 to 1.54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-7.64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-11.10 to -4.90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-8.19 to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-4.65 to 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-3.56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-7.01 to -0.25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-6.93 to 1.57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-5.24 to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-7.02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-10.74 to -3.83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-6.08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-17.51 to -2.46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22.34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0.87 to 43.90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-34.96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-72.40 to -15.16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13.55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-16.23 to 157.15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-4.86 to 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-28.14 to 4.10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29.95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-2.56 to 65.41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-4.93 to 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</w:tbl>
    <w:p w:rsidR="00916CC8" w:rsidRPr="00E270C1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E270C1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interval.</w:t>
      </w:r>
      <w:r w:rsidRPr="00E270C1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F243A5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S3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in breast cancer screening coverage within the Brazilian Public Healthcare System, for Brazil as a whole and for each region and state, in women of 70 years of age or older, between 2013 and 2022.  </w:t>
      </w:r>
    </w:p>
    <w:tbl>
      <w:tblPr>
        <w:tblW w:w="14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313"/>
        <w:gridCol w:w="1052"/>
        <w:gridCol w:w="1864"/>
        <w:gridCol w:w="1776"/>
        <w:gridCol w:w="1401"/>
        <w:gridCol w:w="1248"/>
        <w:gridCol w:w="1951"/>
        <w:gridCol w:w="1776"/>
      </w:tblGrid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-6.27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-10.13 to 2.69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-7.39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-10.90 to -4.19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-16.31 to 6.69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-32.12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-47.40 to -26.45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359.09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159.72 to 701.65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-12.78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-21.27 to -5.50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Amapá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16.30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2.97 to 40.63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-7.36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-22.93 to -2.51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-13.36 to 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18.94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0.37 to 137.41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-15.68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-61.22 to -4.07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-19.02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-30.94 to -10.15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-7.97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-12.11 to -4.21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-6.73 to 4.39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-10.04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-16.05 to -5.01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-4.59 to 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-15.08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-41.41 to -9.06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-28.19 to 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41.79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-2.54 to 87.78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-6.54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-11.17 to -2.32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-11.99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-16.67 to -7.98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lastRenderedPageBreak/>
              <w:t>Piauí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-5.54 to 31.87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-17.43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-48.37 to -10.65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-7.55 to 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-9.34 to 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-4.73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-9.06 to -0.69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-7.63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-12.09 to -3.82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-16.69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-25.56 to -12.49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70.1531*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14.29 to 111.13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-6.06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-9.93 to -2.64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-2.03 to 12.35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-13.4115*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-33.09 to -6.83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-5.28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-9.80 to -0.97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-11.29 to 2.19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-5.19 to 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-15.5373*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-41.96 to -4.87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-29.08 to 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-14.42 to 69.51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-9.21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-21.66 to -5.22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23.58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-0.31 to 47.36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-35.76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-67.00 to -25.12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47.44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-4.61 to 318.78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-9.38 to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-8.75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-14.98 to -3.16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E270C1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CC8" w:rsidRPr="00E270C1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-8.31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-13.44 to -3.73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E270C1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270C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</w:tbl>
    <w:p w:rsidR="00916CC8" w:rsidRPr="00E270C1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E270C1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interval.</w:t>
      </w:r>
      <w:r w:rsidRPr="00E270C1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F243A5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S4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in the proportion of </w:t>
      </w:r>
      <w:r>
        <w:rPr>
          <w:rFonts w:ascii="Times New Roman" w:hAnsi="Times New Roman"/>
          <w:color w:val="000000"/>
          <w:szCs w:val="24"/>
          <w:lang w:val="en-US"/>
        </w:rPr>
        <w:t>late-stage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within the Brazilian Public Healthcare System, for Brazil, its geographical regions and states, for women of 40-49 years of age, between 2013 and 2022.</w:t>
      </w: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1386"/>
        <w:gridCol w:w="1110"/>
        <w:gridCol w:w="1875"/>
        <w:gridCol w:w="1874"/>
        <w:gridCol w:w="1386"/>
        <w:gridCol w:w="1018"/>
        <w:gridCol w:w="1829"/>
        <w:gridCol w:w="1874"/>
      </w:tblGrid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1.71 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1.31-2.10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1.27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0.05 to 2.88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8.22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4.56 to 13.70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-2.62 to 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2.06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0.20 to 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-7.93*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-17.07 to -3.69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7.88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2.80 to 19.70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-5.67 to 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-45.21 to 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27.47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12.18 to 70.97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24.83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12.23 to 38.78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-1.73*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-2.81 to -0.57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0.83 to 2.06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0.76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-0.72 to 2.24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-0.11 to 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3.58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2.50 to 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-8.85 to 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-0.60 to 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-0.80 to 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6.00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1.48 to 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-3.17*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-11.62 to 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Piauí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-3.66*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-11.08 to -0.62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17.59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8.93 to 34.82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lastRenderedPageBreak/>
              <w:t>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-0.02 to 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-9.91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-16.94 to -1.81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7.21*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4.61 to 31.65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-6.07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-18.29 to -0.32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1.72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1.41 to 2.05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-10.59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-17.52 to -1.75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2.19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0.24 to 7.41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2.04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0.97 to 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6.06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2.67 to 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-2.65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-3.58 to -2.10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-0.23 to 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4.56*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3.52 to 6.56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1.25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0.84 to 1.73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1.95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0.27 to 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-2.80 to 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-11.98 to 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-0.24 to 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2.99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1.89 to 4.48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5.57 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4.12 to 8.25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4.22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2.61 to 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3.02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0.78 to 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-4.83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-12.39 to 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-0.45 to 4.56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</w:tbl>
    <w:p w:rsidR="00916CC8" w:rsidRPr="00C23080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C23080">
        <w:rPr>
          <w:rFonts w:ascii="Times New Roman" w:hAnsi="Times New Roman"/>
          <w:sz w:val="20"/>
          <w:lang w:val="en-US"/>
        </w:rPr>
        <w:t>No data were generated</w:t>
      </w:r>
      <w:r w:rsidRPr="006B4C69">
        <w:rPr>
          <w:rFonts w:ascii="Times New Roman" w:hAnsi="Times New Roman"/>
          <w:sz w:val="20"/>
          <w:lang w:val="en-US"/>
        </w:rPr>
        <w:t xml:space="preserve"> </w:t>
      </w:r>
      <w:r w:rsidRPr="00C23080">
        <w:rPr>
          <w:rFonts w:ascii="Times New Roman" w:hAnsi="Times New Roman"/>
          <w:sz w:val="20"/>
          <w:lang w:val="en-US"/>
        </w:rPr>
        <w:t xml:space="preserve">for Amapá by the Join Point Regression analysis. </w:t>
      </w:r>
      <w:r w:rsidRPr="00C23080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interval.</w:t>
      </w:r>
      <w:r w:rsidRPr="00C23080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F243A5" w:rsidRDefault="00916CC8" w:rsidP="00916CC8">
      <w:pPr>
        <w:spacing w:line="480" w:lineRule="auto"/>
        <w:rPr>
          <w:rFonts w:ascii="Times New Roman" w:hAnsi="Times New Roman"/>
          <w:szCs w:val="24"/>
          <w:lang w:val="en-US"/>
        </w:rPr>
      </w:pPr>
    </w:p>
    <w:p w:rsidR="00916CC8" w:rsidRPr="00C23080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S5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in the proportion of </w:t>
      </w:r>
      <w:r>
        <w:rPr>
          <w:rFonts w:ascii="Times New Roman" w:hAnsi="Times New Roman"/>
          <w:color w:val="000000"/>
          <w:szCs w:val="24"/>
          <w:lang w:val="en-US"/>
        </w:rPr>
        <w:t>late-stage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within the Brazilian Public Healthcare System, for Brazil, its geographical regions and states, for women of 50-69 years of age, between 2013 and 2022.</w:t>
      </w: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398"/>
        <w:gridCol w:w="1027"/>
        <w:gridCol w:w="1892"/>
        <w:gridCol w:w="1890"/>
        <w:gridCol w:w="1398"/>
        <w:gridCol w:w="1051"/>
        <w:gridCol w:w="1845"/>
        <w:gridCol w:w="1890"/>
      </w:tblGrid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1.43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0.95 to 1.95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-0.19 to 3.37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7.99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5.53 to 13.69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30.54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14.96 to 50.12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-3.24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-5.59 to -1.31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-0.47 to 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-17.83 to 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19.37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14.85 to 28.92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-36.16 to 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13.13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4.61 to 45.38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-2.51 to 10.92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0.90 *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0.12 to 1.69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-2.51 to 1.57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-7.41 to 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3.96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0.77 to 10.91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2.56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1.15 to 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-0.92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-1.36 to -0.45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-15.74 to 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-8.49 to 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3.66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1.47 to 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-3.23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-12.55 to 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Piauí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-15.10 to 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6.50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3.62 to 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lastRenderedPageBreak/>
              <w:t>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-2.87 to 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13.51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1.64 to 87.79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-5.84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-28.90 to -1.23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1.54 *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0.90 to 2.18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-3.55 to 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2.37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1.76 to 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-0.23 to 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-2.04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-6.69 to -1.07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-2.62 to 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5.78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3.03 to 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-4.40 to 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1.82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0.80 to 5.41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2.08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0.30 to 4.16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-2.87 to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1.51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0.54 to 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1.54 *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0.90 to 2.18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14.21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5.87 to 22.43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3.87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1.24 to 5.59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6.70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4.59 to 10.62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-3.88 to 26.28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-2.0086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-17.16 to 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4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-6.46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-17.07 to -0.72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6.94 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2.60 to 22.86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</w:tbl>
    <w:p w:rsidR="00916CC8" w:rsidRPr="00C23080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C23080">
        <w:rPr>
          <w:rFonts w:ascii="Times New Roman" w:hAnsi="Times New Roman"/>
          <w:sz w:val="20"/>
          <w:lang w:val="en-US"/>
        </w:rPr>
        <w:t xml:space="preserve">No data were generated for Amapá by the Join Point Regression analysis. </w:t>
      </w:r>
      <w:r w:rsidRPr="00C23080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interval.</w:t>
      </w:r>
      <w:r w:rsidRPr="00C23080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F243A5" w:rsidRDefault="00916CC8" w:rsidP="00916CC8">
      <w:pPr>
        <w:spacing w:line="480" w:lineRule="auto"/>
        <w:rPr>
          <w:rFonts w:ascii="Times New Roman" w:hAnsi="Times New Roman"/>
          <w:szCs w:val="24"/>
          <w:lang w:val="en-US"/>
        </w:rPr>
      </w:pPr>
    </w:p>
    <w:p w:rsidR="00916CC8" w:rsidRPr="00C23080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S6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in the proportion of </w:t>
      </w:r>
      <w:r>
        <w:rPr>
          <w:rFonts w:ascii="Times New Roman" w:hAnsi="Times New Roman"/>
          <w:color w:val="000000"/>
          <w:szCs w:val="24"/>
          <w:lang w:val="en-US"/>
        </w:rPr>
        <w:t>late-stage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within the Brazilian Public Healthcare System, for Brazil, its geographical regions and states, for women of 70 years of age or older, between 2013 and 2022.</w:t>
      </w:r>
    </w:p>
    <w:tbl>
      <w:tblPr>
        <w:tblW w:w="1492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380"/>
        <w:gridCol w:w="1105"/>
        <w:gridCol w:w="1912"/>
        <w:gridCol w:w="1865"/>
        <w:gridCol w:w="1379"/>
        <w:gridCol w:w="1105"/>
        <w:gridCol w:w="1820"/>
        <w:gridCol w:w="1865"/>
      </w:tblGrid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1.82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(0.79-3.06)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(-2.30 to 5.21)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-18.51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-41.57 to -5.21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57.88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13.32 to 394.86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8.75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3.37 to 19.09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12.37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-0.64 to 56.33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0.97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-2.37 to 5.79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7.24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-0.58 to 19.27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0.23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-23.71 to 8.65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1.17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(0.29 to 2.24)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-4.16 to 8.84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-0.63 to 3.80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2.27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1.50 to 3.16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-4.85 to 4.64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-3.86 to 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-2.97 to 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Piauí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4.06 *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0.51 to 10.40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-2.42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-6.78 to 3.46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lastRenderedPageBreak/>
              <w:t>Southeast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1.96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(1.04 to 2.97)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-2.78 to 11.12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3.17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1.37 to 5.22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8.03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-0.37 to 15.48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-3.14 *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-6.74 to -1.96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2.89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1.57 to 4.55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1.21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(0.14 to 2.34)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5.03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3.36 to 13.60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-5.70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-11.79 to 1.91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-1.76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-9.27 to 5.54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7.47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-0.70 to 15.50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12.37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1.46 to 26.76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-7.10 to 2.62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5.25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(1.26 to 11.67)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3.97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0.51 to 12.28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8.87*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4.23 to 20.40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5.45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0.35 to 61.95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-26.27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-49.48 to -3.14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C23080" w:rsidTr="002975B4">
        <w:trPr>
          <w:trHeight w:val="23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5.04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1.73 to 12.29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C23080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23080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</w:tbl>
    <w:p w:rsidR="00916CC8" w:rsidRPr="00C23080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C23080">
        <w:rPr>
          <w:rFonts w:ascii="Times New Roman" w:hAnsi="Times New Roman"/>
          <w:color w:val="000000"/>
          <w:sz w:val="20"/>
          <w:lang w:val="en-US"/>
        </w:rPr>
        <w:t>No data were generated for Roraima, Amapá or Sergipe by the Join Point Regression analysis. * Statistically significant: p &lt;0.05; APC: Annual percent change; 95%CI: 95% confidence interval.</w:t>
      </w:r>
      <w:r w:rsidRPr="00C23080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C23080" w:rsidRDefault="00916CC8" w:rsidP="00916CC8">
      <w:pPr>
        <w:rPr>
          <w:lang w:val="en-US"/>
        </w:rPr>
      </w:pPr>
    </w:p>
    <w:p w:rsidR="00916CC8" w:rsidRDefault="00916CC8" w:rsidP="00916CC8">
      <w:pPr>
        <w:rPr>
          <w:lang w:val="en-US"/>
        </w:rPr>
      </w:pPr>
    </w:p>
    <w:p w:rsidR="00916CC8" w:rsidRDefault="00916CC8" w:rsidP="00916CC8">
      <w:pPr>
        <w:rPr>
          <w:lang w:val="en-US"/>
        </w:rPr>
      </w:pPr>
    </w:p>
    <w:p w:rsidR="00916CC8" w:rsidRDefault="00916CC8" w:rsidP="00916CC8">
      <w:pPr>
        <w:rPr>
          <w:lang w:val="en-US"/>
        </w:rPr>
      </w:pPr>
    </w:p>
    <w:p w:rsidR="00916CC8" w:rsidRPr="00F243A5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S7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regarding cases in which the time interval </w:t>
      </w:r>
      <w:r>
        <w:rPr>
          <w:rFonts w:ascii="Times New Roman" w:hAnsi="Times New Roman"/>
          <w:color w:val="000000"/>
          <w:szCs w:val="24"/>
          <w:lang w:val="en-US"/>
        </w:rPr>
        <w:t>from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</w:t>
      </w:r>
      <w:r>
        <w:rPr>
          <w:rFonts w:ascii="Times New Roman" w:hAnsi="Times New Roman"/>
          <w:color w:val="000000"/>
          <w:szCs w:val="24"/>
          <w:lang w:val="en-US"/>
        </w:rPr>
        <w:t>to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treatment</w:t>
      </w:r>
      <w:r>
        <w:rPr>
          <w:rFonts w:ascii="Times New Roman" w:hAnsi="Times New Roman"/>
          <w:color w:val="000000"/>
          <w:szCs w:val="24"/>
          <w:lang w:val="en-US"/>
        </w:rPr>
        <w:t xml:space="preserve"> initiation </w:t>
      </w:r>
      <w:r w:rsidRPr="00F243A5">
        <w:rPr>
          <w:rFonts w:ascii="Times New Roman" w:hAnsi="Times New Roman"/>
          <w:color w:val="000000"/>
          <w:szCs w:val="24"/>
          <w:lang w:val="en-US"/>
        </w:rPr>
        <w:t>exceeds 60 days</w:t>
      </w:r>
      <w:r>
        <w:rPr>
          <w:rFonts w:ascii="Times New Roman" w:hAnsi="Times New Roman"/>
          <w:color w:val="000000"/>
          <w:szCs w:val="24"/>
          <w:lang w:val="en-US"/>
        </w:rPr>
        <w:t xml:space="preserve"> in </w:t>
      </w:r>
      <w:r w:rsidRPr="00F243A5">
        <w:rPr>
          <w:rFonts w:ascii="Times New Roman" w:hAnsi="Times New Roman"/>
          <w:color w:val="000000"/>
          <w:szCs w:val="24"/>
          <w:lang w:val="en-US"/>
        </w:rPr>
        <w:t>women of 40-49 years of age within the Brazilian Public Healthcare System</w:t>
      </w:r>
      <w:r>
        <w:rPr>
          <w:rFonts w:ascii="Times New Roman" w:hAnsi="Times New Roman"/>
          <w:color w:val="000000"/>
          <w:szCs w:val="24"/>
          <w:lang w:val="en-US"/>
        </w:rPr>
        <w:t>,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for Brazil as a whole, its geographical regions and states, between 2013 and 2022.</w:t>
      </w:r>
    </w:p>
    <w:tbl>
      <w:tblPr>
        <w:tblW w:w="1450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1355"/>
        <w:gridCol w:w="995"/>
        <w:gridCol w:w="1699"/>
        <w:gridCol w:w="1832"/>
        <w:gridCol w:w="1355"/>
        <w:gridCol w:w="1197"/>
        <w:gridCol w:w="1788"/>
        <w:gridCol w:w="1832"/>
      </w:tblGrid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-0.49-1.80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-8.54 to 0.42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6.59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1.21 to 17.68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-3.97 to 12.12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Amapá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-16.51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-43.23 to 6.71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18.78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14.15 to 44.66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3.49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0.54 to 7.43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-4.35 to 4.98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-5.29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-9.52 to -2.27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-0.36 to 14.63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-0.77 to 11.96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1.74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0.25 to 3.23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6.47 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3.84 to 10.02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-0.57 to 2.55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-0.48 to 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-3.75 to 3.09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-4.12 to 5.71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10.60 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2.25 to 16.19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-0.19 to 3.54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lastRenderedPageBreak/>
              <w:t>Piauí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-13.98 to 4.60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28.43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7.24 to 44.82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2.68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-0.54 to 6.04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-5.37 to 5.41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-0.82 to 0.51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-3.57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-7.01 to -0.14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-1.71 to 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-2.33 to 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-0.05 to 1.82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-0.71 to 1.80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-2.97 to 0.81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-0.80 to 5.24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-0.63 to 2.17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-9.88 to 7.45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6.32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1.13 to 16.00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-0.93 to 5.59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-17.90 to 0.65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12.8771*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7.62 to 26.09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-12.40 to 7.87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7.8631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-1.66 to 15.87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12.89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6.80 to 31.12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-4.2467*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-11.15 to -1.53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</w:tbl>
    <w:p w:rsidR="00916CC8" w:rsidRPr="000F2A1F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0F2A1F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</w:t>
      </w:r>
      <w:r>
        <w:rPr>
          <w:rFonts w:ascii="Times New Roman" w:hAnsi="Times New Roman"/>
          <w:color w:val="000000"/>
          <w:sz w:val="20"/>
          <w:lang w:val="en-US"/>
        </w:rPr>
        <w:t>.</w:t>
      </w:r>
      <w:r w:rsidRPr="000F2A1F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0F2A1F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S8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regarding cases in which the time interval </w:t>
      </w:r>
      <w:r>
        <w:rPr>
          <w:rFonts w:ascii="Times New Roman" w:hAnsi="Times New Roman"/>
          <w:color w:val="000000"/>
          <w:szCs w:val="24"/>
          <w:lang w:val="en-US"/>
        </w:rPr>
        <w:t>from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</w:t>
      </w:r>
      <w:r>
        <w:rPr>
          <w:rFonts w:ascii="Times New Roman" w:hAnsi="Times New Roman"/>
          <w:color w:val="000000"/>
          <w:szCs w:val="24"/>
          <w:lang w:val="en-US"/>
        </w:rPr>
        <w:t>to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treatment</w:t>
      </w:r>
      <w:r>
        <w:rPr>
          <w:rFonts w:ascii="Times New Roman" w:hAnsi="Times New Roman"/>
          <w:color w:val="000000"/>
          <w:szCs w:val="24"/>
          <w:lang w:val="en-US"/>
        </w:rPr>
        <w:t xml:space="preserve"> initiation </w:t>
      </w:r>
      <w:r w:rsidRPr="00F243A5">
        <w:rPr>
          <w:rFonts w:ascii="Times New Roman" w:hAnsi="Times New Roman"/>
          <w:color w:val="000000"/>
          <w:szCs w:val="24"/>
          <w:lang w:val="en-US"/>
        </w:rPr>
        <w:t>exceeds 60 days</w:t>
      </w:r>
      <w:r>
        <w:rPr>
          <w:rFonts w:ascii="Times New Roman" w:hAnsi="Times New Roman"/>
          <w:color w:val="000000"/>
          <w:szCs w:val="24"/>
          <w:lang w:val="en-US"/>
        </w:rPr>
        <w:t xml:space="preserve"> in </w:t>
      </w:r>
      <w:r w:rsidRPr="00F243A5">
        <w:rPr>
          <w:rFonts w:ascii="Times New Roman" w:hAnsi="Times New Roman"/>
          <w:color w:val="000000"/>
          <w:szCs w:val="24"/>
          <w:lang w:val="en-US"/>
        </w:rPr>
        <w:t>women of 50-69 years of age within the Brazilian Public Healthcare System</w:t>
      </w:r>
      <w:r>
        <w:rPr>
          <w:rFonts w:ascii="Times New Roman" w:hAnsi="Times New Roman"/>
          <w:color w:val="000000"/>
          <w:szCs w:val="24"/>
          <w:lang w:val="en-US"/>
        </w:rPr>
        <w:t>,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for Brazil as a whole, its geographical regions and states, between 2013 and 2022.</w:t>
      </w:r>
    </w:p>
    <w:tbl>
      <w:tblPr>
        <w:tblW w:w="1474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374"/>
        <w:gridCol w:w="1101"/>
        <w:gridCol w:w="1860"/>
        <w:gridCol w:w="1859"/>
        <w:gridCol w:w="1374"/>
        <w:gridCol w:w="1010"/>
        <w:gridCol w:w="1814"/>
        <w:gridCol w:w="1859"/>
      </w:tblGrid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1.27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0.33-2.01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-5.12 to 5.10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3.7337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-1.00 to 9.19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Acre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-2.23 to 10.49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Amapá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-20.43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-45.56 to -0.75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2016-2022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12.65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5.92 to 46.72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4.96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4.02 to 6.33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-8.29 to 0.34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5.21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1.15 to 13.66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-7.52 to 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Roraima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-1.84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-8.07 to 4.22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1.70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-2.75 to 8.86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2.59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1.46 to 3.64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5.59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2.66 to 9.39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-0.60 to 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-2.31 to 3.75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8.03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3.37 to 11.60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2.52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0.34 to 5.24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-13.60 to 12.83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8.59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1.59 to 21.40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6.66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3.40 to 15.82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-5.96 to 3.75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lastRenderedPageBreak/>
              <w:t>Piauí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-16.51 to 4.04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2018-2022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10.50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2.74 to 29.79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5.03 *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2.11 to 9.44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42.58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5.49 to 123.56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-3.69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-14.06 to -0.09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Southeast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-0.23 to 1.03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-3.34 to 4.41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-0.93 to 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-0.34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-1.88 to 1.22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1.32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0.28 to 2.13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1.84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0.71 to 2.88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-1.70 to 2.27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2.93 *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1.89 to 4.14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1.64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0.39 to 2.91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2.98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1.69 to 4.60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1.84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0.08 to 3.74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-4.49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-9.81 to -0.62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8.53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6.42 to 14.43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-0.30 to 4.13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12.39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6.55 to 28.19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-7.42 to 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</w:tbl>
    <w:p w:rsidR="00916CC8" w:rsidRPr="000F2A1F" w:rsidRDefault="00916CC8" w:rsidP="00916CC8">
      <w:pPr>
        <w:spacing w:line="480" w:lineRule="auto"/>
        <w:rPr>
          <w:rFonts w:ascii="Times New Roman" w:hAnsi="Times New Roman"/>
          <w:sz w:val="20"/>
          <w:lang w:val="en-US"/>
        </w:rPr>
      </w:pPr>
      <w:r w:rsidRPr="000F2A1F">
        <w:rPr>
          <w:rFonts w:ascii="Times New Roman" w:hAnsi="Times New Roman"/>
          <w:color w:val="000000"/>
          <w:sz w:val="20"/>
          <w:lang w:val="en-US"/>
        </w:rPr>
        <w:t>* Statistically significant: p &lt;0.05; APC: Annual percent change; 95%CI: 95% confidence interval</w:t>
      </w:r>
      <w:r>
        <w:rPr>
          <w:rFonts w:ascii="Times New Roman" w:hAnsi="Times New Roman"/>
          <w:color w:val="000000"/>
          <w:sz w:val="20"/>
          <w:lang w:val="en-US"/>
        </w:rPr>
        <w:t>.</w:t>
      </w:r>
      <w:r w:rsidRPr="000F2A1F">
        <w:rPr>
          <w:rFonts w:ascii="Times New Roman" w:hAnsi="Times New Roman"/>
          <w:sz w:val="20"/>
          <w:lang w:val="en-US"/>
        </w:rPr>
        <w:br w:type="textWrapping" w:clear="all"/>
      </w:r>
    </w:p>
    <w:p w:rsidR="00916CC8" w:rsidRPr="000F2A1F" w:rsidRDefault="00916CC8" w:rsidP="00916CC8">
      <w:pPr>
        <w:spacing w:line="480" w:lineRule="auto"/>
        <w:jc w:val="both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Cs w:val="24"/>
          <w:lang w:val="en-US"/>
        </w:rPr>
        <w:lastRenderedPageBreak/>
        <w:t>S9</w:t>
      </w:r>
      <w:r w:rsidRPr="00F243A5">
        <w:rPr>
          <w:rFonts w:ascii="Times New Roman" w:hAnsi="Times New Roman"/>
          <w:b/>
          <w:bCs/>
          <w:color w:val="000000"/>
          <w:szCs w:val="24"/>
          <w:lang w:val="en-US"/>
        </w:rPr>
        <w:t xml:space="preserve"> Table.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Trends regarding cases in which the time interval </w:t>
      </w:r>
      <w:r>
        <w:rPr>
          <w:rFonts w:ascii="Times New Roman" w:hAnsi="Times New Roman"/>
          <w:color w:val="000000"/>
          <w:szCs w:val="24"/>
          <w:lang w:val="en-US"/>
        </w:rPr>
        <w:t>from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diagnosis </w:t>
      </w:r>
      <w:r>
        <w:rPr>
          <w:rFonts w:ascii="Times New Roman" w:hAnsi="Times New Roman"/>
          <w:color w:val="000000"/>
          <w:szCs w:val="24"/>
          <w:lang w:val="en-US"/>
        </w:rPr>
        <w:t>to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treatment</w:t>
      </w:r>
      <w:r>
        <w:rPr>
          <w:rFonts w:ascii="Times New Roman" w:hAnsi="Times New Roman"/>
          <w:color w:val="000000"/>
          <w:szCs w:val="24"/>
          <w:lang w:val="en-US"/>
        </w:rPr>
        <w:t xml:space="preserve"> initiation </w:t>
      </w:r>
      <w:r w:rsidRPr="00F243A5">
        <w:rPr>
          <w:rFonts w:ascii="Times New Roman" w:hAnsi="Times New Roman"/>
          <w:color w:val="000000"/>
          <w:szCs w:val="24"/>
          <w:lang w:val="en-US"/>
        </w:rPr>
        <w:t>exceeds 60 days</w:t>
      </w:r>
      <w:r>
        <w:rPr>
          <w:rFonts w:ascii="Times New Roman" w:hAnsi="Times New Roman"/>
          <w:color w:val="000000"/>
          <w:szCs w:val="24"/>
          <w:lang w:val="en-US"/>
        </w:rPr>
        <w:t xml:space="preserve"> in </w:t>
      </w:r>
      <w:r w:rsidRPr="00F243A5">
        <w:rPr>
          <w:rFonts w:ascii="Times New Roman" w:hAnsi="Times New Roman"/>
          <w:color w:val="000000"/>
          <w:szCs w:val="24"/>
          <w:lang w:val="en-US"/>
        </w:rPr>
        <w:t>women of 70 years of age or older within the Brazilian Public Healthcare System</w:t>
      </w:r>
      <w:r>
        <w:rPr>
          <w:rFonts w:ascii="Times New Roman" w:hAnsi="Times New Roman"/>
          <w:color w:val="000000"/>
          <w:szCs w:val="24"/>
          <w:lang w:val="en-US"/>
        </w:rPr>
        <w:t>,</w:t>
      </w:r>
      <w:r w:rsidRPr="00F243A5">
        <w:rPr>
          <w:rFonts w:ascii="Times New Roman" w:hAnsi="Times New Roman"/>
          <w:color w:val="000000"/>
          <w:szCs w:val="24"/>
          <w:lang w:val="en-US"/>
        </w:rPr>
        <w:t xml:space="preserve"> for Brazil as a whole, its geographical regions and states, between 2013 and 2022.</w:t>
      </w:r>
    </w:p>
    <w:tbl>
      <w:tblPr>
        <w:tblW w:w="1467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1386"/>
        <w:gridCol w:w="1018"/>
        <w:gridCol w:w="1738"/>
        <w:gridCol w:w="1874"/>
        <w:gridCol w:w="1386"/>
        <w:gridCol w:w="1018"/>
        <w:gridCol w:w="1876"/>
        <w:gridCol w:w="1874"/>
      </w:tblGrid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Regions/States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APC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95%CI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Interpretation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1.83 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1.51-2.36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-12.40 to 6.44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-2.04 to 13.9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Amazonas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-0.30 to 10.98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Rondônia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-6.92 to 14.08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Maranhão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-2.56 to 3.53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Pará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-0.28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-2.79 to 3.03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Tocantins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17.69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5.84 to 77.77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2017-2022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-9.14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-28.48 to -2.84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Reduction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Northeast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2.18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0.68 to 3.72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Alagoas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6.48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4.50 to 11.14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Bahia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-3.34 to 2.65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Ceará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3.35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1.14 to 6.18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Paraíba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-1.14 to 5.15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Pernambuco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7.91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4.96 to 27.23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2019-2022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-20.42 to 3.21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Piauí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-4.67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-20.96 to 0.69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23.91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3.62 to 42.63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Norte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2.49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-3.10 to 10.72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Sergipe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7.92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5.17 to 13.41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lastRenderedPageBreak/>
              <w:t>Southeast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-0.02 to 1.65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Espírito Santo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-1.79 to 6.00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Minas Gerais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-0.44 to 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de Janeiro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-1.87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-6.56 to 0.25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2020-2022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5.32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-1.35 to 11.88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São Paulo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1.52 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0.54 to 2.52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South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</w:t>
            </w:r>
            <w:r w:rsidRPr="000F2A1F">
              <w:rPr>
                <w:rFonts w:ascii="Times New Roman" w:hAnsi="Times New Roman"/>
                <w:sz w:val="20"/>
                <w:lang w:val="en-US"/>
              </w:rPr>
              <w:softHyphen/>
              <w:t>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2.57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1.83 to 3.36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Paraná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2.48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0.88 to 4.46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Rio Grande do Sul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3.77 *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2.57 to 5.09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Santa Catarina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0.709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-0.81 to 2.30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b/>
                <w:bCs/>
                <w:sz w:val="20"/>
                <w:lang w:val="en-US"/>
              </w:rPr>
              <w:t>Midwest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2.99 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1.32 to 5.01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Federal District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-0.55 to 5.16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Goiás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3.71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1.28 to 6.86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Increase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-2.97 to 7.11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916CC8" w:rsidRPr="000F2A1F" w:rsidTr="002975B4">
        <w:trPr>
          <w:trHeight w:val="24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Mato Grosso do Sul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2013-2015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18.78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-1.70 to 42.94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2015-2022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0.29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-12.29 to 11.65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6CC8" w:rsidRPr="000F2A1F" w:rsidRDefault="00916CC8" w:rsidP="002975B4">
            <w:pPr>
              <w:spacing w:line="48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2A1F">
              <w:rPr>
                <w:rFonts w:ascii="Times New Roman" w:hAnsi="Times New Roman"/>
                <w:sz w:val="20"/>
                <w:lang w:val="en-US"/>
              </w:rPr>
              <w:t>Stability</w:t>
            </w:r>
          </w:p>
        </w:tc>
      </w:tr>
    </w:tbl>
    <w:p w:rsidR="00916CC8" w:rsidRPr="000F2A1F" w:rsidRDefault="00916CC8" w:rsidP="00916CC8">
      <w:pPr>
        <w:rPr>
          <w:sz w:val="20"/>
          <w:lang w:val="en-US"/>
        </w:rPr>
      </w:pPr>
      <w:r w:rsidRPr="000F2A1F">
        <w:rPr>
          <w:rFonts w:ascii="Times New Roman" w:hAnsi="Times New Roman"/>
          <w:color w:val="000000"/>
          <w:sz w:val="20"/>
          <w:lang w:val="en-US"/>
        </w:rPr>
        <w:t>No data were generated for Acre, Roraima or Amapá by the Join Point Regression analysis. * Statistically significant: p &lt;0.05; APC: Annual percent change; 95%CI: 95% confidence interval</w:t>
      </w:r>
      <w:r>
        <w:rPr>
          <w:rFonts w:ascii="Times New Roman" w:hAnsi="Times New Roman"/>
          <w:color w:val="000000"/>
          <w:sz w:val="20"/>
          <w:lang w:val="en-US"/>
        </w:rPr>
        <w:t>.</w:t>
      </w:r>
    </w:p>
    <w:p w:rsidR="00916CC8" w:rsidRPr="00E270C1" w:rsidRDefault="00916CC8" w:rsidP="00916CC8">
      <w:pPr>
        <w:rPr>
          <w:lang w:val="en-US"/>
        </w:rPr>
      </w:pPr>
    </w:p>
    <w:p w:rsidR="00916CC8" w:rsidRPr="009A17EB" w:rsidRDefault="00916CC8" w:rsidP="00916CC8">
      <w:pPr>
        <w:spacing w:after="160" w:line="480" w:lineRule="auto"/>
        <w:rPr>
          <w:rFonts w:ascii="Times New Roman" w:hAnsi="Times New Roman"/>
          <w:szCs w:val="24"/>
          <w:lang w:val="en-US"/>
        </w:rPr>
      </w:pPr>
    </w:p>
    <w:p w:rsidR="00916CC8" w:rsidRDefault="00916CC8">
      <w:bookmarkStart w:id="0" w:name="_GoBack"/>
      <w:bookmarkEnd w:id="0"/>
    </w:p>
    <w:sectPr w:rsidR="00916CC8" w:rsidSect="00742222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108D31E8"/>
    <w:multiLevelType w:val="multilevel"/>
    <w:tmpl w:val="7DE4FCAC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0AF379C"/>
    <w:multiLevelType w:val="hybridMultilevel"/>
    <w:tmpl w:val="BCE65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AEC"/>
    <w:multiLevelType w:val="multilevel"/>
    <w:tmpl w:val="E4D8BE4C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35B3806"/>
    <w:multiLevelType w:val="hybridMultilevel"/>
    <w:tmpl w:val="55364CCE"/>
    <w:lvl w:ilvl="0" w:tplc="E02A50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843DE"/>
    <w:multiLevelType w:val="multilevel"/>
    <w:tmpl w:val="E200AA2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157F6FA0"/>
    <w:multiLevelType w:val="multilevel"/>
    <w:tmpl w:val="1B7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A3E86"/>
    <w:multiLevelType w:val="multilevel"/>
    <w:tmpl w:val="DAF223FE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97F59DB"/>
    <w:multiLevelType w:val="multilevel"/>
    <w:tmpl w:val="CA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C1175"/>
    <w:multiLevelType w:val="multilevel"/>
    <w:tmpl w:val="D4A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B211B"/>
    <w:multiLevelType w:val="multilevel"/>
    <w:tmpl w:val="2C4CDB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C655E8"/>
    <w:multiLevelType w:val="multilevel"/>
    <w:tmpl w:val="C77EC62A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25D16AA5"/>
    <w:multiLevelType w:val="multilevel"/>
    <w:tmpl w:val="0C2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F79E5"/>
    <w:multiLevelType w:val="hybridMultilevel"/>
    <w:tmpl w:val="194A9B56"/>
    <w:lvl w:ilvl="0" w:tplc="6D62D5B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302AB4"/>
    <w:multiLevelType w:val="multilevel"/>
    <w:tmpl w:val="0DB2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96610"/>
    <w:multiLevelType w:val="hybridMultilevel"/>
    <w:tmpl w:val="24C2A6A6"/>
    <w:lvl w:ilvl="0" w:tplc="FFFFFFFF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61D"/>
    <w:multiLevelType w:val="multilevel"/>
    <w:tmpl w:val="BD20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B67B7"/>
    <w:multiLevelType w:val="multilevel"/>
    <w:tmpl w:val="4AA88F0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8F3BEC"/>
    <w:multiLevelType w:val="multilevel"/>
    <w:tmpl w:val="FB5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150E5"/>
    <w:multiLevelType w:val="multilevel"/>
    <w:tmpl w:val="347871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7685583"/>
    <w:multiLevelType w:val="multilevel"/>
    <w:tmpl w:val="9908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A651D"/>
    <w:multiLevelType w:val="multilevel"/>
    <w:tmpl w:val="B63E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56092"/>
    <w:multiLevelType w:val="multilevel"/>
    <w:tmpl w:val="2C4CDB8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21E498F"/>
    <w:multiLevelType w:val="multilevel"/>
    <w:tmpl w:val="841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6848CD"/>
    <w:multiLevelType w:val="multilevel"/>
    <w:tmpl w:val="381288A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 w15:restartNumberingAfterBreak="0">
    <w:nsid w:val="429178B6"/>
    <w:multiLevelType w:val="hybridMultilevel"/>
    <w:tmpl w:val="74DCA010"/>
    <w:lvl w:ilvl="0" w:tplc="7EC250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9C6B8F"/>
    <w:multiLevelType w:val="hybridMultilevel"/>
    <w:tmpl w:val="CC4ABA96"/>
    <w:lvl w:ilvl="0" w:tplc="80F241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F29ED"/>
    <w:multiLevelType w:val="hybridMultilevel"/>
    <w:tmpl w:val="FFFFFFFF"/>
    <w:lvl w:ilvl="0" w:tplc="0928A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5E1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8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0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83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6A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0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03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8FFD"/>
    <w:multiLevelType w:val="hybridMultilevel"/>
    <w:tmpl w:val="FFFFFFFF"/>
    <w:lvl w:ilvl="0" w:tplc="16E6F1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FB2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4A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5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6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8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41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63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A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65864"/>
    <w:multiLevelType w:val="multilevel"/>
    <w:tmpl w:val="786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A340B"/>
    <w:multiLevelType w:val="multilevel"/>
    <w:tmpl w:val="6F58EE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862882"/>
    <w:multiLevelType w:val="singleLevel"/>
    <w:tmpl w:val="B1524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4CFDA4"/>
    <w:multiLevelType w:val="hybridMultilevel"/>
    <w:tmpl w:val="FFFFFFFF"/>
    <w:lvl w:ilvl="0" w:tplc="B9F4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CF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C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B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2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8A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43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C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9DDE8"/>
    <w:multiLevelType w:val="hybridMultilevel"/>
    <w:tmpl w:val="FFFFFFFF"/>
    <w:lvl w:ilvl="0" w:tplc="D5DA8F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AA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A2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43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6D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46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87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6A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935B9"/>
    <w:multiLevelType w:val="multilevel"/>
    <w:tmpl w:val="936E8E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4" w15:restartNumberingAfterBreak="0">
    <w:nsid w:val="67EA5222"/>
    <w:multiLevelType w:val="multilevel"/>
    <w:tmpl w:val="497A59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EA68A2"/>
    <w:multiLevelType w:val="multilevel"/>
    <w:tmpl w:val="C2B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36A6D"/>
    <w:multiLevelType w:val="multilevel"/>
    <w:tmpl w:val="66E4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61030"/>
    <w:multiLevelType w:val="multilevel"/>
    <w:tmpl w:val="4E940D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9C12E42"/>
    <w:multiLevelType w:val="multilevel"/>
    <w:tmpl w:val="D85E29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9" w15:restartNumberingAfterBreak="0">
    <w:nsid w:val="7B054E48"/>
    <w:multiLevelType w:val="multilevel"/>
    <w:tmpl w:val="CAEA096E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0" w15:restartNumberingAfterBreak="0">
    <w:nsid w:val="7B4F5DC3"/>
    <w:multiLevelType w:val="multilevel"/>
    <w:tmpl w:val="80D8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A2E43"/>
    <w:multiLevelType w:val="multilevel"/>
    <w:tmpl w:val="D4AC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B1BAE"/>
    <w:multiLevelType w:val="multilevel"/>
    <w:tmpl w:val="3C1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12"/>
  </w:num>
  <w:num w:numId="4">
    <w:abstractNumId w:val="34"/>
  </w:num>
  <w:num w:numId="5">
    <w:abstractNumId w:val="9"/>
  </w:num>
  <w:num w:numId="6">
    <w:abstractNumId w:val="23"/>
  </w:num>
  <w:num w:numId="7">
    <w:abstractNumId w:val="14"/>
  </w:num>
  <w:num w:numId="8">
    <w:abstractNumId w:val="29"/>
  </w:num>
  <w:num w:numId="9">
    <w:abstractNumId w:val="24"/>
  </w:num>
  <w:num w:numId="10">
    <w:abstractNumId w:val="3"/>
  </w:num>
  <w:num w:numId="11">
    <w:abstractNumId w:val="25"/>
  </w:num>
  <w:num w:numId="12">
    <w:abstractNumId w:val="33"/>
  </w:num>
  <w:num w:numId="13">
    <w:abstractNumId w:val="6"/>
  </w:num>
  <w:num w:numId="14">
    <w:abstractNumId w:val="4"/>
  </w:num>
  <w:num w:numId="15">
    <w:abstractNumId w:val="10"/>
  </w:num>
  <w:num w:numId="16">
    <w:abstractNumId w:val="39"/>
  </w:num>
  <w:num w:numId="17">
    <w:abstractNumId w:val="2"/>
  </w:num>
  <w:num w:numId="18">
    <w:abstractNumId w:val="0"/>
  </w:num>
  <w:num w:numId="19">
    <w:abstractNumId w:val="37"/>
  </w:num>
  <w:num w:numId="20">
    <w:abstractNumId w:val="18"/>
  </w:num>
  <w:num w:numId="21">
    <w:abstractNumId w:val="31"/>
  </w:num>
  <w:num w:numId="22">
    <w:abstractNumId w:val="32"/>
  </w:num>
  <w:num w:numId="23">
    <w:abstractNumId w:val="26"/>
  </w:num>
  <w:num w:numId="24">
    <w:abstractNumId w:val="27"/>
  </w:num>
  <w:num w:numId="25">
    <w:abstractNumId w:val="1"/>
  </w:num>
  <w:num w:numId="26">
    <w:abstractNumId w:val="38"/>
  </w:num>
  <w:num w:numId="27">
    <w:abstractNumId w:val="16"/>
  </w:num>
  <w:num w:numId="28">
    <w:abstractNumId w:val="13"/>
  </w:num>
  <w:num w:numId="29">
    <w:abstractNumId w:val="42"/>
  </w:num>
  <w:num w:numId="30">
    <w:abstractNumId w:val="17"/>
  </w:num>
  <w:num w:numId="31">
    <w:abstractNumId w:val="36"/>
  </w:num>
  <w:num w:numId="32">
    <w:abstractNumId w:val="20"/>
  </w:num>
  <w:num w:numId="33">
    <w:abstractNumId w:val="22"/>
  </w:num>
  <w:num w:numId="34">
    <w:abstractNumId w:val="8"/>
  </w:num>
  <w:num w:numId="35">
    <w:abstractNumId w:val="19"/>
  </w:num>
  <w:num w:numId="36">
    <w:abstractNumId w:val="40"/>
  </w:num>
  <w:num w:numId="37">
    <w:abstractNumId w:val="11"/>
  </w:num>
  <w:num w:numId="38">
    <w:abstractNumId w:val="28"/>
  </w:num>
  <w:num w:numId="39">
    <w:abstractNumId w:val="35"/>
  </w:num>
  <w:num w:numId="40">
    <w:abstractNumId w:val="7"/>
  </w:num>
  <w:num w:numId="41">
    <w:abstractNumId w:val="5"/>
  </w:num>
  <w:num w:numId="42">
    <w:abstractNumId w:val="4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C8"/>
    <w:rsid w:val="009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3DB9F-0C14-44B3-AB63-AEDEB538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6CC8"/>
    <w:pPr>
      <w:keepNext/>
      <w:numPr>
        <w:numId w:val="1"/>
      </w:numPr>
      <w:pBdr>
        <w:bottom w:val="thickThinSmallGap" w:sz="18" w:space="1" w:color="auto"/>
      </w:pBdr>
      <w:tabs>
        <w:tab w:val="clear" w:pos="432"/>
      </w:tabs>
      <w:spacing w:before="1800" w:after="600"/>
      <w:jc w:val="right"/>
      <w:outlineLvl w:val="0"/>
    </w:pPr>
    <w:rPr>
      <w:rFonts w:ascii="Arial Negrito" w:hAnsi="Arial Negrito"/>
      <w:b/>
      <w:kern w:val="28"/>
      <w:sz w:val="56"/>
    </w:rPr>
  </w:style>
  <w:style w:type="paragraph" w:styleId="Ttulo2">
    <w:name w:val="heading 2"/>
    <w:basedOn w:val="Normal"/>
    <w:next w:val="Normal"/>
    <w:link w:val="Ttulo2Char"/>
    <w:uiPriority w:val="9"/>
    <w:qFormat/>
    <w:rsid w:val="00916CC8"/>
    <w:pPr>
      <w:keepNext/>
      <w:numPr>
        <w:ilvl w:val="1"/>
        <w:numId w:val="1"/>
      </w:numPr>
      <w:tabs>
        <w:tab w:val="clear" w:pos="720"/>
      </w:tabs>
      <w:spacing w:before="600" w:after="360"/>
      <w:outlineLvl w:val="1"/>
    </w:pPr>
    <w:rPr>
      <w:b/>
      <w:lang w:val="fr-FR"/>
    </w:rPr>
  </w:style>
  <w:style w:type="paragraph" w:styleId="Ttulo3">
    <w:name w:val="heading 3"/>
    <w:basedOn w:val="Normal"/>
    <w:next w:val="Normal"/>
    <w:link w:val="Ttulo3Char"/>
    <w:uiPriority w:val="9"/>
    <w:qFormat/>
    <w:rsid w:val="00916CC8"/>
    <w:pPr>
      <w:keepNext/>
      <w:numPr>
        <w:ilvl w:val="2"/>
        <w:numId w:val="1"/>
      </w:numPr>
      <w:tabs>
        <w:tab w:val="clear" w:pos="2160"/>
      </w:tabs>
      <w:spacing w:before="600" w:after="240"/>
      <w:jc w:val="both"/>
      <w:outlineLvl w:val="2"/>
    </w:pPr>
    <w:rPr>
      <w:rFonts w:ascii="Arial Negrito" w:hAnsi="Arial Negrito"/>
      <w:b/>
      <w:lang w:val="fr-FR"/>
    </w:rPr>
  </w:style>
  <w:style w:type="paragraph" w:styleId="Ttulo4">
    <w:name w:val="heading 4"/>
    <w:basedOn w:val="Normal"/>
    <w:next w:val="Normal"/>
    <w:link w:val="Ttulo4Char"/>
    <w:uiPriority w:val="9"/>
    <w:qFormat/>
    <w:rsid w:val="00916CC8"/>
    <w:pPr>
      <w:keepNext/>
      <w:numPr>
        <w:ilvl w:val="3"/>
        <w:numId w:val="1"/>
      </w:numPr>
      <w:tabs>
        <w:tab w:val="left" w:pos="993"/>
      </w:tabs>
      <w:spacing w:before="360" w:after="240"/>
      <w:ind w:left="0" w:firstLine="0"/>
      <w:outlineLvl w:val="3"/>
    </w:pPr>
    <w:rPr>
      <w:rFonts w:ascii="Arial Negrito" w:hAnsi="Arial Negrito"/>
      <w:b/>
    </w:rPr>
  </w:style>
  <w:style w:type="paragraph" w:styleId="Ttulo5">
    <w:name w:val="heading 5"/>
    <w:basedOn w:val="Normal"/>
    <w:next w:val="Normal"/>
    <w:link w:val="Ttulo5Char"/>
    <w:uiPriority w:val="9"/>
    <w:qFormat/>
    <w:rsid w:val="00916CC8"/>
    <w:pPr>
      <w:keepNext/>
      <w:numPr>
        <w:ilvl w:val="4"/>
        <w:numId w:val="1"/>
      </w:numPr>
      <w:spacing w:before="120" w:after="120" w:line="480" w:lineRule="auto"/>
      <w:jc w:val="center"/>
      <w:outlineLvl w:val="4"/>
    </w:pPr>
    <w:rPr>
      <w:b/>
      <w:smallCaps/>
    </w:rPr>
  </w:style>
  <w:style w:type="paragraph" w:styleId="Ttulo6">
    <w:name w:val="heading 6"/>
    <w:basedOn w:val="Normal"/>
    <w:next w:val="Normal"/>
    <w:link w:val="Ttulo6Char"/>
    <w:uiPriority w:val="9"/>
    <w:qFormat/>
    <w:rsid w:val="00916CC8"/>
    <w:pPr>
      <w:keepNext/>
      <w:numPr>
        <w:ilvl w:val="5"/>
        <w:numId w:val="1"/>
      </w:numPr>
      <w:tabs>
        <w:tab w:val="left" w:pos="1771"/>
        <w:tab w:val="left" w:pos="8292"/>
      </w:tabs>
      <w:spacing w:before="120" w:line="360" w:lineRule="auto"/>
      <w:jc w:val="center"/>
      <w:outlineLvl w:val="5"/>
    </w:pPr>
    <w:rPr>
      <w:b/>
      <w:color w:val="800000"/>
      <w:sz w:val="22"/>
    </w:rPr>
  </w:style>
  <w:style w:type="paragraph" w:styleId="Ttulo7">
    <w:name w:val="heading 7"/>
    <w:basedOn w:val="Normal"/>
    <w:next w:val="Normal"/>
    <w:link w:val="Ttulo7Char"/>
    <w:qFormat/>
    <w:rsid w:val="00916CC8"/>
    <w:pPr>
      <w:keepNext/>
      <w:numPr>
        <w:ilvl w:val="6"/>
        <w:numId w:val="1"/>
      </w:numPr>
      <w:jc w:val="center"/>
      <w:outlineLvl w:val="6"/>
    </w:pPr>
    <w:rPr>
      <w:rFonts w:ascii="Comic Sans MS" w:hAnsi="Comic Sans MS"/>
      <w:b/>
      <w:sz w:val="32"/>
    </w:rPr>
  </w:style>
  <w:style w:type="paragraph" w:styleId="Ttulo8">
    <w:name w:val="heading 8"/>
    <w:basedOn w:val="Normal"/>
    <w:next w:val="Normal"/>
    <w:link w:val="Ttulo8Char"/>
    <w:qFormat/>
    <w:rsid w:val="00916CC8"/>
    <w:pPr>
      <w:keepNext/>
      <w:numPr>
        <w:ilvl w:val="7"/>
        <w:numId w:val="1"/>
      </w:numPr>
      <w:tabs>
        <w:tab w:val="left" w:pos="993"/>
      </w:tabs>
      <w:spacing w:before="120" w:after="120" w:line="480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916CC8"/>
    <w:pPr>
      <w:keepNext/>
      <w:numPr>
        <w:ilvl w:val="8"/>
        <w:numId w:val="1"/>
      </w:numPr>
      <w:spacing w:before="120" w:after="120" w:line="360" w:lineRule="auto"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CC8"/>
    <w:rPr>
      <w:rFonts w:ascii="Arial Negrito" w:eastAsia="Times New Roman" w:hAnsi="Arial Negrito" w:cs="Times New Roman"/>
      <w:b/>
      <w:kern w:val="28"/>
      <w:sz w:val="5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16CC8"/>
    <w:rPr>
      <w:rFonts w:ascii="Arial" w:eastAsia="Times New Roman" w:hAnsi="Arial" w:cs="Times New Roman"/>
      <w:b/>
      <w:sz w:val="24"/>
      <w:szCs w:val="20"/>
      <w:lang w:val="fr-FR" w:eastAsia="pt-BR"/>
    </w:rPr>
  </w:style>
  <w:style w:type="character" w:customStyle="1" w:styleId="Ttulo3Char">
    <w:name w:val="Título 3 Char"/>
    <w:basedOn w:val="Fontepargpadro"/>
    <w:link w:val="Ttulo3"/>
    <w:uiPriority w:val="9"/>
    <w:rsid w:val="00916CC8"/>
    <w:rPr>
      <w:rFonts w:ascii="Arial Negrito" w:eastAsia="Times New Roman" w:hAnsi="Arial Negrito" w:cs="Times New Roman"/>
      <w:b/>
      <w:sz w:val="24"/>
      <w:szCs w:val="20"/>
      <w:lang w:val="fr-FR" w:eastAsia="pt-BR"/>
    </w:rPr>
  </w:style>
  <w:style w:type="character" w:customStyle="1" w:styleId="Ttulo4Char">
    <w:name w:val="Título 4 Char"/>
    <w:basedOn w:val="Fontepargpadro"/>
    <w:link w:val="Ttulo4"/>
    <w:uiPriority w:val="9"/>
    <w:rsid w:val="00916CC8"/>
    <w:rPr>
      <w:rFonts w:ascii="Arial Negrito" w:eastAsia="Times New Roman" w:hAnsi="Arial Negrito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16CC8"/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16CC8"/>
    <w:rPr>
      <w:rFonts w:ascii="Arial" w:eastAsia="Times New Roman" w:hAnsi="Arial" w:cs="Times New Roman"/>
      <w:b/>
      <w:color w:val="80000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16CC8"/>
    <w:rPr>
      <w:rFonts w:ascii="Comic Sans MS" w:eastAsia="Times New Roman" w:hAnsi="Comic Sans MS" w:cs="Times New Roman"/>
      <w:b/>
      <w:sz w:val="32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16CC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16CC8"/>
    <w:rPr>
      <w:rFonts w:ascii="Arial" w:eastAsia="Times New Roman" w:hAnsi="Arial" w:cs="Times New Roman"/>
      <w:b/>
      <w:szCs w:val="20"/>
      <w:lang w:eastAsia="pt-BR"/>
    </w:rPr>
  </w:style>
  <w:style w:type="paragraph" w:styleId="Recuonormal">
    <w:name w:val="Normal Indent"/>
    <w:basedOn w:val="Normal"/>
    <w:rsid w:val="00916CC8"/>
    <w:pPr>
      <w:ind w:left="708"/>
    </w:pPr>
    <w:rPr>
      <w:sz w:val="26"/>
      <w:lang w:val="pt-PT"/>
    </w:rPr>
  </w:style>
  <w:style w:type="paragraph" w:styleId="Recuodecorpodetexto">
    <w:name w:val="Body Text Indent"/>
    <w:basedOn w:val="Normal"/>
    <w:link w:val="RecuodecorpodetextoChar"/>
    <w:rsid w:val="00916CC8"/>
    <w:pPr>
      <w:tabs>
        <w:tab w:val="left" w:pos="993"/>
      </w:tabs>
      <w:spacing w:before="60"/>
      <w:jc w:val="both"/>
    </w:pPr>
    <w:rPr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916CC8"/>
    <w:rPr>
      <w:rFonts w:ascii="Arial" w:eastAsia="Times New Roman" w:hAnsi="Arial" w:cs="Times New Roman"/>
      <w:sz w:val="18"/>
      <w:szCs w:val="20"/>
      <w:lang w:eastAsia="pt-BR"/>
    </w:rPr>
  </w:style>
  <w:style w:type="character" w:styleId="Refdecomentrio">
    <w:name w:val="annotation reference"/>
    <w:semiHidden/>
    <w:rsid w:val="00916CC8"/>
    <w:rPr>
      <w:sz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916CC8"/>
  </w:style>
  <w:style w:type="character" w:customStyle="1" w:styleId="TextodecomentrioChar">
    <w:name w:val="Texto de comentário Char"/>
    <w:basedOn w:val="Fontepargpadro"/>
    <w:uiPriority w:val="99"/>
    <w:semiHidden/>
    <w:rsid w:val="00916CC8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1">
    <w:name w:val="Texto de comentário Char1"/>
    <w:link w:val="Textodecomentrio"/>
    <w:uiPriority w:val="99"/>
    <w:semiHidden/>
    <w:rsid w:val="00916CC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16CC8"/>
  </w:style>
  <w:style w:type="character" w:customStyle="1" w:styleId="TextodenotaderodapChar">
    <w:name w:val="Texto de nota de rodapé Char"/>
    <w:basedOn w:val="Fontepargpadro"/>
    <w:link w:val="Textodenotaderodap"/>
    <w:semiHidden/>
    <w:rsid w:val="00916CC8"/>
    <w:rPr>
      <w:rFonts w:ascii="Arial" w:eastAsia="Times New Roman" w:hAnsi="Arial" w:cs="Times New Roman"/>
      <w:sz w:val="24"/>
      <w:szCs w:val="20"/>
      <w:lang w:eastAsia="pt-BR"/>
    </w:rPr>
  </w:style>
  <w:style w:type="character" w:styleId="Refdenotaderodap">
    <w:name w:val="footnote reference"/>
    <w:semiHidden/>
    <w:rsid w:val="00916CC8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916C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CC8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autoRedefine/>
    <w:uiPriority w:val="99"/>
    <w:rsid w:val="00916CC8"/>
    <w:pPr>
      <w:pBdr>
        <w:top w:val="single" w:sz="4" w:space="1" w:color="auto"/>
      </w:pBdr>
      <w:tabs>
        <w:tab w:val="center" w:pos="4419"/>
        <w:tab w:val="right" w:pos="8080"/>
      </w:tabs>
      <w:jc w:val="right"/>
    </w:pPr>
    <w:rPr>
      <w:b/>
      <w:noProof/>
      <w:color w:val="00000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916CC8"/>
    <w:rPr>
      <w:rFonts w:ascii="Arial" w:eastAsia="Times New Roman" w:hAnsi="Arial" w:cs="Times New Roman"/>
      <w:b/>
      <w:noProof/>
      <w:color w:val="000000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16CC8"/>
    <w:pPr>
      <w:spacing w:before="600" w:after="120"/>
      <w:jc w:val="center"/>
    </w:pPr>
    <w:rPr>
      <w:rFonts w:ascii="Arial Negrito" w:hAnsi="Arial Negrito"/>
      <w:b/>
      <w:caps/>
    </w:rPr>
  </w:style>
  <w:style w:type="character" w:customStyle="1" w:styleId="Recuodecorpodetexto2Char">
    <w:name w:val="Recuo de corpo de texto 2 Char"/>
    <w:basedOn w:val="Fontepargpadro"/>
    <w:link w:val="Recuodecorpodetexto2"/>
    <w:rsid w:val="00916CC8"/>
    <w:rPr>
      <w:rFonts w:ascii="Arial Negrito" w:eastAsia="Times New Roman" w:hAnsi="Arial Negrito" w:cs="Times New Roman"/>
      <w:b/>
      <w:cap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16CC8"/>
    <w:pPr>
      <w:spacing w:before="240" w:line="48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rsid w:val="00916CC8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16CC8"/>
  </w:style>
  <w:style w:type="paragraph" w:styleId="Recuodecorpodetexto3">
    <w:name w:val="Body Text Indent 3"/>
    <w:basedOn w:val="Normal"/>
    <w:link w:val="Recuodecorpodetexto3Char"/>
    <w:rsid w:val="00916CC8"/>
    <w:pPr>
      <w:spacing w:after="120"/>
      <w:jc w:val="center"/>
    </w:pPr>
    <w:rPr>
      <w:rFonts w:ascii="Arial Negrito" w:hAnsi="Arial Negrito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916CC8"/>
    <w:rPr>
      <w:rFonts w:ascii="Arial Negrito" w:eastAsia="Times New Roman" w:hAnsi="Arial Negrito" w:cs="Times New Roman"/>
      <w:b/>
      <w:szCs w:val="20"/>
      <w:lang w:eastAsia="pt-BR"/>
    </w:rPr>
  </w:style>
  <w:style w:type="paragraph" w:styleId="Corpodetexto2">
    <w:name w:val="Body Text 2"/>
    <w:basedOn w:val="Normal"/>
    <w:link w:val="Corpodetexto2Char"/>
    <w:rsid w:val="00916CC8"/>
    <w:pPr>
      <w:spacing w:before="360" w:line="360" w:lineRule="auto"/>
      <w:ind w:left="567" w:hanging="567"/>
    </w:pPr>
  </w:style>
  <w:style w:type="character" w:customStyle="1" w:styleId="Corpodetexto2Char">
    <w:name w:val="Corpo de texto 2 Char"/>
    <w:basedOn w:val="Fontepargpadro"/>
    <w:link w:val="Corpodetexto2"/>
    <w:rsid w:val="00916CC8"/>
    <w:rPr>
      <w:rFonts w:ascii="Arial" w:eastAsia="Times New Roman" w:hAnsi="Arial" w:cs="Times New Roman"/>
      <w:sz w:val="24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rsid w:val="00916CC8"/>
    <w:pPr>
      <w:ind w:left="240" w:hanging="240"/>
    </w:pPr>
    <w:rPr>
      <w:rFonts w:ascii="Times New Roman" w:hAnsi="Times New Roman"/>
      <w:sz w:val="20"/>
    </w:rPr>
  </w:style>
  <w:style w:type="paragraph" w:styleId="Remissivo2">
    <w:name w:val="index 2"/>
    <w:basedOn w:val="Normal"/>
    <w:next w:val="Normal"/>
    <w:autoRedefine/>
    <w:semiHidden/>
    <w:rsid w:val="00916CC8"/>
    <w:pPr>
      <w:ind w:left="480" w:hanging="240"/>
    </w:pPr>
    <w:rPr>
      <w:rFonts w:ascii="Times New Roman" w:hAnsi="Times New Roman"/>
      <w:sz w:val="20"/>
    </w:rPr>
  </w:style>
  <w:style w:type="paragraph" w:styleId="Remissivo3">
    <w:name w:val="index 3"/>
    <w:basedOn w:val="Normal"/>
    <w:next w:val="Normal"/>
    <w:autoRedefine/>
    <w:semiHidden/>
    <w:rsid w:val="00916CC8"/>
    <w:pPr>
      <w:ind w:left="720" w:hanging="240"/>
    </w:pPr>
    <w:rPr>
      <w:rFonts w:ascii="Times New Roman" w:hAnsi="Times New Roman"/>
      <w:sz w:val="20"/>
    </w:rPr>
  </w:style>
  <w:style w:type="paragraph" w:styleId="Remissivo4">
    <w:name w:val="index 4"/>
    <w:basedOn w:val="Normal"/>
    <w:next w:val="Normal"/>
    <w:autoRedefine/>
    <w:semiHidden/>
    <w:rsid w:val="00916CC8"/>
    <w:pPr>
      <w:ind w:left="960" w:hanging="240"/>
    </w:pPr>
    <w:rPr>
      <w:rFonts w:ascii="Times New Roman" w:hAnsi="Times New Roman"/>
      <w:sz w:val="20"/>
    </w:rPr>
  </w:style>
  <w:style w:type="paragraph" w:styleId="Remissivo5">
    <w:name w:val="index 5"/>
    <w:basedOn w:val="Normal"/>
    <w:next w:val="Normal"/>
    <w:autoRedefine/>
    <w:semiHidden/>
    <w:rsid w:val="00916CC8"/>
    <w:pPr>
      <w:ind w:left="1200" w:hanging="240"/>
    </w:pPr>
    <w:rPr>
      <w:rFonts w:ascii="Times New Roman" w:hAnsi="Times New Roman"/>
      <w:sz w:val="20"/>
    </w:rPr>
  </w:style>
  <w:style w:type="paragraph" w:styleId="Remissivo6">
    <w:name w:val="index 6"/>
    <w:basedOn w:val="Normal"/>
    <w:next w:val="Normal"/>
    <w:autoRedefine/>
    <w:semiHidden/>
    <w:rsid w:val="00916CC8"/>
    <w:pPr>
      <w:ind w:left="1440" w:hanging="240"/>
    </w:pPr>
    <w:rPr>
      <w:rFonts w:ascii="Times New Roman" w:hAnsi="Times New Roman"/>
      <w:sz w:val="20"/>
    </w:rPr>
  </w:style>
  <w:style w:type="paragraph" w:styleId="Remissivo7">
    <w:name w:val="index 7"/>
    <w:basedOn w:val="Normal"/>
    <w:next w:val="Normal"/>
    <w:autoRedefine/>
    <w:semiHidden/>
    <w:rsid w:val="00916CC8"/>
    <w:pPr>
      <w:ind w:left="1680" w:hanging="240"/>
    </w:pPr>
    <w:rPr>
      <w:rFonts w:ascii="Times New Roman" w:hAnsi="Times New Roman"/>
      <w:sz w:val="20"/>
    </w:rPr>
  </w:style>
  <w:style w:type="paragraph" w:styleId="Remissivo8">
    <w:name w:val="index 8"/>
    <w:basedOn w:val="Normal"/>
    <w:next w:val="Normal"/>
    <w:autoRedefine/>
    <w:semiHidden/>
    <w:rsid w:val="00916CC8"/>
    <w:pPr>
      <w:ind w:left="1920" w:hanging="240"/>
    </w:pPr>
    <w:rPr>
      <w:rFonts w:ascii="Times New Roman" w:hAnsi="Times New Roman"/>
      <w:sz w:val="20"/>
    </w:rPr>
  </w:style>
  <w:style w:type="paragraph" w:styleId="Remissivo9">
    <w:name w:val="index 9"/>
    <w:basedOn w:val="Normal"/>
    <w:next w:val="Normal"/>
    <w:autoRedefine/>
    <w:semiHidden/>
    <w:rsid w:val="00916CC8"/>
    <w:pPr>
      <w:ind w:left="2160" w:hanging="240"/>
    </w:pPr>
    <w:rPr>
      <w:rFonts w:ascii="Times New Roman" w:hAnsi="Times New Roman"/>
      <w:sz w:val="20"/>
    </w:rPr>
  </w:style>
  <w:style w:type="paragraph" w:styleId="Ttulodendiceremissivo">
    <w:name w:val="index heading"/>
    <w:basedOn w:val="Normal"/>
    <w:next w:val="Remissivo1"/>
    <w:semiHidden/>
    <w:rsid w:val="00916CC8"/>
    <w:pPr>
      <w:spacing w:before="120" w:after="120"/>
    </w:pPr>
    <w:rPr>
      <w:rFonts w:ascii="Times New Roman" w:hAnsi="Times New Roman"/>
      <w:b/>
      <w:i/>
      <w:sz w:val="20"/>
    </w:rPr>
  </w:style>
  <w:style w:type="paragraph" w:styleId="Sumrio1">
    <w:name w:val="toc 1"/>
    <w:basedOn w:val="Normal"/>
    <w:next w:val="Normal"/>
    <w:autoRedefine/>
    <w:semiHidden/>
    <w:rsid w:val="00916CC8"/>
    <w:pPr>
      <w:tabs>
        <w:tab w:val="left" w:pos="284"/>
        <w:tab w:val="right" w:leader="dot" w:pos="8546"/>
      </w:tabs>
      <w:spacing w:before="240"/>
    </w:pPr>
    <w:rPr>
      <w:rFonts w:cs="Arial"/>
      <w:b/>
      <w:bCs/>
      <w:caps/>
      <w:noProof/>
      <w:sz w:val="20"/>
      <w:szCs w:val="56"/>
    </w:rPr>
  </w:style>
  <w:style w:type="paragraph" w:styleId="Sumrio2">
    <w:name w:val="toc 2"/>
    <w:basedOn w:val="Normal"/>
    <w:next w:val="Normal"/>
    <w:autoRedefine/>
    <w:semiHidden/>
    <w:rsid w:val="00916CC8"/>
    <w:pPr>
      <w:tabs>
        <w:tab w:val="left" w:pos="709"/>
        <w:tab w:val="right" w:leader="dot" w:pos="8546"/>
      </w:tabs>
      <w:spacing w:before="240"/>
      <w:ind w:left="240" w:firstLine="44"/>
    </w:pPr>
    <w:rPr>
      <w:rFonts w:cs="Arial"/>
      <w:smallCaps/>
      <w:noProof/>
      <w:sz w:val="20"/>
      <w:szCs w:val="24"/>
    </w:rPr>
  </w:style>
  <w:style w:type="paragraph" w:styleId="Sumrio3">
    <w:name w:val="toc 3"/>
    <w:basedOn w:val="Normal"/>
    <w:next w:val="Normal"/>
    <w:autoRedefine/>
    <w:semiHidden/>
    <w:rsid w:val="00916CC8"/>
    <w:pPr>
      <w:ind w:left="480"/>
    </w:pPr>
    <w:rPr>
      <w:rFonts w:ascii="Times New Roman" w:hAnsi="Times New Roman"/>
      <w:i/>
      <w:iCs/>
      <w:szCs w:val="24"/>
    </w:rPr>
  </w:style>
  <w:style w:type="paragraph" w:styleId="Sumrio4">
    <w:name w:val="toc 4"/>
    <w:basedOn w:val="Normal"/>
    <w:next w:val="Normal"/>
    <w:autoRedefine/>
    <w:semiHidden/>
    <w:rsid w:val="00916CC8"/>
    <w:pPr>
      <w:ind w:left="720"/>
    </w:pPr>
    <w:rPr>
      <w:rFonts w:ascii="Times New Roman" w:hAnsi="Times New Roman"/>
      <w:szCs w:val="21"/>
    </w:rPr>
  </w:style>
  <w:style w:type="paragraph" w:styleId="Sumrio5">
    <w:name w:val="toc 5"/>
    <w:basedOn w:val="Normal"/>
    <w:next w:val="Normal"/>
    <w:autoRedefine/>
    <w:semiHidden/>
    <w:rsid w:val="00916CC8"/>
    <w:pPr>
      <w:ind w:left="960"/>
    </w:pPr>
    <w:rPr>
      <w:rFonts w:ascii="Times New Roman" w:hAnsi="Times New Roman"/>
      <w:szCs w:val="21"/>
    </w:rPr>
  </w:style>
  <w:style w:type="paragraph" w:styleId="Sumrio6">
    <w:name w:val="toc 6"/>
    <w:basedOn w:val="Normal"/>
    <w:next w:val="Normal"/>
    <w:autoRedefine/>
    <w:semiHidden/>
    <w:rsid w:val="00916CC8"/>
    <w:pPr>
      <w:ind w:left="1200"/>
    </w:pPr>
    <w:rPr>
      <w:rFonts w:ascii="Times New Roman" w:hAnsi="Times New Roman"/>
      <w:szCs w:val="21"/>
    </w:rPr>
  </w:style>
  <w:style w:type="paragraph" w:styleId="Sumrio7">
    <w:name w:val="toc 7"/>
    <w:basedOn w:val="Normal"/>
    <w:next w:val="Normal"/>
    <w:autoRedefine/>
    <w:semiHidden/>
    <w:rsid w:val="00916CC8"/>
    <w:pPr>
      <w:ind w:left="1440"/>
    </w:pPr>
    <w:rPr>
      <w:rFonts w:ascii="Times New Roman" w:hAnsi="Times New Roman"/>
      <w:szCs w:val="21"/>
    </w:rPr>
  </w:style>
  <w:style w:type="paragraph" w:styleId="Sumrio8">
    <w:name w:val="toc 8"/>
    <w:basedOn w:val="Normal"/>
    <w:next w:val="Normal"/>
    <w:autoRedefine/>
    <w:semiHidden/>
    <w:rsid w:val="00916CC8"/>
    <w:pPr>
      <w:ind w:left="1680"/>
    </w:pPr>
    <w:rPr>
      <w:rFonts w:ascii="Times New Roman" w:hAnsi="Times New Roman"/>
      <w:szCs w:val="21"/>
    </w:rPr>
  </w:style>
  <w:style w:type="paragraph" w:styleId="Sumrio9">
    <w:name w:val="toc 9"/>
    <w:basedOn w:val="Normal"/>
    <w:next w:val="Normal"/>
    <w:autoRedefine/>
    <w:semiHidden/>
    <w:rsid w:val="00916CC8"/>
    <w:pPr>
      <w:ind w:left="1920"/>
    </w:pPr>
    <w:rPr>
      <w:rFonts w:ascii="Times New Roman" w:hAnsi="Times New Roman"/>
      <w:szCs w:val="21"/>
    </w:rPr>
  </w:style>
  <w:style w:type="paragraph" w:styleId="MapadoDocumento">
    <w:name w:val="Document Map"/>
    <w:basedOn w:val="Normal"/>
    <w:link w:val="MapadoDocumentoChar"/>
    <w:semiHidden/>
    <w:rsid w:val="00916CC8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916CC8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Textodenotadefim">
    <w:name w:val="endnote text"/>
    <w:basedOn w:val="Normal"/>
    <w:link w:val="TextodenotadefimChar"/>
    <w:semiHidden/>
    <w:rsid w:val="00916CC8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916CC8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semiHidden/>
    <w:rsid w:val="00916CC8"/>
    <w:rPr>
      <w:vertAlign w:val="superscript"/>
    </w:rPr>
  </w:style>
  <w:style w:type="paragraph" w:styleId="Textoembloco">
    <w:name w:val="Block Text"/>
    <w:basedOn w:val="Normal"/>
    <w:rsid w:val="00916CC8"/>
    <w:pPr>
      <w:spacing w:line="360" w:lineRule="auto"/>
      <w:ind w:left="-454" w:right="-284"/>
      <w:jc w:val="center"/>
    </w:pPr>
    <w:rPr>
      <w:b/>
      <w:sz w:val="28"/>
    </w:rPr>
  </w:style>
  <w:style w:type="paragraph" w:styleId="Corpodetexto3">
    <w:name w:val="Body Text 3"/>
    <w:basedOn w:val="Normal"/>
    <w:link w:val="Corpodetexto3Char"/>
    <w:rsid w:val="00916CC8"/>
    <w:pPr>
      <w:spacing w:line="480" w:lineRule="auto"/>
      <w:jc w:val="both"/>
    </w:pPr>
    <w:rPr>
      <w:rFonts w:ascii="Times New Roman" w:hAnsi="Times New Roman"/>
      <w:sz w:val="28"/>
    </w:rPr>
  </w:style>
  <w:style w:type="character" w:customStyle="1" w:styleId="Corpodetexto3Char">
    <w:name w:val="Corpo de texto 3 Char"/>
    <w:basedOn w:val="Fontepargpadro"/>
    <w:link w:val="Corpodetexto3"/>
    <w:rsid w:val="00916C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916CC8"/>
    <w:pPr>
      <w:spacing w:before="600" w:after="24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916C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916CC8"/>
    <w:pPr>
      <w:spacing w:after="240"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916CC8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916CC8"/>
    <w:pPr>
      <w:widowControl w:val="0"/>
      <w:spacing w:line="480" w:lineRule="auto"/>
      <w:jc w:val="both"/>
    </w:pPr>
    <w:rPr>
      <w:b/>
      <w:snapToGrid w:val="0"/>
    </w:rPr>
  </w:style>
  <w:style w:type="paragraph" w:styleId="Legenda">
    <w:name w:val="caption"/>
    <w:basedOn w:val="Normal"/>
    <w:next w:val="Normal"/>
    <w:qFormat/>
    <w:rsid w:val="00916CC8"/>
    <w:pPr>
      <w:spacing w:before="60"/>
      <w:jc w:val="both"/>
    </w:pPr>
    <w:rPr>
      <w:sz w:val="18"/>
    </w:rPr>
  </w:style>
  <w:style w:type="character" w:styleId="Hyperlink">
    <w:name w:val="Hyperlink"/>
    <w:rsid w:val="00916CC8"/>
    <w:rPr>
      <w:color w:val="0000FF"/>
      <w:u w:val="single"/>
    </w:rPr>
  </w:style>
  <w:style w:type="character" w:styleId="HiperlinkVisitado">
    <w:name w:val="FollowedHyperlink"/>
    <w:rsid w:val="00916CC8"/>
    <w:rPr>
      <w:color w:val="800080"/>
      <w:u w:val="single"/>
    </w:rPr>
  </w:style>
  <w:style w:type="character" w:styleId="Forte">
    <w:name w:val="Strong"/>
    <w:uiPriority w:val="22"/>
    <w:qFormat/>
    <w:rsid w:val="00916CC8"/>
    <w:rPr>
      <w:b/>
    </w:rPr>
  </w:style>
  <w:style w:type="paragraph" w:styleId="ndicedeilustraes">
    <w:name w:val="table of figures"/>
    <w:basedOn w:val="Normal"/>
    <w:next w:val="Normal"/>
    <w:semiHidden/>
    <w:rsid w:val="00916CC8"/>
    <w:pPr>
      <w:spacing w:before="240" w:after="600"/>
      <w:ind w:left="482" w:hanging="482"/>
      <w:jc w:val="center"/>
    </w:pPr>
    <w:rPr>
      <w:i/>
      <w:sz w:val="22"/>
    </w:rPr>
  </w:style>
  <w:style w:type="paragraph" w:customStyle="1" w:styleId="Corpodetexto21">
    <w:name w:val="Corpo de texto 21"/>
    <w:basedOn w:val="Normal"/>
    <w:rsid w:val="00916CC8"/>
    <w:pPr>
      <w:spacing w:before="240" w:line="480" w:lineRule="auto"/>
      <w:ind w:firstLine="720"/>
      <w:jc w:val="both"/>
    </w:pPr>
  </w:style>
  <w:style w:type="paragraph" w:customStyle="1" w:styleId="Corpodetexto31">
    <w:name w:val="Corpo de texto 31"/>
    <w:basedOn w:val="Normal"/>
    <w:rsid w:val="00916CC8"/>
    <w:rPr>
      <w:b/>
    </w:rPr>
  </w:style>
  <w:style w:type="character" w:styleId="nfase">
    <w:name w:val="Emphasis"/>
    <w:qFormat/>
    <w:rsid w:val="00916CC8"/>
    <w:rPr>
      <w:i/>
      <w:iCs/>
    </w:rPr>
  </w:style>
  <w:style w:type="paragraph" w:customStyle="1" w:styleId="NormalP">
    <w:name w:val="Normal.P"/>
    <w:rsid w:val="00916CC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imes12px1">
    <w:name w:val="times12px1"/>
    <w:rsid w:val="00916CC8"/>
    <w:rPr>
      <w:rFonts w:ascii="Times New Roman" w:hAnsi="Times New Roman" w:cs="Times New Roman" w:hint="default"/>
      <w:sz w:val="24"/>
      <w:szCs w:val="24"/>
    </w:rPr>
  </w:style>
  <w:style w:type="character" w:customStyle="1" w:styleId="times12pxazul1">
    <w:name w:val="times12pxazul1"/>
    <w:rsid w:val="00916CC8"/>
    <w:rPr>
      <w:rFonts w:ascii="Times New Roman" w:hAnsi="Times New Roman" w:cs="Times New Roman" w:hint="default"/>
      <w:color w:val="2F97CF"/>
      <w:sz w:val="24"/>
      <w:szCs w:val="24"/>
    </w:rPr>
  </w:style>
  <w:style w:type="paragraph" w:customStyle="1" w:styleId="xl24">
    <w:name w:val="xl24"/>
    <w:basedOn w:val="Normal"/>
    <w:rsid w:val="0091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xl25">
    <w:name w:val="xl25"/>
    <w:basedOn w:val="Normal"/>
    <w:rsid w:val="00916CC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al"/>
    <w:rsid w:val="00916CC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NormalWeb">
    <w:name w:val="Normal (Web)"/>
    <w:basedOn w:val="Normal"/>
    <w:uiPriority w:val="99"/>
    <w:rsid w:val="00916CC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">
    <w:name w:val="text"/>
    <w:basedOn w:val="Normal"/>
    <w:rsid w:val="00916CC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indent1">
    <w:name w:val="indent1"/>
    <w:rsid w:val="00916CC8"/>
  </w:style>
  <w:style w:type="paragraph" w:customStyle="1" w:styleId="xl26">
    <w:name w:val="xl26"/>
    <w:basedOn w:val="Normal"/>
    <w:rsid w:val="00916CC8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rsid w:val="00916CC8"/>
    <w:pPr>
      <w:spacing w:before="100" w:beforeAutospacing="1" w:after="100" w:afterAutospacing="1"/>
    </w:pPr>
    <w:rPr>
      <w:rFonts w:eastAsia="Arial Unicode MS" w:cs="Arial"/>
      <w:i/>
      <w:iCs/>
      <w:szCs w:val="24"/>
    </w:rPr>
  </w:style>
  <w:style w:type="paragraph" w:customStyle="1" w:styleId="xl28">
    <w:name w:val="xl28"/>
    <w:basedOn w:val="Normal"/>
    <w:rsid w:val="00916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9">
    <w:name w:val="xl29"/>
    <w:basedOn w:val="Normal"/>
    <w:rsid w:val="00916CC8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Normal"/>
    <w:rsid w:val="00916C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al"/>
    <w:rsid w:val="0091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3">
    <w:name w:val="xl33"/>
    <w:basedOn w:val="Normal"/>
    <w:rsid w:val="00916CC8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al"/>
    <w:rsid w:val="00916CC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35">
    <w:name w:val="xl35"/>
    <w:basedOn w:val="Normal"/>
    <w:rsid w:val="0091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6">
    <w:name w:val="xl36"/>
    <w:basedOn w:val="Normal"/>
    <w:rsid w:val="00916C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al"/>
    <w:rsid w:val="00916CC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8">
    <w:name w:val="xl38"/>
    <w:basedOn w:val="Normal"/>
    <w:rsid w:val="00916CC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al"/>
    <w:rsid w:val="00916CC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al"/>
    <w:rsid w:val="00916C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al"/>
    <w:rsid w:val="00916C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3">
    <w:name w:val="xl43"/>
    <w:basedOn w:val="Normal"/>
    <w:rsid w:val="0091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4">
    <w:name w:val="xl44"/>
    <w:basedOn w:val="Normal"/>
    <w:rsid w:val="0091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5">
    <w:name w:val="xl45"/>
    <w:basedOn w:val="Normal"/>
    <w:rsid w:val="00916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al"/>
    <w:rsid w:val="00916CC8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6">
    <w:name w:val="xl46"/>
    <w:basedOn w:val="Normal"/>
    <w:rsid w:val="0091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7">
    <w:name w:val="xl47"/>
    <w:basedOn w:val="Normal"/>
    <w:rsid w:val="00916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table" w:styleId="Tabelacomgrade">
    <w:name w:val="Table Grid"/>
    <w:basedOn w:val="Tabelanormal"/>
    <w:rsid w:val="00916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916CC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16CC8"/>
    <w:pPr>
      <w:spacing w:after="160" w:line="279" w:lineRule="auto"/>
      <w:ind w:left="720"/>
      <w:contextualSpacing/>
    </w:pPr>
    <w:rPr>
      <w:rFonts w:ascii="Cambria" w:eastAsia="Cambria" w:hAnsi="Cambria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rsid w:val="00916CC8"/>
    <w:rPr>
      <w:rFonts w:ascii="Tahoma" w:eastAsia="Cambri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rsid w:val="00916CC8"/>
    <w:rPr>
      <w:rFonts w:ascii="Tahoma" w:eastAsia="Cambria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rsid w:val="00916CC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ssuntodocomentrioChar">
    <w:name w:val="Assunto do comentário Char"/>
    <w:link w:val="Assuntodocomentrio"/>
    <w:uiPriority w:val="99"/>
    <w:rsid w:val="00916CC8"/>
    <w:rPr>
      <w:rFonts w:ascii="Cambria" w:eastAsia="Cambria" w:hAnsi="Cambria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916CC8"/>
    <w:pPr>
      <w:spacing w:after="160"/>
    </w:pPr>
    <w:rPr>
      <w:rFonts w:ascii="Cambria" w:eastAsia="Cambria" w:hAnsi="Cambria" w:cstheme="minorBidi"/>
      <w:b/>
      <w:bCs/>
      <w:sz w:val="22"/>
      <w:szCs w:val="22"/>
      <w:lang w:eastAsia="en-US"/>
    </w:rPr>
  </w:style>
  <w:style w:type="character" w:customStyle="1" w:styleId="AssuntodocomentrioChar1">
    <w:name w:val="Assunto do comentário Char1"/>
    <w:basedOn w:val="TextodecomentrioChar"/>
    <w:rsid w:val="00916CC8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contentcontrolboundarysink">
    <w:name w:val="contentcontrolboundarysink"/>
    <w:rsid w:val="00916CC8"/>
  </w:style>
  <w:style w:type="character" w:customStyle="1" w:styleId="normaltextrun">
    <w:name w:val="normaltextrun"/>
    <w:rsid w:val="00916CC8"/>
  </w:style>
  <w:style w:type="paragraph" w:customStyle="1" w:styleId="paragraph">
    <w:name w:val="paragraph"/>
    <w:basedOn w:val="Normal"/>
    <w:rsid w:val="00916C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ntentcontrol">
    <w:name w:val="contentcontrol"/>
    <w:rsid w:val="00916CC8"/>
  </w:style>
  <w:style w:type="character" w:customStyle="1" w:styleId="tabchar">
    <w:name w:val="tabchar"/>
    <w:rsid w:val="00916CC8"/>
  </w:style>
  <w:style w:type="character" w:customStyle="1" w:styleId="eop">
    <w:name w:val="eop"/>
    <w:rsid w:val="00916CC8"/>
  </w:style>
  <w:style w:type="character" w:customStyle="1" w:styleId="overflow-hidden">
    <w:name w:val="overflow-hidden"/>
    <w:rsid w:val="00916CC8"/>
  </w:style>
  <w:style w:type="paragraph" w:customStyle="1" w:styleId="BodyText22">
    <w:name w:val="Body Text 22"/>
    <w:basedOn w:val="Normal"/>
    <w:rsid w:val="00916CC8"/>
    <w:pPr>
      <w:spacing w:before="240" w:line="480" w:lineRule="auto"/>
      <w:ind w:firstLine="720"/>
      <w:jc w:val="both"/>
    </w:pPr>
  </w:style>
  <w:style w:type="paragraph" w:customStyle="1" w:styleId="BodyText31">
    <w:name w:val="Body Text 31"/>
    <w:basedOn w:val="Normal"/>
    <w:rsid w:val="00916CC8"/>
    <w:rPr>
      <w:b/>
    </w:rPr>
  </w:style>
  <w:style w:type="character" w:styleId="TextodoEspaoReservado">
    <w:name w:val="Placeholder Text"/>
    <w:basedOn w:val="Fontepargpadro"/>
    <w:uiPriority w:val="99"/>
    <w:semiHidden/>
    <w:rsid w:val="00916CC8"/>
    <w:rPr>
      <w:color w:val="666666"/>
    </w:rPr>
  </w:style>
  <w:style w:type="paragraph" w:styleId="Reviso">
    <w:name w:val="Revision"/>
    <w:hidden/>
    <w:uiPriority w:val="99"/>
    <w:semiHidden/>
    <w:rsid w:val="00916C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16CC8"/>
  </w:style>
  <w:style w:type="paragraph" w:styleId="Citao">
    <w:name w:val="Quote"/>
    <w:basedOn w:val="Normal"/>
    <w:next w:val="Normal"/>
    <w:link w:val="CitaoChar"/>
    <w:uiPriority w:val="29"/>
    <w:qFormat/>
    <w:rsid w:val="00916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6CC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16C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CC8"/>
    <w:rPr>
      <w:rFonts w:ascii="Arial" w:eastAsia="Times New Roman" w:hAnsi="Arial" w:cs="Times New Roman"/>
      <w:i/>
      <w:iCs/>
      <w:color w:val="2F5496" w:themeColor="accent1" w:themeShade="BF"/>
      <w:sz w:val="24"/>
      <w:szCs w:val="20"/>
      <w:lang w:eastAsia="pt-BR"/>
    </w:rPr>
  </w:style>
  <w:style w:type="character" w:styleId="RefernciaIntensa">
    <w:name w:val="Intense Reference"/>
    <w:basedOn w:val="Fontepargpadro"/>
    <w:uiPriority w:val="32"/>
    <w:qFormat/>
    <w:rsid w:val="00916CC8"/>
    <w:rPr>
      <w:b/>
      <w:bCs/>
      <w:smallCaps/>
      <w:color w:val="2F5496" w:themeColor="accent1" w:themeShade="BF"/>
      <w:spacing w:val="5"/>
    </w:rPr>
  </w:style>
  <w:style w:type="character" w:customStyle="1" w:styleId="BalloonTextChar1">
    <w:name w:val="Balloon Text Char1"/>
    <w:basedOn w:val="Fontepargpadro"/>
    <w:uiPriority w:val="99"/>
    <w:semiHidden/>
    <w:rsid w:val="00916CC8"/>
    <w:rPr>
      <w:rFonts w:ascii="Times New Roman" w:eastAsia="Times New Roman" w:hAnsi="Times New Roman" w:cs="Times New Roman"/>
      <w:kern w:val="0"/>
      <w:sz w:val="18"/>
      <w:szCs w:val="18"/>
      <w:lang w:val="pt-BR" w:eastAsia="pt-BR"/>
      <w14:ligatures w14:val="none"/>
    </w:rPr>
  </w:style>
  <w:style w:type="character" w:customStyle="1" w:styleId="CommentSubjectChar1">
    <w:name w:val="Comment Subject Char1"/>
    <w:basedOn w:val="TextodecomentrioChar1"/>
    <w:uiPriority w:val="99"/>
    <w:semiHidden/>
    <w:rsid w:val="00916CC8"/>
    <w:rPr>
      <w:rFonts w:ascii="Arial" w:eastAsia="Times New Roman" w:hAnsi="Arial" w:cs="Times New Roman"/>
      <w:b/>
      <w:bCs/>
      <w:kern w:val="0"/>
      <w:sz w:val="24"/>
      <w:szCs w:val="20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3817</Words>
  <Characters>20614</Characters>
  <Application>Microsoft Office Word</Application>
  <DocSecurity>0</DocSecurity>
  <Lines>171</Lines>
  <Paragraphs>48</Paragraphs>
  <ScaleCrop>false</ScaleCrop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1</cp:revision>
  <dcterms:created xsi:type="dcterms:W3CDTF">2025-07-26T08:59:00Z</dcterms:created>
  <dcterms:modified xsi:type="dcterms:W3CDTF">2025-07-26T09:00:00Z</dcterms:modified>
</cp:coreProperties>
</file>