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DFF273" w14:textId="57722F4E" w:rsidR="00746571" w:rsidRDefault="00746571" w:rsidP="00746571">
      <w:pPr>
        <w:pStyle w:val="Teaser"/>
        <w:jc w:val="center"/>
        <w:rPr>
          <w:bCs/>
          <w:sz w:val="28"/>
          <w:szCs w:val="28"/>
        </w:rPr>
      </w:pPr>
      <w:r w:rsidRPr="000A0C51">
        <w:rPr>
          <w:bCs/>
          <w:sz w:val="28"/>
          <w:szCs w:val="28"/>
        </w:rPr>
        <w:t>Supplementary Materials for</w:t>
      </w:r>
    </w:p>
    <w:p w14:paraId="4C64E17F" w14:textId="77777777" w:rsidR="00746571" w:rsidRDefault="00746571" w:rsidP="00746571">
      <w:pPr>
        <w:pStyle w:val="Teaser"/>
        <w:jc w:val="center"/>
        <w:rPr>
          <w:bCs/>
          <w:sz w:val="28"/>
          <w:szCs w:val="28"/>
        </w:rPr>
      </w:pPr>
    </w:p>
    <w:p w14:paraId="552B960F" w14:textId="48AA528F" w:rsidR="00746571" w:rsidRDefault="00F97C4E" w:rsidP="00F97C4E">
      <w:pPr>
        <w:pStyle w:val="Head"/>
      </w:pPr>
      <w:r>
        <w:t xml:space="preserve">Metamaterials from the Deep: Optimized </w:t>
      </w:r>
      <w:r w:rsidR="00225092">
        <w:t>M</w:t>
      </w:r>
      <w:r>
        <w:t>echano-</w:t>
      </w:r>
      <w:r w:rsidR="00225092">
        <w:t>F</w:t>
      </w:r>
      <w:r>
        <w:t xml:space="preserve">luidic </w:t>
      </w:r>
      <w:r w:rsidR="00225092">
        <w:t>M</w:t>
      </w:r>
      <w:r>
        <w:t xml:space="preserve">aterials </w:t>
      </w:r>
      <w:r w:rsidR="00225092">
        <w:t>I</w:t>
      </w:r>
      <w:r>
        <w:t xml:space="preserve">nspired by Deep-Sea </w:t>
      </w:r>
      <w:r w:rsidR="00225092">
        <w:t>S</w:t>
      </w:r>
      <w:r>
        <w:t>ponges</w:t>
      </w:r>
    </w:p>
    <w:p w14:paraId="04289DE3" w14:textId="77777777" w:rsidR="00746571" w:rsidRDefault="00746571" w:rsidP="00746571">
      <w:pPr>
        <w:pStyle w:val="Teaser"/>
        <w:jc w:val="center"/>
        <w:rPr>
          <w:bCs/>
        </w:rPr>
      </w:pPr>
      <w:r w:rsidRPr="000A0C51">
        <w:rPr>
          <w:bCs/>
        </w:rPr>
        <w:t xml:space="preserve">Timon Meier </w:t>
      </w:r>
      <w:r w:rsidRPr="000A0C51">
        <w:rPr>
          <w:bCs/>
          <w:i/>
          <w:iCs/>
        </w:rPr>
        <w:t>et al.</w:t>
      </w:r>
      <w:r w:rsidRPr="000A0C51">
        <w:rPr>
          <w:bCs/>
        </w:rPr>
        <w:t xml:space="preserve"> </w:t>
      </w:r>
    </w:p>
    <w:p w14:paraId="253DB82D" w14:textId="38BC6C32" w:rsidR="00746571" w:rsidRPr="000A0C51" w:rsidRDefault="00746571" w:rsidP="00746571">
      <w:pPr>
        <w:pStyle w:val="Teaser"/>
        <w:jc w:val="center"/>
        <w:rPr>
          <w:bCs/>
        </w:rPr>
      </w:pPr>
      <w:r w:rsidRPr="00CE45BB">
        <w:rPr>
          <w:bCs/>
        </w:rPr>
        <w:t>Corresponding author</w:t>
      </w:r>
      <w:r w:rsidR="000D4D2E">
        <w:rPr>
          <w:bCs/>
        </w:rPr>
        <w:t>s</w:t>
      </w:r>
      <w:r w:rsidRPr="00CE45BB">
        <w:rPr>
          <w:bCs/>
        </w:rPr>
        <w:t>:</w:t>
      </w:r>
      <w:r>
        <w:rPr>
          <w:bCs/>
        </w:rPr>
        <w:t xml:space="preserve"> </w:t>
      </w:r>
      <w:r w:rsidR="000D4D2E">
        <w:t xml:space="preserve">Costas P. Grigoropoulos: </w:t>
      </w:r>
      <w:hyperlink r:id="rId11" w:history="1">
        <w:r w:rsidR="000D4D2E" w:rsidRPr="0027668F">
          <w:rPr>
            <w:rStyle w:val="Hyperlink"/>
          </w:rPr>
          <w:t>cgrigoro@berkeley.edu</w:t>
        </w:r>
      </w:hyperlink>
      <w:r w:rsidR="000D4D2E">
        <w:t xml:space="preserve">, </w:t>
      </w:r>
      <w:r w:rsidR="000D4D2E">
        <w:br/>
        <w:t xml:space="preserve">Petros </w:t>
      </w:r>
      <w:proofErr w:type="spellStart"/>
      <w:r w:rsidR="000D4D2E">
        <w:t>Koumoutsakos</w:t>
      </w:r>
      <w:proofErr w:type="spellEnd"/>
      <w:r w:rsidR="000D4D2E">
        <w:t xml:space="preserve">: </w:t>
      </w:r>
      <w:hyperlink r:id="rId12" w:history="1">
        <w:r w:rsidR="000D4D2E" w:rsidRPr="0027668F">
          <w:rPr>
            <w:rStyle w:val="Hyperlink"/>
          </w:rPr>
          <w:t>petros@seas.harvard.edu</w:t>
        </w:r>
      </w:hyperlink>
      <w:r w:rsidR="000D4D2E">
        <w:t xml:space="preserve"> </w:t>
      </w:r>
      <w:r w:rsidR="000D4D2E" w:rsidRPr="000A0C51">
        <w:rPr>
          <w:bCs/>
        </w:rPr>
        <w:t xml:space="preserve"> </w:t>
      </w:r>
    </w:p>
    <w:p w14:paraId="4BCF5E5A" w14:textId="77777777" w:rsidR="00746571" w:rsidRDefault="00746571" w:rsidP="00746571">
      <w:pPr>
        <w:pStyle w:val="Teaser"/>
        <w:rPr>
          <w:b/>
        </w:rPr>
      </w:pPr>
    </w:p>
    <w:p w14:paraId="6D6391E3" w14:textId="7181D4B3" w:rsidR="00746571" w:rsidRDefault="00B21CC0" w:rsidP="00746571">
      <w:pPr>
        <w:pStyle w:val="Teaser"/>
        <w:rPr>
          <w:b/>
        </w:rPr>
      </w:pPr>
      <w:r>
        <w:rPr>
          <w:b/>
        </w:rPr>
        <w:t>Introduction</w:t>
      </w:r>
    </w:p>
    <w:p w14:paraId="1C607C46" w14:textId="609AC94C" w:rsidR="00B21CC0" w:rsidRDefault="00580DF0" w:rsidP="003C1DB5">
      <w:pPr>
        <w:pStyle w:val="SOMContent"/>
        <w:jc w:val="both"/>
        <w:rPr>
          <w:b/>
          <w:bCs/>
        </w:rPr>
      </w:pPr>
      <w:r w:rsidRPr="00580DF0">
        <w:t>This supplementary document provides additional details to support the results presented in the main manuscript. It expands on the computational design framework, optimization methodology, mechanical modeling, fluid dynamics simulations, and experimental procedures. Extended figures, data, and analysis are included to illustrate the optimization process, validate simulation predictions, and clarify the performance trade-offs in sponge-inspired lattices. The material is intended to aid reproducibility and give further insight into the workflow and results discussed in the main text.</w:t>
      </w:r>
    </w:p>
    <w:p w14:paraId="740B8D44" w14:textId="2C5A3999" w:rsidR="003C1DB5" w:rsidRPr="003C1DB5" w:rsidRDefault="003C1DB5" w:rsidP="003C1DB5">
      <w:pPr>
        <w:pStyle w:val="SOMContent"/>
        <w:jc w:val="both"/>
        <w:rPr>
          <w:b/>
          <w:bCs/>
        </w:rPr>
      </w:pPr>
      <w:r w:rsidRPr="003C1DB5">
        <w:rPr>
          <w:b/>
          <w:bCs/>
        </w:rPr>
        <w:t>Optimization Framework and Design Parameters</w:t>
      </w:r>
    </w:p>
    <w:p w14:paraId="703F17DE" w14:textId="68AB0CDA" w:rsidR="00DA6F85" w:rsidRPr="00DA6F85" w:rsidRDefault="00DA6F85" w:rsidP="00DA6F85">
      <w:pPr>
        <w:pStyle w:val="SOMContent"/>
        <w:jc w:val="both"/>
        <w:rPr>
          <w:u w:val="single"/>
        </w:rPr>
      </w:pPr>
      <w:r w:rsidRPr="00DA6F85">
        <w:rPr>
          <w:u w:val="single"/>
        </w:rPr>
        <w:t>Design Parameterization</w:t>
      </w:r>
    </w:p>
    <w:p w14:paraId="17C94C5B" w14:textId="77777777" w:rsidR="00580DF0" w:rsidRPr="00580DF0" w:rsidRDefault="00580DF0" w:rsidP="00580DF0">
      <w:pPr>
        <w:pStyle w:val="SOMContent"/>
        <w:jc w:val="both"/>
      </w:pPr>
      <w:r w:rsidRPr="00580DF0">
        <w:t>To design sponge-inspired lattices with both structural and fluidic functionality, we implemented a multi-objective optimization framework that combines geometric parameterization, automated simulation workflows, and Bayesian optimization, run on high-performance computing (HPC) resources.</w:t>
      </w:r>
    </w:p>
    <w:p w14:paraId="2083086A" w14:textId="6E332AE9" w:rsidR="00580DF0" w:rsidRPr="00580DF0" w:rsidRDefault="00580DF0" w:rsidP="00580DF0">
      <w:pPr>
        <w:pStyle w:val="SOMContent"/>
        <w:jc w:val="both"/>
      </w:pPr>
      <w:r w:rsidRPr="00580DF0">
        <w:t xml:space="preserve">The parameterization is based on the hierarchical skeleton of </w:t>
      </w:r>
      <w:r w:rsidRPr="00580DF0">
        <w:rPr>
          <w:i/>
          <w:iCs/>
        </w:rPr>
        <w:t>Euplectella aspergillum</w:t>
      </w:r>
      <w:r w:rsidRPr="00580DF0">
        <w:t>. Its cylindrical architecture was abstracted into a lattice of rectangular beam elements with diagonal and helical ridge reinforcements. Eight geometric parameters were defined to control the design space</w:t>
      </w:r>
      <w:r>
        <w:t>.</w:t>
      </w:r>
      <w:r w:rsidRPr="00580DF0">
        <w:t xml:space="preserve"> </w:t>
      </w:r>
      <w:r>
        <w:t>T</w:t>
      </w:r>
      <w:r w:rsidRPr="00580DF0">
        <w:t xml:space="preserve">he full set of parameters and ranges is summarized in </w:t>
      </w:r>
      <w:r w:rsidRPr="00580DF0">
        <w:rPr>
          <w:b/>
          <w:bCs/>
        </w:rPr>
        <w:t>Table 1</w:t>
      </w:r>
      <w:r w:rsidRPr="00580DF0">
        <w:t xml:space="preserve"> of the main manuscript.</w:t>
      </w:r>
    </w:p>
    <w:p w14:paraId="5DE69DAD" w14:textId="77777777" w:rsidR="00580DF0" w:rsidRPr="00580DF0" w:rsidRDefault="00580DF0" w:rsidP="00580DF0">
      <w:pPr>
        <w:pStyle w:val="SOMContent"/>
        <w:jc w:val="both"/>
      </w:pPr>
      <w:r w:rsidRPr="00580DF0">
        <w:t>For reproducibility, we provide a parametric Python script that generates STL files directly from user-defined parameter values. The output geometries are high-resolution 3D models, ready for both simulation and fabrication. As described in later sections, these designs were evaluated using Finite Element Analysis (FEA) for mechanics and Volume-of-Fluid (</w:t>
      </w:r>
      <w:proofErr w:type="spellStart"/>
      <w:r w:rsidRPr="00580DF0">
        <w:t>VoF</w:t>
      </w:r>
      <w:proofErr w:type="spellEnd"/>
      <w:r w:rsidRPr="00580DF0">
        <w:t>)-based Computational Fluid Dynamics (CFD) for flow behavior.</w:t>
      </w:r>
    </w:p>
    <w:p w14:paraId="0976A0DC" w14:textId="4AC78616" w:rsidR="003C1DB5" w:rsidRPr="00DA6F85" w:rsidRDefault="00DA6F85" w:rsidP="003C1DB5">
      <w:pPr>
        <w:pStyle w:val="SOMContent"/>
        <w:jc w:val="both"/>
        <w:rPr>
          <w:u w:val="single"/>
        </w:rPr>
      </w:pPr>
      <w:r w:rsidRPr="00DA6F85">
        <w:rPr>
          <w:u w:val="single"/>
        </w:rPr>
        <w:t>Cost Functions</w:t>
      </w:r>
      <w:r w:rsidR="007D1050">
        <w:rPr>
          <w:u w:val="single"/>
        </w:rPr>
        <w:t xml:space="preserve"> and </w:t>
      </w:r>
      <w:r w:rsidR="007D1050" w:rsidRPr="00FF6CC0">
        <w:rPr>
          <w:u w:val="single"/>
        </w:rPr>
        <w:t>Decoupling of Mechanical and Fluidic Models</w:t>
      </w:r>
      <w:r w:rsidRPr="00DA6F85">
        <w:rPr>
          <w:u w:val="single"/>
        </w:rPr>
        <w:t>:</w:t>
      </w:r>
    </w:p>
    <w:p w14:paraId="7E640340" w14:textId="484B9734" w:rsidR="00580DF0" w:rsidRDefault="00580DF0" w:rsidP="00DA6F85">
      <w:pPr>
        <w:pStyle w:val="Teaser"/>
        <w:jc w:val="both"/>
        <w:rPr>
          <w:bCs/>
        </w:rPr>
      </w:pPr>
      <w:r w:rsidRPr="00580DF0">
        <w:rPr>
          <w:bCs/>
        </w:rPr>
        <w:t>The optimization problem was formulated as a bi-objective minimization of mechanical and fluidic costs, with cost functions defined in the Materials and Methods section of the main manuscript. Although both objectives were optimized together, the simulations themselves were performed as decoupled models.</w:t>
      </w:r>
    </w:p>
    <w:p w14:paraId="2ED26D2E" w14:textId="2A4C9F7F" w:rsidR="009155FD" w:rsidRDefault="009155FD" w:rsidP="00DA6F85">
      <w:pPr>
        <w:pStyle w:val="Teaser"/>
        <w:jc w:val="both"/>
        <w:rPr>
          <w:bCs/>
        </w:rPr>
      </w:pPr>
      <w:r w:rsidRPr="009155FD">
        <w:rPr>
          <w:bCs/>
        </w:rPr>
        <w:t>This choice was justified by spectral analysis from harmonic FEA and comparison with flow-induced force spectra. Boundary conditions in the harmonic FEA were chosen to represent the clamping and loading conditions of the SPIV setup (see Simulation section).</w:t>
      </w:r>
    </w:p>
    <w:p w14:paraId="38BE15B6" w14:textId="0C54A827" w:rsidR="00580DF0" w:rsidRDefault="00580DF0" w:rsidP="00580DF0">
      <w:pPr>
        <w:pStyle w:val="Teaser"/>
        <w:jc w:val="both"/>
      </w:pPr>
      <w:r w:rsidRPr="00580DF0">
        <w:rPr>
          <w:bCs/>
        </w:rPr>
        <w:lastRenderedPageBreak/>
        <w:t>For the fluidic side, vortex shedding frequencies were estimated using the Strouhal relation,</w:t>
      </w:r>
      <w:r>
        <w:rPr>
          <w:bCs/>
        </w:rPr>
        <w:t xml:space="preserve"> </w:t>
      </w:r>
      <m:oMath>
        <m:r>
          <w:rPr>
            <w:rFonts w:ascii="Cambria Math" w:hAnsi="Cambria Math"/>
          </w:rPr>
          <m:t>St=fD/U</m:t>
        </m:r>
      </m:oMath>
      <w:r w:rsidR="00FF6CC0">
        <w:t xml:space="preserve">, which </w:t>
      </w:r>
      <w:r>
        <w:t>is</w:t>
      </w:r>
      <w:r w:rsidR="00FF6CC0">
        <w:t xml:space="preserve"> approximately 0.2 </w:t>
      </w:r>
      <w:r w:rsidRPr="00580DF0">
        <w:t>for cylinders across a wide Reynolds number range</w:t>
      </w:r>
      <w:r w:rsidR="00D32709">
        <w:t xml:space="preserve"> </w:t>
      </w:r>
      <w:r w:rsidR="00D32709">
        <w:fldChar w:fldCharType="begin"/>
      </w:r>
      <w:r w:rsidR="001E7D5E">
        <w:instrText xml:space="preserve"> ADDIN ZOTERO_ITEM CSL_CITATION {"citationID":"b8GsMfp6","properties":{"formattedCitation":"\\super 1\\nosupersub{}","plainCitation":"1","noteIndex":0},"citationItems":[{"id":3071,"uris":["http://zotero.org/users/9935298/items/R24TGJTX"],"itemData":{"id":3071,"type":"document","language":"eng","note":"Citation Key: alma99176508360001451\npublisher-place: Pullman, Wash\nPublication title: Synopsis of lift, drag, and vortex frequency data for rigid circular cylinders\ncollection-title: Bulletin / college of engineering. Research division ; 300","publisher":"Technical Extension Service, Washington State University","title":"Synopsis of lift, drag, and vortex frequency data for rigid circular cylinders","author":[{"family":"Lienhard","given":"John H."},{"family":"Service.","given":"Washington State University. Technical Extension"},{"family":"Engineering. Research Division.","given":"Washington State University. College","non-dropping-particle":"of"}],"issued":{"date-parts":[["1966"]]},"citation-key":"alma99176508360001451"}}],"schema":"https://github.com/citation-style-language/schema/raw/master/csl-citation.json"} </w:instrText>
      </w:r>
      <w:r w:rsidR="00D32709">
        <w:fldChar w:fldCharType="separate"/>
      </w:r>
      <w:r w:rsidR="001E7D5E" w:rsidRPr="001E7D5E">
        <w:rPr>
          <w:vertAlign w:val="superscript"/>
        </w:rPr>
        <w:t>1</w:t>
      </w:r>
      <w:r w:rsidR="00D32709">
        <w:fldChar w:fldCharType="end"/>
      </w:r>
      <w:r w:rsidR="00FF6CC0">
        <w:t xml:space="preserve">. </w:t>
      </w:r>
      <w:r w:rsidRPr="00580DF0">
        <w:t xml:space="preserve">In our case, the mean lattice diameter was 22 mm (with slight variations </w:t>
      </w:r>
      <w:r w:rsidR="009155FD">
        <w:t xml:space="preserve">of the outer diameter </w:t>
      </w:r>
      <w:r w:rsidR="009155FD" w:rsidRPr="009155FD">
        <w:rPr>
          <w:i/>
          <w:iCs/>
        </w:rPr>
        <w:t>D</w:t>
      </w:r>
      <w:r w:rsidR="009155FD">
        <w:t xml:space="preserve"> </w:t>
      </w:r>
      <w:r w:rsidRPr="00580DF0">
        <w:t xml:space="preserve">from wall thickness </w:t>
      </w:r>
      <w:r w:rsidR="003C5D71">
        <w:t xml:space="preserve">parameter </w:t>
      </w:r>
      <w:r w:rsidRPr="009618C8">
        <w:rPr>
          <w:i/>
          <w:iCs/>
        </w:rPr>
        <w:t>W</w:t>
      </w:r>
      <w:r w:rsidRPr="00580DF0">
        <w:t>)</w:t>
      </w:r>
      <w:r w:rsidR="009155FD">
        <w:t>. F</w:t>
      </w:r>
      <w:r w:rsidRPr="00580DF0">
        <w:t>or</w:t>
      </w:r>
      <w:r w:rsidR="00BE6A28" w:rsidRPr="00BE6A28">
        <w:rPr>
          <w:rFonts w:ascii="Cambria Math" w:hAnsi="Cambria Math"/>
        </w:rPr>
        <w:t xml:space="preserve"> </w:t>
      </w:r>
      <m:oMath>
        <m:r>
          <m:rPr>
            <m:sty m:val="p"/>
          </m:rPr>
          <w:rPr>
            <w:rFonts w:ascii="Cambria Math" w:hAnsi="Cambria Math"/>
          </w:rPr>
          <m:t>Re=2100</m:t>
        </m:r>
      </m:oMath>
      <w:r w:rsidRPr="00580DF0">
        <w:t>, dominant</w:t>
      </w:r>
      <w:r>
        <w:t xml:space="preserve"> force and</w:t>
      </w:r>
      <w:r w:rsidRPr="00580DF0">
        <w:t xml:space="preserve"> velocity fluctuations were measured between 0.85–1.1 Hz. These values were consistent between SPIV data and CFD force spectra.</w:t>
      </w:r>
    </w:p>
    <w:p w14:paraId="1F070034" w14:textId="62B493D6" w:rsidR="00BE6A28" w:rsidRDefault="00BE6A28" w:rsidP="00BE6A28">
      <w:pPr>
        <w:pStyle w:val="SOMContent"/>
        <w:jc w:val="both"/>
      </w:pPr>
      <w:r>
        <w:t xml:space="preserve">Using </w:t>
      </w:r>
      <m:oMath>
        <m:r>
          <w:rPr>
            <w:rFonts w:ascii="Cambria Math" w:hAnsi="Cambria Math"/>
          </w:rPr>
          <m:t>U=</m:t>
        </m:r>
        <m:r>
          <m:rPr>
            <m:sty m:val="p"/>
          </m:rPr>
          <w:rPr>
            <w:rFonts w:ascii="Cambria Math" w:hAnsi="Cambria Math"/>
          </w:rPr>
          <m:t>ν</m:t>
        </m:r>
        <m:r>
          <w:rPr>
            <w:rFonts w:ascii="Cambria Math" w:hAnsi="Cambria Math" w:cs="Cambria Math"/>
          </w:rPr>
          <m:t>⋅</m:t>
        </m:r>
        <m:r>
          <m:rPr>
            <m:sty m:val="p"/>
          </m:rPr>
          <w:rPr>
            <w:rFonts w:ascii="Cambria Math" w:hAnsi="Cambria Math"/>
          </w:rPr>
          <m:t>Re</m:t>
        </m:r>
        <m:r>
          <m:rPr>
            <m:sty m:val="p"/>
          </m:rPr>
          <w:rPr>
            <w:rFonts w:ascii="Cambria Math"/>
          </w:rPr>
          <m:t>/</m:t>
        </m:r>
        <m:r>
          <w:rPr>
            <w:rFonts w:ascii="Cambria Math"/>
          </w:rPr>
          <m:t>D</m:t>
        </m:r>
      </m:oMath>
      <w:r>
        <w:t xml:space="preserve">​, with </w:t>
      </w:r>
      <m:oMath>
        <m:r>
          <m:rPr>
            <m:sty m:val="p"/>
          </m:rPr>
          <w:rPr>
            <w:rFonts w:ascii="Cambria Math" w:hAnsi="Cambria Math"/>
          </w:rPr>
          <m:t>ν</m:t>
        </m:r>
        <m:r>
          <m:rPr>
            <m:sty m:val="p"/>
          </m:rPr>
          <w:rPr>
            <w:rFonts w:ascii="Cambria Math"/>
          </w:rPr>
          <m:t>=</m:t>
        </m:r>
        <m:sSup>
          <m:sSupPr>
            <m:ctrlPr>
              <w:rPr>
                <w:rFonts w:ascii="Cambria Math" w:hAnsi="Cambria Math"/>
                <w:i/>
              </w:rPr>
            </m:ctrlPr>
          </m:sSupPr>
          <m:e>
            <m:r>
              <m:rPr>
                <m:sty m:val="p"/>
              </m:rPr>
              <w:rPr>
                <w:rFonts w:ascii="Cambria Math"/>
              </w:rPr>
              <m:t>10</m:t>
            </m:r>
            <m:ctrlPr>
              <w:rPr>
                <w:rFonts w:ascii="Cambria Math" w:hAnsi="Cambria Math"/>
              </w:rPr>
            </m:ctrlPr>
          </m:e>
          <m:sup>
            <m:r>
              <w:rPr>
                <w:rFonts w:ascii="Cambria Math" w:hAnsi="Cambria Math"/>
              </w:rPr>
              <m:t>-6</m:t>
            </m:r>
          </m:sup>
        </m:sSup>
      </m:oMath>
      <w:r>
        <w:t> m²/s (water at room temperature), this corresponds to</w:t>
      </w:r>
    </w:p>
    <w:p w14:paraId="27D7D3ED" w14:textId="77B345E6" w:rsidR="00BE6A28" w:rsidRDefault="00BE6A28" w:rsidP="00BE6A28">
      <w:pPr>
        <w:pStyle w:val="SOMContent"/>
        <w:jc w:val="center"/>
      </w:pPr>
      <w:r>
        <w:t>St</w:t>
      </w:r>
      <w:r>
        <w:rPr>
          <w:vertAlign w:val="subscript"/>
        </w:rPr>
        <w:t>2100</w:t>
      </w:r>
      <w:r>
        <w:t>=0.9</w:t>
      </w:r>
      <w:r>
        <w:rPr>
          <w:rFonts w:ascii="Cambria Math" w:hAnsi="Cambria Math" w:cs="Cambria Math"/>
        </w:rPr>
        <w:t>⋅22.7</w:t>
      </w:r>
      <w:r>
        <w:t>/97.3≈0.21,</w:t>
      </w:r>
    </w:p>
    <w:p w14:paraId="4A6FAA1E" w14:textId="3DB32E5F" w:rsidR="00580DF0" w:rsidRDefault="00BE6A28" w:rsidP="00580DF0">
      <w:pPr>
        <w:pStyle w:val="Teaser"/>
        <w:jc w:val="both"/>
      </w:pPr>
      <w:r w:rsidRPr="00BE6A28">
        <w:t>in agreement with classic vortex shedding behavior of solid cylinders.</w:t>
      </w:r>
    </w:p>
    <w:p w14:paraId="731F623F" w14:textId="74312C05" w:rsidR="009155FD" w:rsidRPr="00E27D08" w:rsidRDefault="009155FD" w:rsidP="003C5D71">
      <w:pPr>
        <w:pStyle w:val="Teaser"/>
        <w:jc w:val="both"/>
      </w:pPr>
      <w:r w:rsidRPr="009155FD">
        <w:t>By contrast, the first structural resonance occurred at ~20 Hz in harmonic FEA (</w:t>
      </w:r>
      <w:r w:rsidRPr="009155FD">
        <w:rPr>
          <w:b/>
          <w:bCs/>
        </w:rPr>
        <w:t>Figure 6</w:t>
      </w:r>
      <w:r w:rsidRPr="009155FD">
        <w:t xml:space="preserve">, main manuscript). Since shedding frequencies are more than an order of magnitude lower, energy transfer between flow and structure is expected to be negligible. Although smaller-scale features could in principle </w:t>
      </w:r>
      <w:proofErr w:type="gramStart"/>
      <w:r w:rsidRPr="009155FD">
        <w:t>shed</w:t>
      </w:r>
      <w:proofErr w:type="gramEnd"/>
      <w:r w:rsidRPr="009155FD">
        <w:t xml:space="preserve"> at higher frequencies, these would</w:t>
      </w:r>
      <w:r>
        <w:t xml:space="preserve"> likely</w:t>
      </w:r>
      <w:r w:rsidRPr="009155FD">
        <w:t xml:space="preserve"> be weak and incoherent across the lattice.</w:t>
      </w:r>
      <w:r w:rsidR="003C5D71">
        <w:t xml:space="preserve"> </w:t>
      </w:r>
      <w:r w:rsidRPr="009155FD">
        <w:t>Thus, decoupling the simulations is both computationally efficient and physically justified, capturing the dominant physics while avoiding fluid–structure interaction (FSI) complexity.</w:t>
      </w:r>
    </w:p>
    <w:p w14:paraId="6CA0AAE5" w14:textId="7E08B878" w:rsidR="00DA6F85" w:rsidRPr="00DA6F85" w:rsidRDefault="00DA6F85" w:rsidP="00DA6F85">
      <w:pPr>
        <w:pStyle w:val="Teaser"/>
        <w:jc w:val="both"/>
        <w:rPr>
          <w:bCs/>
          <w:u w:val="single"/>
        </w:rPr>
      </w:pPr>
      <w:r w:rsidRPr="00DA6F85">
        <w:rPr>
          <w:bCs/>
          <w:u w:val="single"/>
        </w:rPr>
        <w:t>Optimization Algorithm and Workflow</w:t>
      </w:r>
    </w:p>
    <w:p w14:paraId="74DF1263" w14:textId="7D347894" w:rsidR="009155FD" w:rsidRPr="009155FD" w:rsidRDefault="009155FD" w:rsidP="009155FD">
      <w:pPr>
        <w:pStyle w:val="SOMContent"/>
        <w:jc w:val="both"/>
      </w:pPr>
      <w:r w:rsidRPr="009155FD">
        <w:t>We used the Thompson Sampling Efficient Multi-Objective Optimization (TSEMO) algorithm</w:t>
      </w:r>
      <w:r w:rsidR="007A61EE">
        <w:t xml:space="preserve"> </w:t>
      </w:r>
      <w:r w:rsidR="00D32709">
        <w:fldChar w:fldCharType="begin"/>
      </w:r>
      <w:r w:rsidR="001E7D5E">
        <w:instrText xml:space="preserve"> ADDIN ZOTERO_ITEM CSL_CITATION {"citationID":"HBOvGaP2","properties":{"formattedCitation":"\\super 2\\nosupersub{}","plainCitation":"2","noteIndex":0},"citationItems":[{"id":929,"uris":["http://zotero.org/users/9935298/items/GGVEUWQR"],"itemData":{"id":929,"type":"article-journal","container-title":"Journal of Global Optimization","DOI":"10.1007/s10898-018-0609-2","ISSN":"0925-5001, 1573-2916","issue":"2","journalAbbreviation":"J Glob Optim","language":"en","page":"407-438","source":"DOI.org (Crossref)","title":"Efficient multiobjective optimization employing Gaussian processes, spectral sampling and a genetic algorithm","volume":"71","author":[{"family":"Bradford","given":"Eric"},{"family":"Schweidtmann","given":"Artur M."},{"family":"Lapkin","given":"Alexei"}],"issued":{"date-parts":[["2018",6]]},"citation-key":"bradfordEfficientMultiobjectiveOptimization2018"}}],"schema":"https://github.com/citation-style-language/schema/raw/master/csl-citation.json"} </w:instrText>
      </w:r>
      <w:r w:rsidR="00D32709">
        <w:fldChar w:fldCharType="separate"/>
      </w:r>
      <w:r w:rsidR="001E7D5E" w:rsidRPr="001E7D5E">
        <w:rPr>
          <w:vertAlign w:val="superscript"/>
        </w:rPr>
        <w:t>2</w:t>
      </w:r>
      <w:r w:rsidR="00D32709">
        <w:fldChar w:fldCharType="end"/>
      </w:r>
      <w:r w:rsidRPr="009155FD">
        <w:t xml:space="preserve"> to explore the high-dimensional design space and identify non-dominated solutions that balance mechanical and fluidic performance. TSEMO combines Gaussian Process surrogates with Thompson sampling, making it well-suited for expensive black-box problems with noisy outputs and parallel evaluations.</w:t>
      </w:r>
    </w:p>
    <w:p w14:paraId="2CD161D1" w14:textId="59928EC4" w:rsidR="009155FD" w:rsidRPr="009155FD" w:rsidRDefault="009155FD" w:rsidP="009155FD">
      <w:pPr>
        <w:pStyle w:val="SOMContent"/>
        <w:jc w:val="both"/>
      </w:pPr>
      <w:r w:rsidRPr="009155FD">
        <w:t xml:space="preserve">The optimization was initialized with 50 Latin Hypercube Sampling (LHS) points </w:t>
      </w:r>
      <w:r w:rsidR="00D32709">
        <w:fldChar w:fldCharType="begin"/>
      </w:r>
      <w:r w:rsidR="001E7D5E">
        <w:instrText xml:space="preserve"> ADDIN ZOTERO_ITEM CSL_CITATION {"citationID":"NuT1uBNy","properties":{"formattedCitation":"\\super 3\\nosupersub{}","plainCitation":"3","noteIndex":0},"citationItems":[{"id":1994,"uris":["http://zotero.org/users/9935298/items/877F5AW9"],"itemData":{"id":1994,"type":"article-journal","container-title":"Reliability Engineering &amp; System Safety","DOI":"10.1016/S0951-8320(03)00058-9","ISSN":"09518320","issue":"1","journalAbbreviation":"Reliability Engineering &amp; System Safety","language":"en","license":"https://www.elsevier.com/tdm/userlicense/1.0/","page":"23-69","source":"DOI.org (Crossref)","title":"Latin hypercube sampling and the propagation of uncertainty in analyses of complex systems","volume":"81","author":[{"family":"Helton","given":"J.C."},{"family":"Davis","given":"F.J."}],"issued":{"date-parts":[["2003",7]]},"citation-key":"heltonLatinHypercubeSampling2003"}}],"schema":"https://github.com/citation-style-language/schema/raw/master/csl-citation.json"} </w:instrText>
      </w:r>
      <w:r w:rsidR="00D32709">
        <w:fldChar w:fldCharType="separate"/>
      </w:r>
      <w:r w:rsidR="001E7D5E" w:rsidRPr="001E7D5E">
        <w:rPr>
          <w:vertAlign w:val="superscript"/>
        </w:rPr>
        <w:t>3</w:t>
      </w:r>
      <w:r w:rsidR="00D32709">
        <w:fldChar w:fldCharType="end"/>
      </w:r>
      <w:r w:rsidR="00D32709">
        <w:t xml:space="preserve"> </w:t>
      </w:r>
      <w:r w:rsidRPr="009155FD">
        <w:t>to provide broad coverage of the parameter space. From this baseline, optimization proceeded through 22 iterative batches of 20 designs each, giving 490 additional simulations. A batch size of 20 was chosen to balance parallel throughput with model accuracy, making efficient use of the available HPC resources.</w:t>
      </w:r>
      <w:r>
        <w:t xml:space="preserve"> </w:t>
      </w:r>
      <w:r w:rsidRPr="00DE35DF">
        <w:t>Larger batch sizes can accelerate convergence in wall-clock time but tend to reduce surrogate model accuracy between updates. Conversely, smaller batches increase model fidelity but underutilize HPC resources.</w:t>
      </w:r>
    </w:p>
    <w:p w14:paraId="77A26085" w14:textId="30C435D3" w:rsidR="009155FD" w:rsidRPr="009155FD" w:rsidRDefault="009155FD" w:rsidP="009155FD">
      <w:pPr>
        <w:pStyle w:val="SOMContent"/>
        <w:jc w:val="both"/>
      </w:pPr>
      <w:r w:rsidRPr="009155FD">
        <w:t xml:space="preserve">The workflow was implemented in Python, linking geometry generation, simulation automation, data handling, and </w:t>
      </w:r>
      <w:proofErr w:type="spellStart"/>
      <w:r w:rsidRPr="009155FD">
        <w:t>AutoOED</w:t>
      </w:r>
      <w:proofErr w:type="spellEnd"/>
      <w:r w:rsidR="00D32709">
        <w:t xml:space="preserve"> </w:t>
      </w:r>
      <w:r w:rsidR="00D32709">
        <w:fldChar w:fldCharType="begin"/>
      </w:r>
      <w:r w:rsidR="001E7D5E">
        <w:instrText xml:space="preserve"> ADDIN ZOTERO_ITEM CSL_CITATION {"citationID":"uHYBSsE8","properties":{"formattedCitation":"\\super 4\\nosupersub{}","plainCitation":"4","noteIndex":0},"citationItems":[{"id":931,"uris":["http://zotero.org/users/9935298/items/HB7BZAIZ"],"itemData":{"id":931,"type":"article","abstract":"We present AutoOED, an Optimal Experiment Design platform powered with automated machine learning to accelerate the discovery of optimal solutions. The platform solves multi-objective optimization problems in time- and data-efficient manner by automatically guiding the design of experiments to be evaluated. To automate the optimization process, we implement several multi-objective Bayesian optimization algorithms with state-of-the-art performance. AutoOED is open-source and written in Python. The codebase is modular, facilitating extensions and tailoring the code, serving as a testbed for machine learning researchers to easily develop and evaluate their own multi-objective Bayesian optimization algorithms. An intuitive graphical user interface (GUI) is provided to visualize and guide the experiments for users with little or no experience with coding, machine learning, or optimization. Furthermore, a distributed system is integrated to enable parallelized experimental evaluations by independent workers in remote locations. The platform is available at https://autooed.org.","DOI":"10.48550/ARXIV.2104.05959","license":"arXiv.org perpetual, non-exclusive license","note":"version: 1","publisher":"arXiv","source":"DOI.org (Datacite)","title":"AutoOED: Automated Optimal Experiment Design Platform","title-short":"AutoOED","URL":"https://arxiv.org/abs/2104.05959","author":[{"family":"Tian","given":"Yunsheng"},{"family":"Luković","given":"Mina Konaković"},{"family":"Erps","given":"Timothy"},{"family":"Foshey","given":"Michael"},{"family":"Matusik","given":"Wojciech"}],"accessed":{"date-parts":[["2024",7,23]]},"issued":{"date-parts":[["2021"]]},"citation-key":"tianAutoOEDAutomatedOptimal2021"}}],"schema":"https://github.com/citation-style-language/schema/raw/master/csl-citation.json"} </w:instrText>
      </w:r>
      <w:r w:rsidR="00D32709">
        <w:fldChar w:fldCharType="separate"/>
      </w:r>
      <w:r w:rsidR="001E7D5E" w:rsidRPr="001E7D5E">
        <w:rPr>
          <w:vertAlign w:val="superscript"/>
        </w:rPr>
        <w:t>4</w:t>
      </w:r>
      <w:r w:rsidR="00D32709">
        <w:fldChar w:fldCharType="end"/>
      </w:r>
      <w:r w:rsidRPr="009155FD">
        <w:t xml:space="preserve">, the GUI-based platform used to monitor optimization progress and track Pareto front evolution. STL files for each design were generated and queued for simulation on the FASRC Cannon cluster at Harvard University, using Sapphire Rapids CPUs with 112 logical cores per node. Jobs were scheduled in parallel, with data transfer and monitoring handled via </w:t>
      </w:r>
      <w:r w:rsidRPr="00DE35DF">
        <w:t>the Globus platform</w:t>
      </w:r>
      <w:r w:rsidR="00D32709">
        <w:t xml:space="preserve"> </w:t>
      </w:r>
      <w:r w:rsidR="00D32709">
        <w:fldChar w:fldCharType="begin"/>
      </w:r>
      <w:r w:rsidR="001E7D5E">
        <w:instrText xml:space="preserve"> ADDIN ZOTERO_ITEM CSL_CITATION {"citationID":"YSvIYRXI","properties":{"formattedCitation":"\\super 5\\nosupersub{}","plainCitation":"5","noteIndex":0},"citationItems":[{"id":2015,"uris":["http://zotero.org/users/9935298/items/D24EVAKI"],"itemData":{"id":2015,"type":"article-journal","abstract":"Summary\n            Globus, developed as software‐as‐a‐service for research data management, also provides APIs that constitute a flexible and powerful platform‐as‐a‐service to which developers can outsource data management activities such as transfer and sharing, as well as identity, profile, and group management. By providing these frequently important but always challenging capabilities as a service, accessible over the network, Globus platform‐as‐a‐service streamlines Web application development and makes it easy for individuals, teams, and institutions to create collaborative applications such as science gateways for science communities. We introduce the capabilities of this platform and review representative applications. Copyright © 2014 John Wiley &amp; Sons, Ltd.","container-title":"Concurrency and Computation: Practice and Experience","DOI":"10.1002/cpe.3262","ISSN":"1532-0626, 1532-0634","issue":"2","journalAbbreviation":"Concurrency and Computation","language":"en","license":"http://onlinelibrary.wiley.com/termsAndConditions#vor","page":"290-305","source":"DOI.org (Crossref)","title":"Globus platform‐as‐a‐service for collaborative science applications","volume":"27","author":[{"family":"Ananthakrishnan","given":"Rachana"},{"family":"Chard","given":"Kyle"},{"family":"Foster","given":"Ian"},{"family":"Tuecke","given":"Steven"}],"issued":{"date-parts":[["2015",2]]},"citation-key":"ananthakrishnanGlobusPlatformasaserviceCollaborative2015"}}],"schema":"https://github.com/citation-style-language/schema/raw/master/csl-citation.json"} </w:instrText>
      </w:r>
      <w:r w:rsidR="00D32709">
        <w:fldChar w:fldCharType="separate"/>
      </w:r>
      <w:r w:rsidR="001E7D5E" w:rsidRPr="001E7D5E">
        <w:rPr>
          <w:vertAlign w:val="superscript"/>
        </w:rPr>
        <w:t>5</w:t>
      </w:r>
      <w:r w:rsidR="00D32709">
        <w:fldChar w:fldCharType="end"/>
      </w:r>
      <w:r w:rsidRPr="009155FD">
        <w:t>.</w:t>
      </w:r>
    </w:p>
    <w:p w14:paraId="2B5DC71A" w14:textId="77777777" w:rsidR="009155FD" w:rsidRPr="009155FD" w:rsidRDefault="009155FD" w:rsidP="009155FD">
      <w:pPr>
        <w:pStyle w:val="SOMContent"/>
        <w:jc w:val="both"/>
      </w:pPr>
      <w:r w:rsidRPr="009155FD">
        <w:t xml:space="preserve">In total, the optimization consumed ~10,000 node-hours. Despite this cost, the framework converged efficiently, producing a well-defined Pareto front within the </w:t>
      </w:r>
      <w:proofErr w:type="gramStart"/>
      <w:r w:rsidRPr="009155FD">
        <w:t>compute</w:t>
      </w:r>
      <w:proofErr w:type="gramEnd"/>
      <w:r w:rsidRPr="009155FD">
        <w:t xml:space="preserve"> budget.</w:t>
      </w:r>
    </w:p>
    <w:p w14:paraId="41787034" w14:textId="33C4988A" w:rsidR="00DA6F85" w:rsidRDefault="00DA6F85" w:rsidP="003C1DB5">
      <w:pPr>
        <w:pStyle w:val="SOMContent"/>
        <w:jc w:val="both"/>
      </w:pPr>
      <w:r w:rsidRPr="00DA6F85">
        <w:rPr>
          <w:u w:val="single"/>
        </w:rPr>
        <w:t>Optimization Convergence and Performance</w:t>
      </w:r>
      <w:r>
        <w:t xml:space="preserve"> </w:t>
      </w:r>
    </w:p>
    <w:p w14:paraId="6459FD5F" w14:textId="5ABF6B6D" w:rsidR="001C3663" w:rsidRDefault="001C3663" w:rsidP="00DA6F85">
      <w:pPr>
        <w:pStyle w:val="SOMContent"/>
        <w:jc w:val="both"/>
      </w:pPr>
      <w:r w:rsidRPr="001C3663">
        <w:t xml:space="preserve">The design performance space is shown in </w:t>
      </w:r>
      <w:r w:rsidRPr="001C3663">
        <w:rPr>
          <w:b/>
          <w:bCs/>
        </w:rPr>
        <w:t>Figure 3A</w:t>
      </w:r>
      <w:r w:rsidRPr="001C3663">
        <w:t xml:space="preserve"> of the main manuscript, with mechanical cost on the X-axis and fluidic cost on the Y-axis (both minimized).</w:t>
      </w:r>
      <w:r w:rsidRPr="001C3663">
        <w:rPr>
          <w:rFonts w:eastAsia="Calibri"/>
          <w:sz w:val="20"/>
          <w:szCs w:val="20"/>
        </w:rPr>
        <w:t xml:space="preserve"> </w:t>
      </w:r>
      <w:r w:rsidRPr="001C3663">
        <w:t>Convergence was monitored using the hypervolume indicator (</w:t>
      </w:r>
      <w:r w:rsidRPr="001C3663">
        <w:rPr>
          <w:b/>
          <w:bCs/>
        </w:rPr>
        <w:t>Figure 3B</w:t>
      </w:r>
      <w:r w:rsidRPr="001C3663">
        <w:t xml:space="preserve">), which increased steadily before plateauing in the final batches, indicating </w:t>
      </w:r>
      <w:r w:rsidRPr="00712B29">
        <w:t>convergence of the Pareto front</w:t>
      </w:r>
      <w:r>
        <w:t xml:space="preserve"> and providing a natural stopping criteria for our optimization</w:t>
      </w:r>
      <w:r w:rsidRPr="001C3663">
        <w:t>.</w:t>
      </w:r>
    </w:p>
    <w:p w14:paraId="072C92E9" w14:textId="2D12E0B4" w:rsidR="001C3663" w:rsidRDefault="001C3663" w:rsidP="00DA6F85">
      <w:pPr>
        <w:pStyle w:val="SOMContent"/>
        <w:jc w:val="both"/>
      </w:pPr>
      <w:r w:rsidRPr="001C3663">
        <w:lastRenderedPageBreak/>
        <w:t xml:space="preserve">The final front (red points in </w:t>
      </w:r>
      <w:r w:rsidRPr="001C3663">
        <w:rPr>
          <w:b/>
          <w:bCs/>
        </w:rPr>
        <w:t>Figure 3A</w:t>
      </w:r>
      <w:r w:rsidRPr="001C3663">
        <w:t>) comprises 12 non-dominated solutions labeled A–L, spanning the trade-off between structural robustness and hydrodynamic efficiency. For example, Design A maximizes buckling resistance at the expense of higher</w:t>
      </w:r>
      <w:r>
        <w:t xml:space="preserve"> fluid forces</w:t>
      </w:r>
      <w:r w:rsidRPr="001C3663">
        <w:t xml:space="preserve">, while Design L minimizes vortex shedding with reduced mechanical strength. Visualizations of all Pareto-optimal structures A–L are provided in </w:t>
      </w:r>
      <w:r w:rsidRPr="001C3663">
        <w:rPr>
          <w:b/>
          <w:bCs/>
        </w:rPr>
        <w:t xml:space="preserve">Figures S1 </w:t>
      </w:r>
      <w:r w:rsidRPr="001C3663">
        <w:t xml:space="preserve">and </w:t>
      </w:r>
      <w:r w:rsidRPr="001C3663">
        <w:rPr>
          <w:b/>
          <w:bCs/>
        </w:rPr>
        <w:t>S2</w:t>
      </w:r>
      <w:r w:rsidRPr="001C3663">
        <w:t>.</w:t>
      </w:r>
    </w:p>
    <w:p w14:paraId="71EA7830" w14:textId="0E524707" w:rsidR="00712B29" w:rsidRDefault="00712B29" w:rsidP="00FF6CC0">
      <w:pPr>
        <w:pStyle w:val="SOMContent"/>
        <w:jc w:val="center"/>
      </w:pPr>
      <w:r>
        <w:rPr>
          <w:noProof/>
        </w:rPr>
        <w:drawing>
          <wp:inline distT="0" distB="0" distL="0" distR="0" wp14:anchorId="3F220C2E" wp14:editId="0A19462B">
            <wp:extent cx="5269014" cy="3009900"/>
            <wp:effectExtent l="0" t="0" r="8255" b="0"/>
            <wp:docPr id="7727157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25221" cy="3042008"/>
                    </a:xfrm>
                    <a:prstGeom prst="rect">
                      <a:avLst/>
                    </a:prstGeom>
                    <a:noFill/>
                    <a:ln>
                      <a:noFill/>
                    </a:ln>
                  </pic:spPr>
                </pic:pic>
              </a:graphicData>
            </a:graphic>
          </wp:inline>
        </w:drawing>
      </w:r>
    </w:p>
    <w:p w14:paraId="432BE6E3" w14:textId="7BD498FB" w:rsidR="007A698F" w:rsidRDefault="00712B29" w:rsidP="00DA6F85">
      <w:pPr>
        <w:pStyle w:val="SOMContent"/>
        <w:jc w:val="both"/>
        <w:rPr>
          <w:sz w:val="22"/>
          <w:szCs w:val="22"/>
        </w:rPr>
      </w:pPr>
      <w:r w:rsidRPr="00712B29">
        <w:rPr>
          <w:b/>
          <w:bCs/>
          <w:sz w:val="22"/>
          <w:szCs w:val="22"/>
        </w:rPr>
        <w:t>Fig S</w:t>
      </w:r>
      <w:r w:rsidR="009618C8">
        <w:rPr>
          <w:b/>
          <w:bCs/>
          <w:sz w:val="22"/>
          <w:szCs w:val="22"/>
        </w:rPr>
        <w:t>1</w:t>
      </w:r>
      <w:r w:rsidRPr="00712B29">
        <w:rPr>
          <w:b/>
          <w:bCs/>
          <w:sz w:val="22"/>
          <w:szCs w:val="22"/>
        </w:rPr>
        <w:t xml:space="preserve">: 3D renderings of Pareto-optimal designs A–F. </w:t>
      </w:r>
      <w:r w:rsidRPr="00712B29">
        <w:rPr>
          <w:sz w:val="22"/>
          <w:szCs w:val="22"/>
        </w:rPr>
        <w:t>These structures highlight diverse trade-offs between mechanical robustness and fluidic efficiency, as encoded in the optimization framework.</w:t>
      </w:r>
    </w:p>
    <w:p w14:paraId="6B3EC6A3" w14:textId="77777777" w:rsidR="00C8378D" w:rsidRDefault="00C8378D" w:rsidP="00DA6F85">
      <w:pPr>
        <w:pStyle w:val="SOMContent"/>
        <w:jc w:val="both"/>
        <w:rPr>
          <w:sz w:val="22"/>
          <w:szCs w:val="22"/>
        </w:rPr>
      </w:pPr>
    </w:p>
    <w:p w14:paraId="3075F05C" w14:textId="09343E51" w:rsidR="00712B29" w:rsidRDefault="00712B29" w:rsidP="00FF6CC0">
      <w:pPr>
        <w:pStyle w:val="SOMContent"/>
        <w:jc w:val="center"/>
      </w:pPr>
      <w:r>
        <w:rPr>
          <w:noProof/>
        </w:rPr>
        <w:drawing>
          <wp:inline distT="0" distB="0" distL="0" distR="0" wp14:anchorId="0C0CB72B" wp14:editId="50C38F00">
            <wp:extent cx="5257800" cy="3023740"/>
            <wp:effectExtent l="0" t="0" r="0" b="5715"/>
            <wp:docPr id="1875326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5650" cy="3034006"/>
                    </a:xfrm>
                    <a:prstGeom prst="rect">
                      <a:avLst/>
                    </a:prstGeom>
                    <a:noFill/>
                    <a:ln>
                      <a:noFill/>
                    </a:ln>
                  </pic:spPr>
                </pic:pic>
              </a:graphicData>
            </a:graphic>
          </wp:inline>
        </w:drawing>
      </w:r>
    </w:p>
    <w:p w14:paraId="03FFE131" w14:textId="16267E93" w:rsidR="00712B29" w:rsidRDefault="00712B29" w:rsidP="00712B29">
      <w:pPr>
        <w:pStyle w:val="SOMContent"/>
        <w:jc w:val="both"/>
        <w:rPr>
          <w:sz w:val="22"/>
          <w:szCs w:val="22"/>
        </w:rPr>
      </w:pPr>
      <w:r w:rsidRPr="00712B29">
        <w:rPr>
          <w:b/>
          <w:bCs/>
          <w:sz w:val="22"/>
          <w:szCs w:val="22"/>
        </w:rPr>
        <w:t>Fig S</w:t>
      </w:r>
      <w:r w:rsidR="009618C8">
        <w:rPr>
          <w:b/>
          <w:bCs/>
          <w:sz w:val="22"/>
          <w:szCs w:val="22"/>
        </w:rPr>
        <w:t>2</w:t>
      </w:r>
      <w:r w:rsidRPr="00712B29">
        <w:rPr>
          <w:b/>
          <w:bCs/>
          <w:sz w:val="22"/>
          <w:szCs w:val="22"/>
        </w:rPr>
        <w:t xml:space="preserve">: 3D renderings of Pareto-optimal designs </w:t>
      </w:r>
      <w:r>
        <w:rPr>
          <w:b/>
          <w:bCs/>
          <w:sz w:val="22"/>
          <w:szCs w:val="22"/>
        </w:rPr>
        <w:t>G</w:t>
      </w:r>
      <w:r w:rsidRPr="00712B29">
        <w:rPr>
          <w:b/>
          <w:bCs/>
          <w:sz w:val="22"/>
          <w:szCs w:val="22"/>
        </w:rPr>
        <w:t>–</w:t>
      </w:r>
      <w:r>
        <w:rPr>
          <w:b/>
          <w:bCs/>
          <w:sz w:val="22"/>
          <w:szCs w:val="22"/>
        </w:rPr>
        <w:t>L</w:t>
      </w:r>
      <w:r w:rsidRPr="00712B29">
        <w:rPr>
          <w:b/>
          <w:bCs/>
          <w:sz w:val="22"/>
          <w:szCs w:val="22"/>
        </w:rPr>
        <w:t xml:space="preserve">. </w:t>
      </w:r>
      <w:r w:rsidRPr="00712B29">
        <w:rPr>
          <w:sz w:val="22"/>
          <w:szCs w:val="22"/>
        </w:rPr>
        <w:t>These structures highlight diverse trade-offs between mechanical robustness and fluidic efficiency, as encoded in the optimization framework.</w:t>
      </w:r>
    </w:p>
    <w:p w14:paraId="3A1D9E72" w14:textId="77777777" w:rsidR="001C3663" w:rsidRPr="001C3663" w:rsidRDefault="001C3663" w:rsidP="001C3663">
      <w:pPr>
        <w:pStyle w:val="SOMContent"/>
        <w:jc w:val="both"/>
      </w:pPr>
      <w:r w:rsidRPr="001C3663">
        <w:lastRenderedPageBreak/>
        <w:t xml:space="preserve">A full summary of the Pareto-optimal solutions is provided in </w:t>
      </w:r>
      <w:r w:rsidRPr="001C3663">
        <w:rPr>
          <w:b/>
          <w:bCs/>
        </w:rPr>
        <w:t>Table S1</w:t>
      </w:r>
      <w:r w:rsidRPr="001C3663">
        <w:t>, which lists the design ID, all eight geometric parameters, critical buckling load, structural volume, and the corresponding mechanical and fluidic cost values.</w:t>
      </w:r>
    </w:p>
    <w:p w14:paraId="77758796" w14:textId="7E6ADC26" w:rsidR="009618C8" w:rsidRDefault="001C3663" w:rsidP="00DA6F85">
      <w:pPr>
        <w:pStyle w:val="SOMContent"/>
        <w:jc w:val="both"/>
      </w:pPr>
      <w:r w:rsidRPr="001C3663">
        <w:t xml:space="preserve">To illustrate how the optimization progressed, </w:t>
      </w:r>
      <w:r w:rsidRPr="001C3663">
        <w:rPr>
          <w:b/>
          <w:bCs/>
        </w:rPr>
        <w:t>Supplementary Video 1</w:t>
      </w:r>
      <w:r w:rsidRPr="001C3663">
        <w:t xml:space="preserve"> shows the geometries of all evaluated designs in chronological order. The animation highlights the algorithm’s search path</w:t>
      </w:r>
      <w:r>
        <w:t>.</w:t>
      </w:r>
      <w:r w:rsidRPr="001C3663">
        <w:rPr>
          <w:rFonts w:eastAsia="Calibri"/>
          <w:sz w:val="20"/>
          <w:szCs w:val="20"/>
        </w:rPr>
        <w:t xml:space="preserve"> </w:t>
      </w:r>
      <w:r w:rsidRPr="001C3663">
        <w:t xml:space="preserve">In addition, a </w:t>
      </w:r>
      <w:r w:rsidRPr="001C3663">
        <w:rPr>
          <w:b/>
          <w:bCs/>
        </w:rPr>
        <w:t>Supplementary Data File</w:t>
      </w:r>
      <w:r w:rsidRPr="001C3663">
        <w:t xml:space="preserve"> is provided containing all 490 evaluated designs. The dataset includes the geometric parameters along with the computed mechanical and fluidic costs</w:t>
      </w:r>
      <w:r>
        <w:t>.</w:t>
      </w:r>
    </w:p>
    <w:p w14:paraId="10E38E9D" w14:textId="18835462" w:rsidR="00E57120" w:rsidRDefault="00E57120" w:rsidP="00DA6F85">
      <w:pPr>
        <w:pStyle w:val="SOMContent"/>
        <w:jc w:val="both"/>
        <w:rPr>
          <w:sz w:val="22"/>
          <w:szCs w:val="22"/>
        </w:rPr>
      </w:pPr>
      <w:r w:rsidRPr="00E57120">
        <w:rPr>
          <w:b/>
          <w:bCs/>
          <w:sz w:val="22"/>
          <w:szCs w:val="22"/>
        </w:rPr>
        <w:t>Table S1: Design parameters and performance metrics for all 12 Pareto-optimal solutions (A–L).</w:t>
      </w:r>
      <w:r w:rsidRPr="00E57120">
        <w:rPr>
          <w:sz w:val="22"/>
          <w:szCs w:val="22"/>
        </w:rPr>
        <w:t xml:space="preserve"> Columns include the design ID, eight geometric parameters, critical buckling load, total structure volume, mechanical cost, and fluidic cost. </w:t>
      </w:r>
      <w:r>
        <w:rPr>
          <w:sz w:val="22"/>
          <w:szCs w:val="22"/>
        </w:rPr>
        <w:tab/>
      </w:r>
    </w:p>
    <w:tbl>
      <w:tblPr>
        <w:tblW w:w="9350" w:type="dxa"/>
        <w:tblLook w:val="04A0" w:firstRow="1" w:lastRow="0" w:firstColumn="1" w:lastColumn="0" w:noHBand="0" w:noVBand="1"/>
      </w:tblPr>
      <w:tblGrid>
        <w:gridCol w:w="1090"/>
        <w:gridCol w:w="444"/>
        <w:gridCol w:w="440"/>
        <w:gridCol w:w="717"/>
        <w:gridCol w:w="717"/>
        <w:gridCol w:w="421"/>
        <w:gridCol w:w="717"/>
        <w:gridCol w:w="568"/>
        <w:gridCol w:w="666"/>
        <w:gridCol w:w="1050"/>
        <w:gridCol w:w="990"/>
        <w:gridCol w:w="720"/>
        <w:gridCol w:w="810"/>
      </w:tblGrid>
      <w:tr w:rsidR="00C451C4" w:rsidRPr="00C451C4" w14:paraId="7DCF326B" w14:textId="77777777" w:rsidTr="00396912">
        <w:trPr>
          <w:trHeight w:val="402"/>
        </w:trPr>
        <w:tc>
          <w:tcPr>
            <w:tcW w:w="1090" w:type="dxa"/>
            <w:vMerge w:val="restart"/>
            <w:tcBorders>
              <w:top w:val="single" w:sz="8" w:space="0" w:color="auto"/>
              <w:left w:val="single" w:sz="8" w:space="0" w:color="auto"/>
              <w:bottom w:val="nil"/>
              <w:right w:val="single" w:sz="8" w:space="0" w:color="auto"/>
            </w:tcBorders>
            <w:shd w:val="clear" w:color="000000" w:fill="D8E4BC"/>
            <w:vAlign w:val="center"/>
            <w:hideMark/>
          </w:tcPr>
          <w:p w14:paraId="0E32918B" w14:textId="77777777" w:rsidR="00C451C4" w:rsidRPr="00C451C4" w:rsidRDefault="00C451C4" w:rsidP="00FF6CC0">
            <w:pPr>
              <w:spacing w:line="18" w:lineRule="atLeast"/>
              <w:jc w:val="center"/>
              <w:rPr>
                <w:rFonts w:ascii="Calibri" w:eastAsia="Times New Roman" w:hAnsi="Calibri" w:cs="Calibri"/>
                <w:b/>
                <w:bCs/>
                <w:color w:val="000000"/>
                <w:sz w:val="22"/>
                <w:szCs w:val="22"/>
              </w:rPr>
            </w:pPr>
            <w:r w:rsidRPr="00C451C4">
              <w:rPr>
                <w:rFonts w:ascii="Calibri" w:eastAsia="Times New Roman" w:hAnsi="Calibri" w:cs="Calibri"/>
                <w:b/>
                <w:bCs/>
                <w:color w:val="000000"/>
                <w:sz w:val="22"/>
                <w:szCs w:val="22"/>
              </w:rPr>
              <w:t>Optimum</w:t>
            </w:r>
            <w:r w:rsidRPr="00C451C4">
              <w:rPr>
                <w:rFonts w:ascii="Calibri" w:eastAsia="Times New Roman" w:hAnsi="Calibri" w:cs="Calibri"/>
                <w:b/>
                <w:bCs/>
                <w:color w:val="000000"/>
                <w:sz w:val="22"/>
                <w:szCs w:val="22"/>
              </w:rPr>
              <w:br/>
              <w:t>Design</w:t>
            </w:r>
          </w:p>
        </w:tc>
        <w:tc>
          <w:tcPr>
            <w:tcW w:w="4690" w:type="dxa"/>
            <w:gridSpan w:val="8"/>
            <w:tcBorders>
              <w:top w:val="single" w:sz="8" w:space="0" w:color="auto"/>
              <w:left w:val="nil"/>
              <w:bottom w:val="single" w:sz="8" w:space="0" w:color="auto"/>
              <w:right w:val="nil"/>
            </w:tcBorders>
            <w:shd w:val="clear" w:color="000000" w:fill="D9D9D9"/>
            <w:noWrap/>
            <w:vAlign w:val="center"/>
            <w:hideMark/>
          </w:tcPr>
          <w:p w14:paraId="45062D67" w14:textId="77777777" w:rsidR="00C451C4" w:rsidRPr="00C451C4" w:rsidRDefault="00C451C4" w:rsidP="00FF6CC0">
            <w:pPr>
              <w:spacing w:line="18" w:lineRule="atLeast"/>
              <w:jc w:val="center"/>
              <w:rPr>
                <w:rFonts w:ascii="Calibri" w:eastAsia="Times New Roman" w:hAnsi="Calibri" w:cs="Calibri"/>
                <w:b/>
                <w:bCs/>
                <w:color w:val="000000"/>
                <w:sz w:val="22"/>
                <w:szCs w:val="22"/>
              </w:rPr>
            </w:pPr>
            <w:r w:rsidRPr="00C451C4">
              <w:rPr>
                <w:rFonts w:ascii="Calibri" w:eastAsia="Times New Roman" w:hAnsi="Calibri" w:cs="Calibri"/>
                <w:b/>
                <w:bCs/>
                <w:color w:val="000000"/>
                <w:sz w:val="22"/>
                <w:szCs w:val="22"/>
              </w:rPr>
              <w:t>Design Parameters</w:t>
            </w:r>
          </w:p>
        </w:tc>
        <w:tc>
          <w:tcPr>
            <w:tcW w:w="3570" w:type="dxa"/>
            <w:gridSpan w:val="4"/>
            <w:tcBorders>
              <w:top w:val="single" w:sz="8" w:space="0" w:color="auto"/>
              <w:left w:val="single" w:sz="8" w:space="0" w:color="auto"/>
              <w:bottom w:val="single" w:sz="8" w:space="0" w:color="auto"/>
              <w:right w:val="single" w:sz="8" w:space="0" w:color="000000"/>
            </w:tcBorders>
            <w:shd w:val="clear" w:color="000000" w:fill="D9D9D9"/>
            <w:noWrap/>
            <w:vAlign w:val="center"/>
            <w:hideMark/>
          </w:tcPr>
          <w:p w14:paraId="1908B332" w14:textId="77777777" w:rsidR="00C451C4" w:rsidRPr="00C451C4" w:rsidRDefault="00C451C4" w:rsidP="00FF6CC0">
            <w:pPr>
              <w:spacing w:line="18" w:lineRule="atLeast"/>
              <w:jc w:val="center"/>
              <w:rPr>
                <w:rFonts w:ascii="Calibri" w:eastAsia="Times New Roman" w:hAnsi="Calibri" w:cs="Calibri"/>
                <w:b/>
                <w:bCs/>
                <w:color w:val="000000"/>
                <w:sz w:val="22"/>
                <w:szCs w:val="22"/>
              </w:rPr>
            </w:pPr>
            <w:r w:rsidRPr="00C451C4">
              <w:rPr>
                <w:rFonts w:ascii="Calibri" w:eastAsia="Times New Roman" w:hAnsi="Calibri" w:cs="Calibri"/>
                <w:b/>
                <w:bCs/>
                <w:color w:val="000000"/>
                <w:sz w:val="22"/>
                <w:szCs w:val="22"/>
              </w:rPr>
              <w:t>Results</w:t>
            </w:r>
          </w:p>
        </w:tc>
      </w:tr>
      <w:tr w:rsidR="00396912" w:rsidRPr="00C451C4" w14:paraId="361B302B" w14:textId="77777777" w:rsidTr="00396912">
        <w:trPr>
          <w:trHeight w:val="434"/>
        </w:trPr>
        <w:tc>
          <w:tcPr>
            <w:tcW w:w="1090" w:type="dxa"/>
            <w:vMerge/>
            <w:tcBorders>
              <w:top w:val="single" w:sz="8" w:space="0" w:color="auto"/>
              <w:left w:val="single" w:sz="8" w:space="0" w:color="auto"/>
              <w:bottom w:val="nil"/>
              <w:right w:val="single" w:sz="8" w:space="0" w:color="auto"/>
            </w:tcBorders>
            <w:vAlign w:val="center"/>
            <w:hideMark/>
          </w:tcPr>
          <w:p w14:paraId="10CE27FD" w14:textId="77777777" w:rsidR="00C451C4" w:rsidRPr="00C451C4" w:rsidRDefault="00C451C4" w:rsidP="00FF6CC0">
            <w:pPr>
              <w:spacing w:line="18" w:lineRule="atLeast"/>
              <w:rPr>
                <w:rFonts w:ascii="Calibri" w:eastAsia="Times New Roman" w:hAnsi="Calibri" w:cs="Calibri"/>
                <w:b/>
                <w:bCs/>
                <w:color w:val="000000"/>
                <w:sz w:val="22"/>
                <w:szCs w:val="22"/>
              </w:rPr>
            </w:pPr>
          </w:p>
        </w:tc>
        <w:tc>
          <w:tcPr>
            <w:tcW w:w="444" w:type="dxa"/>
            <w:tcBorders>
              <w:top w:val="nil"/>
              <w:left w:val="nil"/>
              <w:bottom w:val="nil"/>
              <w:right w:val="single" w:sz="4" w:space="0" w:color="auto"/>
            </w:tcBorders>
            <w:shd w:val="clear" w:color="DBE5F1" w:fill="DBE5F1"/>
            <w:noWrap/>
            <w:vAlign w:val="center"/>
            <w:hideMark/>
          </w:tcPr>
          <w:p w14:paraId="4FE0C4CA" w14:textId="77777777" w:rsidR="00C451C4" w:rsidRPr="00C451C4" w:rsidRDefault="00C451C4" w:rsidP="00FF6CC0">
            <w:pPr>
              <w:spacing w:line="18" w:lineRule="atLeast"/>
              <w:jc w:val="center"/>
              <w:rPr>
                <w:rFonts w:ascii="Calibri" w:eastAsia="Times New Roman" w:hAnsi="Calibri" w:cs="Calibri"/>
                <w:b/>
                <w:bCs/>
                <w:color w:val="000000"/>
                <w:sz w:val="22"/>
                <w:szCs w:val="22"/>
              </w:rPr>
            </w:pPr>
            <w:r w:rsidRPr="00C451C4">
              <w:rPr>
                <w:rFonts w:ascii="Calibri" w:eastAsia="Times New Roman" w:hAnsi="Calibri" w:cs="Calibri"/>
                <w:b/>
                <w:bCs/>
                <w:color w:val="000000"/>
                <w:sz w:val="22"/>
                <w:szCs w:val="22"/>
              </w:rPr>
              <w:t>N</w:t>
            </w:r>
            <w:r w:rsidRPr="00C451C4">
              <w:rPr>
                <w:rFonts w:ascii="Calibri" w:eastAsia="Times New Roman" w:hAnsi="Calibri" w:cs="Calibri"/>
                <w:b/>
                <w:bCs/>
                <w:color w:val="000000"/>
                <w:sz w:val="22"/>
                <w:szCs w:val="22"/>
                <w:vertAlign w:val="subscript"/>
              </w:rPr>
              <w:t>V</w:t>
            </w:r>
          </w:p>
        </w:tc>
        <w:tc>
          <w:tcPr>
            <w:tcW w:w="440" w:type="dxa"/>
            <w:tcBorders>
              <w:top w:val="nil"/>
              <w:left w:val="nil"/>
              <w:bottom w:val="nil"/>
              <w:right w:val="single" w:sz="4" w:space="0" w:color="auto"/>
            </w:tcBorders>
            <w:shd w:val="clear" w:color="DBE5F1" w:fill="DBE5F1"/>
            <w:noWrap/>
            <w:vAlign w:val="center"/>
            <w:hideMark/>
          </w:tcPr>
          <w:p w14:paraId="7CEA55D7" w14:textId="77777777" w:rsidR="00C451C4" w:rsidRPr="00C451C4" w:rsidRDefault="00C451C4" w:rsidP="00FF6CC0">
            <w:pPr>
              <w:spacing w:line="18" w:lineRule="atLeast"/>
              <w:jc w:val="center"/>
              <w:rPr>
                <w:rFonts w:ascii="Calibri" w:eastAsia="Times New Roman" w:hAnsi="Calibri" w:cs="Calibri"/>
                <w:b/>
                <w:bCs/>
                <w:color w:val="000000"/>
                <w:sz w:val="22"/>
                <w:szCs w:val="22"/>
              </w:rPr>
            </w:pPr>
            <w:r w:rsidRPr="00C451C4">
              <w:rPr>
                <w:rFonts w:ascii="Calibri" w:eastAsia="Times New Roman" w:hAnsi="Calibri" w:cs="Calibri"/>
                <w:b/>
                <w:bCs/>
                <w:color w:val="000000"/>
                <w:sz w:val="22"/>
                <w:szCs w:val="22"/>
              </w:rPr>
              <w:t>N</w:t>
            </w:r>
            <w:r w:rsidRPr="00C451C4">
              <w:rPr>
                <w:rFonts w:ascii="Calibri" w:eastAsia="Times New Roman" w:hAnsi="Calibri" w:cs="Calibri"/>
                <w:b/>
                <w:bCs/>
                <w:color w:val="000000"/>
                <w:sz w:val="22"/>
                <w:szCs w:val="22"/>
                <w:vertAlign w:val="subscript"/>
              </w:rPr>
              <w:t>C</w:t>
            </w:r>
          </w:p>
        </w:tc>
        <w:tc>
          <w:tcPr>
            <w:tcW w:w="717" w:type="dxa"/>
            <w:tcBorders>
              <w:top w:val="nil"/>
              <w:left w:val="nil"/>
              <w:bottom w:val="nil"/>
              <w:right w:val="single" w:sz="4" w:space="0" w:color="auto"/>
            </w:tcBorders>
            <w:shd w:val="clear" w:color="DBE5F1" w:fill="DBE5F1"/>
            <w:noWrap/>
            <w:vAlign w:val="center"/>
            <w:hideMark/>
          </w:tcPr>
          <w:p w14:paraId="44EC1EDA" w14:textId="38052FC7" w:rsidR="00C451C4" w:rsidRPr="00C451C4" w:rsidRDefault="00C451C4" w:rsidP="00FF6CC0">
            <w:pPr>
              <w:spacing w:line="18" w:lineRule="atLeast"/>
              <w:jc w:val="center"/>
              <w:rPr>
                <w:rFonts w:ascii="Calibri" w:eastAsia="Times New Roman" w:hAnsi="Calibri" w:cs="Calibri"/>
                <w:b/>
                <w:bCs/>
                <w:color w:val="000000"/>
                <w:sz w:val="22"/>
                <w:szCs w:val="22"/>
              </w:rPr>
            </w:pPr>
            <w:r w:rsidRPr="00C451C4">
              <w:rPr>
                <w:rFonts w:ascii="Calibri" w:eastAsia="Times New Roman" w:hAnsi="Calibri" w:cs="Calibri"/>
                <w:b/>
                <w:bCs/>
                <w:color w:val="000000"/>
                <w:sz w:val="22"/>
                <w:szCs w:val="22"/>
              </w:rPr>
              <w:t>W</w:t>
            </w:r>
            <w:r w:rsidR="00F219FB">
              <w:rPr>
                <w:rFonts w:ascii="Calibri" w:eastAsia="Times New Roman" w:hAnsi="Calibri" w:cs="Calibri"/>
                <w:b/>
                <w:bCs/>
                <w:color w:val="000000"/>
                <w:sz w:val="22"/>
                <w:szCs w:val="22"/>
              </w:rPr>
              <w:br/>
              <w:t>[mm]</w:t>
            </w:r>
          </w:p>
        </w:tc>
        <w:tc>
          <w:tcPr>
            <w:tcW w:w="717" w:type="dxa"/>
            <w:tcBorders>
              <w:top w:val="nil"/>
              <w:left w:val="nil"/>
              <w:bottom w:val="nil"/>
              <w:right w:val="single" w:sz="4" w:space="0" w:color="auto"/>
            </w:tcBorders>
            <w:shd w:val="clear" w:color="DBE5F1" w:fill="DBE5F1"/>
            <w:noWrap/>
            <w:vAlign w:val="center"/>
            <w:hideMark/>
          </w:tcPr>
          <w:p w14:paraId="316873E1" w14:textId="44474FC1" w:rsidR="00C451C4" w:rsidRPr="00C451C4" w:rsidRDefault="00C451C4" w:rsidP="00FF6CC0">
            <w:pPr>
              <w:spacing w:line="18" w:lineRule="atLeast"/>
              <w:jc w:val="center"/>
              <w:rPr>
                <w:rFonts w:ascii="Calibri" w:eastAsia="Times New Roman" w:hAnsi="Calibri" w:cs="Calibri"/>
                <w:b/>
                <w:bCs/>
                <w:color w:val="000000"/>
                <w:sz w:val="22"/>
                <w:szCs w:val="22"/>
              </w:rPr>
            </w:pPr>
            <w:r w:rsidRPr="00C451C4">
              <w:rPr>
                <w:rFonts w:ascii="Calibri" w:eastAsia="Times New Roman" w:hAnsi="Calibri" w:cs="Calibri"/>
                <w:b/>
                <w:bCs/>
                <w:color w:val="000000"/>
                <w:sz w:val="22"/>
                <w:szCs w:val="22"/>
              </w:rPr>
              <w:t>H</w:t>
            </w:r>
            <w:r w:rsidR="00F219FB">
              <w:rPr>
                <w:rFonts w:ascii="Calibri" w:eastAsia="Times New Roman" w:hAnsi="Calibri" w:cs="Calibri"/>
                <w:b/>
                <w:bCs/>
                <w:color w:val="000000"/>
                <w:sz w:val="22"/>
                <w:szCs w:val="22"/>
              </w:rPr>
              <w:br/>
              <w:t>[mm]</w:t>
            </w:r>
          </w:p>
        </w:tc>
        <w:tc>
          <w:tcPr>
            <w:tcW w:w="421" w:type="dxa"/>
            <w:tcBorders>
              <w:top w:val="nil"/>
              <w:left w:val="nil"/>
              <w:bottom w:val="nil"/>
              <w:right w:val="single" w:sz="4" w:space="0" w:color="auto"/>
            </w:tcBorders>
            <w:shd w:val="clear" w:color="DBE5F1" w:fill="DBE5F1"/>
            <w:noWrap/>
            <w:vAlign w:val="center"/>
            <w:hideMark/>
          </w:tcPr>
          <w:p w14:paraId="0F323AAF" w14:textId="77777777" w:rsidR="00C451C4" w:rsidRPr="00C451C4" w:rsidRDefault="00C451C4" w:rsidP="00FF6CC0">
            <w:pPr>
              <w:spacing w:line="18" w:lineRule="atLeast"/>
              <w:jc w:val="center"/>
              <w:rPr>
                <w:rFonts w:ascii="Calibri" w:eastAsia="Times New Roman" w:hAnsi="Calibri" w:cs="Calibri"/>
                <w:b/>
                <w:bCs/>
                <w:color w:val="000000"/>
                <w:sz w:val="22"/>
                <w:szCs w:val="22"/>
              </w:rPr>
            </w:pPr>
            <w:r w:rsidRPr="00C451C4">
              <w:rPr>
                <w:rFonts w:ascii="Calibri" w:eastAsia="Times New Roman" w:hAnsi="Calibri" w:cs="Calibri"/>
                <w:b/>
                <w:bCs/>
                <w:color w:val="000000"/>
                <w:sz w:val="22"/>
                <w:szCs w:val="22"/>
              </w:rPr>
              <w:t>N</w:t>
            </w:r>
            <w:r w:rsidRPr="00C451C4">
              <w:rPr>
                <w:rFonts w:ascii="Calibri" w:eastAsia="Times New Roman" w:hAnsi="Calibri" w:cs="Calibri"/>
                <w:b/>
                <w:bCs/>
                <w:color w:val="000000"/>
                <w:sz w:val="22"/>
                <w:szCs w:val="22"/>
                <w:vertAlign w:val="subscript"/>
              </w:rPr>
              <w:t>L</w:t>
            </w:r>
          </w:p>
        </w:tc>
        <w:tc>
          <w:tcPr>
            <w:tcW w:w="717" w:type="dxa"/>
            <w:tcBorders>
              <w:top w:val="nil"/>
              <w:left w:val="nil"/>
              <w:bottom w:val="nil"/>
              <w:right w:val="single" w:sz="4" w:space="0" w:color="auto"/>
            </w:tcBorders>
            <w:shd w:val="clear" w:color="DBE5F1" w:fill="DBE5F1"/>
            <w:noWrap/>
            <w:vAlign w:val="center"/>
            <w:hideMark/>
          </w:tcPr>
          <w:p w14:paraId="15020B0B" w14:textId="13607315" w:rsidR="00C451C4" w:rsidRPr="00C451C4" w:rsidRDefault="00F219FB" w:rsidP="00FF6CC0">
            <w:pPr>
              <w:spacing w:line="18" w:lineRule="atLeast"/>
              <w:jc w:val="center"/>
              <w:rPr>
                <w:rFonts w:ascii="Calibri" w:eastAsia="Times New Roman" w:hAnsi="Calibri" w:cs="Calibri"/>
                <w:b/>
                <w:bCs/>
                <w:color w:val="000000"/>
                <w:sz w:val="22"/>
                <w:szCs w:val="22"/>
              </w:rPr>
            </w:pPr>
            <w:r w:rsidRPr="00C451C4">
              <w:rPr>
                <w:rFonts w:ascii="Calibri" w:eastAsia="Times New Roman" w:hAnsi="Calibri" w:cs="Calibri"/>
                <w:b/>
                <w:bCs/>
                <w:color w:val="000000"/>
                <w:sz w:val="22"/>
                <w:szCs w:val="22"/>
              </w:rPr>
              <w:t>R</w:t>
            </w:r>
            <w:r w:rsidRPr="00C451C4">
              <w:rPr>
                <w:rFonts w:ascii="Calibri" w:eastAsia="Times New Roman" w:hAnsi="Calibri" w:cs="Calibri"/>
                <w:b/>
                <w:bCs/>
                <w:color w:val="000000"/>
                <w:sz w:val="22"/>
                <w:szCs w:val="22"/>
                <w:vertAlign w:val="subscript"/>
              </w:rPr>
              <w:t>H</w:t>
            </w:r>
            <w:r>
              <w:rPr>
                <w:rFonts w:ascii="Calibri" w:eastAsia="Times New Roman" w:hAnsi="Calibri" w:cs="Calibri"/>
                <w:b/>
                <w:bCs/>
                <w:color w:val="000000"/>
                <w:sz w:val="22"/>
                <w:szCs w:val="22"/>
              </w:rPr>
              <w:t xml:space="preserve"> [mm] </w:t>
            </w:r>
          </w:p>
        </w:tc>
        <w:tc>
          <w:tcPr>
            <w:tcW w:w="568" w:type="dxa"/>
            <w:tcBorders>
              <w:top w:val="nil"/>
              <w:left w:val="nil"/>
              <w:bottom w:val="nil"/>
              <w:right w:val="single" w:sz="4" w:space="0" w:color="auto"/>
            </w:tcBorders>
            <w:shd w:val="clear" w:color="DBE5F1" w:fill="DBE5F1"/>
            <w:noWrap/>
            <w:vAlign w:val="center"/>
            <w:hideMark/>
          </w:tcPr>
          <w:p w14:paraId="0A6E52B5" w14:textId="77777777" w:rsidR="00C451C4" w:rsidRPr="00C451C4" w:rsidRDefault="00C451C4" w:rsidP="00FF6CC0">
            <w:pPr>
              <w:spacing w:line="18" w:lineRule="atLeast"/>
              <w:jc w:val="center"/>
              <w:rPr>
                <w:rFonts w:ascii="Calibri" w:eastAsia="Times New Roman" w:hAnsi="Calibri" w:cs="Calibri"/>
                <w:b/>
                <w:bCs/>
                <w:color w:val="000000"/>
                <w:sz w:val="22"/>
                <w:szCs w:val="22"/>
              </w:rPr>
            </w:pPr>
            <w:r w:rsidRPr="00C451C4">
              <w:rPr>
                <w:rFonts w:ascii="Calibri" w:eastAsia="Times New Roman" w:hAnsi="Calibri" w:cs="Calibri"/>
                <w:b/>
                <w:bCs/>
                <w:color w:val="000000"/>
                <w:sz w:val="22"/>
                <w:szCs w:val="22"/>
              </w:rPr>
              <w:t>N</w:t>
            </w:r>
            <w:r w:rsidRPr="00C451C4">
              <w:rPr>
                <w:rFonts w:ascii="Calibri" w:eastAsia="Times New Roman" w:hAnsi="Calibri" w:cs="Calibri"/>
                <w:b/>
                <w:bCs/>
                <w:color w:val="000000"/>
                <w:sz w:val="22"/>
                <w:szCs w:val="22"/>
                <w:vertAlign w:val="subscript"/>
              </w:rPr>
              <w:t>CW</w:t>
            </w:r>
          </w:p>
        </w:tc>
        <w:tc>
          <w:tcPr>
            <w:tcW w:w="666" w:type="dxa"/>
            <w:tcBorders>
              <w:top w:val="nil"/>
              <w:left w:val="nil"/>
              <w:bottom w:val="nil"/>
              <w:right w:val="single" w:sz="8" w:space="0" w:color="auto"/>
            </w:tcBorders>
            <w:shd w:val="clear" w:color="DBE5F1" w:fill="DBE5F1"/>
            <w:noWrap/>
            <w:vAlign w:val="center"/>
            <w:hideMark/>
          </w:tcPr>
          <w:p w14:paraId="45679596" w14:textId="77777777" w:rsidR="00C451C4" w:rsidRPr="00C451C4" w:rsidRDefault="00C451C4" w:rsidP="00FF6CC0">
            <w:pPr>
              <w:spacing w:line="18" w:lineRule="atLeast"/>
              <w:jc w:val="center"/>
              <w:rPr>
                <w:rFonts w:ascii="Calibri" w:eastAsia="Times New Roman" w:hAnsi="Calibri" w:cs="Calibri"/>
                <w:b/>
                <w:bCs/>
                <w:color w:val="000000"/>
                <w:sz w:val="22"/>
                <w:szCs w:val="22"/>
              </w:rPr>
            </w:pPr>
            <w:r w:rsidRPr="00C451C4">
              <w:rPr>
                <w:rFonts w:ascii="Calibri" w:eastAsia="Times New Roman" w:hAnsi="Calibri" w:cs="Calibri"/>
                <w:b/>
                <w:bCs/>
                <w:color w:val="000000"/>
                <w:sz w:val="22"/>
                <w:szCs w:val="22"/>
              </w:rPr>
              <w:t>N</w:t>
            </w:r>
            <w:r w:rsidRPr="00C451C4">
              <w:rPr>
                <w:rFonts w:ascii="Calibri" w:eastAsia="Times New Roman" w:hAnsi="Calibri" w:cs="Calibri"/>
                <w:b/>
                <w:bCs/>
                <w:color w:val="000000"/>
                <w:sz w:val="22"/>
                <w:szCs w:val="22"/>
                <w:vertAlign w:val="subscript"/>
              </w:rPr>
              <w:t>CCW</w:t>
            </w:r>
          </w:p>
        </w:tc>
        <w:tc>
          <w:tcPr>
            <w:tcW w:w="1050" w:type="dxa"/>
            <w:tcBorders>
              <w:top w:val="nil"/>
              <w:left w:val="nil"/>
              <w:bottom w:val="nil"/>
              <w:right w:val="nil"/>
            </w:tcBorders>
            <w:shd w:val="clear" w:color="DBE5F1" w:fill="E6B8B7"/>
            <w:noWrap/>
            <w:vAlign w:val="center"/>
            <w:hideMark/>
          </w:tcPr>
          <w:p w14:paraId="31E27F4C" w14:textId="1D47B843" w:rsidR="00C451C4" w:rsidRPr="00C451C4" w:rsidRDefault="00C451C4" w:rsidP="00FF6CC0">
            <w:pPr>
              <w:spacing w:line="18" w:lineRule="atLeast"/>
              <w:jc w:val="center"/>
              <w:rPr>
                <w:rFonts w:ascii="Calibri" w:eastAsia="Times New Roman" w:hAnsi="Calibri" w:cs="Calibri"/>
                <w:b/>
                <w:bCs/>
                <w:color w:val="000000"/>
                <w:sz w:val="22"/>
                <w:szCs w:val="22"/>
              </w:rPr>
            </w:pPr>
            <w:r w:rsidRPr="00C451C4">
              <w:rPr>
                <w:rFonts w:ascii="Calibri" w:eastAsia="Times New Roman" w:hAnsi="Calibri" w:cs="Calibri"/>
                <w:b/>
                <w:bCs/>
                <w:color w:val="000000"/>
                <w:sz w:val="22"/>
                <w:szCs w:val="22"/>
              </w:rPr>
              <w:t>Buckl</w:t>
            </w:r>
            <w:r w:rsidR="00A82F0D">
              <w:rPr>
                <w:rFonts w:ascii="Calibri" w:eastAsia="Times New Roman" w:hAnsi="Calibri" w:cs="Calibri"/>
                <w:b/>
                <w:bCs/>
                <w:color w:val="000000"/>
                <w:sz w:val="22"/>
                <w:szCs w:val="22"/>
              </w:rPr>
              <w:t>ing</w:t>
            </w:r>
            <w:r w:rsidRPr="00C451C4">
              <w:rPr>
                <w:rFonts w:ascii="Calibri" w:eastAsia="Times New Roman" w:hAnsi="Calibri" w:cs="Calibri"/>
                <w:b/>
                <w:bCs/>
                <w:color w:val="000000"/>
                <w:sz w:val="22"/>
                <w:szCs w:val="22"/>
              </w:rPr>
              <w:t xml:space="preserve"> Load [N]</w:t>
            </w:r>
          </w:p>
        </w:tc>
        <w:tc>
          <w:tcPr>
            <w:tcW w:w="990" w:type="dxa"/>
            <w:tcBorders>
              <w:top w:val="nil"/>
              <w:left w:val="single" w:sz="4" w:space="0" w:color="auto"/>
              <w:bottom w:val="nil"/>
              <w:right w:val="nil"/>
            </w:tcBorders>
            <w:shd w:val="clear" w:color="DBE5F1" w:fill="E6B8B7"/>
            <w:noWrap/>
            <w:vAlign w:val="center"/>
            <w:hideMark/>
          </w:tcPr>
          <w:p w14:paraId="593A5E59" w14:textId="77777777" w:rsidR="00C451C4" w:rsidRPr="00C451C4" w:rsidRDefault="00C451C4" w:rsidP="00FF6CC0">
            <w:pPr>
              <w:spacing w:line="18" w:lineRule="atLeast"/>
              <w:jc w:val="center"/>
              <w:rPr>
                <w:rFonts w:ascii="Calibri" w:eastAsia="Times New Roman" w:hAnsi="Calibri" w:cs="Calibri"/>
                <w:b/>
                <w:bCs/>
                <w:color w:val="000000"/>
                <w:sz w:val="22"/>
                <w:szCs w:val="22"/>
              </w:rPr>
            </w:pPr>
            <w:r w:rsidRPr="00C451C4">
              <w:rPr>
                <w:rFonts w:ascii="Calibri" w:eastAsia="Times New Roman" w:hAnsi="Calibri" w:cs="Calibri"/>
                <w:b/>
                <w:bCs/>
                <w:color w:val="000000"/>
                <w:sz w:val="22"/>
                <w:szCs w:val="22"/>
              </w:rPr>
              <w:t>Volume [mm³]</w:t>
            </w:r>
          </w:p>
        </w:tc>
        <w:tc>
          <w:tcPr>
            <w:tcW w:w="720" w:type="dxa"/>
            <w:tcBorders>
              <w:top w:val="nil"/>
              <w:left w:val="single" w:sz="4" w:space="0" w:color="auto"/>
              <w:bottom w:val="nil"/>
              <w:right w:val="nil"/>
            </w:tcBorders>
            <w:shd w:val="clear" w:color="DBE5F1" w:fill="E6B8B7"/>
            <w:noWrap/>
            <w:vAlign w:val="center"/>
            <w:hideMark/>
          </w:tcPr>
          <w:p w14:paraId="2F427112" w14:textId="77777777" w:rsidR="00C451C4" w:rsidRPr="00C451C4" w:rsidRDefault="00C451C4" w:rsidP="00FF6CC0">
            <w:pPr>
              <w:spacing w:line="18" w:lineRule="atLeast"/>
              <w:jc w:val="center"/>
              <w:rPr>
                <w:rFonts w:ascii="Calibri" w:eastAsia="Times New Roman" w:hAnsi="Calibri" w:cs="Calibri"/>
                <w:b/>
                <w:bCs/>
                <w:color w:val="000000"/>
                <w:sz w:val="22"/>
                <w:szCs w:val="22"/>
              </w:rPr>
            </w:pPr>
            <w:r w:rsidRPr="00C451C4">
              <w:rPr>
                <w:rFonts w:ascii="Calibri" w:eastAsia="Times New Roman" w:hAnsi="Calibri" w:cs="Calibri"/>
                <w:b/>
                <w:bCs/>
                <w:color w:val="000000"/>
                <w:sz w:val="22"/>
                <w:szCs w:val="22"/>
              </w:rPr>
              <w:t>FEA Cost</w:t>
            </w:r>
          </w:p>
        </w:tc>
        <w:tc>
          <w:tcPr>
            <w:tcW w:w="810" w:type="dxa"/>
            <w:tcBorders>
              <w:top w:val="nil"/>
              <w:left w:val="single" w:sz="4" w:space="0" w:color="auto"/>
              <w:bottom w:val="nil"/>
              <w:right w:val="single" w:sz="8" w:space="0" w:color="auto"/>
            </w:tcBorders>
            <w:shd w:val="clear" w:color="DBE5F1" w:fill="E6B8B7"/>
            <w:noWrap/>
            <w:vAlign w:val="center"/>
            <w:hideMark/>
          </w:tcPr>
          <w:p w14:paraId="22F8993B" w14:textId="77777777" w:rsidR="00C451C4" w:rsidRPr="00C451C4" w:rsidRDefault="00C451C4" w:rsidP="00FF6CC0">
            <w:pPr>
              <w:spacing w:line="18" w:lineRule="atLeast"/>
              <w:jc w:val="center"/>
              <w:rPr>
                <w:rFonts w:ascii="Calibri" w:eastAsia="Times New Roman" w:hAnsi="Calibri" w:cs="Calibri"/>
                <w:b/>
                <w:bCs/>
                <w:color w:val="000000"/>
                <w:sz w:val="22"/>
                <w:szCs w:val="22"/>
              </w:rPr>
            </w:pPr>
            <w:r w:rsidRPr="00C451C4">
              <w:rPr>
                <w:rFonts w:ascii="Calibri" w:eastAsia="Times New Roman" w:hAnsi="Calibri" w:cs="Calibri"/>
                <w:b/>
                <w:bCs/>
                <w:color w:val="000000"/>
                <w:sz w:val="22"/>
                <w:szCs w:val="22"/>
              </w:rPr>
              <w:t>CFD Cost</w:t>
            </w:r>
          </w:p>
        </w:tc>
      </w:tr>
      <w:tr w:rsidR="00396912" w:rsidRPr="00C451C4" w14:paraId="4A2852C1" w14:textId="77777777" w:rsidTr="00396912">
        <w:trPr>
          <w:trHeight w:val="385"/>
        </w:trPr>
        <w:tc>
          <w:tcPr>
            <w:tcW w:w="1090"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14:paraId="4C13C341" w14:textId="77777777" w:rsidR="00C451C4" w:rsidRPr="00C451C4" w:rsidRDefault="00C451C4" w:rsidP="00FF6CC0">
            <w:pPr>
              <w:spacing w:line="18" w:lineRule="atLeast"/>
              <w:jc w:val="center"/>
              <w:rPr>
                <w:rFonts w:ascii="Calibri" w:eastAsia="Times New Roman" w:hAnsi="Calibri" w:cs="Calibri"/>
                <w:b/>
                <w:bCs/>
                <w:color w:val="000000"/>
                <w:sz w:val="22"/>
                <w:szCs w:val="22"/>
              </w:rPr>
            </w:pPr>
            <w:r w:rsidRPr="00C451C4">
              <w:rPr>
                <w:rFonts w:ascii="Calibri" w:eastAsia="Times New Roman" w:hAnsi="Calibri" w:cs="Calibri"/>
                <w:b/>
                <w:bCs/>
                <w:color w:val="000000"/>
                <w:sz w:val="22"/>
                <w:szCs w:val="22"/>
              </w:rPr>
              <w:t>A</w:t>
            </w:r>
          </w:p>
        </w:tc>
        <w:tc>
          <w:tcPr>
            <w:tcW w:w="444" w:type="dxa"/>
            <w:tcBorders>
              <w:top w:val="single" w:sz="8" w:space="0" w:color="auto"/>
              <w:left w:val="nil"/>
              <w:bottom w:val="single" w:sz="4" w:space="0" w:color="auto"/>
              <w:right w:val="single" w:sz="4" w:space="0" w:color="auto"/>
            </w:tcBorders>
            <w:noWrap/>
            <w:vAlign w:val="center"/>
            <w:hideMark/>
          </w:tcPr>
          <w:p w14:paraId="2D366217"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50</w:t>
            </w:r>
          </w:p>
        </w:tc>
        <w:tc>
          <w:tcPr>
            <w:tcW w:w="440" w:type="dxa"/>
            <w:tcBorders>
              <w:top w:val="single" w:sz="8" w:space="0" w:color="auto"/>
              <w:left w:val="nil"/>
              <w:bottom w:val="single" w:sz="4" w:space="0" w:color="auto"/>
              <w:right w:val="single" w:sz="4" w:space="0" w:color="auto"/>
            </w:tcBorders>
            <w:noWrap/>
            <w:vAlign w:val="center"/>
            <w:hideMark/>
          </w:tcPr>
          <w:p w14:paraId="1A5DDF27"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73</w:t>
            </w:r>
          </w:p>
        </w:tc>
        <w:tc>
          <w:tcPr>
            <w:tcW w:w="717" w:type="dxa"/>
            <w:tcBorders>
              <w:top w:val="single" w:sz="8" w:space="0" w:color="auto"/>
              <w:left w:val="nil"/>
              <w:bottom w:val="single" w:sz="4" w:space="0" w:color="auto"/>
              <w:right w:val="single" w:sz="4" w:space="0" w:color="auto"/>
            </w:tcBorders>
            <w:noWrap/>
            <w:vAlign w:val="center"/>
            <w:hideMark/>
          </w:tcPr>
          <w:p w14:paraId="1E46A9FF" w14:textId="04EE6E21"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0.62</w:t>
            </w:r>
          </w:p>
        </w:tc>
        <w:tc>
          <w:tcPr>
            <w:tcW w:w="717" w:type="dxa"/>
            <w:tcBorders>
              <w:top w:val="single" w:sz="8" w:space="0" w:color="auto"/>
              <w:left w:val="nil"/>
              <w:bottom w:val="single" w:sz="4" w:space="0" w:color="auto"/>
              <w:right w:val="single" w:sz="4" w:space="0" w:color="auto"/>
            </w:tcBorders>
            <w:noWrap/>
            <w:vAlign w:val="center"/>
            <w:hideMark/>
          </w:tcPr>
          <w:p w14:paraId="17F45269" w14:textId="10F343CE"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0.64</w:t>
            </w:r>
          </w:p>
        </w:tc>
        <w:tc>
          <w:tcPr>
            <w:tcW w:w="421" w:type="dxa"/>
            <w:tcBorders>
              <w:top w:val="single" w:sz="8" w:space="0" w:color="auto"/>
              <w:left w:val="nil"/>
              <w:bottom w:val="single" w:sz="4" w:space="0" w:color="auto"/>
              <w:right w:val="single" w:sz="4" w:space="0" w:color="auto"/>
            </w:tcBorders>
            <w:noWrap/>
            <w:vAlign w:val="center"/>
            <w:hideMark/>
          </w:tcPr>
          <w:p w14:paraId="130A5785"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6</w:t>
            </w:r>
          </w:p>
        </w:tc>
        <w:tc>
          <w:tcPr>
            <w:tcW w:w="717" w:type="dxa"/>
            <w:tcBorders>
              <w:top w:val="single" w:sz="8" w:space="0" w:color="auto"/>
              <w:left w:val="nil"/>
              <w:bottom w:val="single" w:sz="4" w:space="0" w:color="auto"/>
              <w:right w:val="single" w:sz="4" w:space="0" w:color="auto"/>
            </w:tcBorders>
            <w:noWrap/>
            <w:vAlign w:val="center"/>
            <w:hideMark/>
          </w:tcPr>
          <w:p w14:paraId="0ECC46D6"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1.28</w:t>
            </w:r>
          </w:p>
        </w:tc>
        <w:tc>
          <w:tcPr>
            <w:tcW w:w="568" w:type="dxa"/>
            <w:tcBorders>
              <w:top w:val="single" w:sz="8" w:space="0" w:color="auto"/>
              <w:left w:val="nil"/>
              <w:bottom w:val="single" w:sz="4" w:space="0" w:color="auto"/>
              <w:right w:val="single" w:sz="4" w:space="0" w:color="auto"/>
            </w:tcBorders>
            <w:noWrap/>
            <w:vAlign w:val="center"/>
            <w:hideMark/>
          </w:tcPr>
          <w:p w14:paraId="4DC63816"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3</w:t>
            </w:r>
          </w:p>
        </w:tc>
        <w:tc>
          <w:tcPr>
            <w:tcW w:w="666" w:type="dxa"/>
            <w:tcBorders>
              <w:top w:val="single" w:sz="8" w:space="0" w:color="auto"/>
              <w:left w:val="nil"/>
              <w:bottom w:val="single" w:sz="4" w:space="0" w:color="auto"/>
              <w:right w:val="single" w:sz="8" w:space="0" w:color="auto"/>
            </w:tcBorders>
            <w:noWrap/>
            <w:vAlign w:val="center"/>
            <w:hideMark/>
          </w:tcPr>
          <w:p w14:paraId="4862949C"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3</w:t>
            </w:r>
          </w:p>
        </w:tc>
        <w:tc>
          <w:tcPr>
            <w:tcW w:w="1050" w:type="dxa"/>
            <w:tcBorders>
              <w:top w:val="single" w:sz="8" w:space="0" w:color="auto"/>
              <w:left w:val="nil"/>
              <w:bottom w:val="single" w:sz="4" w:space="0" w:color="auto"/>
              <w:right w:val="nil"/>
            </w:tcBorders>
            <w:noWrap/>
            <w:vAlign w:val="center"/>
            <w:hideMark/>
          </w:tcPr>
          <w:p w14:paraId="08EBFEBD"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1638.7</w:t>
            </w:r>
          </w:p>
        </w:tc>
        <w:tc>
          <w:tcPr>
            <w:tcW w:w="990" w:type="dxa"/>
            <w:tcBorders>
              <w:top w:val="single" w:sz="8" w:space="0" w:color="auto"/>
              <w:left w:val="single" w:sz="4" w:space="0" w:color="auto"/>
              <w:bottom w:val="single" w:sz="4" w:space="0" w:color="auto"/>
              <w:right w:val="nil"/>
            </w:tcBorders>
            <w:noWrap/>
            <w:vAlign w:val="center"/>
            <w:hideMark/>
          </w:tcPr>
          <w:p w14:paraId="609858DF"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12959</w:t>
            </w:r>
          </w:p>
        </w:tc>
        <w:tc>
          <w:tcPr>
            <w:tcW w:w="720" w:type="dxa"/>
            <w:tcBorders>
              <w:top w:val="single" w:sz="8" w:space="0" w:color="auto"/>
              <w:left w:val="single" w:sz="4" w:space="0" w:color="auto"/>
              <w:bottom w:val="single" w:sz="4" w:space="0" w:color="auto"/>
              <w:right w:val="nil"/>
            </w:tcBorders>
            <w:noWrap/>
            <w:vAlign w:val="center"/>
            <w:hideMark/>
          </w:tcPr>
          <w:p w14:paraId="4F965667"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-2.83</w:t>
            </w:r>
          </w:p>
        </w:tc>
        <w:tc>
          <w:tcPr>
            <w:tcW w:w="810" w:type="dxa"/>
            <w:tcBorders>
              <w:top w:val="single" w:sz="8" w:space="0" w:color="auto"/>
              <w:left w:val="single" w:sz="4" w:space="0" w:color="auto"/>
              <w:bottom w:val="single" w:sz="4" w:space="0" w:color="auto"/>
              <w:right w:val="single" w:sz="8" w:space="0" w:color="auto"/>
            </w:tcBorders>
            <w:noWrap/>
            <w:vAlign w:val="center"/>
            <w:hideMark/>
          </w:tcPr>
          <w:p w14:paraId="557D7CC4"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0.32</w:t>
            </w:r>
          </w:p>
        </w:tc>
      </w:tr>
      <w:tr w:rsidR="00396912" w:rsidRPr="00C451C4" w14:paraId="0C3A766D" w14:textId="77777777" w:rsidTr="00396912">
        <w:trPr>
          <w:trHeight w:val="385"/>
        </w:trPr>
        <w:tc>
          <w:tcPr>
            <w:tcW w:w="1090" w:type="dxa"/>
            <w:tcBorders>
              <w:top w:val="nil"/>
              <w:left w:val="single" w:sz="8" w:space="0" w:color="auto"/>
              <w:bottom w:val="single" w:sz="4" w:space="0" w:color="auto"/>
              <w:right w:val="single" w:sz="8" w:space="0" w:color="auto"/>
            </w:tcBorders>
            <w:shd w:val="clear" w:color="000000" w:fill="D9D9D9"/>
            <w:noWrap/>
            <w:vAlign w:val="center"/>
            <w:hideMark/>
          </w:tcPr>
          <w:p w14:paraId="07FB9101" w14:textId="77777777" w:rsidR="00C451C4" w:rsidRPr="00C451C4" w:rsidRDefault="00C451C4" w:rsidP="00FF6CC0">
            <w:pPr>
              <w:spacing w:line="18" w:lineRule="atLeast"/>
              <w:jc w:val="center"/>
              <w:rPr>
                <w:rFonts w:ascii="Calibri" w:eastAsia="Times New Roman" w:hAnsi="Calibri" w:cs="Calibri"/>
                <w:b/>
                <w:bCs/>
                <w:color w:val="000000"/>
                <w:sz w:val="22"/>
                <w:szCs w:val="22"/>
              </w:rPr>
            </w:pPr>
            <w:r w:rsidRPr="00C451C4">
              <w:rPr>
                <w:rFonts w:ascii="Calibri" w:eastAsia="Times New Roman" w:hAnsi="Calibri" w:cs="Calibri"/>
                <w:b/>
                <w:bCs/>
                <w:color w:val="000000"/>
                <w:sz w:val="22"/>
                <w:szCs w:val="22"/>
              </w:rPr>
              <w:t>B</w:t>
            </w:r>
          </w:p>
        </w:tc>
        <w:tc>
          <w:tcPr>
            <w:tcW w:w="444" w:type="dxa"/>
            <w:tcBorders>
              <w:top w:val="nil"/>
              <w:left w:val="nil"/>
              <w:bottom w:val="single" w:sz="4" w:space="0" w:color="auto"/>
              <w:right w:val="single" w:sz="4" w:space="0" w:color="auto"/>
            </w:tcBorders>
            <w:shd w:val="clear" w:color="000000" w:fill="D9D9D9"/>
            <w:noWrap/>
            <w:vAlign w:val="center"/>
            <w:hideMark/>
          </w:tcPr>
          <w:p w14:paraId="58F69380"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47</w:t>
            </w:r>
          </w:p>
        </w:tc>
        <w:tc>
          <w:tcPr>
            <w:tcW w:w="440" w:type="dxa"/>
            <w:tcBorders>
              <w:top w:val="nil"/>
              <w:left w:val="nil"/>
              <w:bottom w:val="single" w:sz="4" w:space="0" w:color="auto"/>
              <w:right w:val="single" w:sz="4" w:space="0" w:color="auto"/>
            </w:tcBorders>
            <w:shd w:val="clear" w:color="000000" w:fill="D9D9D9"/>
            <w:noWrap/>
            <w:vAlign w:val="center"/>
            <w:hideMark/>
          </w:tcPr>
          <w:p w14:paraId="068581ED"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57</w:t>
            </w:r>
          </w:p>
        </w:tc>
        <w:tc>
          <w:tcPr>
            <w:tcW w:w="717" w:type="dxa"/>
            <w:tcBorders>
              <w:top w:val="nil"/>
              <w:left w:val="nil"/>
              <w:bottom w:val="single" w:sz="4" w:space="0" w:color="auto"/>
              <w:right w:val="single" w:sz="4" w:space="0" w:color="auto"/>
            </w:tcBorders>
            <w:shd w:val="clear" w:color="000000" w:fill="D9D9D9"/>
            <w:noWrap/>
            <w:vAlign w:val="center"/>
            <w:hideMark/>
          </w:tcPr>
          <w:p w14:paraId="4AD60E34" w14:textId="4A0391F3"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0.64</w:t>
            </w:r>
          </w:p>
        </w:tc>
        <w:tc>
          <w:tcPr>
            <w:tcW w:w="717" w:type="dxa"/>
            <w:tcBorders>
              <w:top w:val="nil"/>
              <w:left w:val="nil"/>
              <w:bottom w:val="single" w:sz="4" w:space="0" w:color="auto"/>
              <w:right w:val="single" w:sz="4" w:space="0" w:color="auto"/>
            </w:tcBorders>
            <w:shd w:val="clear" w:color="000000" w:fill="D9D9D9"/>
            <w:noWrap/>
            <w:vAlign w:val="center"/>
            <w:hideMark/>
          </w:tcPr>
          <w:p w14:paraId="10EBC812" w14:textId="5F7CE351"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0.64</w:t>
            </w:r>
          </w:p>
        </w:tc>
        <w:tc>
          <w:tcPr>
            <w:tcW w:w="421" w:type="dxa"/>
            <w:tcBorders>
              <w:top w:val="nil"/>
              <w:left w:val="nil"/>
              <w:bottom w:val="single" w:sz="4" w:space="0" w:color="auto"/>
              <w:right w:val="single" w:sz="4" w:space="0" w:color="auto"/>
            </w:tcBorders>
            <w:shd w:val="clear" w:color="000000" w:fill="D9D9D9"/>
            <w:noWrap/>
            <w:vAlign w:val="center"/>
            <w:hideMark/>
          </w:tcPr>
          <w:p w14:paraId="40671296"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4</w:t>
            </w:r>
          </w:p>
        </w:tc>
        <w:tc>
          <w:tcPr>
            <w:tcW w:w="717" w:type="dxa"/>
            <w:tcBorders>
              <w:top w:val="nil"/>
              <w:left w:val="nil"/>
              <w:bottom w:val="single" w:sz="4" w:space="0" w:color="auto"/>
              <w:right w:val="single" w:sz="4" w:space="0" w:color="auto"/>
            </w:tcBorders>
            <w:shd w:val="clear" w:color="000000" w:fill="D9D9D9"/>
            <w:noWrap/>
            <w:vAlign w:val="center"/>
            <w:hideMark/>
          </w:tcPr>
          <w:p w14:paraId="4D40D93C"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1.37</w:t>
            </w:r>
          </w:p>
        </w:tc>
        <w:tc>
          <w:tcPr>
            <w:tcW w:w="568" w:type="dxa"/>
            <w:tcBorders>
              <w:top w:val="nil"/>
              <w:left w:val="nil"/>
              <w:bottom w:val="single" w:sz="4" w:space="0" w:color="auto"/>
              <w:right w:val="single" w:sz="4" w:space="0" w:color="auto"/>
            </w:tcBorders>
            <w:shd w:val="clear" w:color="000000" w:fill="D9D9D9"/>
            <w:noWrap/>
            <w:vAlign w:val="center"/>
            <w:hideMark/>
          </w:tcPr>
          <w:p w14:paraId="4BDABD58"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3</w:t>
            </w:r>
          </w:p>
        </w:tc>
        <w:tc>
          <w:tcPr>
            <w:tcW w:w="666" w:type="dxa"/>
            <w:tcBorders>
              <w:top w:val="nil"/>
              <w:left w:val="nil"/>
              <w:bottom w:val="single" w:sz="4" w:space="0" w:color="auto"/>
              <w:right w:val="single" w:sz="8" w:space="0" w:color="auto"/>
            </w:tcBorders>
            <w:shd w:val="clear" w:color="000000" w:fill="D9D9D9"/>
            <w:noWrap/>
            <w:vAlign w:val="center"/>
            <w:hideMark/>
          </w:tcPr>
          <w:p w14:paraId="219EBE0D"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3</w:t>
            </w:r>
          </w:p>
        </w:tc>
        <w:tc>
          <w:tcPr>
            <w:tcW w:w="1050" w:type="dxa"/>
            <w:tcBorders>
              <w:top w:val="nil"/>
              <w:left w:val="nil"/>
              <w:bottom w:val="single" w:sz="4" w:space="0" w:color="auto"/>
              <w:right w:val="nil"/>
            </w:tcBorders>
            <w:shd w:val="clear" w:color="000000" w:fill="D9D9D9"/>
            <w:noWrap/>
            <w:vAlign w:val="center"/>
            <w:hideMark/>
          </w:tcPr>
          <w:p w14:paraId="61EDAD78"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1370.7</w:t>
            </w:r>
          </w:p>
        </w:tc>
        <w:tc>
          <w:tcPr>
            <w:tcW w:w="990" w:type="dxa"/>
            <w:tcBorders>
              <w:top w:val="nil"/>
              <w:left w:val="single" w:sz="4" w:space="0" w:color="auto"/>
              <w:bottom w:val="single" w:sz="4" w:space="0" w:color="auto"/>
              <w:right w:val="nil"/>
            </w:tcBorders>
            <w:shd w:val="clear" w:color="000000" w:fill="D9D9D9"/>
            <w:noWrap/>
            <w:vAlign w:val="center"/>
            <w:hideMark/>
          </w:tcPr>
          <w:p w14:paraId="7624CFFF"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11003</w:t>
            </w:r>
          </w:p>
        </w:tc>
        <w:tc>
          <w:tcPr>
            <w:tcW w:w="720" w:type="dxa"/>
            <w:tcBorders>
              <w:top w:val="nil"/>
              <w:left w:val="single" w:sz="4" w:space="0" w:color="auto"/>
              <w:bottom w:val="single" w:sz="4" w:space="0" w:color="auto"/>
              <w:right w:val="nil"/>
            </w:tcBorders>
            <w:shd w:val="clear" w:color="000000" w:fill="D9D9D9"/>
            <w:noWrap/>
            <w:vAlign w:val="center"/>
            <w:hideMark/>
          </w:tcPr>
          <w:p w14:paraId="7D4C700E"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-2.76</w:t>
            </w:r>
          </w:p>
        </w:tc>
        <w:tc>
          <w:tcPr>
            <w:tcW w:w="810" w:type="dxa"/>
            <w:tcBorders>
              <w:top w:val="nil"/>
              <w:left w:val="single" w:sz="4" w:space="0" w:color="auto"/>
              <w:bottom w:val="single" w:sz="4" w:space="0" w:color="auto"/>
              <w:right w:val="single" w:sz="8" w:space="0" w:color="auto"/>
            </w:tcBorders>
            <w:shd w:val="clear" w:color="000000" w:fill="D9D9D9"/>
            <w:noWrap/>
            <w:vAlign w:val="center"/>
            <w:hideMark/>
          </w:tcPr>
          <w:p w14:paraId="7873C431"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-0.63</w:t>
            </w:r>
          </w:p>
        </w:tc>
      </w:tr>
      <w:tr w:rsidR="00396912" w:rsidRPr="00C451C4" w14:paraId="3D7FE077" w14:textId="77777777" w:rsidTr="00396912">
        <w:trPr>
          <w:trHeight w:val="385"/>
        </w:trPr>
        <w:tc>
          <w:tcPr>
            <w:tcW w:w="1090" w:type="dxa"/>
            <w:tcBorders>
              <w:top w:val="nil"/>
              <w:left w:val="single" w:sz="8" w:space="0" w:color="auto"/>
              <w:bottom w:val="single" w:sz="4" w:space="0" w:color="auto"/>
              <w:right w:val="single" w:sz="8" w:space="0" w:color="auto"/>
            </w:tcBorders>
            <w:shd w:val="clear" w:color="000000" w:fill="FFFFFF"/>
            <w:noWrap/>
            <w:vAlign w:val="center"/>
            <w:hideMark/>
          </w:tcPr>
          <w:p w14:paraId="39DDF95B" w14:textId="77777777" w:rsidR="00C451C4" w:rsidRPr="00C451C4" w:rsidRDefault="00C451C4" w:rsidP="00FF6CC0">
            <w:pPr>
              <w:spacing w:line="18" w:lineRule="atLeast"/>
              <w:jc w:val="center"/>
              <w:rPr>
                <w:rFonts w:ascii="Calibri" w:eastAsia="Times New Roman" w:hAnsi="Calibri" w:cs="Calibri"/>
                <w:b/>
                <w:bCs/>
                <w:color w:val="000000"/>
                <w:sz w:val="22"/>
                <w:szCs w:val="22"/>
              </w:rPr>
            </w:pPr>
            <w:r w:rsidRPr="00C451C4">
              <w:rPr>
                <w:rFonts w:ascii="Calibri" w:eastAsia="Times New Roman" w:hAnsi="Calibri" w:cs="Calibri"/>
                <w:b/>
                <w:bCs/>
                <w:color w:val="000000"/>
                <w:sz w:val="22"/>
                <w:szCs w:val="22"/>
              </w:rPr>
              <w:t>C</w:t>
            </w:r>
          </w:p>
        </w:tc>
        <w:tc>
          <w:tcPr>
            <w:tcW w:w="444" w:type="dxa"/>
            <w:tcBorders>
              <w:top w:val="nil"/>
              <w:left w:val="nil"/>
              <w:bottom w:val="single" w:sz="4" w:space="0" w:color="auto"/>
              <w:right w:val="single" w:sz="4" w:space="0" w:color="auto"/>
            </w:tcBorders>
            <w:noWrap/>
            <w:vAlign w:val="center"/>
            <w:hideMark/>
          </w:tcPr>
          <w:p w14:paraId="13B3F606"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49</w:t>
            </w:r>
          </w:p>
        </w:tc>
        <w:tc>
          <w:tcPr>
            <w:tcW w:w="440" w:type="dxa"/>
            <w:tcBorders>
              <w:top w:val="nil"/>
              <w:left w:val="nil"/>
              <w:bottom w:val="single" w:sz="4" w:space="0" w:color="auto"/>
              <w:right w:val="single" w:sz="4" w:space="0" w:color="auto"/>
            </w:tcBorders>
            <w:noWrap/>
            <w:vAlign w:val="center"/>
            <w:hideMark/>
          </w:tcPr>
          <w:p w14:paraId="79F1EF1C"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56</w:t>
            </w:r>
          </w:p>
        </w:tc>
        <w:tc>
          <w:tcPr>
            <w:tcW w:w="717" w:type="dxa"/>
            <w:tcBorders>
              <w:top w:val="nil"/>
              <w:left w:val="nil"/>
              <w:bottom w:val="single" w:sz="4" w:space="0" w:color="auto"/>
              <w:right w:val="single" w:sz="4" w:space="0" w:color="auto"/>
            </w:tcBorders>
            <w:noWrap/>
            <w:vAlign w:val="center"/>
            <w:hideMark/>
          </w:tcPr>
          <w:p w14:paraId="516F0872" w14:textId="0602E655"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0.63</w:t>
            </w:r>
          </w:p>
        </w:tc>
        <w:tc>
          <w:tcPr>
            <w:tcW w:w="717" w:type="dxa"/>
            <w:tcBorders>
              <w:top w:val="nil"/>
              <w:left w:val="nil"/>
              <w:bottom w:val="single" w:sz="4" w:space="0" w:color="auto"/>
              <w:right w:val="single" w:sz="4" w:space="0" w:color="auto"/>
            </w:tcBorders>
            <w:noWrap/>
            <w:vAlign w:val="center"/>
            <w:hideMark/>
          </w:tcPr>
          <w:p w14:paraId="2BA3E03F" w14:textId="55297E14"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0.64</w:t>
            </w:r>
          </w:p>
        </w:tc>
        <w:tc>
          <w:tcPr>
            <w:tcW w:w="421" w:type="dxa"/>
            <w:tcBorders>
              <w:top w:val="nil"/>
              <w:left w:val="nil"/>
              <w:bottom w:val="single" w:sz="4" w:space="0" w:color="auto"/>
              <w:right w:val="single" w:sz="4" w:space="0" w:color="auto"/>
            </w:tcBorders>
            <w:noWrap/>
            <w:vAlign w:val="center"/>
            <w:hideMark/>
          </w:tcPr>
          <w:p w14:paraId="48DE9AC4"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4</w:t>
            </w:r>
          </w:p>
        </w:tc>
        <w:tc>
          <w:tcPr>
            <w:tcW w:w="717" w:type="dxa"/>
            <w:tcBorders>
              <w:top w:val="nil"/>
              <w:left w:val="nil"/>
              <w:bottom w:val="single" w:sz="4" w:space="0" w:color="auto"/>
              <w:right w:val="single" w:sz="4" w:space="0" w:color="auto"/>
            </w:tcBorders>
            <w:noWrap/>
            <w:vAlign w:val="center"/>
            <w:hideMark/>
          </w:tcPr>
          <w:p w14:paraId="1EE42ECA"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1.54</w:t>
            </w:r>
          </w:p>
        </w:tc>
        <w:tc>
          <w:tcPr>
            <w:tcW w:w="568" w:type="dxa"/>
            <w:tcBorders>
              <w:top w:val="nil"/>
              <w:left w:val="nil"/>
              <w:bottom w:val="single" w:sz="4" w:space="0" w:color="auto"/>
              <w:right w:val="single" w:sz="4" w:space="0" w:color="auto"/>
            </w:tcBorders>
            <w:noWrap/>
            <w:vAlign w:val="center"/>
            <w:hideMark/>
          </w:tcPr>
          <w:p w14:paraId="32E3D034"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3</w:t>
            </w:r>
          </w:p>
        </w:tc>
        <w:tc>
          <w:tcPr>
            <w:tcW w:w="666" w:type="dxa"/>
            <w:tcBorders>
              <w:top w:val="nil"/>
              <w:left w:val="nil"/>
              <w:bottom w:val="single" w:sz="4" w:space="0" w:color="auto"/>
              <w:right w:val="single" w:sz="8" w:space="0" w:color="auto"/>
            </w:tcBorders>
            <w:noWrap/>
            <w:vAlign w:val="center"/>
            <w:hideMark/>
          </w:tcPr>
          <w:p w14:paraId="68B7260B"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w:t>
            </w:r>
          </w:p>
        </w:tc>
        <w:tc>
          <w:tcPr>
            <w:tcW w:w="1050" w:type="dxa"/>
            <w:tcBorders>
              <w:top w:val="nil"/>
              <w:left w:val="nil"/>
              <w:bottom w:val="single" w:sz="4" w:space="0" w:color="auto"/>
              <w:right w:val="nil"/>
            </w:tcBorders>
            <w:noWrap/>
            <w:vAlign w:val="center"/>
            <w:hideMark/>
          </w:tcPr>
          <w:p w14:paraId="553B54F4"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1250.7</w:t>
            </w:r>
          </w:p>
        </w:tc>
        <w:tc>
          <w:tcPr>
            <w:tcW w:w="990" w:type="dxa"/>
            <w:tcBorders>
              <w:top w:val="nil"/>
              <w:left w:val="single" w:sz="4" w:space="0" w:color="auto"/>
              <w:bottom w:val="single" w:sz="4" w:space="0" w:color="auto"/>
              <w:right w:val="nil"/>
            </w:tcBorders>
            <w:noWrap/>
            <w:vAlign w:val="center"/>
            <w:hideMark/>
          </w:tcPr>
          <w:p w14:paraId="6036F020"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10173</w:t>
            </w:r>
          </w:p>
        </w:tc>
        <w:tc>
          <w:tcPr>
            <w:tcW w:w="720" w:type="dxa"/>
            <w:tcBorders>
              <w:top w:val="nil"/>
              <w:left w:val="single" w:sz="4" w:space="0" w:color="auto"/>
              <w:bottom w:val="single" w:sz="4" w:space="0" w:color="auto"/>
              <w:right w:val="nil"/>
            </w:tcBorders>
            <w:noWrap/>
            <w:vAlign w:val="center"/>
            <w:hideMark/>
          </w:tcPr>
          <w:p w14:paraId="36A6F383"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-2.7</w:t>
            </w:r>
          </w:p>
        </w:tc>
        <w:tc>
          <w:tcPr>
            <w:tcW w:w="810" w:type="dxa"/>
            <w:tcBorders>
              <w:top w:val="nil"/>
              <w:left w:val="single" w:sz="4" w:space="0" w:color="auto"/>
              <w:bottom w:val="single" w:sz="4" w:space="0" w:color="auto"/>
              <w:right w:val="single" w:sz="8" w:space="0" w:color="auto"/>
            </w:tcBorders>
            <w:noWrap/>
            <w:vAlign w:val="center"/>
            <w:hideMark/>
          </w:tcPr>
          <w:p w14:paraId="3DD8B40B"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-0.93</w:t>
            </w:r>
          </w:p>
        </w:tc>
      </w:tr>
      <w:tr w:rsidR="00396912" w:rsidRPr="00C451C4" w14:paraId="7ADF308E" w14:textId="77777777" w:rsidTr="00396912">
        <w:trPr>
          <w:trHeight w:val="385"/>
        </w:trPr>
        <w:tc>
          <w:tcPr>
            <w:tcW w:w="1090" w:type="dxa"/>
            <w:tcBorders>
              <w:top w:val="nil"/>
              <w:left w:val="single" w:sz="8" w:space="0" w:color="auto"/>
              <w:bottom w:val="single" w:sz="4" w:space="0" w:color="auto"/>
              <w:right w:val="single" w:sz="8" w:space="0" w:color="auto"/>
            </w:tcBorders>
            <w:shd w:val="clear" w:color="000000" w:fill="D9D9D9"/>
            <w:noWrap/>
            <w:vAlign w:val="center"/>
            <w:hideMark/>
          </w:tcPr>
          <w:p w14:paraId="6DD3003B" w14:textId="77777777" w:rsidR="00C451C4" w:rsidRPr="00C451C4" w:rsidRDefault="00C451C4" w:rsidP="00FF6CC0">
            <w:pPr>
              <w:spacing w:line="18" w:lineRule="atLeast"/>
              <w:jc w:val="center"/>
              <w:rPr>
                <w:rFonts w:ascii="Calibri" w:eastAsia="Times New Roman" w:hAnsi="Calibri" w:cs="Calibri"/>
                <w:b/>
                <w:bCs/>
                <w:color w:val="000000"/>
                <w:sz w:val="22"/>
                <w:szCs w:val="22"/>
              </w:rPr>
            </w:pPr>
            <w:r w:rsidRPr="00C451C4">
              <w:rPr>
                <w:rFonts w:ascii="Calibri" w:eastAsia="Times New Roman" w:hAnsi="Calibri" w:cs="Calibri"/>
                <w:b/>
                <w:bCs/>
                <w:color w:val="000000"/>
                <w:sz w:val="22"/>
                <w:szCs w:val="22"/>
              </w:rPr>
              <w:t>D</w:t>
            </w:r>
          </w:p>
        </w:tc>
        <w:tc>
          <w:tcPr>
            <w:tcW w:w="444" w:type="dxa"/>
            <w:tcBorders>
              <w:top w:val="nil"/>
              <w:left w:val="nil"/>
              <w:bottom w:val="single" w:sz="4" w:space="0" w:color="auto"/>
              <w:right w:val="single" w:sz="4" w:space="0" w:color="auto"/>
            </w:tcBorders>
            <w:shd w:val="clear" w:color="000000" w:fill="D9D9D9"/>
            <w:noWrap/>
            <w:vAlign w:val="center"/>
            <w:hideMark/>
          </w:tcPr>
          <w:p w14:paraId="52BCD0D1"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49</w:t>
            </w:r>
          </w:p>
        </w:tc>
        <w:tc>
          <w:tcPr>
            <w:tcW w:w="440" w:type="dxa"/>
            <w:tcBorders>
              <w:top w:val="nil"/>
              <w:left w:val="nil"/>
              <w:bottom w:val="single" w:sz="4" w:space="0" w:color="auto"/>
              <w:right w:val="single" w:sz="4" w:space="0" w:color="auto"/>
            </w:tcBorders>
            <w:shd w:val="clear" w:color="000000" w:fill="D9D9D9"/>
            <w:noWrap/>
            <w:vAlign w:val="center"/>
            <w:hideMark/>
          </w:tcPr>
          <w:p w14:paraId="30A3C5A8"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57</w:t>
            </w:r>
          </w:p>
        </w:tc>
        <w:tc>
          <w:tcPr>
            <w:tcW w:w="717" w:type="dxa"/>
            <w:tcBorders>
              <w:top w:val="nil"/>
              <w:left w:val="nil"/>
              <w:bottom w:val="single" w:sz="4" w:space="0" w:color="auto"/>
              <w:right w:val="single" w:sz="4" w:space="0" w:color="auto"/>
            </w:tcBorders>
            <w:shd w:val="clear" w:color="000000" w:fill="D9D9D9"/>
            <w:noWrap/>
            <w:vAlign w:val="center"/>
            <w:hideMark/>
          </w:tcPr>
          <w:p w14:paraId="15E28ECF" w14:textId="384AF032"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0.64</w:t>
            </w:r>
          </w:p>
        </w:tc>
        <w:tc>
          <w:tcPr>
            <w:tcW w:w="717" w:type="dxa"/>
            <w:tcBorders>
              <w:top w:val="nil"/>
              <w:left w:val="nil"/>
              <w:bottom w:val="single" w:sz="4" w:space="0" w:color="auto"/>
              <w:right w:val="single" w:sz="4" w:space="0" w:color="auto"/>
            </w:tcBorders>
            <w:shd w:val="clear" w:color="000000" w:fill="D9D9D9"/>
            <w:noWrap/>
            <w:vAlign w:val="center"/>
            <w:hideMark/>
          </w:tcPr>
          <w:p w14:paraId="2F8D4755" w14:textId="33D6B56F"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0.65</w:t>
            </w:r>
          </w:p>
        </w:tc>
        <w:tc>
          <w:tcPr>
            <w:tcW w:w="421" w:type="dxa"/>
            <w:tcBorders>
              <w:top w:val="nil"/>
              <w:left w:val="nil"/>
              <w:bottom w:val="single" w:sz="4" w:space="0" w:color="auto"/>
              <w:right w:val="single" w:sz="4" w:space="0" w:color="auto"/>
            </w:tcBorders>
            <w:shd w:val="clear" w:color="000000" w:fill="D9D9D9"/>
            <w:noWrap/>
            <w:vAlign w:val="center"/>
            <w:hideMark/>
          </w:tcPr>
          <w:p w14:paraId="59F66131"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5</w:t>
            </w:r>
          </w:p>
        </w:tc>
        <w:tc>
          <w:tcPr>
            <w:tcW w:w="717" w:type="dxa"/>
            <w:tcBorders>
              <w:top w:val="nil"/>
              <w:left w:val="nil"/>
              <w:bottom w:val="single" w:sz="4" w:space="0" w:color="auto"/>
              <w:right w:val="single" w:sz="4" w:space="0" w:color="auto"/>
            </w:tcBorders>
            <w:shd w:val="clear" w:color="000000" w:fill="D9D9D9"/>
            <w:noWrap/>
            <w:vAlign w:val="center"/>
            <w:hideMark/>
          </w:tcPr>
          <w:p w14:paraId="5BFB826B"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1.34</w:t>
            </w:r>
          </w:p>
        </w:tc>
        <w:tc>
          <w:tcPr>
            <w:tcW w:w="568" w:type="dxa"/>
            <w:tcBorders>
              <w:top w:val="nil"/>
              <w:left w:val="nil"/>
              <w:bottom w:val="single" w:sz="4" w:space="0" w:color="auto"/>
              <w:right w:val="single" w:sz="4" w:space="0" w:color="auto"/>
            </w:tcBorders>
            <w:shd w:val="clear" w:color="000000" w:fill="D9D9D9"/>
            <w:noWrap/>
            <w:vAlign w:val="center"/>
            <w:hideMark/>
          </w:tcPr>
          <w:p w14:paraId="5AC7391B"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w:t>
            </w:r>
          </w:p>
        </w:tc>
        <w:tc>
          <w:tcPr>
            <w:tcW w:w="666" w:type="dxa"/>
            <w:tcBorders>
              <w:top w:val="nil"/>
              <w:left w:val="nil"/>
              <w:bottom w:val="single" w:sz="4" w:space="0" w:color="auto"/>
              <w:right w:val="single" w:sz="8" w:space="0" w:color="auto"/>
            </w:tcBorders>
            <w:shd w:val="clear" w:color="000000" w:fill="D9D9D9"/>
            <w:noWrap/>
            <w:vAlign w:val="center"/>
            <w:hideMark/>
          </w:tcPr>
          <w:p w14:paraId="27E6B2C7"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w:t>
            </w:r>
          </w:p>
        </w:tc>
        <w:tc>
          <w:tcPr>
            <w:tcW w:w="1050" w:type="dxa"/>
            <w:tcBorders>
              <w:top w:val="nil"/>
              <w:left w:val="nil"/>
              <w:bottom w:val="single" w:sz="4" w:space="0" w:color="auto"/>
              <w:right w:val="nil"/>
            </w:tcBorders>
            <w:shd w:val="clear" w:color="000000" w:fill="D9D9D9"/>
            <w:noWrap/>
            <w:vAlign w:val="center"/>
            <w:hideMark/>
          </w:tcPr>
          <w:p w14:paraId="58653A55"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1187.4</w:t>
            </w:r>
          </w:p>
        </w:tc>
        <w:tc>
          <w:tcPr>
            <w:tcW w:w="990" w:type="dxa"/>
            <w:tcBorders>
              <w:top w:val="nil"/>
              <w:left w:val="single" w:sz="4" w:space="0" w:color="auto"/>
              <w:bottom w:val="single" w:sz="4" w:space="0" w:color="auto"/>
              <w:right w:val="nil"/>
            </w:tcBorders>
            <w:shd w:val="clear" w:color="000000" w:fill="D9D9D9"/>
            <w:noWrap/>
            <w:vAlign w:val="center"/>
            <w:hideMark/>
          </w:tcPr>
          <w:p w14:paraId="3E7BB801"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9858</w:t>
            </w:r>
          </w:p>
        </w:tc>
        <w:tc>
          <w:tcPr>
            <w:tcW w:w="720" w:type="dxa"/>
            <w:tcBorders>
              <w:top w:val="nil"/>
              <w:left w:val="single" w:sz="4" w:space="0" w:color="auto"/>
              <w:bottom w:val="single" w:sz="4" w:space="0" w:color="auto"/>
              <w:right w:val="nil"/>
            </w:tcBorders>
            <w:shd w:val="clear" w:color="000000" w:fill="D9D9D9"/>
            <w:noWrap/>
            <w:vAlign w:val="center"/>
            <w:hideMark/>
          </w:tcPr>
          <w:p w14:paraId="2B4ED222"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-2.61</w:t>
            </w:r>
          </w:p>
        </w:tc>
        <w:tc>
          <w:tcPr>
            <w:tcW w:w="810" w:type="dxa"/>
            <w:tcBorders>
              <w:top w:val="nil"/>
              <w:left w:val="single" w:sz="4" w:space="0" w:color="auto"/>
              <w:bottom w:val="single" w:sz="4" w:space="0" w:color="auto"/>
              <w:right w:val="single" w:sz="8" w:space="0" w:color="auto"/>
            </w:tcBorders>
            <w:shd w:val="clear" w:color="000000" w:fill="D9D9D9"/>
            <w:noWrap/>
            <w:vAlign w:val="center"/>
            <w:hideMark/>
          </w:tcPr>
          <w:p w14:paraId="09E03F0B"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-1.04</w:t>
            </w:r>
          </w:p>
        </w:tc>
      </w:tr>
      <w:tr w:rsidR="00396912" w:rsidRPr="00C451C4" w14:paraId="6C40B772" w14:textId="77777777" w:rsidTr="00396912">
        <w:trPr>
          <w:trHeight w:val="385"/>
        </w:trPr>
        <w:tc>
          <w:tcPr>
            <w:tcW w:w="1090" w:type="dxa"/>
            <w:tcBorders>
              <w:top w:val="nil"/>
              <w:left w:val="single" w:sz="8" w:space="0" w:color="auto"/>
              <w:bottom w:val="single" w:sz="4" w:space="0" w:color="auto"/>
              <w:right w:val="single" w:sz="8" w:space="0" w:color="auto"/>
            </w:tcBorders>
            <w:shd w:val="clear" w:color="000000" w:fill="FFFFFF"/>
            <w:noWrap/>
            <w:vAlign w:val="center"/>
            <w:hideMark/>
          </w:tcPr>
          <w:p w14:paraId="5F56B431" w14:textId="77777777" w:rsidR="00C451C4" w:rsidRPr="00C451C4" w:rsidRDefault="00C451C4" w:rsidP="00FF6CC0">
            <w:pPr>
              <w:spacing w:line="18" w:lineRule="atLeast"/>
              <w:jc w:val="center"/>
              <w:rPr>
                <w:rFonts w:ascii="Calibri" w:eastAsia="Times New Roman" w:hAnsi="Calibri" w:cs="Calibri"/>
                <w:b/>
                <w:bCs/>
                <w:color w:val="000000"/>
                <w:sz w:val="22"/>
                <w:szCs w:val="22"/>
              </w:rPr>
            </w:pPr>
            <w:r w:rsidRPr="00C451C4">
              <w:rPr>
                <w:rFonts w:ascii="Calibri" w:eastAsia="Times New Roman" w:hAnsi="Calibri" w:cs="Calibri"/>
                <w:b/>
                <w:bCs/>
                <w:color w:val="000000"/>
                <w:sz w:val="22"/>
                <w:szCs w:val="22"/>
              </w:rPr>
              <w:t>E</w:t>
            </w:r>
          </w:p>
        </w:tc>
        <w:tc>
          <w:tcPr>
            <w:tcW w:w="444" w:type="dxa"/>
            <w:tcBorders>
              <w:top w:val="nil"/>
              <w:left w:val="nil"/>
              <w:bottom w:val="single" w:sz="4" w:space="0" w:color="auto"/>
              <w:right w:val="single" w:sz="4" w:space="0" w:color="auto"/>
            </w:tcBorders>
            <w:noWrap/>
            <w:vAlign w:val="center"/>
            <w:hideMark/>
          </w:tcPr>
          <w:p w14:paraId="1C4B9857"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48</w:t>
            </w:r>
          </w:p>
        </w:tc>
        <w:tc>
          <w:tcPr>
            <w:tcW w:w="440" w:type="dxa"/>
            <w:tcBorders>
              <w:top w:val="nil"/>
              <w:left w:val="nil"/>
              <w:bottom w:val="single" w:sz="4" w:space="0" w:color="auto"/>
              <w:right w:val="single" w:sz="4" w:space="0" w:color="auto"/>
            </w:tcBorders>
            <w:noWrap/>
            <w:vAlign w:val="center"/>
            <w:hideMark/>
          </w:tcPr>
          <w:p w14:paraId="1B200199"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62</w:t>
            </w:r>
          </w:p>
        </w:tc>
        <w:tc>
          <w:tcPr>
            <w:tcW w:w="717" w:type="dxa"/>
            <w:tcBorders>
              <w:top w:val="nil"/>
              <w:left w:val="nil"/>
              <w:bottom w:val="single" w:sz="4" w:space="0" w:color="auto"/>
              <w:right w:val="single" w:sz="4" w:space="0" w:color="auto"/>
            </w:tcBorders>
            <w:noWrap/>
            <w:vAlign w:val="center"/>
            <w:hideMark/>
          </w:tcPr>
          <w:p w14:paraId="35EA02B4" w14:textId="2DED732D"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0.59</w:t>
            </w:r>
          </w:p>
        </w:tc>
        <w:tc>
          <w:tcPr>
            <w:tcW w:w="717" w:type="dxa"/>
            <w:tcBorders>
              <w:top w:val="nil"/>
              <w:left w:val="nil"/>
              <w:bottom w:val="single" w:sz="4" w:space="0" w:color="auto"/>
              <w:right w:val="single" w:sz="4" w:space="0" w:color="auto"/>
            </w:tcBorders>
            <w:noWrap/>
            <w:vAlign w:val="center"/>
            <w:hideMark/>
          </w:tcPr>
          <w:p w14:paraId="6D768F1A" w14:textId="4EFB39F1"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0.65</w:t>
            </w:r>
          </w:p>
        </w:tc>
        <w:tc>
          <w:tcPr>
            <w:tcW w:w="421" w:type="dxa"/>
            <w:tcBorders>
              <w:top w:val="nil"/>
              <w:left w:val="nil"/>
              <w:bottom w:val="single" w:sz="4" w:space="0" w:color="auto"/>
              <w:right w:val="single" w:sz="4" w:space="0" w:color="auto"/>
            </w:tcBorders>
            <w:noWrap/>
            <w:vAlign w:val="center"/>
            <w:hideMark/>
          </w:tcPr>
          <w:p w14:paraId="785CBEDF"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4</w:t>
            </w:r>
          </w:p>
        </w:tc>
        <w:tc>
          <w:tcPr>
            <w:tcW w:w="717" w:type="dxa"/>
            <w:tcBorders>
              <w:top w:val="nil"/>
              <w:left w:val="nil"/>
              <w:bottom w:val="single" w:sz="4" w:space="0" w:color="auto"/>
              <w:right w:val="single" w:sz="4" w:space="0" w:color="auto"/>
            </w:tcBorders>
            <w:noWrap/>
            <w:vAlign w:val="center"/>
            <w:hideMark/>
          </w:tcPr>
          <w:p w14:paraId="1913568B"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1.58</w:t>
            </w:r>
          </w:p>
        </w:tc>
        <w:tc>
          <w:tcPr>
            <w:tcW w:w="568" w:type="dxa"/>
            <w:tcBorders>
              <w:top w:val="nil"/>
              <w:left w:val="nil"/>
              <w:bottom w:val="single" w:sz="4" w:space="0" w:color="auto"/>
              <w:right w:val="single" w:sz="4" w:space="0" w:color="auto"/>
            </w:tcBorders>
            <w:noWrap/>
            <w:vAlign w:val="center"/>
            <w:hideMark/>
          </w:tcPr>
          <w:p w14:paraId="15EBCAC5"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w:t>
            </w:r>
          </w:p>
        </w:tc>
        <w:tc>
          <w:tcPr>
            <w:tcW w:w="666" w:type="dxa"/>
            <w:tcBorders>
              <w:top w:val="nil"/>
              <w:left w:val="nil"/>
              <w:bottom w:val="single" w:sz="4" w:space="0" w:color="auto"/>
              <w:right w:val="single" w:sz="8" w:space="0" w:color="auto"/>
            </w:tcBorders>
            <w:noWrap/>
            <w:vAlign w:val="center"/>
            <w:hideMark/>
          </w:tcPr>
          <w:p w14:paraId="11CEAADB"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3</w:t>
            </w:r>
          </w:p>
        </w:tc>
        <w:tc>
          <w:tcPr>
            <w:tcW w:w="1050" w:type="dxa"/>
            <w:tcBorders>
              <w:top w:val="nil"/>
              <w:left w:val="nil"/>
              <w:bottom w:val="single" w:sz="4" w:space="0" w:color="auto"/>
              <w:right w:val="nil"/>
            </w:tcBorders>
            <w:noWrap/>
            <w:vAlign w:val="center"/>
            <w:hideMark/>
          </w:tcPr>
          <w:p w14:paraId="407D4B61"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1147.6</w:t>
            </w:r>
          </w:p>
        </w:tc>
        <w:tc>
          <w:tcPr>
            <w:tcW w:w="990" w:type="dxa"/>
            <w:tcBorders>
              <w:top w:val="nil"/>
              <w:left w:val="single" w:sz="4" w:space="0" w:color="auto"/>
              <w:bottom w:val="single" w:sz="4" w:space="0" w:color="auto"/>
              <w:right w:val="nil"/>
            </w:tcBorders>
            <w:noWrap/>
            <w:vAlign w:val="center"/>
            <w:hideMark/>
          </w:tcPr>
          <w:p w14:paraId="21C1AE71"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10019</w:t>
            </w:r>
          </w:p>
        </w:tc>
        <w:tc>
          <w:tcPr>
            <w:tcW w:w="720" w:type="dxa"/>
            <w:tcBorders>
              <w:top w:val="nil"/>
              <w:left w:val="single" w:sz="4" w:space="0" w:color="auto"/>
              <w:bottom w:val="single" w:sz="4" w:space="0" w:color="auto"/>
              <w:right w:val="nil"/>
            </w:tcBorders>
            <w:noWrap/>
            <w:vAlign w:val="center"/>
            <w:hideMark/>
          </w:tcPr>
          <w:p w14:paraId="1E4DF59A"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-2.39</w:t>
            </w:r>
          </w:p>
        </w:tc>
        <w:tc>
          <w:tcPr>
            <w:tcW w:w="810" w:type="dxa"/>
            <w:tcBorders>
              <w:top w:val="nil"/>
              <w:left w:val="single" w:sz="4" w:space="0" w:color="auto"/>
              <w:bottom w:val="single" w:sz="4" w:space="0" w:color="auto"/>
              <w:right w:val="single" w:sz="8" w:space="0" w:color="auto"/>
            </w:tcBorders>
            <w:noWrap/>
            <w:vAlign w:val="center"/>
            <w:hideMark/>
          </w:tcPr>
          <w:p w14:paraId="2FD3D28A"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-1.06</w:t>
            </w:r>
          </w:p>
        </w:tc>
      </w:tr>
      <w:tr w:rsidR="00396912" w:rsidRPr="00C451C4" w14:paraId="4C3B1407" w14:textId="77777777" w:rsidTr="00396912">
        <w:trPr>
          <w:trHeight w:val="385"/>
        </w:trPr>
        <w:tc>
          <w:tcPr>
            <w:tcW w:w="1090" w:type="dxa"/>
            <w:tcBorders>
              <w:top w:val="nil"/>
              <w:left w:val="single" w:sz="8" w:space="0" w:color="auto"/>
              <w:bottom w:val="single" w:sz="4" w:space="0" w:color="auto"/>
              <w:right w:val="single" w:sz="8" w:space="0" w:color="auto"/>
            </w:tcBorders>
            <w:shd w:val="clear" w:color="000000" w:fill="D9D9D9"/>
            <w:noWrap/>
            <w:vAlign w:val="center"/>
            <w:hideMark/>
          </w:tcPr>
          <w:p w14:paraId="09CA7CEA" w14:textId="77777777" w:rsidR="00C451C4" w:rsidRPr="00C451C4" w:rsidRDefault="00C451C4" w:rsidP="00FF6CC0">
            <w:pPr>
              <w:spacing w:line="18" w:lineRule="atLeast"/>
              <w:jc w:val="center"/>
              <w:rPr>
                <w:rFonts w:ascii="Calibri" w:eastAsia="Times New Roman" w:hAnsi="Calibri" w:cs="Calibri"/>
                <w:b/>
                <w:bCs/>
                <w:color w:val="000000"/>
                <w:sz w:val="22"/>
                <w:szCs w:val="22"/>
              </w:rPr>
            </w:pPr>
            <w:r w:rsidRPr="00C451C4">
              <w:rPr>
                <w:rFonts w:ascii="Calibri" w:eastAsia="Times New Roman" w:hAnsi="Calibri" w:cs="Calibri"/>
                <w:b/>
                <w:bCs/>
                <w:color w:val="000000"/>
                <w:sz w:val="22"/>
                <w:szCs w:val="22"/>
              </w:rPr>
              <w:t>F</w:t>
            </w:r>
          </w:p>
        </w:tc>
        <w:tc>
          <w:tcPr>
            <w:tcW w:w="444" w:type="dxa"/>
            <w:tcBorders>
              <w:top w:val="nil"/>
              <w:left w:val="nil"/>
              <w:bottom w:val="single" w:sz="4" w:space="0" w:color="auto"/>
              <w:right w:val="single" w:sz="4" w:space="0" w:color="auto"/>
            </w:tcBorders>
            <w:shd w:val="clear" w:color="000000" w:fill="D9D9D9"/>
            <w:noWrap/>
            <w:vAlign w:val="center"/>
            <w:hideMark/>
          </w:tcPr>
          <w:p w14:paraId="3826D115"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48</w:t>
            </w:r>
          </w:p>
        </w:tc>
        <w:tc>
          <w:tcPr>
            <w:tcW w:w="440" w:type="dxa"/>
            <w:tcBorders>
              <w:top w:val="nil"/>
              <w:left w:val="nil"/>
              <w:bottom w:val="single" w:sz="4" w:space="0" w:color="auto"/>
              <w:right w:val="single" w:sz="4" w:space="0" w:color="auto"/>
            </w:tcBorders>
            <w:shd w:val="clear" w:color="000000" w:fill="D9D9D9"/>
            <w:noWrap/>
            <w:vAlign w:val="center"/>
            <w:hideMark/>
          </w:tcPr>
          <w:p w14:paraId="442FF5AF"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67</w:t>
            </w:r>
          </w:p>
        </w:tc>
        <w:tc>
          <w:tcPr>
            <w:tcW w:w="717" w:type="dxa"/>
            <w:tcBorders>
              <w:top w:val="nil"/>
              <w:left w:val="nil"/>
              <w:bottom w:val="single" w:sz="4" w:space="0" w:color="auto"/>
              <w:right w:val="single" w:sz="4" w:space="0" w:color="auto"/>
            </w:tcBorders>
            <w:shd w:val="clear" w:color="000000" w:fill="D9D9D9"/>
            <w:noWrap/>
            <w:vAlign w:val="center"/>
            <w:hideMark/>
          </w:tcPr>
          <w:p w14:paraId="7EF1195B" w14:textId="64C4FFCD"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0.56</w:t>
            </w:r>
          </w:p>
        </w:tc>
        <w:tc>
          <w:tcPr>
            <w:tcW w:w="717" w:type="dxa"/>
            <w:tcBorders>
              <w:top w:val="nil"/>
              <w:left w:val="nil"/>
              <w:bottom w:val="single" w:sz="4" w:space="0" w:color="auto"/>
              <w:right w:val="single" w:sz="4" w:space="0" w:color="auto"/>
            </w:tcBorders>
            <w:shd w:val="clear" w:color="000000" w:fill="D9D9D9"/>
            <w:noWrap/>
            <w:vAlign w:val="center"/>
            <w:hideMark/>
          </w:tcPr>
          <w:p w14:paraId="0266AFA6" w14:textId="16EAAB7E"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0.63</w:t>
            </w:r>
          </w:p>
        </w:tc>
        <w:tc>
          <w:tcPr>
            <w:tcW w:w="421" w:type="dxa"/>
            <w:tcBorders>
              <w:top w:val="nil"/>
              <w:left w:val="nil"/>
              <w:bottom w:val="single" w:sz="4" w:space="0" w:color="auto"/>
              <w:right w:val="single" w:sz="4" w:space="0" w:color="auto"/>
            </w:tcBorders>
            <w:shd w:val="clear" w:color="000000" w:fill="D9D9D9"/>
            <w:noWrap/>
            <w:vAlign w:val="center"/>
            <w:hideMark/>
          </w:tcPr>
          <w:p w14:paraId="386D22E3"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3</w:t>
            </w:r>
          </w:p>
        </w:tc>
        <w:tc>
          <w:tcPr>
            <w:tcW w:w="717" w:type="dxa"/>
            <w:tcBorders>
              <w:top w:val="nil"/>
              <w:left w:val="nil"/>
              <w:bottom w:val="single" w:sz="4" w:space="0" w:color="auto"/>
              <w:right w:val="single" w:sz="4" w:space="0" w:color="auto"/>
            </w:tcBorders>
            <w:shd w:val="clear" w:color="000000" w:fill="D9D9D9"/>
            <w:noWrap/>
            <w:vAlign w:val="center"/>
            <w:hideMark/>
          </w:tcPr>
          <w:p w14:paraId="4DE01F0E"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1.36</w:t>
            </w:r>
          </w:p>
        </w:tc>
        <w:tc>
          <w:tcPr>
            <w:tcW w:w="568" w:type="dxa"/>
            <w:tcBorders>
              <w:top w:val="nil"/>
              <w:left w:val="nil"/>
              <w:bottom w:val="single" w:sz="4" w:space="0" w:color="auto"/>
              <w:right w:val="single" w:sz="4" w:space="0" w:color="auto"/>
            </w:tcBorders>
            <w:shd w:val="clear" w:color="000000" w:fill="D9D9D9"/>
            <w:noWrap/>
            <w:vAlign w:val="center"/>
            <w:hideMark/>
          </w:tcPr>
          <w:p w14:paraId="2A143C98"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w:t>
            </w:r>
          </w:p>
        </w:tc>
        <w:tc>
          <w:tcPr>
            <w:tcW w:w="666" w:type="dxa"/>
            <w:tcBorders>
              <w:top w:val="nil"/>
              <w:left w:val="nil"/>
              <w:bottom w:val="single" w:sz="4" w:space="0" w:color="auto"/>
              <w:right w:val="single" w:sz="8" w:space="0" w:color="auto"/>
            </w:tcBorders>
            <w:shd w:val="clear" w:color="000000" w:fill="D9D9D9"/>
            <w:noWrap/>
            <w:vAlign w:val="center"/>
            <w:hideMark/>
          </w:tcPr>
          <w:p w14:paraId="65656B42"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3</w:t>
            </w:r>
          </w:p>
        </w:tc>
        <w:tc>
          <w:tcPr>
            <w:tcW w:w="1050" w:type="dxa"/>
            <w:tcBorders>
              <w:top w:val="nil"/>
              <w:left w:val="nil"/>
              <w:bottom w:val="single" w:sz="4" w:space="0" w:color="auto"/>
              <w:right w:val="nil"/>
            </w:tcBorders>
            <w:shd w:val="clear" w:color="000000" w:fill="D9D9D9"/>
            <w:noWrap/>
            <w:vAlign w:val="center"/>
            <w:hideMark/>
          </w:tcPr>
          <w:p w14:paraId="7ED0AD39"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1007.6</w:t>
            </w:r>
          </w:p>
        </w:tc>
        <w:tc>
          <w:tcPr>
            <w:tcW w:w="990" w:type="dxa"/>
            <w:tcBorders>
              <w:top w:val="nil"/>
              <w:left w:val="single" w:sz="4" w:space="0" w:color="auto"/>
              <w:bottom w:val="single" w:sz="4" w:space="0" w:color="auto"/>
              <w:right w:val="nil"/>
            </w:tcBorders>
            <w:shd w:val="clear" w:color="000000" w:fill="D9D9D9"/>
            <w:noWrap/>
            <w:vAlign w:val="center"/>
            <w:hideMark/>
          </w:tcPr>
          <w:p w14:paraId="26925347"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9076</w:t>
            </w:r>
          </w:p>
        </w:tc>
        <w:tc>
          <w:tcPr>
            <w:tcW w:w="720" w:type="dxa"/>
            <w:tcBorders>
              <w:top w:val="nil"/>
              <w:left w:val="single" w:sz="4" w:space="0" w:color="auto"/>
              <w:bottom w:val="single" w:sz="4" w:space="0" w:color="auto"/>
              <w:right w:val="nil"/>
            </w:tcBorders>
            <w:shd w:val="clear" w:color="000000" w:fill="D9D9D9"/>
            <w:noWrap/>
            <w:vAlign w:val="center"/>
            <w:hideMark/>
          </w:tcPr>
          <w:p w14:paraId="5691901A"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-2.26</w:t>
            </w:r>
          </w:p>
        </w:tc>
        <w:tc>
          <w:tcPr>
            <w:tcW w:w="810" w:type="dxa"/>
            <w:tcBorders>
              <w:top w:val="nil"/>
              <w:left w:val="single" w:sz="4" w:space="0" w:color="auto"/>
              <w:bottom w:val="single" w:sz="4" w:space="0" w:color="auto"/>
              <w:right w:val="single" w:sz="8" w:space="0" w:color="auto"/>
            </w:tcBorders>
            <w:shd w:val="clear" w:color="000000" w:fill="D9D9D9"/>
            <w:noWrap/>
            <w:vAlign w:val="center"/>
            <w:hideMark/>
          </w:tcPr>
          <w:p w14:paraId="29520FF6"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-1.06</w:t>
            </w:r>
          </w:p>
        </w:tc>
      </w:tr>
      <w:tr w:rsidR="00396912" w:rsidRPr="00C451C4" w14:paraId="5738328B" w14:textId="77777777" w:rsidTr="00396912">
        <w:trPr>
          <w:trHeight w:val="385"/>
        </w:trPr>
        <w:tc>
          <w:tcPr>
            <w:tcW w:w="1090" w:type="dxa"/>
            <w:tcBorders>
              <w:top w:val="nil"/>
              <w:left w:val="single" w:sz="8" w:space="0" w:color="auto"/>
              <w:bottom w:val="single" w:sz="4" w:space="0" w:color="auto"/>
              <w:right w:val="single" w:sz="8" w:space="0" w:color="auto"/>
            </w:tcBorders>
            <w:shd w:val="clear" w:color="000000" w:fill="FFFFFF"/>
            <w:noWrap/>
            <w:vAlign w:val="center"/>
            <w:hideMark/>
          </w:tcPr>
          <w:p w14:paraId="117C2B36" w14:textId="77777777" w:rsidR="00C451C4" w:rsidRPr="00C451C4" w:rsidRDefault="00C451C4" w:rsidP="00FF6CC0">
            <w:pPr>
              <w:spacing w:line="18" w:lineRule="atLeast"/>
              <w:jc w:val="center"/>
              <w:rPr>
                <w:rFonts w:ascii="Calibri" w:eastAsia="Times New Roman" w:hAnsi="Calibri" w:cs="Calibri"/>
                <w:b/>
                <w:bCs/>
                <w:color w:val="000000"/>
                <w:sz w:val="22"/>
                <w:szCs w:val="22"/>
              </w:rPr>
            </w:pPr>
            <w:r w:rsidRPr="00C451C4">
              <w:rPr>
                <w:rFonts w:ascii="Calibri" w:eastAsia="Times New Roman" w:hAnsi="Calibri" w:cs="Calibri"/>
                <w:b/>
                <w:bCs/>
                <w:color w:val="000000"/>
                <w:sz w:val="22"/>
                <w:szCs w:val="22"/>
              </w:rPr>
              <w:t>G</w:t>
            </w:r>
          </w:p>
        </w:tc>
        <w:tc>
          <w:tcPr>
            <w:tcW w:w="444" w:type="dxa"/>
            <w:tcBorders>
              <w:top w:val="nil"/>
              <w:left w:val="nil"/>
              <w:bottom w:val="single" w:sz="4" w:space="0" w:color="auto"/>
              <w:right w:val="single" w:sz="4" w:space="0" w:color="auto"/>
            </w:tcBorders>
            <w:noWrap/>
            <w:vAlign w:val="center"/>
            <w:hideMark/>
          </w:tcPr>
          <w:p w14:paraId="639261D9"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46</w:t>
            </w:r>
          </w:p>
        </w:tc>
        <w:tc>
          <w:tcPr>
            <w:tcW w:w="440" w:type="dxa"/>
            <w:tcBorders>
              <w:top w:val="nil"/>
              <w:left w:val="nil"/>
              <w:bottom w:val="single" w:sz="4" w:space="0" w:color="auto"/>
              <w:right w:val="single" w:sz="4" w:space="0" w:color="auto"/>
            </w:tcBorders>
            <w:noWrap/>
            <w:vAlign w:val="center"/>
            <w:hideMark/>
          </w:tcPr>
          <w:p w14:paraId="01C0BA9F"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69</w:t>
            </w:r>
          </w:p>
        </w:tc>
        <w:tc>
          <w:tcPr>
            <w:tcW w:w="717" w:type="dxa"/>
            <w:tcBorders>
              <w:top w:val="nil"/>
              <w:left w:val="nil"/>
              <w:bottom w:val="single" w:sz="4" w:space="0" w:color="auto"/>
              <w:right w:val="single" w:sz="4" w:space="0" w:color="auto"/>
            </w:tcBorders>
            <w:noWrap/>
            <w:vAlign w:val="center"/>
            <w:hideMark/>
          </w:tcPr>
          <w:p w14:paraId="59C411BE" w14:textId="74963D7A"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0.63</w:t>
            </w:r>
          </w:p>
        </w:tc>
        <w:tc>
          <w:tcPr>
            <w:tcW w:w="717" w:type="dxa"/>
            <w:tcBorders>
              <w:top w:val="nil"/>
              <w:left w:val="nil"/>
              <w:bottom w:val="single" w:sz="4" w:space="0" w:color="auto"/>
              <w:right w:val="single" w:sz="4" w:space="0" w:color="auto"/>
            </w:tcBorders>
            <w:noWrap/>
            <w:vAlign w:val="center"/>
            <w:hideMark/>
          </w:tcPr>
          <w:p w14:paraId="51E997C4" w14:textId="43C1CB8D"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0.64</w:t>
            </w:r>
          </w:p>
        </w:tc>
        <w:tc>
          <w:tcPr>
            <w:tcW w:w="421" w:type="dxa"/>
            <w:tcBorders>
              <w:top w:val="nil"/>
              <w:left w:val="nil"/>
              <w:bottom w:val="single" w:sz="4" w:space="0" w:color="auto"/>
              <w:right w:val="single" w:sz="4" w:space="0" w:color="auto"/>
            </w:tcBorders>
            <w:noWrap/>
            <w:vAlign w:val="center"/>
            <w:hideMark/>
          </w:tcPr>
          <w:p w14:paraId="097020B5"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3</w:t>
            </w:r>
          </w:p>
        </w:tc>
        <w:tc>
          <w:tcPr>
            <w:tcW w:w="717" w:type="dxa"/>
            <w:tcBorders>
              <w:top w:val="nil"/>
              <w:left w:val="nil"/>
              <w:bottom w:val="single" w:sz="4" w:space="0" w:color="auto"/>
              <w:right w:val="single" w:sz="4" w:space="0" w:color="auto"/>
            </w:tcBorders>
            <w:noWrap/>
            <w:vAlign w:val="center"/>
            <w:hideMark/>
          </w:tcPr>
          <w:p w14:paraId="2DA385D0"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1.42</w:t>
            </w:r>
          </w:p>
        </w:tc>
        <w:tc>
          <w:tcPr>
            <w:tcW w:w="568" w:type="dxa"/>
            <w:tcBorders>
              <w:top w:val="nil"/>
              <w:left w:val="nil"/>
              <w:bottom w:val="single" w:sz="4" w:space="0" w:color="auto"/>
              <w:right w:val="single" w:sz="4" w:space="0" w:color="auto"/>
            </w:tcBorders>
            <w:noWrap/>
            <w:vAlign w:val="center"/>
            <w:hideMark/>
          </w:tcPr>
          <w:p w14:paraId="75515008"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w:t>
            </w:r>
          </w:p>
        </w:tc>
        <w:tc>
          <w:tcPr>
            <w:tcW w:w="666" w:type="dxa"/>
            <w:tcBorders>
              <w:top w:val="nil"/>
              <w:left w:val="nil"/>
              <w:bottom w:val="single" w:sz="4" w:space="0" w:color="auto"/>
              <w:right w:val="single" w:sz="8" w:space="0" w:color="auto"/>
            </w:tcBorders>
            <w:noWrap/>
            <w:vAlign w:val="center"/>
            <w:hideMark/>
          </w:tcPr>
          <w:p w14:paraId="4B782A15"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w:t>
            </w:r>
          </w:p>
        </w:tc>
        <w:tc>
          <w:tcPr>
            <w:tcW w:w="1050" w:type="dxa"/>
            <w:tcBorders>
              <w:top w:val="nil"/>
              <w:left w:val="nil"/>
              <w:bottom w:val="single" w:sz="4" w:space="0" w:color="auto"/>
              <w:right w:val="nil"/>
            </w:tcBorders>
            <w:noWrap/>
            <w:vAlign w:val="center"/>
            <w:hideMark/>
          </w:tcPr>
          <w:p w14:paraId="5BF3461D"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1019.3</w:t>
            </w:r>
          </w:p>
        </w:tc>
        <w:tc>
          <w:tcPr>
            <w:tcW w:w="990" w:type="dxa"/>
            <w:tcBorders>
              <w:top w:val="nil"/>
              <w:left w:val="single" w:sz="4" w:space="0" w:color="auto"/>
              <w:bottom w:val="single" w:sz="4" w:space="0" w:color="auto"/>
              <w:right w:val="nil"/>
            </w:tcBorders>
            <w:noWrap/>
            <w:vAlign w:val="center"/>
            <w:hideMark/>
          </w:tcPr>
          <w:p w14:paraId="1ED5A240"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9544</w:t>
            </w:r>
          </w:p>
        </w:tc>
        <w:tc>
          <w:tcPr>
            <w:tcW w:w="720" w:type="dxa"/>
            <w:tcBorders>
              <w:top w:val="nil"/>
              <w:left w:val="single" w:sz="4" w:space="0" w:color="auto"/>
              <w:bottom w:val="single" w:sz="4" w:space="0" w:color="auto"/>
              <w:right w:val="nil"/>
            </w:tcBorders>
            <w:noWrap/>
            <w:vAlign w:val="center"/>
            <w:hideMark/>
          </w:tcPr>
          <w:p w14:paraId="04BE3151"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-2.1</w:t>
            </w:r>
          </w:p>
        </w:tc>
        <w:tc>
          <w:tcPr>
            <w:tcW w:w="810" w:type="dxa"/>
            <w:tcBorders>
              <w:top w:val="nil"/>
              <w:left w:val="single" w:sz="4" w:space="0" w:color="auto"/>
              <w:bottom w:val="single" w:sz="4" w:space="0" w:color="auto"/>
              <w:right w:val="single" w:sz="8" w:space="0" w:color="auto"/>
            </w:tcBorders>
            <w:noWrap/>
            <w:vAlign w:val="center"/>
            <w:hideMark/>
          </w:tcPr>
          <w:p w14:paraId="0F76AF85"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-1.07</w:t>
            </w:r>
          </w:p>
        </w:tc>
      </w:tr>
      <w:tr w:rsidR="00396912" w:rsidRPr="00C451C4" w14:paraId="522FA9ED" w14:textId="77777777" w:rsidTr="00396912">
        <w:trPr>
          <w:trHeight w:val="385"/>
        </w:trPr>
        <w:tc>
          <w:tcPr>
            <w:tcW w:w="1090" w:type="dxa"/>
            <w:tcBorders>
              <w:top w:val="nil"/>
              <w:left w:val="single" w:sz="8" w:space="0" w:color="auto"/>
              <w:bottom w:val="single" w:sz="4" w:space="0" w:color="auto"/>
              <w:right w:val="single" w:sz="8" w:space="0" w:color="auto"/>
            </w:tcBorders>
            <w:shd w:val="clear" w:color="000000" w:fill="D9D9D9"/>
            <w:noWrap/>
            <w:vAlign w:val="center"/>
            <w:hideMark/>
          </w:tcPr>
          <w:p w14:paraId="21F7E54D" w14:textId="77777777" w:rsidR="00C451C4" w:rsidRPr="00C451C4" w:rsidRDefault="00C451C4" w:rsidP="00FF6CC0">
            <w:pPr>
              <w:spacing w:line="18" w:lineRule="atLeast"/>
              <w:jc w:val="center"/>
              <w:rPr>
                <w:rFonts w:ascii="Calibri" w:eastAsia="Times New Roman" w:hAnsi="Calibri" w:cs="Calibri"/>
                <w:b/>
                <w:bCs/>
                <w:color w:val="000000"/>
                <w:sz w:val="22"/>
                <w:szCs w:val="22"/>
              </w:rPr>
            </w:pPr>
            <w:r w:rsidRPr="00C451C4">
              <w:rPr>
                <w:rFonts w:ascii="Calibri" w:eastAsia="Times New Roman" w:hAnsi="Calibri" w:cs="Calibri"/>
                <w:b/>
                <w:bCs/>
                <w:color w:val="000000"/>
                <w:sz w:val="22"/>
                <w:szCs w:val="22"/>
              </w:rPr>
              <w:t>H</w:t>
            </w:r>
          </w:p>
        </w:tc>
        <w:tc>
          <w:tcPr>
            <w:tcW w:w="444" w:type="dxa"/>
            <w:tcBorders>
              <w:top w:val="nil"/>
              <w:left w:val="nil"/>
              <w:bottom w:val="single" w:sz="4" w:space="0" w:color="auto"/>
              <w:right w:val="single" w:sz="4" w:space="0" w:color="auto"/>
            </w:tcBorders>
            <w:shd w:val="clear" w:color="000000" w:fill="D9D9D9"/>
            <w:noWrap/>
            <w:vAlign w:val="center"/>
            <w:hideMark/>
          </w:tcPr>
          <w:p w14:paraId="3E24768B"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34</w:t>
            </w:r>
          </w:p>
        </w:tc>
        <w:tc>
          <w:tcPr>
            <w:tcW w:w="440" w:type="dxa"/>
            <w:tcBorders>
              <w:top w:val="nil"/>
              <w:left w:val="nil"/>
              <w:bottom w:val="single" w:sz="4" w:space="0" w:color="auto"/>
              <w:right w:val="single" w:sz="4" w:space="0" w:color="auto"/>
            </w:tcBorders>
            <w:shd w:val="clear" w:color="000000" w:fill="D9D9D9"/>
            <w:noWrap/>
            <w:vAlign w:val="center"/>
            <w:hideMark/>
          </w:tcPr>
          <w:p w14:paraId="17E4757C"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30</w:t>
            </w:r>
          </w:p>
        </w:tc>
        <w:tc>
          <w:tcPr>
            <w:tcW w:w="717" w:type="dxa"/>
            <w:tcBorders>
              <w:top w:val="nil"/>
              <w:left w:val="nil"/>
              <w:bottom w:val="single" w:sz="4" w:space="0" w:color="auto"/>
              <w:right w:val="single" w:sz="4" w:space="0" w:color="auto"/>
            </w:tcBorders>
            <w:shd w:val="clear" w:color="000000" w:fill="D9D9D9"/>
            <w:noWrap/>
            <w:vAlign w:val="center"/>
            <w:hideMark/>
          </w:tcPr>
          <w:p w14:paraId="327BD85C" w14:textId="42C161A3"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0.58</w:t>
            </w:r>
          </w:p>
        </w:tc>
        <w:tc>
          <w:tcPr>
            <w:tcW w:w="717" w:type="dxa"/>
            <w:tcBorders>
              <w:top w:val="nil"/>
              <w:left w:val="nil"/>
              <w:bottom w:val="single" w:sz="4" w:space="0" w:color="auto"/>
              <w:right w:val="single" w:sz="4" w:space="0" w:color="auto"/>
            </w:tcBorders>
            <w:shd w:val="clear" w:color="000000" w:fill="D9D9D9"/>
            <w:noWrap/>
            <w:vAlign w:val="center"/>
            <w:hideMark/>
          </w:tcPr>
          <w:p w14:paraId="542811BE" w14:textId="7CAAC4B3"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0.65</w:t>
            </w:r>
          </w:p>
        </w:tc>
        <w:tc>
          <w:tcPr>
            <w:tcW w:w="421" w:type="dxa"/>
            <w:tcBorders>
              <w:top w:val="nil"/>
              <w:left w:val="nil"/>
              <w:bottom w:val="single" w:sz="4" w:space="0" w:color="auto"/>
              <w:right w:val="single" w:sz="4" w:space="0" w:color="auto"/>
            </w:tcBorders>
            <w:shd w:val="clear" w:color="000000" w:fill="D9D9D9"/>
            <w:noWrap/>
            <w:vAlign w:val="center"/>
            <w:hideMark/>
          </w:tcPr>
          <w:p w14:paraId="203D9B70"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2</w:t>
            </w:r>
          </w:p>
        </w:tc>
        <w:tc>
          <w:tcPr>
            <w:tcW w:w="717" w:type="dxa"/>
            <w:tcBorders>
              <w:top w:val="nil"/>
              <w:left w:val="nil"/>
              <w:bottom w:val="single" w:sz="4" w:space="0" w:color="auto"/>
              <w:right w:val="single" w:sz="4" w:space="0" w:color="auto"/>
            </w:tcBorders>
            <w:shd w:val="clear" w:color="000000" w:fill="D9D9D9"/>
            <w:noWrap/>
            <w:vAlign w:val="center"/>
            <w:hideMark/>
          </w:tcPr>
          <w:p w14:paraId="7680E35D"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1.40</w:t>
            </w:r>
          </w:p>
        </w:tc>
        <w:tc>
          <w:tcPr>
            <w:tcW w:w="568" w:type="dxa"/>
            <w:tcBorders>
              <w:top w:val="nil"/>
              <w:left w:val="nil"/>
              <w:bottom w:val="single" w:sz="4" w:space="0" w:color="auto"/>
              <w:right w:val="single" w:sz="4" w:space="0" w:color="auto"/>
            </w:tcBorders>
            <w:shd w:val="clear" w:color="000000" w:fill="D9D9D9"/>
            <w:noWrap/>
            <w:vAlign w:val="center"/>
            <w:hideMark/>
          </w:tcPr>
          <w:p w14:paraId="499F5228"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w:t>
            </w:r>
          </w:p>
        </w:tc>
        <w:tc>
          <w:tcPr>
            <w:tcW w:w="666" w:type="dxa"/>
            <w:tcBorders>
              <w:top w:val="nil"/>
              <w:left w:val="nil"/>
              <w:bottom w:val="single" w:sz="4" w:space="0" w:color="auto"/>
              <w:right w:val="single" w:sz="8" w:space="0" w:color="auto"/>
            </w:tcBorders>
            <w:shd w:val="clear" w:color="000000" w:fill="D9D9D9"/>
            <w:noWrap/>
            <w:vAlign w:val="center"/>
            <w:hideMark/>
          </w:tcPr>
          <w:p w14:paraId="001FAD9D"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w:t>
            </w:r>
          </w:p>
        </w:tc>
        <w:tc>
          <w:tcPr>
            <w:tcW w:w="1050" w:type="dxa"/>
            <w:tcBorders>
              <w:top w:val="nil"/>
              <w:left w:val="nil"/>
              <w:bottom w:val="single" w:sz="4" w:space="0" w:color="auto"/>
              <w:right w:val="nil"/>
            </w:tcBorders>
            <w:shd w:val="clear" w:color="000000" w:fill="D9D9D9"/>
            <w:noWrap/>
            <w:vAlign w:val="center"/>
            <w:hideMark/>
          </w:tcPr>
          <w:p w14:paraId="5A5414C9"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538.1</w:t>
            </w:r>
          </w:p>
        </w:tc>
        <w:tc>
          <w:tcPr>
            <w:tcW w:w="990" w:type="dxa"/>
            <w:tcBorders>
              <w:top w:val="nil"/>
              <w:left w:val="single" w:sz="4" w:space="0" w:color="auto"/>
              <w:bottom w:val="single" w:sz="4" w:space="0" w:color="auto"/>
              <w:right w:val="nil"/>
            </w:tcBorders>
            <w:shd w:val="clear" w:color="000000" w:fill="D9D9D9"/>
            <w:noWrap/>
            <w:vAlign w:val="center"/>
            <w:hideMark/>
          </w:tcPr>
          <w:p w14:paraId="66AE3810"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5294</w:t>
            </w:r>
          </w:p>
        </w:tc>
        <w:tc>
          <w:tcPr>
            <w:tcW w:w="720" w:type="dxa"/>
            <w:tcBorders>
              <w:top w:val="nil"/>
              <w:left w:val="single" w:sz="4" w:space="0" w:color="auto"/>
              <w:bottom w:val="single" w:sz="4" w:space="0" w:color="auto"/>
              <w:right w:val="nil"/>
            </w:tcBorders>
            <w:shd w:val="clear" w:color="000000" w:fill="D9D9D9"/>
            <w:noWrap/>
            <w:vAlign w:val="center"/>
            <w:hideMark/>
          </w:tcPr>
          <w:p w14:paraId="44A9AC42"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-1.91</w:t>
            </w:r>
          </w:p>
        </w:tc>
        <w:tc>
          <w:tcPr>
            <w:tcW w:w="810" w:type="dxa"/>
            <w:tcBorders>
              <w:top w:val="nil"/>
              <w:left w:val="single" w:sz="4" w:space="0" w:color="auto"/>
              <w:bottom w:val="single" w:sz="4" w:space="0" w:color="auto"/>
              <w:right w:val="single" w:sz="8" w:space="0" w:color="auto"/>
            </w:tcBorders>
            <w:shd w:val="clear" w:color="000000" w:fill="D9D9D9"/>
            <w:noWrap/>
            <w:vAlign w:val="center"/>
            <w:hideMark/>
          </w:tcPr>
          <w:p w14:paraId="3C422FC7"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-1.07</w:t>
            </w:r>
          </w:p>
        </w:tc>
      </w:tr>
      <w:tr w:rsidR="00396912" w:rsidRPr="00C451C4" w14:paraId="621DE9AB" w14:textId="77777777" w:rsidTr="00396912">
        <w:trPr>
          <w:trHeight w:val="385"/>
        </w:trPr>
        <w:tc>
          <w:tcPr>
            <w:tcW w:w="1090" w:type="dxa"/>
            <w:tcBorders>
              <w:top w:val="nil"/>
              <w:left w:val="single" w:sz="8" w:space="0" w:color="auto"/>
              <w:bottom w:val="single" w:sz="4" w:space="0" w:color="auto"/>
              <w:right w:val="single" w:sz="8" w:space="0" w:color="auto"/>
            </w:tcBorders>
            <w:shd w:val="clear" w:color="000000" w:fill="FFFFFF"/>
            <w:noWrap/>
            <w:vAlign w:val="center"/>
            <w:hideMark/>
          </w:tcPr>
          <w:p w14:paraId="0996D1A0" w14:textId="77777777" w:rsidR="00C451C4" w:rsidRPr="00C451C4" w:rsidRDefault="00C451C4" w:rsidP="00FF6CC0">
            <w:pPr>
              <w:spacing w:line="18" w:lineRule="atLeast"/>
              <w:jc w:val="center"/>
              <w:rPr>
                <w:rFonts w:ascii="Calibri" w:eastAsia="Times New Roman" w:hAnsi="Calibri" w:cs="Calibri"/>
                <w:b/>
                <w:bCs/>
                <w:color w:val="000000"/>
                <w:sz w:val="22"/>
                <w:szCs w:val="22"/>
              </w:rPr>
            </w:pPr>
            <w:r w:rsidRPr="00C451C4">
              <w:rPr>
                <w:rFonts w:ascii="Calibri" w:eastAsia="Times New Roman" w:hAnsi="Calibri" w:cs="Calibri"/>
                <w:b/>
                <w:bCs/>
                <w:color w:val="000000"/>
                <w:sz w:val="22"/>
                <w:szCs w:val="22"/>
              </w:rPr>
              <w:t>I</w:t>
            </w:r>
          </w:p>
        </w:tc>
        <w:tc>
          <w:tcPr>
            <w:tcW w:w="444" w:type="dxa"/>
            <w:tcBorders>
              <w:top w:val="nil"/>
              <w:left w:val="nil"/>
              <w:bottom w:val="single" w:sz="4" w:space="0" w:color="auto"/>
              <w:right w:val="single" w:sz="4" w:space="0" w:color="auto"/>
            </w:tcBorders>
            <w:noWrap/>
            <w:vAlign w:val="center"/>
            <w:hideMark/>
          </w:tcPr>
          <w:p w14:paraId="79F4A982"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42</w:t>
            </w:r>
          </w:p>
        </w:tc>
        <w:tc>
          <w:tcPr>
            <w:tcW w:w="440" w:type="dxa"/>
            <w:tcBorders>
              <w:top w:val="nil"/>
              <w:left w:val="nil"/>
              <w:bottom w:val="single" w:sz="4" w:space="0" w:color="auto"/>
              <w:right w:val="single" w:sz="4" w:space="0" w:color="auto"/>
            </w:tcBorders>
            <w:noWrap/>
            <w:vAlign w:val="center"/>
            <w:hideMark/>
          </w:tcPr>
          <w:p w14:paraId="3A17DDE2"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34</w:t>
            </w:r>
          </w:p>
        </w:tc>
        <w:tc>
          <w:tcPr>
            <w:tcW w:w="717" w:type="dxa"/>
            <w:tcBorders>
              <w:top w:val="nil"/>
              <w:left w:val="nil"/>
              <w:bottom w:val="single" w:sz="4" w:space="0" w:color="auto"/>
              <w:right w:val="single" w:sz="4" w:space="0" w:color="auto"/>
            </w:tcBorders>
            <w:noWrap/>
            <w:vAlign w:val="center"/>
            <w:hideMark/>
          </w:tcPr>
          <w:p w14:paraId="40A7F21B" w14:textId="0FCB8ED9"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0.58</w:t>
            </w:r>
          </w:p>
        </w:tc>
        <w:tc>
          <w:tcPr>
            <w:tcW w:w="717" w:type="dxa"/>
            <w:tcBorders>
              <w:top w:val="nil"/>
              <w:left w:val="nil"/>
              <w:bottom w:val="single" w:sz="4" w:space="0" w:color="auto"/>
              <w:right w:val="single" w:sz="4" w:space="0" w:color="auto"/>
            </w:tcBorders>
            <w:noWrap/>
            <w:vAlign w:val="center"/>
            <w:hideMark/>
          </w:tcPr>
          <w:p w14:paraId="05FFC8D5" w14:textId="3E48F71F"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0.58</w:t>
            </w:r>
          </w:p>
        </w:tc>
        <w:tc>
          <w:tcPr>
            <w:tcW w:w="421" w:type="dxa"/>
            <w:tcBorders>
              <w:top w:val="nil"/>
              <w:left w:val="nil"/>
              <w:bottom w:val="single" w:sz="4" w:space="0" w:color="auto"/>
              <w:right w:val="single" w:sz="4" w:space="0" w:color="auto"/>
            </w:tcBorders>
            <w:noWrap/>
            <w:vAlign w:val="center"/>
            <w:hideMark/>
          </w:tcPr>
          <w:p w14:paraId="40C850BF"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6</w:t>
            </w:r>
          </w:p>
        </w:tc>
        <w:tc>
          <w:tcPr>
            <w:tcW w:w="717" w:type="dxa"/>
            <w:tcBorders>
              <w:top w:val="nil"/>
              <w:left w:val="nil"/>
              <w:bottom w:val="single" w:sz="4" w:space="0" w:color="auto"/>
              <w:right w:val="single" w:sz="4" w:space="0" w:color="auto"/>
            </w:tcBorders>
            <w:noWrap/>
            <w:vAlign w:val="center"/>
            <w:hideMark/>
          </w:tcPr>
          <w:p w14:paraId="5FCE8028"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1.40</w:t>
            </w:r>
          </w:p>
        </w:tc>
        <w:tc>
          <w:tcPr>
            <w:tcW w:w="568" w:type="dxa"/>
            <w:tcBorders>
              <w:top w:val="nil"/>
              <w:left w:val="nil"/>
              <w:bottom w:val="single" w:sz="4" w:space="0" w:color="auto"/>
              <w:right w:val="single" w:sz="4" w:space="0" w:color="auto"/>
            </w:tcBorders>
            <w:noWrap/>
            <w:vAlign w:val="center"/>
            <w:hideMark/>
          </w:tcPr>
          <w:p w14:paraId="10177765"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w:t>
            </w:r>
          </w:p>
        </w:tc>
        <w:tc>
          <w:tcPr>
            <w:tcW w:w="666" w:type="dxa"/>
            <w:tcBorders>
              <w:top w:val="nil"/>
              <w:left w:val="nil"/>
              <w:bottom w:val="single" w:sz="4" w:space="0" w:color="auto"/>
              <w:right w:val="single" w:sz="8" w:space="0" w:color="auto"/>
            </w:tcBorders>
            <w:noWrap/>
            <w:vAlign w:val="center"/>
            <w:hideMark/>
          </w:tcPr>
          <w:p w14:paraId="6F4C10A4"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w:t>
            </w:r>
          </w:p>
        </w:tc>
        <w:tc>
          <w:tcPr>
            <w:tcW w:w="1050" w:type="dxa"/>
            <w:tcBorders>
              <w:top w:val="nil"/>
              <w:left w:val="nil"/>
              <w:bottom w:val="single" w:sz="4" w:space="0" w:color="auto"/>
              <w:right w:val="nil"/>
            </w:tcBorders>
            <w:noWrap/>
            <w:vAlign w:val="center"/>
            <w:hideMark/>
          </w:tcPr>
          <w:p w14:paraId="54275133"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606.3</w:t>
            </w:r>
          </w:p>
        </w:tc>
        <w:tc>
          <w:tcPr>
            <w:tcW w:w="990" w:type="dxa"/>
            <w:tcBorders>
              <w:top w:val="nil"/>
              <w:left w:val="single" w:sz="4" w:space="0" w:color="auto"/>
              <w:bottom w:val="single" w:sz="4" w:space="0" w:color="auto"/>
              <w:right w:val="nil"/>
            </w:tcBorders>
            <w:noWrap/>
            <w:vAlign w:val="center"/>
            <w:hideMark/>
          </w:tcPr>
          <w:p w14:paraId="0362E17B"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6118</w:t>
            </w:r>
          </w:p>
        </w:tc>
        <w:tc>
          <w:tcPr>
            <w:tcW w:w="720" w:type="dxa"/>
            <w:tcBorders>
              <w:top w:val="nil"/>
              <w:left w:val="single" w:sz="4" w:space="0" w:color="auto"/>
              <w:bottom w:val="single" w:sz="4" w:space="0" w:color="auto"/>
              <w:right w:val="nil"/>
            </w:tcBorders>
            <w:noWrap/>
            <w:vAlign w:val="center"/>
            <w:hideMark/>
          </w:tcPr>
          <w:p w14:paraId="0370D7E5"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-1.82</w:t>
            </w:r>
          </w:p>
        </w:tc>
        <w:tc>
          <w:tcPr>
            <w:tcW w:w="810" w:type="dxa"/>
            <w:tcBorders>
              <w:top w:val="nil"/>
              <w:left w:val="single" w:sz="4" w:space="0" w:color="auto"/>
              <w:bottom w:val="single" w:sz="4" w:space="0" w:color="auto"/>
              <w:right w:val="single" w:sz="8" w:space="0" w:color="auto"/>
            </w:tcBorders>
            <w:noWrap/>
            <w:vAlign w:val="center"/>
            <w:hideMark/>
          </w:tcPr>
          <w:p w14:paraId="1B17261D"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-1.12</w:t>
            </w:r>
          </w:p>
        </w:tc>
      </w:tr>
      <w:tr w:rsidR="00396912" w:rsidRPr="00C451C4" w14:paraId="272B03BB" w14:textId="77777777" w:rsidTr="00396912">
        <w:trPr>
          <w:trHeight w:val="385"/>
        </w:trPr>
        <w:tc>
          <w:tcPr>
            <w:tcW w:w="1090" w:type="dxa"/>
            <w:tcBorders>
              <w:top w:val="nil"/>
              <w:left w:val="single" w:sz="8" w:space="0" w:color="auto"/>
              <w:bottom w:val="single" w:sz="4" w:space="0" w:color="auto"/>
              <w:right w:val="single" w:sz="8" w:space="0" w:color="auto"/>
            </w:tcBorders>
            <w:shd w:val="clear" w:color="000000" w:fill="D9D9D9"/>
            <w:noWrap/>
            <w:vAlign w:val="center"/>
            <w:hideMark/>
          </w:tcPr>
          <w:p w14:paraId="309A3BBC" w14:textId="77777777" w:rsidR="00C451C4" w:rsidRPr="00C451C4" w:rsidRDefault="00C451C4" w:rsidP="00FF6CC0">
            <w:pPr>
              <w:spacing w:line="18" w:lineRule="atLeast"/>
              <w:jc w:val="center"/>
              <w:rPr>
                <w:rFonts w:ascii="Calibri" w:eastAsia="Times New Roman" w:hAnsi="Calibri" w:cs="Calibri"/>
                <w:b/>
                <w:bCs/>
                <w:color w:val="000000"/>
                <w:sz w:val="22"/>
                <w:szCs w:val="22"/>
              </w:rPr>
            </w:pPr>
            <w:r w:rsidRPr="00C451C4">
              <w:rPr>
                <w:rFonts w:ascii="Calibri" w:eastAsia="Times New Roman" w:hAnsi="Calibri" w:cs="Calibri"/>
                <w:b/>
                <w:bCs/>
                <w:color w:val="000000"/>
                <w:sz w:val="22"/>
                <w:szCs w:val="22"/>
              </w:rPr>
              <w:t>J</w:t>
            </w:r>
          </w:p>
        </w:tc>
        <w:tc>
          <w:tcPr>
            <w:tcW w:w="444" w:type="dxa"/>
            <w:tcBorders>
              <w:top w:val="nil"/>
              <w:left w:val="nil"/>
              <w:bottom w:val="single" w:sz="4" w:space="0" w:color="auto"/>
              <w:right w:val="single" w:sz="4" w:space="0" w:color="auto"/>
            </w:tcBorders>
            <w:shd w:val="clear" w:color="000000" w:fill="D9D9D9"/>
            <w:noWrap/>
            <w:vAlign w:val="center"/>
            <w:hideMark/>
          </w:tcPr>
          <w:p w14:paraId="27F26361"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50</w:t>
            </w:r>
          </w:p>
        </w:tc>
        <w:tc>
          <w:tcPr>
            <w:tcW w:w="440" w:type="dxa"/>
            <w:tcBorders>
              <w:top w:val="nil"/>
              <w:left w:val="nil"/>
              <w:bottom w:val="single" w:sz="4" w:space="0" w:color="auto"/>
              <w:right w:val="single" w:sz="4" w:space="0" w:color="auto"/>
            </w:tcBorders>
            <w:shd w:val="clear" w:color="000000" w:fill="D9D9D9"/>
            <w:noWrap/>
            <w:vAlign w:val="center"/>
            <w:hideMark/>
          </w:tcPr>
          <w:p w14:paraId="18DB500A"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53</w:t>
            </w:r>
          </w:p>
        </w:tc>
        <w:tc>
          <w:tcPr>
            <w:tcW w:w="717" w:type="dxa"/>
            <w:tcBorders>
              <w:top w:val="nil"/>
              <w:left w:val="nil"/>
              <w:bottom w:val="single" w:sz="4" w:space="0" w:color="auto"/>
              <w:right w:val="single" w:sz="4" w:space="0" w:color="auto"/>
            </w:tcBorders>
            <w:shd w:val="clear" w:color="000000" w:fill="D9D9D9"/>
            <w:noWrap/>
            <w:vAlign w:val="center"/>
            <w:hideMark/>
          </w:tcPr>
          <w:p w14:paraId="309A5445" w14:textId="0F33CC23"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0.60</w:t>
            </w:r>
          </w:p>
        </w:tc>
        <w:tc>
          <w:tcPr>
            <w:tcW w:w="717" w:type="dxa"/>
            <w:tcBorders>
              <w:top w:val="nil"/>
              <w:left w:val="nil"/>
              <w:bottom w:val="single" w:sz="4" w:space="0" w:color="auto"/>
              <w:right w:val="single" w:sz="4" w:space="0" w:color="auto"/>
            </w:tcBorders>
            <w:shd w:val="clear" w:color="000000" w:fill="D9D9D9"/>
            <w:noWrap/>
            <w:vAlign w:val="center"/>
            <w:hideMark/>
          </w:tcPr>
          <w:p w14:paraId="2B9F9D3B" w14:textId="103D2FEA"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0.63</w:t>
            </w:r>
          </w:p>
        </w:tc>
        <w:tc>
          <w:tcPr>
            <w:tcW w:w="421" w:type="dxa"/>
            <w:tcBorders>
              <w:top w:val="nil"/>
              <w:left w:val="nil"/>
              <w:bottom w:val="single" w:sz="4" w:space="0" w:color="auto"/>
              <w:right w:val="single" w:sz="4" w:space="0" w:color="auto"/>
            </w:tcBorders>
            <w:shd w:val="clear" w:color="000000" w:fill="D9D9D9"/>
            <w:noWrap/>
            <w:vAlign w:val="center"/>
            <w:hideMark/>
          </w:tcPr>
          <w:p w14:paraId="255FA2D2"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w:t>
            </w:r>
          </w:p>
        </w:tc>
        <w:tc>
          <w:tcPr>
            <w:tcW w:w="717" w:type="dxa"/>
            <w:tcBorders>
              <w:top w:val="nil"/>
              <w:left w:val="nil"/>
              <w:bottom w:val="single" w:sz="4" w:space="0" w:color="auto"/>
              <w:right w:val="single" w:sz="4" w:space="0" w:color="auto"/>
            </w:tcBorders>
            <w:shd w:val="clear" w:color="000000" w:fill="D9D9D9"/>
            <w:noWrap/>
            <w:vAlign w:val="center"/>
            <w:hideMark/>
          </w:tcPr>
          <w:p w14:paraId="60F62994"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1.60</w:t>
            </w:r>
          </w:p>
        </w:tc>
        <w:tc>
          <w:tcPr>
            <w:tcW w:w="568" w:type="dxa"/>
            <w:tcBorders>
              <w:top w:val="nil"/>
              <w:left w:val="nil"/>
              <w:bottom w:val="single" w:sz="4" w:space="0" w:color="auto"/>
              <w:right w:val="single" w:sz="4" w:space="0" w:color="auto"/>
            </w:tcBorders>
            <w:shd w:val="clear" w:color="000000" w:fill="D9D9D9"/>
            <w:noWrap/>
            <w:vAlign w:val="center"/>
            <w:hideMark/>
          </w:tcPr>
          <w:p w14:paraId="5EA6040E"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w:t>
            </w:r>
          </w:p>
        </w:tc>
        <w:tc>
          <w:tcPr>
            <w:tcW w:w="666" w:type="dxa"/>
            <w:tcBorders>
              <w:top w:val="nil"/>
              <w:left w:val="nil"/>
              <w:bottom w:val="single" w:sz="4" w:space="0" w:color="auto"/>
              <w:right w:val="single" w:sz="8" w:space="0" w:color="auto"/>
            </w:tcBorders>
            <w:shd w:val="clear" w:color="000000" w:fill="D9D9D9"/>
            <w:noWrap/>
            <w:vAlign w:val="center"/>
            <w:hideMark/>
          </w:tcPr>
          <w:p w14:paraId="21F67F81"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w:t>
            </w:r>
          </w:p>
        </w:tc>
        <w:tc>
          <w:tcPr>
            <w:tcW w:w="1050" w:type="dxa"/>
            <w:tcBorders>
              <w:top w:val="nil"/>
              <w:left w:val="nil"/>
              <w:bottom w:val="single" w:sz="4" w:space="0" w:color="auto"/>
              <w:right w:val="nil"/>
            </w:tcBorders>
            <w:shd w:val="clear" w:color="000000" w:fill="D9D9D9"/>
            <w:noWrap/>
            <w:vAlign w:val="center"/>
            <w:hideMark/>
          </w:tcPr>
          <w:p w14:paraId="0886395B"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843.9</w:t>
            </w:r>
          </w:p>
        </w:tc>
        <w:tc>
          <w:tcPr>
            <w:tcW w:w="990" w:type="dxa"/>
            <w:tcBorders>
              <w:top w:val="nil"/>
              <w:left w:val="single" w:sz="4" w:space="0" w:color="auto"/>
              <w:bottom w:val="single" w:sz="4" w:space="0" w:color="auto"/>
              <w:right w:val="nil"/>
            </w:tcBorders>
            <w:shd w:val="clear" w:color="000000" w:fill="D9D9D9"/>
            <w:noWrap/>
            <w:vAlign w:val="center"/>
            <w:hideMark/>
          </w:tcPr>
          <w:p w14:paraId="20530218"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8714</w:t>
            </w:r>
          </w:p>
        </w:tc>
        <w:tc>
          <w:tcPr>
            <w:tcW w:w="720" w:type="dxa"/>
            <w:tcBorders>
              <w:top w:val="nil"/>
              <w:left w:val="single" w:sz="4" w:space="0" w:color="auto"/>
              <w:bottom w:val="single" w:sz="4" w:space="0" w:color="auto"/>
              <w:right w:val="nil"/>
            </w:tcBorders>
            <w:shd w:val="clear" w:color="000000" w:fill="D9D9D9"/>
            <w:noWrap/>
            <w:vAlign w:val="center"/>
            <w:hideMark/>
          </w:tcPr>
          <w:p w14:paraId="2B8428BD"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-1.73</w:t>
            </w:r>
          </w:p>
        </w:tc>
        <w:tc>
          <w:tcPr>
            <w:tcW w:w="810" w:type="dxa"/>
            <w:tcBorders>
              <w:top w:val="nil"/>
              <w:left w:val="single" w:sz="4" w:space="0" w:color="auto"/>
              <w:bottom w:val="single" w:sz="4" w:space="0" w:color="auto"/>
              <w:right w:val="single" w:sz="8" w:space="0" w:color="auto"/>
            </w:tcBorders>
            <w:shd w:val="clear" w:color="000000" w:fill="D9D9D9"/>
            <w:noWrap/>
            <w:vAlign w:val="center"/>
            <w:hideMark/>
          </w:tcPr>
          <w:p w14:paraId="081BA238"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-1.14</w:t>
            </w:r>
          </w:p>
        </w:tc>
      </w:tr>
      <w:tr w:rsidR="00396912" w:rsidRPr="00C451C4" w14:paraId="5FC5AFD4" w14:textId="77777777" w:rsidTr="00396912">
        <w:trPr>
          <w:trHeight w:val="385"/>
        </w:trPr>
        <w:tc>
          <w:tcPr>
            <w:tcW w:w="1090" w:type="dxa"/>
            <w:tcBorders>
              <w:top w:val="nil"/>
              <w:left w:val="single" w:sz="8" w:space="0" w:color="auto"/>
              <w:bottom w:val="single" w:sz="4" w:space="0" w:color="auto"/>
              <w:right w:val="single" w:sz="8" w:space="0" w:color="auto"/>
            </w:tcBorders>
            <w:shd w:val="clear" w:color="000000" w:fill="FFFFFF"/>
            <w:noWrap/>
            <w:vAlign w:val="center"/>
            <w:hideMark/>
          </w:tcPr>
          <w:p w14:paraId="383AD80E" w14:textId="77777777" w:rsidR="00C451C4" w:rsidRPr="00C451C4" w:rsidRDefault="00C451C4" w:rsidP="00FF6CC0">
            <w:pPr>
              <w:spacing w:line="18" w:lineRule="atLeast"/>
              <w:jc w:val="center"/>
              <w:rPr>
                <w:rFonts w:ascii="Calibri" w:eastAsia="Times New Roman" w:hAnsi="Calibri" w:cs="Calibri"/>
                <w:b/>
                <w:bCs/>
                <w:color w:val="000000"/>
                <w:sz w:val="22"/>
                <w:szCs w:val="22"/>
              </w:rPr>
            </w:pPr>
            <w:r w:rsidRPr="00C451C4">
              <w:rPr>
                <w:rFonts w:ascii="Calibri" w:eastAsia="Times New Roman" w:hAnsi="Calibri" w:cs="Calibri"/>
                <w:b/>
                <w:bCs/>
                <w:color w:val="000000"/>
                <w:sz w:val="22"/>
                <w:szCs w:val="22"/>
              </w:rPr>
              <w:t>K</w:t>
            </w:r>
          </w:p>
        </w:tc>
        <w:tc>
          <w:tcPr>
            <w:tcW w:w="444" w:type="dxa"/>
            <w:tcBorders>
              <w:top w:val="nil"/>
              <w:left w:val="nil"/>
              <w:bottom w:val="single" w:sz="4" w:space="0" w:color="auto"/>
              <w:right w:val="single" w:sz="4" w:space="0" w:color="auto"/>
            </w:tcBorders>
            <w:noWrap/>
            <w:vAlign w:val="center"/>
            <w:hideMark/>
          </w:tcPr>
          <w:p w14:paraId="447F50A0"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20</w:t>
            </w:r>
          </w:p>
        </w:tc>
        <w:tc>
          <w:tcPr>
            <w:tcW w:w="440" w:type="dxa"/>
            <w:tcBorders>
              <w:top w:val="nil"/>
              <w:left w:val="nil"/>
              <w:bottom w:val="single" w:sz="4" w:space="0" w:color="auto"/>
              <w:right w:val="single" w:sz="4" w:space="0" w:color="auto"/>
            </w:tcBorders>
            <w:noWrap/>
            <w:vAlign w:val="center"/>
            <w:hideMark/>
          </w:tcPr>
          <w:p w14:paraId="6344E529"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30</w:t>
            </w:r>
          </w:p>
        </w:tc>
        <w:tc>
          <w:tcPr>
            <w:tcW w:w="717" w:type="dxa"/>
            <w:tcBorders>
              <w:top w:val="nil"/>
              <w:left w:val="nil"/>
              <w:bottom w:val="single" w:sz="4" w:space="0" w:color="auto"/>
              <w:right w:val="single" w:sz="4" w:space="0" w:color="auto"/>
            </w:tcBorders>
            <w:noWrap/>
            <w:vAlign w:val="center"/>
            <w:hideMark/>
          </w:tcPr>
          <w:p w14:paraId="65184A55" w14:textId="312DE43B"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0.15</w:t>
            </w:r>
          </w:p>
        </w:tc>
        <w:tc>
          <w:tcPr>
            <w:tcW w:w="717" w:type="dxa"/>
            <w:tcBorders>
              <w:top w:val="nil"/>
              <w:left w:val="nil"/>
              <w:bottom w:val="single" w:sz="4" w:space="0" w:color="auto"/>
              <w:right w:val="single" w:sz="4" w:space="0" w:color="auto"/>
            </w:tcBorders>
            <w:noWrap/>
            <w:vAlign w:val="center"/>
            <w:hideMark/>
          </w:tcPr>
          <w:p w14:paraId="6FE8830E" w14:textId="113EEBB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0.15</w:t>
            </w:r>
          </w:p>
        </w:tc>
        <w:tc>
          <w:tcPr>
            <w:tcW w:w="421" w:type="dxa"/>
            <w:tcBorders>
              <w:top w:val="nil"/>
              <w:left w:val="nil"/>
              <w:bottom w:val="single" w:sz="4" w:space="0" w:color="auto"/>
              <w:right w:val="single" w:sz="4" w:space="0" w:color="auto"/>
            </w:tcBorders>
            <w:noWrap/>
            <w:vAlign w:val="center"/>
            <w:hideMark/>
          </w:tcPr>
          <w:p w14:paraId="45F8AAAB"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w:t>
            </w:r>
          </w:p>
        </w:tc>
        <w:tc>
          <w:tcPr>
            <w:tcW w:w="717" w:type="dxa"/>
            <w:tcBorders>
              <w:top w:val="nil"/>
              <w:left w:val="nil"/>
              <w:bottom w:val="single" w:sz="4" w:space="0" w:color="auto"/>
              <w:right w:val="single" w:sz="4" w:space="0" w:color="auto"/>
            </w:tcBorders>
            <w:noWrap/>
            <w:vAlign w:val="center"/>
            <w:hideMark/>
          </w:tcPr>
          <w:p w14:paraId="6FB84240"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1.60</w:t>
            </w:r>
          </w:p>
        </w:tc>
        <w:tc>
          <w:tcPr>
            <w:tcW w:w="568" w:type="dxa"/>
            <w:tcBorders>
              <w:top w:val="nil"/>
              <w:left w:val="nil"/>
              <w:bottom w:val="single" w:sz="4" w:space="0" w:color="auto"/>
              <w:right w:val="single" w:sz="4" w:space="0" w:color="auto"/>
            </w:tcBorders>
            <w:noWrap/>
            <w:vAlign w:val="center"/>
            <w:hideMark/>
          </w:tcPr>
          <w:p w14:paraId="0AD2932E"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3</w:t>
            </w:r>
          </w:p>
        </w:tc>
        <w:tc>
          <w:tcPr>
            <w:tcW w:w="666" w:type="dxa"/>
            <w:tcBorders>
              <w:top w:val="nil"/>
              <w:left w:val="nil"/>
              <w:bottom w:val="single" w:sz="4" w:space="0" w:color="auto"/>
              <w:right w:val="single" w:sz="8" w:space="0" w:color="auto"/>
            </w:tcBorders>
            <w:noWrap/>
            <w:vAlign w:val="center"/>
            <w:hideMark/>
          </w:tcPr>
          <w:p w14:paraId="4B64FDFD"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w:t>
            </w:r>
          </w:p>
        </w:tc>
        <w:tc>
          <w:tcPr>
            <w:tcW w:w="1050" w:type="dxa"/>
            <w:tcBorders>
              <w:top w:val="nil"/>
              <w:left w:val="nil"/>
              <w:bottom w:val="single" w:sz="4" w:space="0" w:color="auto"/>
              <w:right w:val="nil"/>
            </w:tcBorders>
            <w:noWrap/>
            <w:vAlign w:val="center"/>
            <w:hideMark/>
          </w:tcPr>
          <w:p w14:paraId="7C70A82D"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1.32</w:t>
            </w:r>
          </w:p>
        </w:tc>
        <w:tc>
          <w:tcPr>
            <w:tcW w:w="990" w:type="dxa"/>
            <w:tcBorders>
              <w:top w:val="nil"/>
              <w:left w:val="single" w:sz="4" w:space="0" w:color="auto"/>
              <w:bottom w:val="single" w:sz="4" w:space="0" w:color="auto"/>
              <w:right w:val="nil"/>
            </w:tcBorders>
            <w:noWrap/>
            <w:vAlign w:val="center"/>
            <w:hideMark/>
          </w:tcPr>
          <w:p w14:paraId="08F0BB50"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950</w:t>
            </w:r>
          </w:p>
        </w:tc>
        <w:tc>
          <w:tcPr>
            <w:tcW w:w="720" w:type="dxa"/>
            <w:tcBorders>
              <w:top w:val="nil"/>
              <w:left w:val="single" w:sz="4" w:space="0" w:color="auto"/>
              <w:bottom w:val="single" w:sz="4" w:space="0" w:color="auto"/>
              <w:right w:val="nil"/>
            </w:tcBorders>
            <w:noWrap/>
            <w:vAlign w:val="center"/>
            <w:hideMark/>
          </w:tcPr>
          <w:p w14:paraId="164EB45F"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1.79</w:t>
            </w:r>
          </w:p>
        </w:tc>
        <w:tc>
          <w:tcPr>
            <w:tcW w:w="810" w:type="dxa"/>
            <w:tcBorders>
              <w:top w:val="nil"/>
              <w:left w:val="single" w:sz="4" w:space="0" w:color="auto"/>
              <w:bottom w:val="single" w:sz="4" w:space="0" w:color="auto"/>
              <w:right w:val="single" w:sz="8" w:space="0" w:color="auto"/>
            </w:tcBorders>
            <w:noWrap/>
            <w:vAlign w:val="center"/>
            <w:hideMark/>
          </w:tcPr>
          <w:p w14:paraId="646A5EDA"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-1.15</w:t>
            </w:r>
          </w:p>
        </w:tc>
      </w:tr>
      <w:tr w:rsidR="00396912" w:rsidRPr="00C451C4" w14:paraId="04C36110" w14:textId="77777777" w:rsidTr="00396912">
        <w:trPr>
          <w:trHeight w:val="402"/>
        </w:trPr>
        <w:tc>
          <w:tcPr>
            <w:tcW w:w="1090" w:type="dxa"/>
            <w:tcBorders>
              <w:top w:val="nil"/>
              <w:left w:val="single" w:sz="8" w:space="0" w:color="auto"/>
              <w:bottom w:val="single" w:sz="8" w:space="0" w:color="auto"/>
              <w:right w:val="single" w:sz="8" w:space="0" w:color="auto"/>
            </w:tcBorders>
            <w:shd w:val="clear" w:color="000000" w:fill="D9D9D9"/>
            <w:noWrap/>
            <w:vAlign w:val="center"/>
            <w:hideMark/>
          </w:tcPr>
          <w:p w14:paraId="3DF741AA" w14:textId="77777777" w:rsidR="00C451C4" w:rsidRPr="00C451C4" w:rsidRDefault="00C451C4" w:rsidP="00FF6CC0">
            <w:pPr>
              <w:spacing w:line="18" w:lineRule="atLeast"/>
              <w:jc w:val="center"/>
              <w:rPr>
                <w:rFonts w:ascii="Calibri" w:eastAsia="Times New Roman" w:hAnsi="Calibri" w:cs="Calibri"/>
                <w:b/>
                <w:bCs/>
                <w:color w:val="000000"/>
                <w:sz w:val="22"/>
                <w:szCs w:val="22"/>
              </w:rPr>
            </w:pPr>
            <w:r w:rsidRPr="00C451C4">
              <w:rPr>
                <w:rFonts w:ascii="Calibri" w:eastAsia="Times New Roman" w:hAnsi="Calibri" w:cs="Calibri"/>
                <w:b/>
                <w:bCs/>
                <w:color w:val="000000"/>
                <w:sz w:val="22"/>
                <w:szCs w:val="22"/>
              </w:rPr>
              <w:t>L</w:t>
            </w:r>
          </w:p>
        </w:tc>
        <w:tc>
          <w:tcPr>
            <w:tcW w:w="444" w:type="dxa"/>
            <w:tcBorders>
              <w:top w:val="nil"/>
              <w:left w:val="nil"/>
              <w:bottom w:val="single" w:sz="8" w:space="0" w:color="auto"/>
              <w:right w:val="single" w:sz="4" w:space="0" w:color="auto"/>
            </w:tcBorders>
            <w:shd w:val="clear" w:color="000000" w:fill="D9D9D9"/>
            <w:noWrap/>
            <w:vAlign w:val="center"/>
            <w:hideMark/>
          </w:tcPr>
          <w:p w14:paraId="519EF4F1"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20</w:t>
            </w:r>
          </w:p>
        </w:tc>
        <w:tc>
          <w:tcPr>
            <w:tcW w:w="440" w:type="dxa"/>
            <w:tcBorders>
              <w:top w:val="nil"/>
              <w:left w:val="nil"/>
              <w:bottom w:val="single" w:sz="8" w:space="0" w:color="auto"/>
              <w:right w:val="single" w:sz="4" w:space="0" w:color="auto"/>
            </w:tcBorders>
            <w:shd w:val="clear" w:color="000000" w:fill="D9D9D9"/>
            <w:noWrap/>
            <w:vAlign w:val="center"/>
            <w:hideMark/>
          </w:tcPr>
          <w:p w14:paraId="5A27A7C0"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30</w:t>
            </w:r>
          </w:p>
        </w:tc>
        <w:tc>
          <w:tcPr>
            <w:tcW w:w="717" w:type="dxa"/>
            <w:tcBorders>
              <w:top w:val="nil"/>
              <w:left w:val="nil"/>
              <w:bottom w:val="single" w:sz="8" w:space="0" w:color="auto"/>
              <w:right w:val="single" w:sz="4" w:space="0" w:color="auto"/>
            </w:tcBorders>
            <w:shd w:val="clear" w:color="000000" w:fill="D9D9D9"/>
            <w:noWrap/>
            <w:vAlign w:val="center"/>
            <w:hideMark/>
          </w:tcPr>
          <w:p w14:paraId="3E5B67A9" w14:textId="48996D5F"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0.15</w:t>
            </w:r>
          </w:p>
        </w:tc>
        <w:tc>
          <w:tcPr>
            <w:tcW w:w="717" w:type="dxa"/>
            <w:tcBorders>
              <w:top w:val="nil"/>
              <w:left w:val="nil"/>
              <w:bottom w:val="single" w:sz="8" w:space="0" w:color="auto"/>
              <w:right w:val="single" w:sz="4" w:space="0" w:color="auto"/>
            </w:tcBorders>
            <w:shd w:val="clear" w:color="000000" w:fill="D9D9D9"/>
            <w:noWrap/>
            <w:vAlign w:val="center"/>
            <w:hideMark/>
          </w:tcPr>
          <w:p w14:paraId="53A4A259" w14:textId="4105A95B"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0.15</w:t>
            </w:r>
          </w:p>
        </w:tc>
        <w:tc>
          <w:tcPr>
            <w:tcW w:w="421" w:type="dxa"/>
            <w:tcBorders>
              <w:top w:val="nil"/>
              <w:left w:val="nil"/>
              <w:bottom w:val="single" w:sz="8" w:space="0" w:color="auto"/>
              <w:right w:val="single" w:sz="4" w:space="0" w:color="auto"/>
            </w:tcBorders>
            <w:shd w:val="clear" w:color="000000" w:fill="D9D9D9"/>
            <w:noWrap/>
            <w:vAlign w:val="center"/>
            <w:hideMark/>
          </w:tcPr>
          <w:p w14:paraId="6DF51602"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6</w:t>
            </w:r>
          </w:p>
        </w:tc>
        <w:tc>
          <w:tcPr>
            <w:tcW w:w="717" w:type="dxa"/>
            <w:tcBorders>
              <w:top w:val="nil"/>
              <w:left w:val="nil"/>
              <w:bottom w:val="single" w:sz="8" w:space="0" w:color="auto"/>
              <w:right w:val="single" w:sz="4" w:space="0" w:color="auto"/>
            </w:tcBorders>
            <w:shd w:val="clear" w:color="000000" w:fill="D9D9D9"/>
            <w:noWrap/>
            <w:vAlign w:val="center"/>
            <w:hideMark/>
          </w:tcPr>
          <w:p w14:paraId="6E5A3738"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1.60</w:t>
            </w:r>
          </w:p>
        </w:tc>
        <w:tc>
          <w:tcPr>
            <w:tcW w:w="568" w:type="dxa"/>
            <w:tcBorders>
              <w:top w:val="nil"/>
              <w:left w:val="nil"/>
              <w:bottom w:val="single" w:sz="8" w:space="0" w:color="auto"/>
              <w:right w:val="single" w:sz="4" w:space="0" w:color="auto"/>
            </w:tcBorders>
            <w:shd w:val="clear" w:color="000000" w:fill="D9D9D9"/>
            <w:noWrap/>
            <w:vAlign w:val="center"/>
            <w:hideMark/>
          </w:tcPr>
          <w:p w14:paraId="16056026"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0</w:t>
            </w:r>
          </w:p>
        </w:tc>
        <w:tc>
          <w:tcPr>
            <w:tcW w:w="666" w:type="dxa"/>
            <w:tcBorders>
              <w:top w:val="nil"/>
              <w:left w:val="nil"/>
              <w:bottom w:val="single" w:sz="8" w:space="0" w:color="auto"/>
              <w:right w:val="single" w:sz="8" w:space="0" w:color="auto"/>
            </w:tcBorders>
            <w:shd w:val="clear" w:color="000000" w:fill="D9D9D9"/>
            <w:noWrap/>
            <w:vAlign w:val="center"/>
            <w:hideMark/>
          </w:tcPr>
          <w:p w14:paraId="67464E92"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3</w:t>
            </w:r>
          </w:p>
        </w:tc>
        <w:tc>
          <w:tcPr>
            <w:tcW w:w="1050" w:type="dxa"/>
            <w:tcBorders>
              <w:top w:val="nil"/>
              <w:left w:val="nil"/>
              <w:bottom w:val="single" w:sz="8" w:space="0" w:color="auto"/>
              <w:right w:val="nil"/>
            </w:tcBorders>
            <w:shd w:val="clear" w:color="000000" w:fill="D9D9D9"/>
            <w:noWrap/>
            <w:vAlign w:val="center"/>
            <w:hideMark/>
          </w:tcPr>
          <w:p w14:paraId="0F411CCC"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1.95</w:t>
            </w:r>
          </w:p>
        </w:tc>
        <w:tc>
          <w:tcPr>
            <w:tcW w:w="990" w:type="dxa"/>
            <w:tcBorders>
              <w:top w:val="nil"/>
              <w:left w:val="single" w:sz="4" w:space="0" w:color="auto"/>
              <w:bottom w:val="single" w:sz="8" w:space="0" w:color="auto"/>
              <w:right w:val="nil"/>
            </w:tcBorders>
            <w:shd w:val="clear" w:color="000000" w:fill="D9D9D9"/>
            <w:noWrap/>
            <w:vAlign w:val="center"/>
            <w:hideMark/>
          </w:tcPr>
          <w:p w14:paraId="4FFA64D9"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2786</w:t>
            </w:r>
          </w:p>
        </w:tc>
        <w:tc>
          <w:tcPr>
            <w:tcW w:w="720" w:type="dxa"/>
            <w:tcBorders>
              <w:top w:val="nil"/>
              <w:left w:val="single" w:sz="4" w:space="0" w:color="auto"/>
              <w:bottom w:val="single" w:sz="8" w:space="0" w:color="auto"/>
              <w:right w:val="nil"/>
            </w:tcBorders>
            <w:shd w:val="clear" w:color="000000" w:fill="D9D9D9"/>
            <w:noWrap/>
            <w:vAlign w:val="center"/>
            <w:hideMark/>
          </w:tcPr>
          <w:p w14:paraId="53FBAF26"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1.82</w:t>
            </w:r>
          </w:p>
        </w:tc>
        <w:tc>
          <w:tcPr>
            <w:tcW w:w="810" w:type="dxa"/>
            <w:tcBorders>
              <w:top w:val="nil"/>
              <w:left w:val="single" w:sz="4" w:space="0" w:color="auto"/>
              <w:bottom w:val="single" w:sz="8" w:space="0" w:color="auto"/>
              <w:right w:val="single" w:sz="8" w:space="0" w:color="auto"/>
            </w:tcBorders>
            <w:shd w:val="clear" w:color="000000" w:fill="D9D9D9"/>
            <w:noWrap/>
            <w:vAlign w:val="center"/>
            <w:hideMark/>
          </w:tcPr>
          <w:p w14:paraId="797B283B" w14:textId="77777777" w:rsidR="00C451C4" w:rsidRPr="00C451C4" w:rsidRDefault="00C451C4" w:rsidP="00FF6CC0">
            <w:pPr>
              <w:spacing w:line="18" w:lineRule="atLeast"/>
              <w:jc w:val="center"/>
              <w:rPr>
                <w:rFonts w:ascii="Calibri" w:eastAsia="Times New Roman" w:hAnsi="Calibri" w:cs="Calibri"/>
                <w:color w:val="000000"/>
                <w:sz w:val="22"/>
                <w:szCs w:val="22"/>
              </w:rPr>
            </w:pPr>
            <w:r w:rsidRPr="00C451C4">
              <w:rPr>
                <w:rFonts w:ascii="Calibri" w:eastAsia="Times New Roman" w:hAnsi="Calibri" w:cs="Calibri"/>
                <w:color w:val="000000"/>
                <w:sz w:val="22"/>
                <w:szCs w:val="22"/>
              </w:rPr>
              <w:t>-1.21</w:t>
            </w:r>
          </w:p>
        </w:tc>
      </w:tr>
    </w:tbl>
    <w:p w14:paraId="4B167DC3" w14:textId="4146252D" w:rsidR="003C1DB5" w:rsidRDefault="003C1DB5" w:rsidP="003C1DB5">
      <w:pPr>
        <w:pStyle w:val="SOMContent"/>
        <w:jc w:val="both"/>
        <w:rPr>
          <w:b/>
          <w:bCs/>
        </w:rPr>
      </w:pPr>
      <w:r w:rsidRPr="003C1DB5">
        <w:rPr>
          <w:b/>
          <w:bCs/>
        </w:rPr>
        <w:t>Finite Element Analysis (FEA) and Mechanical Testing</w:t>
      </w:r>
    </w:p>
    <w:p w14:paraId="01D70AC5" w14:textId="559CBECD" w:rsidR="001C3663" w:rsidRDefault="001C3663" w:rsidP="00401C9F">
      <w:pPr>
        <w:pStyle w:val="SOMContent"/>
        <w:jc w:val="both"/>
      </w:pPr>
      <w:r w:rsidRPr="001C3663">
        <w:t>Mechanical performance of the sponge-inspired lattices was evaluated through FEA simulations in ANSYS</w:t>
      </w:r>
      <w:r w:rsidRPr="001C3663">
        <w:rPr>
          <w:vertAlign w:val="superscript"/>
        </w:rPr>
        <w:t xml:space="preserve">® </w:t>
      </w:r>
      <w:r w:rsidRPr="001C3663">
        <w:t xml:space="preserve">MAPDL 2024 R1, implemented in a fully parametric pipeline via </w:t>
      </w:r>
      <w:proofErr w:type="spellStart"/>
      <w:r w:rsidRPr="001C3663">
        <w:t>PyMAPDL</w:t>
      </w:r>
      <w:proofErr w:type="spellEnd"/>
      <w:r w:rsidRPr="001C3663">
        <w:t>. This setup allowed automated geometry generation, meshing, loading, and execution within the optimization loop.</w:t>
      </w:r>
    </w:p>
    <w:p w14:paraId="5C2DB85D" w14:textId="1DEEF3D8" w:rsidR="00401C9F" w:rsidRPr="00401C9F" w:rsidRDefault="00401C9F" w:rsidP="00401C9F">
      <w:pPr>
        <w:pStyle w:val="SOMContent"/>
        <w:jc w:val="both"/>
      </w:pPr>
      <w:r w:rsidRPr="00401C9F">
        <w:t xml:space="preserve">The geometry </w:t>
      </w:r>
      <w:proofErr w:type="gramStart"/>
      <w:r w:rsidRPr="00401C9F">
        <w:t>were</w:t>
      </w:r>
      <w:proofErr w:type="gramEnd"/>
      <w:r w:rsidRPr="00401C9F">
        <w:t xml:space="preserve"> modeled using Timoshenko beam elements (BEAM188). The geometry was built parametrically based on the 8 design parameters described in the main text. The simulation boundary conditions were applied to match the </w:t>
      </w:r>
      <w:r w:rsidR="001C3663">
        <w:t>Instron</w:t>
      </w:r>
      <w:r w:rsidRPr="00401C9F">
        <w:t xml:space="preserve"> compression experiments:</w:t>
      </w:r>
    </w:p>
    <w:p w14:paraId="6106AC43" w14:textId="40A11F3A" w:rsidR="00401C9F" w:rsidRPr="00401C9F" w:rsidRDefault="00401C9F" w:rsidP="00401C9F">
      <w:pPr>
        <w:pStyle w:val="SOMContent"/>
        <w:numPr>
          <w:ilvl w:val="0"/>
          <w:numId w:val="30"/>
        </w:numPr>
        <w:jc w:val="both"/>
      </w:pPr>
      <w:r w:rsidRPr="00401C9F">
        <w:t xml:space="preserve">The </w:t>
      </w:r>
      <w:r w:rsidRPr="00401C9F">
        <w:rPr>
          <w:b/>
          <w:bCs/>
        </w:rPr>
        <w:t>bottom nodes</w:t>
      </w:r>
      <w:r w:rsidRPr="00401C9F">
        <w:t xml:space="preserve"> of the lattice were fixed in all directions</w:t>
      </w:r>
      <w:r w:rsidR="00683043">
        <w:t xml:space="preserve"> </w:t>
      </w:r>
      <w:r w:rsidR="00683043" w:rsidRPr="00442A35">
        <w:rPr>
          <w:bCs/>
        </w:rPr>
        <w:t>(</w:t>
      </w:r>
      <w:proofErr w:type="spellStart"/>
      <w:r w:rsidR="00683043" w:rsidRPr="00442A35">
        <w:rPr>
          <w:bCs/>
          <w:i/>
          <w:iCs/>
        </w:rPr>
        <w:t>u</w:t>
      </w:r>
      <w:r w:rsidR="00683043" w:rsidRPr="00442A35">
        <w:rPr>
          <w:bCs/>
          <w:vertAlign w:val="subscript"/>
        </w:rPr>
        <w:t>x</w:t>
      </w:r>
      <w:proofErr w:type="spellEnd"/>
      <w:r w:rsidR="00683043" w:rsidRPr="00442A35">
        <w:rPr>
          <w:bCs/>
          <w:vertAlign w:val="subscript"/>
        </w:rPr>
        <w:t xml:space="preserve"> </w:t>
      </w:r>
      <w:r w:rsidR="00683043" w:rsidRPr="00442A35">
        <w:rPr>
          <w:bCs/>
        </w:rPr>
        <w:t xml:space="preserve">= </w:t>
      </w:r>
      <w:proofErr w:type="spellStart"/>
      <w:r w:rsidR="00683043" w:rsidRPr="00442A35">
        <w:rPr>
          <w:bCs/>
          <w:i/>
          <w:iCs/>
        </w:rPr>
        <w:t>u</w:t>
      </w:r>
      <w:r w:rsidR="00683043" w:rsidRPr="00442A35">
        <w:rPr>
          <w:bCs/>
          <w:vertAlign w:val="subscript"/>
        </w:rPr>
        <w:t>y</w:t>
      </w:r>
      <w:proofErr w:type="spellEnd"/>
      <w:r w:rsidR="00683043" w:rsidRPr="00442A35">
        <w:rPr>
          <w:bCs/>
          <w:vertAlign w:val="subscript"/>
        </w:rPr>
        <w:t xml:space="preserve"> </w:t>
      </w:r>
      <w:r w:rsidR="00683043" w:rsidRPr="00442A35">
        <w:rPr>
          <w:bCs/>
        </w:rPr>
        <w:t xml:space="preserve">= </w:t>
      </w:r>
      <w:proofErr w:type="spellStart"/>
      <w:r w:rsidR="00683043" w:rsidRPr="00442A35">
        <w:rPr>
          <w:bCs/>
          <w:i/>
          <w:iCs/>
        </w:rPr>
        <w:t>u</w:t>
      </w:r>
      <w:r w:rsidR="00683043" w:rsidRPr="00442A35">
        <w:rPr>
          <w:bCs/>
          <w:vertAlign w:val="subscript"/>
        </w:rPr>
        <w:t>z</w:t>
      </w:r>
      <w:proofErr w:type="spellEnd"/>
      <w:r w:rsidR="00683043" w:rsidRPr="00442A35">
        <w:rPr>
          <w:bCs/>
        </w:rPr>
        <w:t>= 0)</w:t>
      </w:r>
      <w:r w:rsidR="00683043">
        <w:t>.</w:t>
      </w:r>
    </w:p>
    <w:p w14:paraId="580B766E" w14:textId="6C735C70" w:rsidR="00401C9F" w:rsidRPr="00401C9F" w:rsidRDefault="00401C9F" w:rsidP="00401C9F">
      <w:pPr>
        <w:pStyle w:val="SOMContent"/>
        <w:numPr>
          <w:ilvl w:val="0"/>
          <w:numId w:val="30"/>
        </w:numPr>
        <w:jc w:val="both"/>
      </w:pPr>
      <w:r w:rsidRPr="00401C9F">
        <w:t xml:space="preserve">The </w:t>
      </w:r>
      <w:r w:rsidRPr="00401C9F">
        <w:rPr>
          <w:b/>
          <w:bCs/>
        </w:rPr>
        <w:t>top nodes</w:t>
      </w:r>
      <w:r w:rsidRPr="00401C9F">
        <w:t xml:space="preserve"> were constrained in the lateral directions</w:t>
      </w:r>
      <w:r w:rsidR="00683043">
        <w:t xml:space="preserve"> </w:t>
      </w:r>
      <w:r w:rsidR="00683043" w:rsidRPr="00442A35">
        <w:rPr>
          <w:bCs/>
        </w:rPr>
        <w:t>(</w:t>
      </w:r>
      <w:proofErr w:type="spellStart"/>
      <w:r w:rsidR="00683043" w:rsidRPr="00442A35">
        <w:rPr>
          <w:bCs/>
          <w:i/>
          <w:iCs/>
        </w:rPr>
        <w:t>u</w:t>
      </w:r>
      <w:r w:rsidR="00683043" w:rsidRPr="00442A35">
        <w:rPr>
          <w:bCs/>
          <w:vertAlign w:val="subscript"/>
        </w:rPr>
        <w:t>x</w:t>
      </w:r>
      <w:proofErr w:type="spellEnd"/>
      <w:r w:rsidR="00683043" w:rsidRPr="00442A35">
        <w:rPr>
          <w:bCs/>
          <w:vertAlign w:val="subscript"/>
        </w:rPr>
        <w:t xml:space="preserve"> </w:t>
      </w:r>
      <w:r w:rsidR="00683043" w:rsidRPr="00442A35">
        <w:rPr>
          <w:bCs/>
        </w:rPr>
        <w:t xml:space="preserve">= </w:t>
      </w:r>
      <w:proofErr w:type="spellStart"/>
      <w:r w:rsidR="00683043" w:rsidRPr="00442A35">
        <w:rPr>
          <w:bCs/>
          <w:i/>
          <w:iCs/>
        </w:rPr>
        <w:t>u</w:t>
      </w:r>
      <w:r w:rsidR="00683043" w:rsidRPr="00442A35">
        <w:rPr>
          <w:bCs/>
          <w:vertAlign w:val="subscript"/>
        </w:rPr>
        <w:t>y</w:t>
      </w:r>
      <w:proofErr w:type="spellEnd"/>
      <w:r w:rsidR="00683043" w:rsidRPr="00442A35">
        <w:rPr>
          <w:bCs/>
          <w:vertAlign w:val="subscript"/>
        </w:rPr>
        <w:t xml:space="preserve"> </w:t>
      </w:r>
      <w:r w:rsidR="00683043" w:rsidRPr="00442A35">
        <w:rPr>
          <w:bCs/>
        </w:rPr>
        <w:t>= 0)</w:t>
      </w:r>
      <w:r w:rsidRPr="00401C9F">
        <w:t>, while allowing vertical displacement (</w:t>
      </w:r>
      <w:proofErr w:type="spellStart"/>
      <w:r w:rsidR="00683043" w:rsidRPr="00442A35">
        <w:rPr>
          <w:bCs/>
          <w:i/>
          <w:iCs/>
        </w:rPr>
        <w:t>u</w:t>
      </w:r>
      <w:r w:rsidR="00683043" w:rsidRPr="00442A35">
        <w:rPr>
          <w:bCs/>
          <w:vertAlign w:val="subscript"/>
        </w:rPr>
        <w:t>z</w:t>
      </w:r>
      <w:proofErr w:type="spellEnd"/>
      <w:r w:rsidRPr="00401C9F">
        <w:t xml:space="preserve"> free).</w:t>
      </w:r>
    </w:p>
    <w:p w14:paraId="4ACB4FF9" w14:textId="77777777" w:rsidR="00401C9F" w:rsidRPr="00401C9F" w:rsidRDefault="00401C9F" w:rsidP="00401C9F">
      <w:pPr>
        <w:pStyle w:val="SOMContent"/>
        <w:numPr>
          <w:ilvl w:val="0"/>
          <w:numId w:val="30"/>
        </w:numPr>
        <w:jc w:val="both"/>
      </w:pPr>
      <w:r w:rsidRPr="00401C9F">
        <w:t xml:space="preserve">For stiffness evaluation, a </w:t>
      </w:r>
      <w:r w:rsidRPr="00401C9F">
        <w:rPr>
          <w:b/>
          <w:bCs/>
        </w:rPr>
        <w:t>1 mm vertical displacement</w:t>
      </w:r>
      <w:r w:rsidRPr="00401C9F">
        <w:t xml:space="preserve"> was imposed on the top layer.</w:t>
      </w:r>
    </w:p>
    <w:p w14:paraId="74C7E084" w14:textId="77777777" w:rsidR="00401C9F" w:rsidRPr="00401C9F" w:rsidRDefault="00401C9F" w:rsidP="00401C9F">
      <w:pPr>
        <w:pStyle w:val="SOMContent"/>
        <w:numPr>
          <w:ilvl w:val="0"/>
          <w:numId w:val="30"/>
        </w:numPr>
        <w:jc w:val="both"/>
      </w:pPr>
      <w:r w:rsidRPr="00401C9F">
        <w:lastRenderedPageBreak/>
        <w:t xml:space="preserve">For buckling simulations, a </w:t>
      </w:r>
      <w:r w:rsidRPr="00401C9F">
        <w:rPr>
          <w:b/>
          <w:bCs/>
        </w:rPr>
        <w:t>uniform compressive pressure</w:t>
      </w:r>
      <w:r w:rsidRPr="00401C9F">
        <w:t xml:space="preserve"> was applied along the top surface.</w:t>
      </w:r>
    </w:p>
    <w:p w14:paraId="38C2AAAC" w14:textId="1706CC67" w:rsidR="00401C9F" w:rsidRPr="00401C9F" w:rsidRDefault="00401C9F" w:rsidP="00401C9F">
      <w:pPr>
        <w:pStyle w:val="SOMContent"/>
        <w:jc w:val="both"/>
      </w:pPr>
      <w:r>
        <w:t xml:space="preserve">Material properties were experimentally characterized using bulk-cured samples of the Anycubic Craftsman DLP resin. The resin was modeled as a linear elastic material with a Young’s modulus of </w:t>
      </w:r>
      <w:r w:rsidRPr="00401C9F">
        <w:rPr>
          <w:i/>
          <w:iCs/>
        </w:rPr>
        <w:t>E</w:t>
      </w:r>
      <w:r>
        <w:rPr>
          <w:i/>
          <w:iCs/>
        </w:rPr>
        <w:t xml:space="preserve"> </w:t>
      </w:r>
      <w:r>
        <w:t>= 1.1 </w:t>
      </w:r>
      <w:proofErr w:type="spellStart"/>
      <w:r>
        <w:t>GPa</w:t>
      </w:r>
      <w:proofErr w:type="spellEnd"/>
      <w:r>
        <w:t xml:space="preserve"> and Poisson’s ratio </w:t>
      </w:r>
      <w:r w:rsidRPr="00401C9F">
        <w:rPr>
          <w:i/>
          <w:iCs/>
        </w:rPr>
        <w:t xml:space="preserve">ν </w:t>
      </w:r>
      <w:r>
        <w:t>= 0.49.</w:t>
      </w:r>
    </w:p>
    <w:p w14:paraId="4FB6F8CB" w14:textId="632326F2" w:rsidR="00401C9F" w:rsidRPr="00401C9F" w:rsidRDefault="00401C9F" w:rsidP="00401C9F">
      <w:pPr>
        <w:pStyle w:val="SOMContent"/>
        <w:jc w:val="both"/>
      </w:pPr>
      <w:r w:rsidRPr="00401C9F">
        <w:t xml:space="preserve">Two </w:t>
      </w:r>
      <w:r w:rsidR="00E95B44">
        <w:t>analysis</w:t>
      </w:r>
      <w:r w:rsidRPr="00401C9F">
        <w:t xml:space="preserve"> types were conducted for each design:</w:t>
      </w:r>
    </w:p>
    <w:p w14:paraId="39735F89" w14:textId="1F9E1E1D" w:rsidR="00401C9F" w:rsidRPr="00401C9F" w:rsidRDefault="00401C9F" w:rsidP="00401C9F">
      <w:pPr>
        <w:pStyle w:val="SOMContent"/>
        <w:numPr>
          <w:ilvl w:val="0"/>
          <w:numId w:val="29"/>
        </w:numPr>
        <w:jc w:val="both"/>
      </w:pPr>
      <w:r>
        <w:rPr>
          <w:b/>
          <w:bCs/>
        </w:rPr>
        <w:t>S</w:t>
      </w:r>
      <w:r w:rsidRPr="00401C9F">
        <w:rPr>
          <w:b/>
          <w:bCs/>
        </w:rPr>
        <w:t>tatic analysis</w:t>
      </w:r>
      <w:r w:rsidRPr="00401C9F">
        <w:t xml:space="preserve"> to compute the effective axial stiffness under 1 mm displacement loading.</w:t>
      </w:r>
    </w:p>
    <w:p w14:paraId="1A24D1CE" w14:textId="0EF91497" w:rsidR="00401C9F" w:rsidRPr="00401C9F" w:rsidRDefault="00401C9F" w:rsidP="00401C9F">
      <w:pPr>
        <w:pStyle w:val="SOMContent"/>
        <w:numPr>
          <w:ilvl w:val="0"/>
          <w:numId w:val="29"/>
        </w:numPr>
        <w:jc w:val="both"/>
      </w:pPr>
      <w:r>
        <w:rPr>
          <w:b/>
          <w:bCs/>
        </w:rPr>
        <w:t>B</w:t>
      </w:r>
      <w:r w:rsidRPr="00401C9F">
        <w:rPr>
          <w:b/>
          <w:bCs/>
        </w:rPr>
        <w:t>uckling analysis</w:t>
      </w:r>
      <w:r w:rsidRPr="00401C9F">
        <w:t xml:space="preserve"> to extract the critical buckling load.</w:t>
      </w:r>
    </w:p>
    <w:p w14:paraId="2BDF30F4" w14:textId="37A93D0C" w:rsidR="00E95B44" w:rsidRDefault="00401C9F" w:rsidP="003C1DB5">
      <w:pPr>
        <w:pStyle w:val="SOMContent"/>
        <w:jc w:val="both"/>
      </w:pPr>
      <w:r w:rsidRPr="00401C9F">
        <w:t>For selected Pareto-optimal designs, nonlinear buckling simulations were conducted to account for large deformations, geometric imperfections, and post-buckling behavior. Initial imperfections were introduced by scaling the first linear buckling mode, simulating manufacturing-induced flaws. These simulations yielded more accurate predictions of failure load and revealed stress redistribution patterns during collapse.</w:t>
      </w:r>
      <w:r>
        <w:t xml:space="preserve"> </w:t>
      </w:r>
      <w:r w:rsidR="00E95B44" w:rsidRPr="00E95B44">
        <w:t xml:space="preserve">A Python </w:t>
      </w:r>
      <w:r w:rsidR="00E95B44">
        <w:t xml:space="preserve">script used to generate </w:t>
      </w:r>
      <w:r w:rsidR="003C5D71">
        <w:t>geometries</w:t>
      </w:r>
      <w:r w:rsidR="00E95B44">
        <w:t xml:space="preserve"> and run simulations is </w:t>
      </w:r>
      <w:r w:rsidR="00E95B44" w:rsidRPr="00E95B44">
        <w:t>provided in the SI.</w:t>
      </w:r>
    </w:p>
    <w:p w14:paraId="23CA2372" w14:textId="688FB7A5" w:rsidR="00401C9F" w:rsidRPr="00EA479B" w:rsidRDefault="00EA479B" w:rsidP="003C1DB5">
      <w:pPr>
        <w:pStyle w:val="SOMContent"/>
        <w:jc w:val="both"/>
        <w:rPr>
          <w:u w:val="single"/>
        </w:rPr>
      </w:pPr>
      <w:r w:rsidRPr="00EA479B">
        <w:rPr>
          <w:u w:val="single"/>
        </w:rPr>
        <w:t>Harmonic Analysis</w:t>
      </w:r>
    </w:p>
    <w:p w14:paraId="5C5E8F79" w14:textId="2C3DE5E0" w:rsidR="00E95B44" w:rsidRDefault="00E95B44" w:rsidP="00EA479B">
      <w:pPr>
        <w:pStyle w:val="SOMContent"/>
        <w:jc w:val="both"/>
      </w:pPr>
      <w:r w:rsidRPr="00E95B44">
        <w:t>Harmonic FEA was performed for Designs A, D, H, and I to compare structural resonance with fluidic excitation frequencies. Simulations replicated SPIV boundary conditions: all nodes at the top and bottom surfaces were fixed in all directions</w:t>
      </w:r>
      <w:r w:rsidR="003C5D71">
        <w:t xml:space="preserve">. </w:t>
      </w:r>
      <w:r w:rsidRPr="00E95B44">
        <w:t xml:space="preserve"> </w:t>
      </w:r>
      <w:r w:rsidR="003C5D71">
        <w:t>A</w:t>
      </w:r>
      <w:r w:rsidRPr="00E95B44">
        <w:t xml:space="preserve"> unit radial force was applied at mid-height nodes in the circumferential (XY) direction. The frequency response was evaluated from 0–100 Hz in 0.1 Hz steps using the Harmonic Response module in MAPDL.</w:t>
      </w:r>
    </w:p>
    <w:p w14:paraId="0D27EF57" w14:textId="0B184DB2" w:rsidR="00B67E1F" w:rsidRDefault="00E95B44" w:rsidP="00EA479B">
      <w:pPr>
        <w:pStyle w:val="SOMContent"/>
        <w:jc w:val="both"/>
      </w:pPr>
      <w:r w:rsidRPr="00E95B44">
        <w:t>The displacement spectra showed the first significant resonance above 20 Hz (</w:t>
      </w:r>
      <w:r w:rsidRPr="00E95B44">
        <w:rPr>
          <w:b/>
          <w:bCs/>
        </w:rPr>
        <w:t>Figure 6</w:t>
      </w:r>
      <w:r w:rsidRPr="00E95B44">
        <w:t>, main manuscript), well above the vortex shedding frequencies of 0.85–1.1 Hz measured in CFD and SPIV. This spectral separation supports the assumption of negligible fluid–structure coupling in the optimization.</w:t>
      </w:r>
    </w:p>
    <w:p w14:paraId="712BD982" w14:textId="15D5A42D" w:rsidR="00E441CB" w:rsidRPr="00E441CB" w:rsidRDefault="00E441CB" w:rsidP="00EA479B">
      <w:pPr>
        <w:pStyle w:val="SOMContent"/>
        <w:jc w:val="both"/>
        <w:rPr>
          <w:u w:val="single"/>
        </w:rPr>
      </w:pPr>
      <w:r w:rsidRPr="00E441CB">
        <w:rPr>
          <w:u w:val="single"/>
        </w:rPr>
        <w:t>Experimental Testing and Validation</w:t>
      </w:r>
    </w:p>
    <w:p w14:paraId="2C4AB25A" w14:textId="77777777" w:rsidR="007D2431" w:rsidRPr="007D2431" w:rsidRDefault="007D2431" w:rsidP="007D2431">
      <w:pPr>
        <w:pStyle w:val="SOMContent"/>
        <w:jc w:val="both"/>
      </w:pPr>
      <w:r w:rsidRPr="007D2431">
        <w:t>To validate the simulations, four Pareto-optimal structures (Designs A, D, H, and I) were fabricated using a high-resolution DLP printer with Craftsman resin. Each design was tested in quadruplicate under quasi-static uniaxial compression on an Instron testing system.</w:t>
      </w:r>
    </w:p>
    <w:p w14:paraId="48A8F273" w14:textId="77777777" w:rsidR="007D2431" w:rsidRPr="007D2431" w:rsidRDefault="007D2431" w:rsidP="007D2431">
      <w:pPr>
        <w:pStyle w:val="SOMContent"/>
        <w:jc w:val="both"/>
      </w:pPr>
      <w:r w:rsidRPr="007D2431">
        <w:t xml:space="preserve">Axial stiffness (N/mm) and critical buckling load (N) were measured for each specimen and averaged across the four samples per design. Nonlinear FEA results were then compared to experiments by matching displacement and stress fields with failure locations recorded on video during testing. Snapshots from these recordings are shown in </w:t>
      </w:r>
      <w:r w:rsidRPr="007D2431">
        <w:rPr>
          <w:b/>
          <w:bCs/>
        </w:rPr>
        <w:t>Figure S3</w:t>
      </w:r>
      <w:r w:rsidRPr="007D2431">
        <w:t xml:space="preserve">, with full videos provided as </w:t>
      </w:r>
      <w:r w:rsidRPr="007D2431">
        <w:rPr>
          <w:b/>
          <w:bCs/>
        </w:rPr>
        <w:t>Supplementary Videos 2–5</w:t>
      </w:r>
      <w:r w:rsidRPr="007D2431">
        <w:t>.</w:t>
      </w:r>
    </w:p>
    <w:p w14:paraId="40A2AF26" w14:textId="283FD0EC" w:rsidR="007D2431" w:rsidRDefault="007D2431" w:rsidP="00A82F0D">
      <w:pPr>
        <w:pStyle w:val="SOMContent"/>
        <w:jc w:val="both"/>
      </w:pPr>
      <w:r w:rsidRPr="007D2431">
        <w:t xml:space="preserve">In </w:t>
      </w:r>
      <w:r w:rsidRPr="007D2431">
        <w:rPr>
          <w:b/>
          <w:bCs/>
        </w:rPr>
        <w:t>Figure S3</w:t>
      </w:r>
      <w:r w:rsidRPr="007D2431">
        <w:t xml:space="preserve">, nonlinear FEA predictions (stress and displacement fields, as in </w:t>
      </w:r>
      <w:r w:rsidRPr="007D2431">
        <w:rPr>
          <w:b/>
          <w:bCs/>
        </w:rPr>
        <w:t>Figure 4</w:t>
      </w:r>
      <w:r w:rsidRPr="007D2431">
        <w:t xml:space="preserve"> of the main manuscript) are shown alongside experimental images for Designs A, D, H, and I. Insets highlight regions where buckling or localized deformation occurred. Across all four cases, the simulated peak displacement and stress regions closely matched </w:t>
      </w:r>
      <w:r>
        <w:t>experimentally</w:t>
      </w:r>
      <w:r w:rsidRPr="007D2431">
        <w:t xml:space="preserve"> observed failure </w:t>
      </w:r>
      <w:r>
        <w:t>locations.</w:t>
      </w:r>
    </w:p>
    <w:p w14:paraId="60F3CE57" w14:textId="36EB4F53" w:rsidR="003C5D71" w:rsidRDefault="007D2431" w:rsidP="00A82F0D">
      <w:pPr>
        <w:pStyle w:val="SOMContent"/>
        <w:jc w:val="both"/>
      </w:pPr>
      <w:r w:rsidRPr="00B57B06">
        <w:rPr>
          <w:b/>
          <w:bCs/>
        </w:rPr>
        <w:t>Table S2</w:t>
      </w:r>
      <w:r w:rsidRPr="00A82F0D">
        <w:t xml:space="preserve"> summarizes axial stiffness and buckling loads from both simulation and experiment. Deviations are within experimental uncertainty and are attributed to typical factors such as fabrication tolerances, resin shrinkage, or minor misalignments during testing. The close </w:t>
      </w:r>
      <w:r w:rsidRPr="00A82F0D">
        <w:lastRenderedPageBreak/>
        <w:t>agreement across all four designs further confirms the robustness and reliability of the modeling approach.</w:t>
      </w:r>
    </w:p>
    <w:p w14:paraId="10C2BAB6" w14:textId="5CB1269F" w:rsidR="00C31B48" w:rsidRDefault="00C31B48" w:rsidP="003C1DB5">
      <w:pPr>
        <w:pStyle w:val="SOMContent"/>
        <w:jc w:val="both"/>
      </w:pPr>
      <w:r>
        <w:rPr>
          <w:noProof/>
        </w:rPr>
        <w:drawing>
          <wp:inline distT="0" distB="0" distL="0" distR="0" wp14:anchorId="19150194" wp14:editId="7684B8C4">
            <wp:extent cx="5934710" cy="4177665"/>
            <wp:effectExtent l="0" t="0" r="0" b="0"/>
            <wp:docPr id="15802319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4710" cy="4177665"/>
                    </a:xfrm>
                    <a:prstGeom prst="rect">
                      <a:avLst/>
                    </a:prstGeom>
                    <a:noFill/>
                    <a:ln>
                      <a:noFill/>
                    </a:ln>
                  </pic:spPr>
                </pic:pic>
              </a:graphicData>
            </a:graphic>
          </wp:inline>
        </w:drawing>
      </w:r>
    </w:p>
    <w:p w14:paraId="1861C89A" w14:textId="291714A2" w:rsidR="009618C8" w:rsidRPr="007D2431" w:rsidRDefault="00706360" w:rsidP="003C1DB5">
      <w:pPr>
        <w:pStyle w:val="SOMContent"/>
        <w:jc w:val="both"/>
        <w:rPr>
          <w:sz w:val="22"/>
          <w:szCs w:val="22"/>
        </w:rPr>
      </w:pPr>
      <w:r w:rsidRPr="001E6CE1">
        <w:rPr>
          <w:b/>
          <w:bCs/>
          <w:sz w:val="22"/>
          <w:szCs w:val="22"/>
        </w:rPr>
        <w:t>Fig. S</w:t>
      </w:r>
      <w:r w:rsidR="009618C8">
        <w:rPr>
          <w:b/>
          <w:bCs/>
          <w:sz w:val="22"/>
          <w:szCs w:val="22"/>
        </w:rPr>
        <w:t>3</w:t>
      </w:r>
      <w:r w:rsidRPr="001E6CE1">
        <w:rPr>
          <w:b/>
          <w:bCs/>
          <w:sz w:val="22"/>
          <w:szCs w:val="22"/>
        </w:rPr>
        <w:t>: Comparison of nonlinear FEA predictions and experimental failure observations for four fabricated sponge-inspired designs (A, D, H, I).</w:t>
      </w:r>
      <w:r w:rsidRPr="001E6CE1">
        <w:rPr>
          <w:sz w:val="22"/>
          <w:szCs w:val="22"/>
        </w:rPr>
        <w:t xml:space="preserve"> Each panel shows the simulated stress or displacement field (left) alongside a snapshot from the compression test video (right). </w:t>
      </w:r>
      <w:proofErr w:type="gramStart"/>
      <w:r w:rsidRPr="001E6CE1">
        <w:rPr>
          <w:sz w:val="22"/>
          <w:szCs w:val="22"/>
        </w:rPr>
        <w:t>Insets</w:t>
      </w:r>
      <w:proofErr w:type="gramEnd"/>
      <w:r w:rsidRPr="001E6CE1">
        <w:rPr>
          <w:sz w:val="22"/>
          <w:szCs w:val="22"/>
        </w:rPr>
        <w:t xml:space="preserve"> in the experimental images highlight the locations of initial buckling or failure. These regions strongly correlate with zones of high displacement amplitude or stress in the FEA, validating the predictive accuracy of the nonlinear mechanical simulations.</w:t>
      </w:r>
    </w:p>
    <w:p w14:paraId="7C3DCD10" w14:textId="4395585D" w:rsidR="00725095" w:rsidRPr="001E6CE1" w:rsidRDefault="00706360" w:rsidP="003C1DB5">
      <w:pPr>
        <w:pStyle w:val="SOMContent"/>
        <w:jc w:val="both"/>
        <w:rPr>
          <w:sz w:val="22"/>
          <w:szCs w:val="22"/>
        </w:rPr>
      </w:pPr>
      <w:r w:rsidRPr="001E6CE1">
        <w:rPr>
          <w:b/>
          <w:bCs/>
          <w:sz w:val="22"/>
          <w:szCs w:val="22"/>
        </w:rPr>
        <w:t>Table S2: Comparison of Simulated and Experimental Mechanical Performance for Fabricated Designs</w:t>
      </w:r>
      <w:r w:rsidR="00725095" w:rsidRPr="001E6CE1">
        <w:rPr>
          <w:b/>
          <w:bCs/>
          <w:sz w:val="22"/>
          <w:szCs w:val="22"/>
        </w:rPr>
        <w:t xml:space="preserve">. </w:t>
      </w:r>
      <w:r w:rsidR="00725095" w:rsidRPr="001E6CE1">
        <w:rPr>
          <w:sz w:val="22"/>
          <w:szCs w:val="22"/>
        </w:rPr>
        <w:t>Axial stiffness and critical buckling load are reported for each of the four tested designs (A, D, H, I). FEA values were obtained from nonlinear simulations. Experimental values are reported as mean ± standard deviation across n = 4 specimens per design.</w:t>
      </w:r>
      <w:r w:rsidR="009F4D7E" w:rsidRPr="001E6CE1">
        <w:rPr>
          <w:sz w:val="22"/>
          <w:szCs w:val="22"/>
        </w:rPr>
        <w:tab/>
      </w:r>
      <w:r w:rsidR="009F4D7E" w:rsidRPr="001E6CE1">
        <w:rPr>
          <w:sz w:val="22"/>
          <w:szCs w:val="22"/>
        </w:rPr>
        <w:br/>
      </w:r>
    </w:p>
    <w:tbl>
      <w:tblPr>
        <w:tblW w:w="9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0"/>
        <w:gridCol w:w="1965"/>
        <w:gridCol w:w="2070"/>
        <w:gridCol w:w="2340"/>
        <w:gridCol w:w="1985"/>
      </w:tblGrid>
      <w:tr w:rsidR="00706360" w:rsidRPr="00C451C4" w14:paraId="3E51B521" w14:textId="77777777" w:rsidTr="005207A2">
        <w:trPr>
          <w:trHeight w:val="429"/>
        </w:trPr>
        <w:tc>
          <w:tcPr>
            <w:tcW w:w="1090" w:type="dxa"/>
            <w:vMerge w:val="restart"/>
            <w:shd w:val="clear" w:color="000000" w:fill="D8E4BC"/>
            <w:vAlign w:val="center"/>
            <w:hideMark/>
          </w:tcPr>
          <w:p w14:paraId="53675965" w14:textId="77777777" w:rsidR="00706360" w:rsidRPr="00C451C4" w:rsidRDefault="00706360" w:rsidP="00152A97">
            <w:pPr>
              <w:jc w:val="center"/>
              <w:rPr>
                <w:rFonts w:ascii="Calibri" w:eastAsia="Times New Roman" w:hAnsi="Calibri" w:cs="Calibri"/>
                <w:b/>
                <w:bCs/>
                <w:color w:val="000000"/>
                <w:sz w:val="22"/>
                <w:szCs w:val="22"/>
              </w:rPr>
            </w:pPr>
            <w:r w:rsidRPr="00C451C4">
              <w:rPr>
                <w:rFonts w:ascii="Calibri" w:eastAsia="Times New Roman" w:hAnsi="Calibri" w:cs="Calibri"/>
                <w:b/>
                <w:bCs/>
                <w:color w:val="000000"/>
                <w:sz w:val="22"/>
                <w:szCs w:val="22"/>
              </w:rPr>
              <w:t>Optimum</w:t>
            </w:r>
            <w:r w:rsidRPr="00C451C4">
              <w:rPr>
                <w:rFonts w:ascii="Calibri" w:eastAsia="Times New Roman" w:hAnsi="Calibri" w:cs="Calibri"/>
                <w:b/>
                <w:bCs/>
                <w:color w:val="000000"/>
                <w:sz w:val="22"/>
                <w:szCs w:val="22"/>
              </w:rPr>
              <w:br/>
              <w:t>Design</w:t>
            </w:r>
          </w:p>
        </w:tc>
        <w:tc>
          <w:tcPr>
            <w:tcW w:w="4035" w:type="dxa"/>
            <w:gridSpan w:val="2"/>
            <w:shd w:val="clear" w:color="000000" w:fill="D9D9D9"/>
            <w:noWrap/>
            <w:vAlign w:val="center"/>
            <w:hideMark/>
          </w:tcPr>
          <w:p w14:paraId="3EDD5C2C" w14:textId="1D22FA9B" w:rsidR="00706360" w:rsidRPr="00C451C4" w:rsidRDefault="00706360" w:rsidP="00152A97">
            <w:pPr>
              <w:jc w:val="center"/>
              <w:rPr>
                <w:rFonts w:ascii="Calibri" w:eastAsia="Times New Roman" w:hAnsi="Calibri" w:cs="Calibri"/>
                <w:b/>
                <w:bCs/>
                <w:color w:val="000000"/>
                <w:sz w:val="22"/>
                <w:szCs w:val="22"/>
              </w:rPr>
            </w:pPr>
            <w:r>
              <w:rPr>
                <w:rFonts w:ascii="Calibri" w:eastAsia="Times New Roman" w:hAnsi="Calibri" w:cs="Calibri"/>
                <w:b/>
                <w:bCs/>
                <w:color w:val="000000"/>
                <w:sz w:val="22"/>
                <w:szCs w:val="22"/>
              </w:rPr>
              <w:t>Axial Stiffness [N/mm]</w:t>
            </w:r>
          </w:p>
        </w:tc>
        <w:tc>
          <w:tcPr>
            <w:tcW w:w="4325" w:type="dxa"/>
            <w:gridSpan w:val="2"/>
            <w:shd w:val="clear" w:color="000000" w:fill="D9D9D9"/>
            <w:noWrap/>
            <w:vAlign w:val="center"/>
            <w:hideMark/>
          </w:tcPr>
          <w:p w14:paraId="4D25CDB7" w14:textId="38492FEC" w:rsidR="00706360" w:rsidRPr="00C451C4" w:rsidRDefault="00706360" w:rsidP="00152A97">
            <w:pPr>
              <w:jc w:val="center"/>
              <w:rPr>
                <w:rFonts w:ascii="Calibri" w:eastAsia="Times New Roman" w:hAnsi="Calibri" w:cs="Calibri"/>
                <w:b/>
                <w:bCs/>
                <w:color w:val="000000"/>
                <w:sz w:val="22"/>
                <w:szCs w:val="22"/>
              </w:rPr>
            </w:pPr>
            <w:r>
              <w:rPr>
                <w:rFonts w:ascii="Calibri" w:eastAsia="Times New Roman" w:hAnsi="Calibri" w:cs="Calibri"/>
                <w:b/>
                <w:bCs/>
                <w:color w:val="000000"/>
                <w:sz w:val="22"/>
                <w:szCs w:val="22"/>
              </w:rPr>
              <w:t>Critical Buckling Load [N]</w:t>
            </w:r>
          </w:p>
        </w:tc>
      </w:tr>
      <w:tr w:rsidR="00706360" w:rsidRPr="00C451C4" w14:paraId="2D71DFE2" w14:textId="77777777" w:rsidTr="005207A2">
        <w:trPr>
          <w:trHeight w:val="463"/>
        </w:trPr>
        <w:tc>
          <w:tcPr>
            <w:tcW w:w="1090" w:type="dxa"/>
            <w:vMerge/>
            <w:vAlign w:val="center"/>
            <w:hideMark/>
          </w:tcPr>
          <w:p w14:paraId="5F9E900C" w14:textId="77777777" w:rsidR="00706360" w:rsidRPr="00C451C4" w:rsidRDefault="00706360" w:rsidP="00152A97">
            <w:pPr>
              <w:rPr>
                <w:rFonts w:ascii="Calibri" w:eastAsia="Times New Roman" w:hAnsi="Calibri" w:cs="Calibri"/>
                <w:b/>
                <w:bCs/>
                <w:color w:val="000000"/>
                <w:sz w:val="22"/>
                <w:szCs w:val="22"/>
              </w:rPr>
            </w:pPr>
          </w:p>
        </w:tc>
        <w:tc>
          <w:tcPr>
            <w:tcW w:w="1965" w:type="dxa"/>
            <w:shd w:val="clear" w:color="DBE5F1" w:fill="DBE5F1"/>
            <w:noWrap/>
            <w:vAlign w:val="center"/>
            <w:hideMark/>
          </w:tcPr>
          <w:p w14:paraId="61090D20" w14:textId="08EAD4CC" w:rsidR="00706360" w:rsidRPr="00C451C4" w:rsidRDefault="005207A2" w:rsidP="00152A97">
            <w:pPr>
              <w:jc w:val="center"/>
              <w:rPr>
                <w:rFonts w:ascii="Calibri" w:eastAsia="Times New Roman" w:hAnsi="Calibri" w:cs="Calibri"/>
                <w:b/>
                <w:bCs/>
                <w:color w:val="000000"/>
                <w:sz w:val="22"/>
                <w:szCs w:val="22"/>
              </w:rPr>
            </w:pPr>
            <w:r>
              <w:rPr>
                <w:rFonts w:ascii="Calibri" w:eastAsia="Times New Roman" w:hAnsi="Calibri" w:cs="Calibri"/>
                <w:b/>
                <w:bCs/>
                <w:color w:val="000000"/>
                <w:sz w:val="22"/>
                <w:szCs w:val="22"/>
              </w:rPr>
              <w:t>Nonlinear FEA</w:t>
            </w:r>
          </w:p>
        </w:tc>
        <w:tc>
          <w:tcPr>
            <w:tcW w:w="2070" w:type="dxa"/>
            <w:shd w:val="clear" w:color="auto" w:fill="E5B8B7" w:themeFill="accent2" w:themeFillTint="66"/>
            <w:noWrap/>
            <w:vAlign w:val="center"/>
            <w:hideMark/>
          </w:tcPr>
          <w:p w14:paraId="33496CA0" w14:textId="7EFDE0CA" w:rsidR="00706360" w:rsidRPr="00C451C4" w:rsidRDefault="005207A2" w:rsidP="00152A97">
            <w:pPr>
              <w:jc w:val="center"/>
              <w:rPr>
                <w:rFonts w:ascii="Calibri" w:eastAsia="Times New Roman" w:hAnsi="Calibri" w:cs="Calibri"/>
                <w:b/>
                <w:bCs/>
                <w:color w:val="000000"/>
                <w:sz w:val="22"/>
                <w:szCs w:val="22"/>
              </w:rPr>
            </w:pPr>
            <w:r>
              <w:rPr>
                <w:rFonts w:ascii="Calibri" w:eastAsia="Times New Roman" w:hAnsi="Calibri" w:cs="Calibri"/>
                <w:b/>
                <w:bCs/>
                <w:color w:val="000000"/>
                <w:sz w:val="22"/>
                <w:szCs w:val="22"/>
              </w:rPr>
              <w:t>Experiments</w:t>
            </w:r>
          </w:p>
        </w:tc>
        <w:tc>
          <w:tcPr>
            <w:tcW w:w="2340" w:type="dxa"/>
            <w:shd w:val="clear" w:color="auto" w:fill="DBE5F1" w:themeFill="accent1" w:themeFillTint="33"/>
            <w:noWrap/>
            <w:vAlign w:val="center"/>
            <w:hideMark/>
          </w:tcPr>
          <w:p w14:paraId="5A791492" w14:textId="755916DA" w:rsidR="00706360" w:rsidRPr="00C451C4" w:rsidRDefault="005207A2" w:rsidP="00152A97">
            <w:pPr>
              <w:jc w:val="center"/>
              <w:rPr>
                <w:rFonts w:ascii="Calibri" w:eastAsia="Times New Roman" w:hAnsi="Calibri" w:cs="Calibri"/>
                <w:b/>
                <w:bCs/>
                <w:color w:val="000000"/>
                <w:sz w:val="22"/>
                <w:szCs w:val="22"/>
              </w:rPr>
            </w:pPr>
            <w:r>
              <w:rPr>
                <w:rFonts w:ascii="Calibri" w:eastAsia="Times New Roman" w:hAnsi="Calibri" w:cs="Calibri"/>
                <w:b/>
                <w:bCs/>
                <w:color w:val="000000"/>
                <w:sz w:val="22"/>
                <w:szCs w:val="22"/>
              </w:rPr>
              <w:t>Nonlinear FEA</w:t>
            </w:r>
          </w:p>
        </w:tc>
        <w:tc>
          <w:tcPr>
            <w:tcW w:w="1985" w:type="dxa"/>
            <w:shd w:val="clear" w:color="DBE5F1" w:fill="E6B8B7"/>
            <w:noWrap/>
            <w:vAlign w:val="center"/>
            <w:hideMark/>
          </w:tcPr>
          <w:p w14:paraId="7217155B" w14:textId="64394B7F" w:rsidR="00706360" w:rsidRPr="00C451C4" w:rsidRDefault="005207A2" w:rsidP="00152A97">
            <w:pPr>
              <w:jc w:val="center"/>
              <w:rPr>
                <w:rFonts w:ascii="Calibri" w:eastAsia="Times New Roman" w:hAnsi="Calibri" w:cs="Calibri"/>
                <w:b/>
                <w:bCs/>
                <w:color w:val="000000"/>
                <w:sz w:val="22"/>
                <w:szCs w:val="22"/>
              </w:rPr>
            </w:pPr>
            <w:r>
              <w:rPr>
                <w:rFonts w:ascii="Calibri" w:eastAsia="Times New Roman" w:hAnsi="Calibri" w:cs="Calibri"/>
                <w:b/>
                <w:bCs/>
                <w:color w:val="000000"/>
                <w:sz w:val="22"/>
                <w:szCs w:val="22"/>
              </w:rPr>
              <w:t>Experiments</w:t>
            </w:r>
          </w:p>
        </w:tc>
      </w:tr>
      <w:tr w:rsidR="00706360" w:rsidRPr="00C451C4" w14:paraId="263D0C24" w14:textId="77777777" w:rsidTr="005207A2">
        <w:trPr>
          <w:trHeight w:val="410"/>
        </w:trPr>
        <w:tc>
          <w:tcPr>
            <w:tcW w:w="1090" w:type="dxa"/>
            <w:shd w:val="clear" w:color="000000" w:fill="FFFFFF"/>
            <w:noWrap/>
            <w:vAlign w:val="center"/>
            <w:hideMark/>
          </w:tcPr>
          <w:p w14:paraId="04A6BAA5" w14:textId="77777777" w:rsidR="00706360" w:rsidRPr="00C451C4" w:rsidRDefault="00706360" w:rsidP="00152A97">
            <w:pPr>
              <w:jc w:val="center"/>
              <w:rPr>
                <w:rFonts w:ascii="Calibri" w:eastAsia="Times New Roman" w:hAnsi="Calibri" w:cs="Calibri"/>
                <w:b/>
                <w:bCs/>
                <w:color w:val="000000"/>
                <w:sz w:val="22"/>
                <w:szCs w:val="22"/>
              </w:rPr>
            </w:pPr>
            <w:r w:rsidRPr="00C451C4">
              <w:rPr>
                <w:rFonts w:ascii="Calibri" w:eastAsia="Times New Roman" w:hAnsi="Calibri" w:cs="Calibri"/>
                <w:b/>
                <w:bCs/>
                <w:color w:val="000000"/>
                <w:sz w:val="22"/>
                <w:szCs w:val="22"/>
              </w:rPr>
              <w:t>A</w:t>
            </w:r>
          </w:p>
        </w:tc>
        <w:tc>
          <w:tcPr>
            <w:tcW w:w="1965" w:type="dxa"/>
            <w:noWrap/>
            <w:vAlign w:val="center"/>
            <w:hideMark/>
          </w:tcPr>
          <w:p w14:paraId="0B5301BE" w14:textId="5FE14E03" w:rsidR="00706360" w:rsidRPr="00C451C4" w:rsidRDefault="005207A2" w:rsidP="00152A97">
            <w:pPr>
              <w:jc w:val="center"/>
              <w:rPr>
                <w:rFonts w:ascii="Calibri" w:eastAsia="Times New Roman" w:hAnsi="Calibri" w:cs="Calibri"/>
                <w:color w:val="000000"/>
                <w:sz w:val="22"/>
                <w:szCs w:val="22"/>
              </w:rPr>
            </w:pPr>
            <w:r>
              <w:rPr>
                <w:rFonts w:ascii="Calibri" w:eastAsia="Times New Roman" w:hAnsi="Calibri" w:cs="Calibri"/>
                <w:color w:val="000000"/>
                <w:sz w:val="22"/>
                <w:szCs w:val="22"/>
              </w:rPr>
              <w:t>405</w:t>
            </w:r>
          </w:p>
        </w:tc>
        <w:tc>
          <w:tcPr>
            <w:tcW w:w="2070" w:type="dxa"/>
            <w:noWrap/>
            <w:vAlign w:val="center"/>
            <w:hideMark/>
          </w:tcPr>
          <w:p w14:paraId="0A76998A" w14:textId="4AE985EA" w:rsidR="00706360" w:rsidRPr="00C451C4" w:rsidRDefault="005207A2" w:rsidP="00152A97">
            <w:pPr>
              <w:jc w:val="center"/>
              <w:rPr>
                <w:rFonts w:ascii="Calibri" w:eastAsia="Times New Roman" w:hAnsi="Calibri" w:cs="Calibri"/>
                <w:color w:val="000000"/>
                <w:sz w:val="22"/>
                <w:szCs w:val="22"/>
              </w:rPr>
            </w:pPr>
            <w:r>
              <w:rPr>
                <w:rFonts w:ascii="Calibri" w:eastAsia="Times New Roman" w:hAnsi="Calibri" w:cs="Calibri"/>
                <w:color w:val="000000"/>
                <w:sz w:val="22"/>
                <w:szCs w:val="22"/>
              </w:rPr>
              <w:t>42</w:t>
            </w:r>
            <w:r w:rsidR="00F94C3E">
              <w:rPr>
                <w:rFonts w:ascii="Calibri" w:eastAsia="Times New Roman" w:hAnsi="Calibri" w:cs="Calibri"/>
                <w:color w:val="000000"/>
                <w:sz w:val="22"/>
                <w:szCs w:val="22"/>
              </w:rPr>
              <w:t>3</w:t>
            </w:r>
            <w:r>
              <w:rPr>
                <w:rFonts w:ascii="Calibri" w:eastAsia="Times New Roman" w:hAnsi="Calibri" w:cs="Calibri"/>
                <w:color w:val="000000"/>
                <w:sz w:val="22"/>
                <w:szCs w:val="22"/>
              </w:rPr>
              <w:t xml:space="preserve"> </w:t>
            </w:r>
            <w:r w:rsidRPr="005207A2">
              <w:rPr>
                <w:rFonts w:ascii="Calibri" w:eastAsia="Times New Roman" w:hAnsi="Calibri" w:cs="Calibri"/>
                <w:color w:val="000000"/>
                <w:sz w:val="22"/>
                <w:szCs w:val="22"/>
              </w:rPr>
              <w:t>±</w:t>
            </w:r>
            <w:r>
              <w:rPr>
                <w:rFonts w:ascii="Calibri" w:eastAsia="Times New Roman" w:hAnsi="Calibri" w:cs="Calibri"/>
                <w:color w:val="000000"/>
                <w:sz w:val="22"/>
                <w:szCs w:val="22"/>
              </w:rPr>
              <w:t xml:space="preserve"> 15</w:t>
            </w:r>
          </w:p>
        </w:tc>
        <w:tc>
          <w:tcPr>
            <w:tcW w:w="2340" w:type="dxa"/>
            <w:noWrap/>
            <w:vAlign w:val="center"/>
            <w:hideMark/>
          </w:tcPr>
          <w:p w14:paraId="24A59CF1" w14:textId="41FFD2CB" w:rsidR="00706360" w:rsidRPr="00C451C4" w:rsidRDefault="005207A2" w:rsidP="00152A97">
            <w:pPr>
              <w:jc w:val="center"/>
              <w:rPr>
                <w:rFonts w:ascii="Calibri" w:eastAsia="Times New Roman" w:hAnsi="Calibri" w:cs="Calibri"/>
                <w:color w:val="000000"/>
                <w:sz w:val="22"/>
                <w:szCs w:val="22"/>
              </w:rPr>
            </w:pPr>
            <w:r>
              <w:rPr>
                <w:rFonts w:ascii="Calibri" w:eastAsia="Times New Roman" w:hAnsi="Calibri" w:cs="Calibri"/>
                <w:color w:val="000000"/>
                <w:sz w:val="22"/>
                <w:szCs w:val="22"/>
              </w:rPr>
              <w:t>1505</w:t>
            </w:r>
          </w:p>
        </w:tc>
        <w:tc>
          <w:tcPr>
            <w:tcW w:w="1985" w:type="dxa"/>
            <w:noWrap/>
            <w:vAlign w:val="center"/>
            <w:hideMark/>
          </w:tcPr>
          <w:p w14:paraId="0082A232" w14:textId="579B068C" w:rsidR="00706360" w:rsidRPr="00C451C4" w:rsidRDefault="005207A2" w:rsidP="00152A97">
            <w:pPr>
              <w:jc w:val="center"/>
              <w:rPr>
                <w:rFonts w:ascii="Calibri" w:eastAsia="Times New Roman" w:hAnsi="Calibri" w:cs="Calibri"/>
                <w:color w:val="000000"/>
                <w:sz w:val="22"/>
                <w:szCs w:val="22"/>
              </w:rPr>
            </w:pPr>
            <w:r>
              <w:rPr>
                <w:rFonts w:ascii="Calibri" w:eastAsia="Times New Roman" w:hAnsi="Calibri" w:cs="Calibri"/>
                <w:color w:val="000000"/>
                <w:sz w:val="22"/>
                <w:szCs w:val="22"/>
              </w:rPr>
              <w:t>127</w:t>
            </w:r>
            <w:r w:rsidR="00F94C3E">
              <w:rPr>
                <w:rFonts w:ascii="Calibri" w:eastAsia="Times New Roman" w:hAnsi="Calibri" w:cs="Calibri"/>
                <w:color w:val="000000"/>
                <w:sz w:val="22"/>
                <w:szCs w:val="22"/>
              </w:rPr>
              <w:t>6</w:t>
            </w:r>
            <w:r>
              <w:rPr>
                <w:rFonts w:ascii="Calibri" w:eastAsia="Times New Roman" w:hAnsi="Calibri" w:cs="Calibri"/>
                <w:color w:val="000000"/>
                <w:sz w:val="22"/>
                <w:szCs w:val="22"/>
              </w:rPr>
              <w:t xml:space="preserve"> </w:t>
            </w:r>
            <w:r w:rsidRPr="005207A2">
              <w:rPr>
                <w:rFonts w:ascii="Calibri" w:eastAsia="Times New Roman" w:hAnsi="Calibri" w:cs="Calibri"/>
                <w:color w:val="000000"/>
                <w:sz w:val="22"/>
                <w:szCs w:val="22"/>
              </w:rPr>
              <w:t>±</w:t>
            </w:r>
            <w:r>
              <w:rPr>
                <w:rFonts w:ascii="Calibri" w:eastAsia="Times New Roman" w:hAnsi="Calibri" w:cs="Calibri"/>
                <w:color w:val="000000"/>
                <w:sz w:val="22"/>
                <w:szCs w:val="22"/>
              </w:rPr>
              <w:t xml:space="preserve"> 21</w:t>
            </w:r>
          </w:p>
        </w:tc>
      </w:tr>
      <w:tr w:rsidR="00706360" w:rsidRPr="00C451C4" w14:paraId="61712307" w14:textId="77777777" w:rsidTr="005207A2">
        <w:trPr>
          <w:trHeight w:val="410"/>
        </w:trPr>
        <w:tc>
          <w:tcPr>
            <w:tcW w:w="1090" w:type="dxa"/>
            <w:shd w:val="clear" w:color="000000" w:fill="D9D9D9"/>
            <w:noWrap/>
            <w:vAlign w:val="center"/>
            <w:hideMark/>
          </w:tcPr>
          <w:p w14:paraId="0F0794D0" w14:textId="7EFEB6D2" w:rsidR="00706360" w:rsidRPr="00C451C4" w:rsidRDefault="00706360" w:rsidP="00152A97">
            <w:pPr>
              <w:jc w:val="center"/>
              <w:rPr>
                <w:rFonts w:ascii="Calibri" w:eastAsia="Times New Roman" w:hAnsi="Calibri" w:cs="Calibri"/>
                <w:b/>
                <w:bCs/>
                <w:color w:val="000000"/>
                <w:sz w:val="22"/>
                <w:szCs w:val="22"/>
              </w:rPr>
            </w:pPr>
            <w:r>
              <w:rPr>
                <w:rFonts w:ascii="Calibri" w:eastAsia="Times New Roman" w:hAnsi="Calibri" w:cs="Calibri"/>
                <w:b/>
                <w:bCs/>
                <w:color w:val="000000"/>
                <w:sz w:val="22"/>
                <w:szCs w:val="22"/>
              </w:rPr>
              <w:t>D</w:t>
            </w:r>
          </w:p>
        </w:tc>
        <w:tc>
          <w:tcPr>
            <w:tcW w:w="1965" w:type="dxa"/>
            <w:shd w:val="clear" w:color="000000" w:fill="D9D9D9"/>
            <w:noWrap/>
            <w:vAlign w:val="center"/>
            <w:hideMark/>
          </w:tcPr>
          <w:p w14:paraId="30E4B596" w14:textId="3AC3E566" w:rsidR="00706360" w:rsidRPr="00C451C4" w:rsidRDefault="005207A2" w:rsidP="00152A97">
            <w:pPr>
              <w:jc w:val="center"/>
              <w:rPr>
                <w:rFonts w:ascii="Calibri" w:eastAsia="Times New Roman" w:hAnsi="Calibri" w:cs="Calibri"/>
                <w:color w:val="000000"/>
                <w:sz w:val="22"/>
                <w:szCs w:val="22"/>
              </w:rPr>
            </w:pPr>
            <w:r>
              <w:rPr>
                <w:rFonts w:ascii="Calibri" w:eastAsia="Times New Roman" w:hAnsi="Calibri" w:cs="Calibri"/>
                <w:color w:val="000000"/>
                <w:sz w:val="22"/>
                <w:szCs w:val="22"/>
              </w:rPr>
              <w:t>420</w:t>
            </w:r>
          </w:p>
        </w:tc>
        <w:tc>
          <w:tcPr>
            <w:tcW w:w="2070" w:type="dxa"/>
            <w:shd w:val="clear" w:color="000000" w:fill="D9D9D9"/>
            <w:noWrap/>
            <w:vAlign w:val="center"/>
            <w:hideMark/>
          </w:tcPr>
          <w:p w14:paraId="5116F84C" w14:textId="4504E102" w:rsidR="00706360" w:rsidRPr="00C451C4" w:rsidRDefault="005207A2" w:rsidP="00152A97">
            <w:pPr>
              <w:jc w:val="center"/>
              <w:rPr>
                <w:rFonts w:ascii="Calibri" w:eastAsia="Times New Roman" w:hAnsi="Calibri" w:cs="Calibri"/>
                <w:color w:val="000000"/>
                <w:sz w:val="22"/>
                <w:szCs w:val="22"/>
              </w:rPr>
            </w:pPr>
            <w:r>
              <w:rPr>
                <w:rFonts w:ascii="Calibri" w:eastAsia="Times New Roman" w:hAnsi="Calibri" w:cs="Calibri"/>
                <w:color w:val="000000"/>
                <w:sz w:val="22"/>
                <w:szCs w:val="22"/>
              </w:rPr>
              <w:t xml:space="preserve">420 </w:t>
            </w:r>
            <w:r w:rsidRPr="005207A2">
              <w:rPr>
                <w:rFonts w:ascii="Calibri" w:eastAsia="Times New Roman" w:hAnsi="Calibri" w:cs="Calibri"/>
                <w:color w:val="000000"/>
                <w:sz w:val="22"/>
                <w:szCs w:val="22"/>
              </w:rPr>
              <w:t>±</w:t>
            </w:r>
            <w:r>
              <w:rPr>
                <w:rFonts w:ascii="Calibri" w:eastAsia="Times New Roman" w:hAnsi="Calibri" w:cs="Calibri"/>
                <w:color w:val="000000"/>
                <w:sz w:val="22"/>
                <w:szCs w:val="22"/>
              </w:rPr>
              <w:t xml:space="preserve"> 5</w:t>
            </w:r>
            <w:r w:rsidR="00F94C3E">
              <w:rPr>
                <w:rFonts w:ascii="Calibri" w:eastAsia="Times New Roman" w:hAnsi="Calibri" w:cs="Calibri"/>
                <w:color w:val="000000"/>
                <w:sz w:val="22"/>
                <w:szCs w:val="22"/>
              </w:rPr>
              <w:t>5</w:t>
            </w:r>
          </w:p>
        </w:tc>
        <w:tc>
          <w:tcPr>
            <w:tcW w:w="2340" w:type="dxa"/>
            <w:shd w:val="clear" w:color="000000" w:fill="D9D9D9"/>
            <w:noWrap/>
            <w:vAlign w:val="center"/>
            <w:hideMark/>
          </w:tcPr>
          <w:p w14:paraId="0AD4F61E" w14:textId="769E3E6E" w:rsidR="00706360" w:rsidRPr="00C451C4" w:rsidRDefault="005207A2" w:rsidP="00152A97">
            <w:pPr>
              <w:jc w:val="center"/>
              <w:rPr>
                <w:rFonts w:ascii="Calibri" w:eastAsia="Times New Roman" w:hAnsi="Calibri" w:cs="Calibri"/>
                <w:color w:val="000000"/>
                <w:sz w:val="22"/>
                <w:szCs w:val="22"/>
              </w:rPr>
            </w:pPr>
            <w:r>
              <w:rPr>
                <w:rFonts w:ascii="Calibri" w:eastAsia="Times New Roman" w:hAnsi="Calibri" w:cs="Calibri"/>
                <w:color w:val="000000"/>
                <w:sz w:val="22"/>
                <w:szCs w:val="22"/>
              </w:rPr>
              <w:t>970</w:t>
            </w:r>
          </w:p>
        </w:tc>
        <w:tc>
          <w:tcPr>
            <w:tcW w:w="1985" w:type="dxa"/>
            <w:shd w:val="clear" w:color="000000" w:fill="D9D9D9"/>
            <w:noWrap/>
            <w:vAlign w:val="center"/>
            <w:hideMark/>
          </w:tcPr>
          <w:p w14:paraId="26F28BBB" w14:textId="24FD0037" w:rsidR="00706360" w:rsidRPr="00C451C4" w:rsidRDefault="005207A2" w:rsidP="00152A97">
            <w:pPr>
              <w:jc w:val="center"/>
              <w:rPr>
                <w:rFonts w:ascii="Calibri" w:eastAsia="Times New Roman" w:hAnsi="Calibri" w:cs="Calibri"/>
                <w:color w:val="000000"/>
                <w:sz w:val="22"/>
                <w:szCs w:val="22"/>
              </w:rPr>
            </w:pPr>
            <w:r>
              <w:rPr>
                <w:rFonts w:ascii="Calibri" w:eastAsia="Times New Roman" w:hAnsi="Calibri" w:cs="Calibri"/>
                <w:color w:val="000000"/>
                <w:sz w:val="22"/>
                <w:szCs w:val="22"/>
              </w:rPr>
              <w:t xml:space="preserve">1075 </w:t>
            </w:r>
            <w:r w:rsidRPr="005207A2">
              <w:rPr>
                <w:rFonts w:ascii="Calibri" w:eastAsia="Times New Roman" w:hAnsi="Calibri" w:cs="Calibri"/>
                <w:color w:val="000000"/>
                <w:sz w:val="22"/>
                <w:szCs w:val="22"/>
              </w:rPr>
              <w:t>±</w:t>
            </w:r>
            <w:r>
              <w:rPr>
                <w:rFonts w:ascii="Calibri" w:eastAsia="Times New Roman" w:hAnsi="Calibri" w:cs="Calibri"/>
                <w:color w:val="000000"/>
                <w:sz w:val="22"/>
                <w:szCs w:val="22"/>
              </w:rPr>
              <w:t xml:space="preserve"> 121</w:t>
            </w:r>
          </w:p>
        </w:tc>
      </w:tr>
      <w:tr w:rsidR="00706360" w:rsidRPr="00C451C4" w14:paraId="42BE2DB8" w14:textId="77777777" w:rsidTr="005207A2">
        <w:trPr>
          <w:trHeight w:val="410"/>
        </w:trPr>
        <w:tc>
          <w:tcPr>
            <w:tcW w:w="1090" w:type="dxa"/>
            <w:shd w:val="clear" w:color="000000" w:fill="FFFFFF"/>
            <w:noWrap/>
            <w:vAlign w:val="center"/>
            <w:hideMark/>
          </w:tcPr>
          <w:p w14:paraId="4C59A0E7" w14:textId="21C84235" w:rsidR="00706360" w:rsidRPr="00C451C4" w:rsidRDefault="00706360" w:rsidP="00152A97">
            <w:pPr>
              <w:jc w:val="center"/>
              <w:rPr>
                <w:rFonts w:ascii="Calibri" w:eastAsia="Times New Roman" w:hAnsi="Calibri" w:cs="Calibri"/>
                <w:b/>
                <w:bCs/>
                <w:color w:val="000000"/>
                <w:sz w:val="22"/>
                <w:szCs w:val="22"/>
              </w:rPr>
            </w:pPr>
            <w:r>
              <w:rPr>
                <w:rFonts w:ascii="Calibri" w:eastAsia="Times New Roman" w:hAnsi="Calibri" w:cs="Calibri"/>
                <w:b/>
                <w:bCs/>
                <w:color w:val="000000"/>
                <w:sz w:val="22"/>
                <w:szCs w:val="22"/>
              </w:rPr>
              <w:t>H</w:t>
            </w:r>
          </w:p>
        </w:tc>
        <w:tc>
          <w:tcPr>
            <w:tcW w:w="1965" w:type="dxa"/>
            <w:noWrap/>
            <w:vAlign w:val="center"/>
            <w:hideMark/>
          </w:tcPr>
          <w:p w14:paraId="257EA432" w14:textId="3D9FCF26" w:rsidR="00706360" w:rsidRPr="00C451C4" w:rsidRDefault="005207A2" w:rsidP="00152A97">
            <w:pPr>
              <w:jc w:val="center"/>
              <w:rPr>
                <w:rFonts w:ascii="Calibri" w:eastAsia="Times New Roman" w:hAnsi="Calibri" w:cs="Calibri"/>
                <w:color w:val="000000"/>
                <w:sz w:val="22"/>
                <w:szCs w:val="22"/>
              </w:rPr>
            </w:pPr>
            <w:r>
              <w:rPr>
                <w:rFonts w:ascii="Calibri" w:eastAsia="Times New Roman" w:hAnsi="Calibri" w:cs="Calibri"/>
                <w:color w:val="000000"/>
                <w:sz w:val="22"/>
                <w:szCs w:val="22"/>
              </w:rPr>
              <w:t>303</w:t>
            </w:r>
          </w:p>
        </w:tc>
        <w:tc>
          <w:tcPr>
            <w:tcW w:w="2070" w:type="dxa"/>
            <w:noWrap/>
            <w:vAlign w:val="center"/>
            <w:hideMark/>
          </w:tcPr>
          <w:p w14:paraId="066DE9AF" w14:textId="21CED8F5" w:rsidR="00706360" w:rsidRPr="00C451C4" w:rsidRDefault="005207A2" w:rsidP="00152A97">
            <w:pPr>
              <w:jc w:val="center"/>
              <w:rPr>
                <w:rFonts w:ascii="Calibri" w:eastAsia="Times New Roman" w:hAnsi="Calibri" w:cs="Calibri"/>
                <w:color w:val="000000"/>
                <w:sz w:val="22"/>
                <w:szCs w:val="22"/>
              </w:rPr>
            </w:pPr>
            <w:r>
              <w:rPr>
                <w:rFonts w:ascii="Calibri" w:eastAsia="Times New Roman" w:hAnsi="Calibri" w:cs="Calibri"/>
                <w:color w:val="000000"/>
                <w:sz w:val="22"/>
                <w:szCs w:val="22"/>
              </w:rPr>
              <w:t>31</w:t>
            </w:r>
            <w:r w:rsidR="00F94C3E">
              <w:rPr>
                <w:rFonts w:ascii="Calibri" w:eastAsia="Times New Roman" w:hAnsi="Calibri" w:cs="Calibri"/>
                <w:color w:val="000000"/>
                <w:sz w:val="22"/>
                <w:szCs w:val="22"/>
              </w:rPr>
              <w:t>9</w:t>
            </w:r>
            <w:r>
              <w:rPr>
                <w:rFonts w:ascii="Calibri" w:eastAsia="Times New Roman" w:hAnsi="Calibri" w:cs="Calibri"/>
                <w:color w:val="000000"/>
                <w:sz w:val="22"/>
                <w:szCs w:val="22"/>
              </w:rPr>
              <w:t xml:space="preserve"> </w:t>
            </w:r>
            <w:r w:rsidRPr="005207A2">
              <w:rPr>
                <w:rFonts w:ascii="Calibri" w:eastAsia="Times New Roman" w:hAnsi="Calibri" w:cs="Calibri"/>
                <w:color w:val="000000"/>
                <w:sz w:val="22"/>
                <w:szCs w:val="22"/>
              </w:rPr>
              <w:t>±</w:t>
            </w:r>
            <w:r>
              <w:rPr>
                <w:rFonts w:ascii="Calibri" w:eastAsia="Times New Roman" w:hAnsi="Calibri" w:cs="Calibri"/>
                <w:color w:val="000000"/>
                <w:sz w:val="22"/>
                <w:szCs w:val="22"/>
              </w:rPr>
              <w:t xml:space="preserve"> 22</w:t>
            </w:r>
          </w:p>
        </w:tc>
        <w:tc>
          <w:tcPr>
            <w:tcW w:w="2340" w:type="dxa"/>
            <w:noWrap/>
            <w:vAlign w:val="center"/>
            <w:hideMark/>
          </w:tcPr>
          <w:p w14:paraId="587E5E76" w14:textId="6874989B" w:rsidR="00706360" w:rsidRPr="00C451C4" w:rsidRDefault="005207A2" w:rsidP="00152A97">
            <w:pPr>
              <w:jc w:val="center"/>
              <w:rPr>
                <w:rFonts w:ascii="Calibri" w:eastAsia="Times New Roman" w:hAnsi="Calibri" w:cs="Calibri"/>
                <w:color w:val="000000"/>
                <w:sz w:val="22"/>
                <w:szCs w:val="22"/>
              </w:rPr>
            </w:pPr>
            <w:r>
              <w:rPr>
                <w:rFonts w:ascii="Calibri" w:eastAsia="Times New Roman" w:hAnsi="Calibri" w:cs="Calibri"/>
                <w:color w:val="000000"/>
                <w:sz w:val="22"/>
                <w:szCs w:val="22"/>
              </w:rPr>
              <w:t>502</w:t>
            </w:r>
          </w:p>
        </w:tc>
        <w:tc>
          <w:tcPr>
            <w:tcW w:w="1985" w:type="dxa"/>
            <w:noWrap/>
            <w:vAlign w:val="center"/>
            <w:hideMark/>
          </w:tcPr>
          <w:p w14:paraId="02FABF58" w14:textId="4AABD571" w:rsidR="00706360" w:rsidRPr="00C451C4" w:rsidRDefault="005207A2" w:rsidP="00152A97">
            <w:pPr>
              <w:jc w:val="center"/>
              <w:rPr>
                <w:rFonts w:ascii="Calibri" w:eastAsia="Times New Roman" w:hAnsi="Calibri" w:cs="Calibri"/>
                <w:color w:val="000000"/>
                <w:sz w:val="22"/>
                <w:szCs w:val="22"/>
              </w:rPr>
            </w:pPr>
            <w:r>
              <w:rPr>
                <w:rFonts w:ascii="Calibri" w:eastAsia="Times New Roman" w:hAnsi="Calibri" w:cs="Calibri"/>
                <w:color w:val="000000"/>
                <w:sz w:val="22"/>
                <w:szCs w:val="22"/>
              </w:rPr>
              <w:t>60</w:t>
            </w:r>
            <w:r w:rsidR="00F94C3E">
              <w:rPr>
                <w:rFonts w:ascii="Calibri" w:eastAsia="Times New Roman" w:hAnsi="Calibri" w:cs="Calibri"/>
                <w:color w:val="000000"/>
                <w:sz w:val="22"/>
                <w:szCs w:val="22"/>
              </w:rPr>
              <w:t>8</w:t>
            </w:r>
            <w:r>
              <w:rPr>
                <w:rFonts w:ascii="Calibri" w:eastAsia="Times New Roman" w:hAnsi="Calibri" w:cs="Calibri"/>
                <w:color w:val="000000"/>
                <w:sz w:val="22"/>
                <w:szCs w:val="22"/>
              </w:rPr>
              <w:t xml:space="preserve"> </w:t>
            </w:r>
            <w:r w:rsidRPr="005207A2">
              <w:rPr>
                <w:rFonts w:ascii="Calibri" w:eastAsia="Times New Roman" w:hAnsi="Calibri" w:cs="Calibri"/>
                <w:color w:val="000000"/>
                <w:sz w:val="22"/>
                <w:szCs w:val="22"/>
              </w:rPr>
              <w:t>±</w:t>
            </w:r>
            <w:r>
              <w:rPr>
                <w:rFonts w:ascii="Calibri" w:eastAsia="Times New Roman" w:hAnsi="Calibri" w:cs="Calibri"/>
                <w:color w:val="000000"/>
                <w:sz w:val="22"/>
                <w:szCs w:val="22"/>
              </w:rPr>
              <w:t xml:space="preserve"> </w:t>
            </w:r>
            <w:r w:rsidR="00F94C3E">
              <w:rPr>
                <w:rFonts w:ascii="Calibri" w:eastAsia="Times New Roman" w:hAnsi="Calibri" w:cs="Calibri"/>
                <w:color w:val="000000"/>
                <w:sz w:val="22"/>
                <w:szCs w:val="22"/>
              </w:rPr>
              <w:t>70</w:t>
            </w:r>
          </w:p>
        </w:tc>
      </w:tr>
      <w:tr w:rsidR="00706360" w:rsidRPr="00C451C4" w14:paraId="338DC1DE" w14:textId="77777777" w:rsidTr="005207A2">
        <w:trPr>
          <w:trHeight w:val="410"/>
        </w:trPr>
        <w:tc>
          <w:tcPr>
            <w:tcW w:w="1090" w:type="dxa"/>
            <w:shd w:val="clear" w:color="000000" w:fill="D9D9D9"/>
            <w:noWrap/>
            <w:vAlign w:val="center"/>
            <w:hideMark/>
          </w:tcPr>
          <w:p w14:paraId="14ECB128" w14:textId="223AB7F9" w:rsidR="00706360" w:rsidRPr="00C451C4" w:rsidRDefault="00706360" w:rsidP="00152A97">
            <w:pPr>
              <w:jc w:val="center"/>
              <w:rPr>
                <w:rFonts w:ascii="Calibri" w:eastAsia="Times New Roman" w:hAnsi="Calibri" w:cs="Calibri"/>
                <w:b/>
                <w:bCs/>
                <w:color w:val="000000"/>
                <w:sz w:val="22"/>
                <w:szCs w:val="22"/>
              </w:rPr>
            </w:pPr>
            <w:r>
              <w:rPr>
                <w:rFonts w:ascii="Calibri" w:eastAsia="Times New Roman" w:hAnsi="Calibri" w:cs="Calibri"/>
                <w:b/>
                <w:bCs/>
                <w:color w:val="000000"/>
                <w:sz w:val="22"/>
                <w:szCs w:val="22"/>
              </w:rPr>
              <w:t>I</w:t>
            </w:r>
          </w:p>
        </w:tc>
        <w:tc>
          <w:tcPr>
            <w:tcW w:w="1965" w:type="dxa"/>
            <w:shd w:val="clear" w:color="000000" w:fill="D9D9D9"/>
            <w:noWrap/>
            <w:vAlign w:val="center"/>
            <w:hideMark/>
          </w:tcPr>
          <w:p w14:paraId="5754FFAE" w14:textId="622601D9" w:rsidR="00706360" w:rsidRPr="00C451C4" w:rsidRDefault="005207A2" w:rsidP="00152A97">
            <w:pPr>
              <w:jc w:val="center"/>
              <w:rPr>
                <w:rFonts w:ascii="Calibri" w:eastAsia="Times New Roman" w:hAnsi="Calibri" w:cs="Calibri"/>
                <w:color w:val="000000"/>
                <w:sz w:val="22"/>
                <w:szCs w:val="22"/>
              </w:rPr>
            </w:pPr>
            <w:r>
              <w:rPr>
                <w:rFonts w:ascii="Calibri" w:eastAsia="Times New Roman" w:hAnsi="Calibri" w:cs="Calibri"/>
                <w:color w:val="000000"/>
                <w:sz w:val="22"/>
                <w:szCs w:val="22"/>
              </w:rPr>
              <w:t>330</w:t>
            </w:r>
          </w:p>
        </w:tc>
        <w:tc>
          <w:tcPr>
            <w:tcW w:w="2070" w:type="dxa"/>
            <w:shd w:val="clear" w:color="000000" w:fill="D9D9D9"/>
            <w:noWrap/>
            <w:vAlign w:val="center"/>
            <w:hideMark/>
          </w:tcPr>
          <w:p w14:paraId="72E1A03B" w14:textId="19E368AB" w:rsidR="00706360" w:rsidRPr="00C451C4" w:rsidRDefault="005207A2" w:rsidP="00152A97">
            <w:pPr>
              <w:jc w:val="center"/>
              <w:rPr>
                <w:rFonts w:ascii="Calibri" w:eastAsia="Times New Roman" w:hAnsi="Calibri" w:cs="Calibri"/>
                <w:color w:val="000000"/>
                <w:sz w:val="22"/>
                <w:szCs w:val="22"/>
              </w:rPr>
            </w:pPr>
            <w:r>
              <w:rPr>
                <w:rFonts w:ascii="Calibri" w:eastAsia="Times New Roman" w:hAnsi="Calibri" w:cs="Calibri"/>
                <w:color w:val="000000"/>
                <w:sz w:val="22"/>
                <w:szCs w:val="22"/>
              </w:rPr>
              <w:t>34</w:t>
            </w:r>
            <w:r w:rsidR="00F94C3E">
              <w:rPr>
                <w:rFonts w:ascii="Calibri" w:eastAsia="Times New Roman" w:hAnsi="Calibri" w:cs="Calibri"/>
                <w:color w:val="000000"/>
                <w:sz w:val="22"/>
                <w:szCs w:val="22"/>
              </w:rPr>
              <w:t>1</w:t>
            </w:r>
            <w:r>
              <w:rPr>
                <w:rFonts w:ascii="Calibri" w:eastAsia="Times New Roman" w:hAnsi="Calibri" w:cs="Calibri"/>
                <w:color w:val="000000"/>
                <w:sz w:val="22"/>
                <w:szCs w:val="22"/>
              </w:rPr>
              <w:t xml:space="preserve"> </w:t>
            </w:r>
            <w:r w:rsidRPr="005207A2">
              <w:rPr>
                <w:rFonts w:ascii="Calibri" w:eastAsia="Times New Roman" w:hAnsi="Calibri" w:cs="Calibri"/>
                <w:color w:val="000000"/>
                <w:sz w:val="22"/>
                <w:szCs w:val="22"/>
              </w:rPr>
              <w:t>±</w:t>
            </w:r>
            <w:r>
              <w:rPr>
                <w:rFonts w:ascii="Calibri" w:eastAsia="Times New Roman" w:hAnsi="Calibri" w:cs="Calibri"/>
                <w:color w:val="000000"/>
                <w:sz w:val="22"/>
                <w:szCs w:val="22"/>
              </w:rPr>
              <w:t xml:space="preserve"> 27</w:t>
            </w:r>
          </w:p>
        </w:tc>
        <w:tc>
          <w:tcPr>
            <w:tcW w:w="2340" w:type="dxa"/>
            <w:shd w:val="clear" w:color="000000" w:fill="D9D9D9"/>
            <w:noWrap/>
            <w:vAlign w:val="center"/>
            <w:hideMark/>
          </w:tcPr>
          <w:p w14:paraId="2ECE0972" w14:textId="7E4265ED" w:rsidR="00706360" w:rsidRPr="00C451C4" w:rsidRDefault="005207A2" w:rsidP="00152A97">
            <w:pPr>
              <w:jc w:val="center"/>
              <w:rPr>
                <w:rFonts w:ascii="Calibri" w:eastAsia="Times New Roman" w:hAnsi="Calibri" w:cs="Calibri"/>
                <w:color w:val="000000"/>
                <w:sz w:val="22"/>
                <w:szCs w:val="22"/>
              </w:rPr>
            </w:pPr>
            <w:r>
              <w:rPr>
                <w:rFonts w:ascii="Calibri" w:eastAsia="Times New Roman" w:hAnsi="Calibri" w:cs="Calibri"/>
                <w:color w:val="000000"/>
                <w:sz w:val="22"/>
                <w:szCs w:val="22"/>
              </w:rPr>
              <w:t>660</w:t>
            </w:r>
          </w:p>
        </w:tc>
        <w:tc>
          <w:tcPr>
            <w:tcW w:w="1985" w:type="dxa"/>
            <w:shd w:val="clear" w:color="000000" w:fill="D9D9D9"/>
            <w:noWrap/>
            <w:vAlign w:val="center"/>
            <w:hideMark/>
          </w:tcPr>
          <w:p w14:paraId="314D1AEE" w14:textId="6469C211" w:rsidR="00706360" w:rsidRPr="00C451C4" w:rsidRDefault="005207A2" w:rsidP="00152A97">
            <w:pPr>
              <w:jc w:val="center"/>
              <w:rPr>
                <w:rFonts w:ascii="Calibri" w:eastAsia="Times New Roman" w:hAnsi="Calibri" w:cs="Calibri"/>
                <w:color w:val="000000"/>
                <w:sz w:val="22"/>
                <w:szCs w:val="22"/>
              </w:rPr>
            </w:pPr>
            <w:r>
              <w:rPr>
                <w:rFonts w:ascii="Calibri" w:eastAsia="Times New Roman" w:hAnsi="Calibri" w:cs="Calibri"/>
                <w:color w:val="000000"/>
                <w:sz w:val="22"/>
                <w:szCs w:val="22"/>
              </w:rPr>
              <w:t xml:space="preserve">634 </w:t>
            </w:r>
            <w:r w:rsidRPr="005207A2">
              <w:rPr>
                <w:rFonts w:ascii="Calibri" w:eastAsia="Times New Roman" w:hAnsi="Calibri" w:cs="Calibri"/>
                <w:color w:val="000000"/>
                <w:sz w:val="22"/>
                <w:szCs w:val="22"/>
              </w:rPr>
              <w:t>±</w:t>
            </w:r>
            <w:r>
              <w:rPr>
                <w:rFonts w:ascii="Calibri" w:eastAsia="Times New Roman" w:hAnsi="Calibri" w:cs="Calibri"/>
                <w:color w:val="000000"/>
                <w:sz w:val="22"/>
                <w:szCs w:val="22"/>
              </w:rPr>
              <w:t>78</w:t>
            </w:r>
          </w:p>
        </w:tc>
      </w:tr>
    </w:tbl>
    <w:p w14:paraId="6D26703D" w14:textId="16A9988C" w:rsidR="003C1DB5" w:rsidRPr="003C1DB5" w:rsidRDefault="003C1DB5" w:rsidP="003C1DB5">
      <w:pPr>
        <w:pStyle w:val="SOMContent"/>
        <w:jc w:val="both"/>
        <w:rPr>
          <w:b/>
          <w:bCs/>
        </w:rPr>
      </w:pPr>
      <w:r w:rsidRPr="003C1DB5">
        <w:rPr>
          <w:b/>
          <w:bCs/>
        </w:rPr>
        <w:lastRenderedPageBreak/>
        <w:t xml:space="preserve">Computational Fluid Dynamics (CFD) </w:t>
      </w:r>
    </w:p>
    <w:p w14:paraId="0A877D13" w14:textId="412DDB75" w:rsidR="003C1DB5" w:rsidRDefault="005A0564" w:rsidP="006C5AA3">
      <w:pPr>
        <w:pStyle w:val="SOMContent"/>
        <w:jc w:val="both"/>
      </w:pPr>
      <w:r w:rsidRPr="005A0564">
        <w:t>CFD simulations were performed with Basilisk</w:t>
      </w:r>
      <w:r w:rsidR="00D32709">
        <w:t xml:space="preserve"> </w:t>
      </w:r>
      <w:r w:rsidR="00D32709">
        <w:fldChar w:fldCharType="begin"/>
      </w:r>
      <w:r w:rsidR="001E7D5E">
        <w:instrText xml:space="preserve"> ADDIN ZOTERO_ITEM CSL_CITATION {"citationID":"znnDemYP","properties":{"formattedCitation":"\\super 6\\nosupersub{}","plainCitation":"6","noteIndex":0},"citationItems":[{"id":2017,"uris":["http://zotero.org/users/9935298/items/9357TFP8"],"itemData":{"id":2017,"type":"article-journal","container-title":"Journal of Computational Physics","DOI":"10.1016/j.jcp.2009.04.042","ISSN":"00219991","issue":"16","journalAbbreviation":"Journal of Computational Physics","language":"en","license":"https://www.elsevier.com/tdm/userlicense/1.0/","page":"5838-5866","source":"DOI.org (Crossref)","title":"An accurate adaptive solver for surface-tension-driven interfacial flows","volume":"228","author":[{"family":"Popinet","given":"Stéphane"}],"issued":{"date-parts":[["2009",9]]},"citation-key":"popinetAccurateAdaptiveSolver2009"}}],"schema":"https://github.com/citation-style-language/schema/raw/master/csl-citation.json"} </w:instrText>
      </w:r>
      <w:r w:rsidR="00D32709">
        <w:fldChar w:fldCharType="separate"/>
      </w:r>
      <w:r w:rsidR="001E7D5E" w:rsidRPr="001E7D5E">
        <w:rPr>
          <w:vertAlign w:val="superscript"/>
        </w:rPr>
        <w:t>6</w:t>
      </w:r>
      <w:r w:rsidR="00D32709">
        <w:fldChar w:fldCharType="end"/>
      </w:r>
      <w:r w:rsidRPr="005A0564">
        <w:t>, an open-source finite-volume solver for incompressible flows. Basilisk uses the Volume of Fluid (VOF) method to track fluid regions and interfaces, which ensures accurate advection around complex boundaries. Solid regions were imposed with the penalization method (Brinkman penalization), which enforces no-slip conditions by treating the solid as a porous region of vanishing permeability.</w:t>
      </w:r>
      <w:r>
        <w:t xml:space="preserve"> </w:t>
      </w:r>
      <w:r w:rsidR="006C5AA3" w:rsidRPr="006C5AA3">
        <w:t>All simulations</w:t>
      </w:r>
      <w:r w:rsidR="006C5AA3">
        <w:t xml:space="preserve"> during the optimization stage</w:t>
      </w:r>
      <w:r w:rsidR="006C5AA3" w:rsidRPr="006C5AA3">
        <w:t xml:space="preserve"> were performed at </w:t>
      </w:r>
      <w:r w:rsidR="009B1D42" w:rsidRPr="006C5AA3">
        <w:t>Reynolds</w:t>
      </w:r>
      <w:r w:rsidR="006C5AA3" w:rsidRPr="006C5AA3">
        <w:t xml:space="preserve"> number Re = 2100 (based on lattice diameter and inflow velocity) to replicate typical deep-sea flow conditions for Euplectella-inspired structures.</w:t>
      </w:r>
    </w:p>
    <w:p w14:paraId="45F16726" w14:textId="4A337AC9" w:rsidR="005A0564" w:rsidRDefault="005A0564" w:rsidP="006C5AA3">
      <w:pPr>
        <w:pStyle w:val="SOMContent"/>
        <w:jc w:val="both"/>
      </w:pPr>
      <w:r>
        <w:t>A</w:t>
      </w:r>
      <w:r w:rsidR="006C5AA3" w:rsidRPr="006C5AA3">
        <w:t xml:space="preserve"> key </w:t>
      </w:r>
      <w:r w:rsidRPr="006C5AA3">
        <w:t>advantage</w:t>
      </w:r>
      <w:r w:rsidR="006C5AA3" w:rsidRPr="006C5AA3">
        <w:t xml:space="preserve"> of Basilisk is its octree-based adaptive mesh refinement (AMR), which dynamically refines the grid in regions requiring higher resolution. We leveraged AMR to efficiently resolve flow features around the fine lattice geometry. </w:t>
      </w:r>
      <w:r w:rsidR="006C5AA3">
        <w:t>N</w:t>
      </w:r>
      <w:r w:rsidR="006C5AA3" w:rsidRPr="006C5AA3">
        <w:t>ear solid surfaces, within narrow pores of the lattice, and in regions of strong velocity gradients (shear layers and vortices), the mesh automatically subdivided to smaller cells. By contrast, in quiescent regions far from the structure, a coarser mesh was maintained to save computational cost. The domain was a cube of side length L = 12.5</w:t>
      </w:r>
      <w:r w:rsidR="00FF6CC0" w:rsidRPr="009D4D29">
        <w:rPr>
          <w:i/>
          <w:iCs/>
        </w:rPr>
        <w:t>D</w:t>
      </w:r>
      <w:r w:rsidR="006C5AA3" w:rsidRPr="006C5AA3">
        <w:t xml:space="preserve"> (chosen to encompass the structure and its wake). During the optimization simulations, we allowed mesh refinement from a base resolution of</w:t>
      </w:r>
      <w:r w:rsidR="00820E2C">
        <w:t xml:space="preserve"> </w:t>
      </w:r>
      <m:oMath>
        <m:r>
          <w:rPr>
            <w:rFonts w:ascii="Cambria Math" w:hAnsi="Cambria Math"/>
          </w:rPr>
          <m:t>L/</m:t>
        </m:r>
        <m:sSup>
          <m:sSupPr>
            <m:ctrlPr>
              <w:rPr>
                <w:rFonts w:ascii="Cambria Math" w:hAnsi="Cambria Math"/>
                <w:bCs/>
                <w:i/>
              </w:rPr>
            </m:ctrlPr>
          </m:sSupPr>
          <m:e>
            <m:r>
              <w:rPr>
                <w:rFonts w:ascii="Cambria Math" w:hAnsi="Cambria Math"/>
              </w:rPr>
              <m:t>2</m:t>
            </m:r>
          </m:e>
          <m:sup>
            <m:r>
              <w:rPr>
                <w:rFonts w:ascii="Cambria Math" w:hAnsi="Cambria Math"/>
              </w:rPr>
              <m:t>8</m:t>
            </m:r>
          </m:sup>
        </m:sSup>
      </m:oMath>
      <w:r w:rsidR="006C5AA3" w:rsidRPr="006C5AA3">
        <w:t xml:space="preserve"> up to </w:t>
      </w:r>
      <w:proofErr w:type="gramStart"/>
      <w:r w:rsidR="006C5AA3" w:rsidRPr="006C5AA3">
        <w:t>a</w:t>
      </w:r>
      <w:proofErr w:type="gramEnd"/>
      <w:r w:rsidR="006C5AA3" w:rsidRPr="006C5AA3">
        <w:t xml:space="preserve"> finest resolution of</w:t>
      </w:r>
      <w:r w:rsidR="00820E2C" w:rsidRPr="00820E2C">
        <w:rPr>
          <w:rFonts w:ascii="Cambria Math" w:hAnsi="Cambria Math"/>
          <w:i/>
        </w:rPr>
        <w:t xml:space="preserve"> </w:t>
      </w:r>
      <m:oMath>
        <m:r>
          <w:rPr>
            <w:rFonts w:ascii="Cambria Math" w:hAnsi="Cambria Math"/>
          </w:rPr>
          <m:t>L/</m:t>
        </m:r>
        <m:sSup>
          <m:sSupPr>
            <m:ctrlPr>
              <w:rPr>
                <w:rFonts w:ascii="Cambria Math" w:hAnsi="Cambria Math"/>
                <w:bCs/>
                <w:i/>
              </w:rPr>
            </m:ctrlPr>
          </m:sSupPr>
          <m:e>
            <m:r>
              <w:rPr>
                <w:rFonts w:ascii="Cambria Math" w:hAnsi="Cambria Math"/>
              </w:rPr>
              <m:t>2</m:t>
            </m:r>
          </m:e>
          <m:sup>
            <m:r>
              <w:rPr>
                <w:rFonts w:ascii="Cambria Math" w:hAnsi="Cambria Math"/>
              </w:rPr>
              <m:t>11</m:t>
            </m:r>
          </m:sup>
        </m:sSup>
      </m:oMath>
      <w:r w:rsidR="006C5AA3" w:rsidRPr="006C5AA3">
        <w:t>. This corresponds to cell sizes ranging from approximately 0.05</w:t>
      </w:r>
      <w:r w:rsidR="00FF6CC0" w:rsidRPr="009B1D42">
        <w:rPr>
          <w:i/>
          <w:iCs/>
        </w:rPr>
        <w:t>D</w:t>
      </w:r>
      <w:r w:rsidR="006C5AA3" w:rsidRPr="006C5AA3">
        <w:t xml:space="preserve"> down to 0.006</w:t>
      </w:r>
      <w:r w:rsidR="00FF6CC0" w:rsidRPr="009B1D42">
        <w:rPr>
          <w:i/>
          <w:iCs/>
        </w:rPr>
        <w:t>D</w:t>
      </w:r>
      <w:r w:rsidR="006C5AA3" w:rsidRPr="006C5AA3">
        <w:t>, fine enough to capture the thinnest beams and flow through the lattice pores. For the refined simulations of the selected</w:t>
      </w:r>
      <w:r w:rsidR="006C5AA3">
        <w:t xml:space="preserve"> optimum</w:t>
      </w:r>
      <w:r w:rsidR="006C5AA3" w:rsidRPr="006C5AA3">
        <w:t xml:space="preserve"> designs, we increased the resolution by </w:t>
      </w:r>
      <w:r w:rsidR="009B1D42">
        <w:t>two</w:t>
      </w:r>
      <w:r w:rsidR="006C5AA3" w:rsidRPr="006C5AA3">
        <w:t xml:space="preserve"> level</w:t>
      </w:r>
      <w:r w:rsidR="009B1D42">
        <w:t>s</w:t>
      </w:r>
      <w:r w:rsidR="006C5AA3" w:rsidRPr="006C5AA3">
        <w:t xml:space="preserve"> (</w:t>
      </w:r>
      <w:r w:rsidR="009B1D42">
        <w:t>smallest</w:t>
      </w:r>
      <w:r w:rsidR="006C5AA3" w:rsidRPr="006C5AA3">
        <w:t xml:space="preserve"> cell size </w:t>
      </w:r>
      <m:oMath>
        <m:r>
          <w:rPr>
            <w:rFonts w:ascii="Cambria Math" w:hAnsi="Cambria Math"/>
          </w:rPr>
          <m:t>L/</m:t>
        </m:r>
        <m:sSup>
          <m:sSupPr>
            <m:ctrlPr>
              <w:rPr>
                <w:rFonts w:ascii="Cambria Math" w:hAnsi="Cambria Math"/>
                <w:bCs/>
                <w:i/>
              </w:rPr>
            </m:ctrlPr>
          </m:sSupPr>
          <m:e>
            <m:r>
              <w:rPr>
                <w:rFonts w:ascii="Cambria Math" w:hAnsi="Cambria Math"/>
              </w:rPr>
              <m:t>2</m:t>
            </m:r>
          </m:e>
          <m:sup>
            <m:r>
              <w:rPr>
                <w:rFonts w:ascii="Cambria Math" w:hAnsi="Cambria Math"/>
              </w:rPr>
              <m:t>13</m:t>
            </m:r>
          </m:sup>
        </m:sSup>
      </m:oMath>
      <w:r w:rsidR="006C5AA3" w:rsidRPr="006C5AA3">
        <w:t xml:space="preserve"> ~ 0.00</w:t>
      </w:r>
      <w:r w:rsidR="00C31B48">
        <w:t>15</w:t>
      </w:r>
      <w:r w:rsidR="00FF6CC0" w:rsidRPr="009B1D42">
        <w:rPr>
          <w:i/>
          <w:iCs/>
        </w:rPr>
        <w:t>D</w:t>
      </w:r>
      <w:r w:rsidR="00C31B48" w:rsidRPr="006C5AA3">
        <w:t>) and</w:t>
      </w:r>
      <w:r w:rsidR="006C5AA3" w:rsidRPr="006C5AA3">
        <w:t xml:space="preserve"> raised the base resolution (to </w:t>
      </w:r>
      <m:oMath>
        <m:r>
          <w:rPr>
            <w:rFonts w:ascii="Cambria Math" w:hAnsi="Cambria Math"/>
          </w:rPr>
          <m:t>L/</m:t>
        </m:r>
        <m:sSup>
          <m:sSupPr>
            <m:ctrlPr>
              <w:rPr>
                <w:rFonts w:ascii="Cambria Math" w:hAnsi="Cambria Math"/>
                <w:bCs/>
                <w:i/>
              </w:rPr>
            </m:ctrlPr>
          </m:sSupPr>
          <m:e>
            <m:r>
              <w:rPr>
                <w:rFonts w:ascii="Cambria Math" w:hAnsi="Cambria Math"/>
              </w:rPr>
              <m:t>2</m:t>
            </m:r>
          </m:e>
          <m:sup>
            <m:r>
              <w:rPr>
                <w:rFonts w:ascii="Cambria Math" w:hAnsi="Cambria Math"/>
              </w:rPr>
              <m:t>10</m:t>
            </m:r>
          </m:sup>
        </m:sSup>
      </m:oMath>
      <w:r w:rsidR="006C5AA3" w:rsidRPr="006C5AA3">
        <w:t>) to better resolve the incoming flow and far-field wake.</w:t>
      </w:r>
      <w:r w:rsidR="009D4D29">
        <w:t xml:space="preserve"> </w:t>
      </w:r>
      <w:r w:rsidR="00683043" w:rsidRPr="00683043">
        <w:t>This finest resolution is roughly five times smaller than the smallest pores and beams in the lattice</w:t>
      </w:r>
      <w:r w:rsidR="00CE5411">
        <w:t xml:space="preserve">. </w:t>
      </w:r>
      <w:r w:rsidRPr="005A0564">
        <w:t xml:space="preserve">This grid resolution </w:t>
      </w:r>
      <w:r w:rsidR="0044337A" w:rsidRPr="0044337A">
        <w:t>exceeds the</w:t>
      </w:r>
      <w:r w:rsidR="0044337A">
        <w:t xml:space="preserve"> </w:t>
      </w:r>
      <w:r w:rsidR="00A65308" w:rsidRPr="00A65308">
        <w:t>mesh density reported in DNS studies of cylinder wakes at higher Reynolds numbers</w:t>
      </w:r>
      <w:r w:rsidR="00FE6271">
        <w:t xml:space="preserve"> </w:t>
      </w:r>
      <w:r w:rsidR="00D32709">
        <w:fldChar w:fldCharType="begin"/>
      </w:r>
      <w:r w:rsidR="00FE6271">
        <w:instrText xml:space="preserve"> ADDIN ZOTERO_ITEM CSL_CITATION {"citationID":"xSu5m7rD","properties":{"formattedCitation":"\\super 7\\nosupersub{}","plainCitation":"7","noteIndex":0},"citationItems":[{"id":3070,"uris":["http://zotero.org/users/9935298/items/LHI75765"],"itemData":{"id":3070,"type":"article-journal","abstract":"In this study, we conducted three-dimensional direct numerical simulations to investigate the impact of incoming turbulence on the flow dynamics behind a single main cylinder at Reynolds number of Re = 3900. The incoming turbulence is generated by ten side-by-side cylindrical grid bars, whose center-to-center distance T is set equal to 2D, where D is the diameter of both the grid bars and the main cylinder. It is found that in the wake of the grid bars, the non-Gaussian production region and the homogeneous decay region, which are, respectively, located at X/D&amp;lt;4 and X/D&amp;gt;4, were separated by the development of turbulence intensity Ti. Compared to the uniform incoming flow, the hydrodynamic forces induced by the present incoming turbulence are markedly distinct in magnitude. Specifically, the time-averaged drag coefficient C¯d is increased by 29.4%, and more surprisingly, the root mean square value of the lift coefficient is increased by as much as 500%. Statistical analysis is then performed, in terms of the Reynolds stresses, mean field, and the turbulent wake visualization to show variations in the flow dynamics. Results indicate that the incoming turbulence could accelerate the turbulent transition of shear layers and lead to a contraction of the vortex formation region. In addition, the long streamwise streaky vortical structures leading to an increase in Reynolds stress are found in front of the cylinder surface, which illustrates that the effect of incoming turbulence has penetrated inside the front boundary layer.","container-title":"Physics of Fluids","DOI":"10.1063/5.0072730","ISSN":"1070-6631, 1089-7666","issue":"1","language":"en","page":"015109","source":"DOI.org (Crossref)","title":"Direct numerical simulation of flow over a cylinder immersed in the grid-generated turbulence","volume":"34","author":[{"family":"Song","given":"Baiyang"},{"family":"Ping","given":"Huan"},{"family":"Zhu","given":"Hongbo"},{"family":"Zhou","given":"Dai"},{"family":"Bao","given":"Yan"},{"family":"Cao","given":"Yong"},{"family":"Han","given":"Zhaolong"}],"issued":{"date-parts":[["2022",1,1]]},"citation-key":"songDirectNumericalSimulation2022"}}],"schema":"https://github.com/citation-style-language/schema/raw/master/csl-citation.json"} </w:instrText>
      </w:r>
      <w:r w:rsidR="00D32709">
        <w:fldChar w:fldCharType="separate"/>
      </w:r>
      <w:r w:rsidR="00FE6271" w:rsidRPr="00FE6271">
        <w:rPr>
          <w:vertAlign w:val="superscript"/>
        </w:rPr>
        <w:t>7</w:t>
      </w:r>
      <w:r w:rsidR="00D32709">
        <w:fldChar w:fldCharType="end"/>
      </w:r>
      <w:r w:rsidR="00FE6271">
        <w:t xml:space="preserve"> and </w:t>
      </w:r>
      <w:r w:rsidR="00A65308" w:rsidRPr="00A65308">
        <w:t>sufficient</w:t>
      </w:r>
      <w:r w:rsidR="00CF0396">
        <w:t>ly</w:t>
      </w:r>
      <w:r w:rsidR="00A65308" w:rsidRPr="00A65308">
        <w:t xml:space="preserve"> resolve</w:t>
      </w:r>
      <w:r w:rsidR="00CF0396">
        <w:t>s</w:t>
      </w:r>
      <w:r w:rsidR="00A65308" w:rsidRPr="00A65308">
        <w:t xml:space="preserve"> all dynamically relevant flow scales. Combined with AMR, this strategy captured features across multiple length scales</w:t>
      </w:r>
      <w:r w:rsidR="00A65308">
        <w:t xml:space="preserve">, </w:t>
      </w:r>
      <w:r w:rsidR="00A65308" w:rsidRPr="00A65308">
        <w:t>from thin boundary layers on sub-millimeter beams to large-scale wake vortices</w:t>
      </w:r>
      <w:r w:rsidR="00A65308">
        <w:t xml:space="preserve">, </w:t>
      </w:r>
      <w:r w:rsidR="00A65308" w:rsidRPr="00A65308">
        <w:t>while requiring far fewer cells than an equivalent uniform grid, keeping fully resolved simulations computationally feasible.</w:t>
      </w:r>
    </w:p>
    <w:p w14:paraId="4C7DD54E" w14:textId="5079198B" w:rsidR="006C5AA3" w:rsidRDefault="006C5AA3" w:rsidP="006C5AA3">
      <w:pPr>
        <w:pStyle w:val="SOMContent"/>
        <w:jc w:val="both"/>
      </w:pPr>
      <w:r w:rsidRPr="006C5AA3">
        <w:t>W</w:t>
      </w:r>
      <w:r w:rsidR="00A65308">
        <w:t>e</w:t>
      </w:r>
      <w:r w:rsidRPr="006C5AA3">
        <w:t xml:space="preserve"> applied different boundary condition strategies for the initial optimization runs versus the final high-fidelity simulations</w:t>
      </w:r>
      <w:r>
        <w:t xml:space="preserve"> used to validate </w:t>
      </w:r>
      <w:r w:rsidR="004F43C0">
        <w:t>S</w:t>
      </w:r>
      <w:r>
        <w:t xml:space="preserve">PIV </w:t>
      </w:r>
      <w:r w:rsidR="000E6915">
        <w:t>experiments</w:t>
      </w:r>
      <w:r w:rsidRPr="006C5AA3">
        <w:t>:</w:t>
      </w:r>
    </w:p>
    <w:p w14:paraId="5988BED2" w14:textId="7EC6E0F0" w:rsidR="009B1D42" w:rsidRDefault="006C5AA3" w:rsidP="006C5AA3">
      <w:pPr>
        <w:pStyle w:val="SOMContent"/>
        <w:jc w:val="both"/>
      </w:pPr>
      <w:r w:rsidRPr="006C5AA3">
        <w:rPr>
          <w:b/>
          <w:bCs/>
        </w:rPr>
        <w:t>Optimization phase:</w:t>
      </w:r>
      <w:r w:rsidRPr="006C5AA3">
        <w:t xml:space="preserve"> </w:t>
      </w:r>
      <w:r w:rsidR="001A446B" w:rsidRPr="001A446B">
        <w:t>To minimize computational cost during optimization (</w:t>
      </w:r>
      <w:r w:rsidR="001A446B" w:rsidRPr="00B57B06">
        <w:rPr>
          <w:b/>
          <w:bCs/>
        </w:rPr>
        <w:t>Figure S</w:t>
      </w:r>
      <w:r w:rsidR="003E4720">
        <w:rPr>
          <w:b/>
          <w:bCs/>
        </w:rPr>
        <w:t>4</w:t>
      </w:r>
      <w:r w:rsidR="001A446B" w:rsidRPr="001A446B">
        <w:t>), we employed a simplified boundary condition setup. A steady inflow velocity was imposed on the left boundary, and an outlet was defined downstream on the right. All other domain boundaries</w:t>
      </w:r>
      <w:r w:rsidR="001A446B">
        <w:t xml:space="preserve">, </w:t>
      </w:r>
      <w:r w:rsidR="001A446B" w:rsidRPr="001A446B">
        <w:t>including top, bottom, and lateral directions</w:t>
      </w:r>
      <w:r w:rsidR="001A446B">
        <w:t xml:space="preserve">, </w:t>
      </w:r>
      <w:r w:rsidR="001A446B" w:rsidRPr="001A446B">
        <w:t>were treated as periodic. This configuration effectively mimics an unbounded domain while allowing for a compact simulation setup.</w:t>
      </w:r>
    </w:p>
    <w:p w14:paraId="6114F33F" w14:textId="13526E2C" w:rsidR="003B07C0" w:rsidRDefault="00DC0167" w:rsidP="00DC0167">
      <w:pPr>
        <w:pStyle w:val="SOMContent"/>
        <w:jc w:val="center"/>
      </w:pPr>
      <w:r>
        <w:rPr>
          <w:noProof/>
        </w:rPr>
        <w:lastRenderedPageBreak/>
        <w:drawing>
          <wp:inline distT="0" distB="0" distL="0" distR="0" wp14:anchorId="536D0921" wp14:editId="3B4598DA">
            <wp:extent cx="4974672" cy="4479330"/>
            <wp:effectExtent l="0" t="0" r="0" b="0"/>
            <wp:docPr id="14509801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88449" cy="4491735"/>
                    </a:xfrm>
                    <a:prstGeom prst="rect">
                      <a:avLst/>
                    </a:prstGeom>
                    <a:noFill/>
                    <a:ln>
                      <a:noFill/>
                    </a:ln>
                  </pic:spPr>
                </pic:pic>
              </a:graphicData>
            </a:graphic>
          </wp:inline>
        </w:drawing>
      </w:r>
    </w:p>
    <w:p w14:paraId="24109BEE" w14:textId="4EDA7891" w:rsidR="003B07C0" w:rsidRDefault="003B07C0" w:rsidP="003B07C0">
      <w:pPr>
        <w:pStyle w:val="SOMContent"/>
        <w:jc w:val="both"/>
        <w:rPr>
          <w:sz w:val="22"/>
          <w:szCs w:val="22"/>
        </w:rPr>
      </w:pPr>
      <w:r w:rsidRPr="001E6CE1">
        <w:rPr>
          <w:b/>
          <w:bCs/>
          <w:sz w:val="22"/>
          <w:szCs w:val="22"/>
        </w:rPr>
        <w:t>Fig S</w:t>
      </w:r>
      <w:r w:rsidR="003E4720">
        <w:rPr>
          <w:b/>
          <w:bCs/>
          <w:sz w:val="22"/>
          <w:szCs w:val="22"/>
        </w:rPr>
        <w:t>4</w:t>
      </w:r>
      <w:r w:rsidRPr="001E6CE1">
        <w:rPr>
          <w:b/>
          <w:bCs/>
          <w:sz w:val="22"/>
          <w:szCs w:val="22"/>
        </w:rPr>
        <w:t xml:space="preserve">: </w:t>
      </w:r>
      <w:r w:rsidR="00DC0167">
        <w:rPr>
          <w:b/>
          <w:bCs/>
          <w:sz w:val="22"/>
          <w:szCs w:val="22"/>
        </w:rPr>
        <w:t>Optimization phase, f</w:t>
      </w:r>
      <w:r>
        <w:rPr>
          <w:b/>
          <w:bCs/>
          <w:sz w:val="22"/>
          <w:szCs w:val="22"/>
        </w:rPr>
        <w:t>luid</w:t>
      </w:r>
      <w:r w:rsidRPr="003B07C0">
        <w:rPr>
          <w:b/>
          <w:bCs/>
          <w:sz w:val="22"/>
          <w:szCs w:val="22"/>
        </w:rPr>
        <w:t xml:space="preserve"> dynamic analysis: </w:t>
      </w:r>
      <w:r>
        <w:rPr>
          <w:b/>
          <w:bCs/>
          <w:sz w:val="22"/>
          <w:szCs w:val="22"/>
        </w:rPr>
        <w:t>D</w:t>
      </w:r>
      <w:r w:rsidRPr="003B07C0">
        <w:rPr>
          <w:b/>
          <w:bCs/>
          <w:sz w:val="22"/>
          <w:szCs w:val="22"/>
        </w:rPr>
        <w:t xml:space="preserve">omain </w:t>
      </w:r>
      <w:r>
        <w:rPr>
          <w:b/>
          <w:bCs/>
          <w:sz w:val="22"/>
          <w:szCs w:val="22"/>
        </w:rPr>
        <w:t xml:space="preserve">and boundary conditions </w:t>
      </w:r>
      <w:r w:rsidRPr="003B07C0">
        <w:rPr>
          <w:b/>
          <w:bCs/>
          <w:sz w:val="22"/>
          <w:szCs w:val="22"/>
        </w:rPr>
        <w:t xml:space="preserve">used for </w:t>
      </w:r>
      <w:proofErr w:type="spellStart"/>
      <w:r>
        <w:rPr>
          <w:b/>
          <w:bCs/>
          <w:sz w:val="22"/>
          <w:szCs w:val="22"/>
        </w:rPr>
        <w:t>VoF</w:t>
      </w:r>
      <w:proofErr w:type="spellEnd"/>
      <w:r>
        <w:rPr>
          <w:b/>
          <w:bCs/>
          <w:sz w:val="22"/>
          <w:szCs w:val="22"/>
        </w:rPr>
        <w:t xml:space="preserve"> simulations. </w:t>
      </w:r>
      <w:r w:rsidRPr="003B07C0">
        <w:rPr>
          <w:sz w:val="22"/>
          <w:szCs w:val="22"/>
        </w:rPr>
        <w:t>Periodic boundary conditions are used along the cylinder during the optimization phase</w:t>
      </w:r>
      <w:r w:rsidR="00DC0167">
        <w:rPr>
          <w:sz w:val="22"/>
          <w:szCs w:val="22"/>
        </w:rPr>
        <w:t>.</w:t>
      </w:r>
    </w:p>
    <w:p w14:paraId="5C7E56E2" w14:textId="64FCBB12" w:rsidR="009B1D42" w:rsidRDefault="009B1D42" w:rsidP="009B1D42">
      <w:pPr>
        <w:pStyle w:val="SOMContent"/>
        <w:jc w:val="both"/>
      </w:pPr>
      <w:r w:rsidRPr="006C5AA3">
        <w:rPr>
          <w:b/>
          <w:bCs/>
        </w:rPr>
        <w:t>Experimental Validation Phase</w:t>
      </w:r>
      <w:r w:rsidRPr="006C5AA3">
        <w:t xml:space="preserve">: </w:t>
      </w:r>
      <w:r w:rsidRPr="001A446B">
        <w:t>For high-fidelity simulations of the solid cylinder and optimized designs A, D, H, and I (</w:t>
      </w:r>
      <w:r w:rsidRPr="00B57B06">
        <w:rPr>
          <w:b/>
          <w:bCs/>
        </w:rPr>
        <w:t>Figure S</w:t>
      </w:r>
      <w:r w:rsidR="003E4720">
        <w:rPr>
          <w:b/>
          <w:bCs/>
        </w:rPr>
        <w:t>5</w:t>
      </w:r>
      <w:r w:rsidRPr="001A446B">
        <w:t xml:space="preserve">), we applied realistic open-channel conditions to enable comparison with experimental </w:t>
      </w:r>
      <w:r w:rsidR="004F43C0">
        <w:t>S</w:t>
      </w:r>
      <w:r w:rsidRPr="001A446B">
        <w:t>PIV data. The upstream boundary (left) was set as an inflow with a uniform velocity profile, while the downstream boundary (right) was an outflow with a zero-pressure-gradient (Neumann) condition to approximate convective exit flow and minimize reflection artifacts.</w:t>
      </w:r>
      <w:r>
        <w:t xml:space="preserve"> </w:t>
      </w:r>
      <w:r w:rsidRPr="001A446B">
        <w:t xml:space="preserve">The top and bottom boundaries were modeled as no-slip walls (rigid lids), simulating a confined channel with stationary upper and lower surfaces. </w:t>
      </w:r>
      <w:r w:rsidRPr="00683043">
        <w:t xml:space="preserve">While the </w:t>
      </w:r>
      <w:r w:rsidR="004F43C0">
        <w:t>S</w:t>
      </w:r>
      <w:r w:rsidRPr="00683043">
        <w:t xml:space="preserve">PIV experiments used a water tunnel with no-slip walls in both vertical and lateral directions, we applied periodic boundary conditions laterally to reduce computational cost. This choice introduces a slight deviation from the experimental setup but is not expected to significantly </w:t>
      </w:r>
      <w:proofErr w:type="gramStart"/>
      <w:r w:rsidRPr="00683043">
        <w:t>impact</w:t>
      </w:r>
      <w:proofErr w:type="gramEnd"/>
      <w:r w:rsidRPr="00683043">
        <w:t xml:space="preserve"> the near-field flow dynamics or vortex shedding behavior of interest.</w:t>
      </w:r>
    </w:p>
    <w:p w14:paraId="56CBFAAF" w14:textId="77777777" w:rsidR="00A65308" w:rsidRDefault="00A65308" w:rsidP="00A65308">
      <w:pPr>
        <w:pStyle w:val="SOMContent"/>
        <w:jc w:val="both"/>
      </w:pPr>
      <w:r w:rsidRPr="006C5AA3">
        <w:t xml:space="preserve">All simulations assumed incompressible flow with constant fluid properties. </w:t>
      </w:r>
      <w:r w:rsidRPr="00DC0167">
        <w:t xml:space="preserve">The flow was initialized from rest </w:t>
      </w:r>
      <w:r w:rsidRPr="006C5AA3">
        <w:t xml:space="preserve">at </w:t>
      </w:r>
      <w:r w:rsidRPr="006C5AA3">
        <w:rPr>
          <w:i/>
          <w:iCs/>
        </w:rPr>
        <w:t>t</w:t>
      </w:r>
      <w:r w:rsidRPr="006C5AA3">
        <w:t xml:space="preserve"> = 0</w:t>
      </w:r>
      <w:r w:rsidRPr="00DC0167">
        <w:t>, and an impulsive start was applied by immediately setting the velocity to its target value. This approach introduced initial transients, which were allowed to dissipate before data collection began.</w:t>
      </w:r>
      <w:r>
        <w:t xml:space="preserve"> </w:t>
      </w:r>
      <w:r w:rsidRPr="006C5AA3">
        <w:t xml:space="preserve">Each case was then simulated until </w:t>
      </w:r>
      <w:r w:rsidRPr="006C5AA3">
        <w:rPr>
          <w:i/>
          <w:iCs/>
        </w:rPr>
        <w:t>t</w:t>
      </w:r>
      <w:r w:rsidRPr="006C5AA3">
        <w:t xml:space="preserve"> = 200 (in nondimensional time units based on inflow velocity and lattice diameter), long enough for the flow to reach a </w:t>
      </w:r>
      <w:proofErr w:type="spellStart"/>
      <w:proofErr w:type="gramStart"/>
      <w:r>
        <w:t>quasi</w:t>
      </w:r>
      <w:r w:rsidRPr="006C5AA3">
        <w:t xml:space="preserve"> steady</w:t>
      </w:r>
      <w:proofErr w:type="spellEnd"/>
      <w:proofErr w:type="gramEnd"/>
      <w:r w:rsidRPr="006C5AA3">
        <w:t xml:space="preserve"> state or periodic shedding regime. We recorded flow field snapshots and force data throughout the simulation after an initial transient period (~</w:t>
      </w:r>
      <w:proofErr w:type="gramStart"/>
      <w:r w:rsidRPr="006C5AA3">
        <w:t>50 time</w:t>
      </w:r>
      <w:proofErr w:type="gramEnd"/>
      <w:r w:rsidRPr="006C5AA3">
        <w:t xml:space="preserve"> units) to analyze the established </w:t>
      </w:r>
      <w:r>
        <w:t xml:space="preserve">force and </w:t>
      </w:r>
      <w:r w:rsidRPr="006C5AA3">
        <w:t>flow patterns.</w:t>
      </w:r>
      <w:r>
        <w:t xml:space="preserve"> </w:t>
      </w:r>
    </w:p>
    <w:p w14:paraId="7306FD24" w14:textId="752C00AC" w:rsidR="003B07C0" w:rsidRDefault="00DC0167" w:rsidP="00DC0167">
      <w:pPr>
        <w:pStyle w:val="SOMContent"/>
        <w:jc w:val="center"/>
      </w:pPr>
      <w:r>
        <w:rPr>
          <w:noProof/>
        </w:rPr>
        <w:lastRenderedPageBreak/>
        <w:drawing>
          <wp:inline distT="0" distB="0" distL="0" distR="0" wp14:anchorId="64A0B636" wp14:editId="03A249DB">
            <wp:extent cx="5255989" cy="3456264"/>
            <wp:effectExtent l="0" t="0" r="0" b="0"/>
            <wp:docPr id="20165194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5844" cy="3469320"/>
                    </a:xfrm>
                    <a:prstGeom prst="rect">
                      <a:avLst/>
                    </a:prstGeom>
                    <a:noFill/>
                    <a:ln>
                      <a:noFill/>
                    </a:ln>
                  </pic:spPr>
                </pic:pic>
              </a:graphicData>
            </a:graphic>
          </wp:inline>
        </w:drawing>
      </w:r>
    </w:p>
    <w:p w14:paraId="4E1033EF" w14:textId="359875CD" w:rsidR="00A65308" w:rsidRPr="0044337A" w:rsidRDefault="00DC0167" w:rsidP="00A65308">
      <w:pPr>
        <w:pStyle w:val="SOMContent"/>
        <w:jc w:val="both"/>
        <w:rPr>
          <w:b/>
          <w:bCs/>
          <w:sz w:val="22"/>
          <w:szCs w:val="22"/>
        </w:rPr>
      </w:pPr>
      <w:r w:rsidRPr="001E6CE1">
        <w:rPr>
          <w:b/>
          <w:bCs/>
          <w:sz w:val="22"/>
          <w:szCs w:val="22"/>
        </w:rPr>
        <w:t>Fig S</w:t>
      </w:r>
      <w:r w:rsidR="003E4720">
        <w:rPr>
          <w:b/>
          <w:bCs/>
          <w:sz w:val="22"/>
          <w:szCs w:val="22"/>
        </w:rPr>
        <w:t>5</w:t>
      </w:r>
      <w:r w:rsidRPr="001E6CE1">
        <w:rPr>
          <w:b/>
          <w:bCs/>
          <w:sz w:val="22"/>
          <w:szCs w:val="22"/>
        </w:rPr>
        <w:t xml:space="preserve">: </w:t>
      </w:r>
      <w:r>
        <w:rPr>
          <w:b/>
          <w:bCs/>
          <w:sz w:val="22"/>
          <w:szCs w:val="22"/>
        </w:rPr>
        <w:t>Final Validation, fluid</w:t>
      </w:r>
      <w:r w:rsidRPr="003B07C0">
        <w:rPr>
          <w:b/>
          <w:bCs/>
          <w:sz w:val="22"/>
          <w:szCs w:val="22"/>
        </w:rPr>
        <w:t xml:space="preserve"> dynamic analysis: </w:t>
      </w:r>
      <w:r>
        <w:rPr>
          <w:b/>
          <w:bCs/>
          <w:sz w:val="22"/>
          <w:szCs w:val="22"/>
        </w:rPr>
        <w:t>D</w:t>
      </w:r>
      <w:r w:rsidRPr="003B07C0">
        <w:rPr>
          <w:b/>
          <w:bCs/>
          <w:sz w:val="22"/>
          <w:szCs w:val="22"/>
        </w:rPr>
        <w:t xml:space="preserve">omain </w:t>
      </w:r>
      <w:r>
        <w:rPr>
          <w:b/>
          <w:bCs/>
          <w:sz w:val="22"/>
          <w:szCs w:val="22"/>
        </w:rPr>
        <w:t xml:space="preserve">and boundary conditions </w:t>
      </w:r>
      <w:r w:rsidRPr="003B07C0">
        <w:rPr>
          <w:b/>
          <w:bCs/>
          <w:sz w:val="22"/>
          <w:szCs w:val="22"/>
        </w:rPr>
        <w:t xml:space="preserve">used for </w:t>
      </w:r>
      <w:proofErr w:type="spellStart"/>
      <w:r>
        <w:rPr>
          <w:b/>
          <w:bCs/>
          <w:sz w:val="22"/>
          <w:szCs w:val="22"/>
        </w:rPr>
        <w:t>VoF</w:t>
      </w:r>
      <w:proofErr w:type="spellEnd"/>
      <w:r>
        <w:rPr>
          <w:b/>
          <w:bCs/>
          <w:sz w:val="22"/>
          <w:szCs w:val="22"/>
        </w:rPr>
        <w:t xml:space="preserve"> simulations. </w:t>
      </w:r>
      <w:r>
        <w:rPr>
          <w:sz w:val="22"/>
          <w:szCs w:val="22"/>
        </w:rPr>
        <w:t>No s</w:t>
      </w:r>
      <w:r w:rsidRPr="003B07C0">
        <w:rPr>
          <w:sz w:val="22"/>
          <w:szCs w:val="22"/>
        </w:rPr>
        <w:t xml:space="preserve">lip </w:t>
      </w:r>
      <w:r>
        <w:rPr>
          <w:sz w:val="22"/>
          <w:szCs w:val="22"/>
        </w:rPr>
        <w:t>s</w:t>
      </w:r>
      <w:r w:rsidRPr="003B07C0">
        <w:rPr>
          <w:sz w:val="22"/>
          <w:szCs w:val="22"/>
        </w:rPr>
        <w:t>olid boundary conditions are used along the cylinder</w:t>
      </w:r>
      <w:r>
        <w:rPr>
          <w:sz w:val="22"/>
          <w:szCs w:val="22"/>
        </w:rPr>
        <w:t xml:space="preserve"> axes</w:t>
      </w:r>
      <w:r w:rsidRPr="003B07C0">
        <w:rPr>
          <w:sz w:val="22"/>
          <w:szCs w:val="22"/>
        </w:rPr>
        <w:t xml:space="preserve"> during final stage to compare results to experimental </w:t>
      </w:r>
      <w:r w:rsidR="004F43C0">
        <w:rPr>
          <w:sz w:val="22"/>
          <w:szCs w:val="22"/>
        </w:rPr>
        <w:t>S</w:t>
      </w:r>
      <w:r w:rsidRPr="003B07C0">
        <w:rPr>
          <w:sz w:val="22"/>
          <w:szCs w:val="22"/>
        </w:rPr>
        <w:t>PIV data.</w:t>
      </w:r>
      <w:r>
        <w:rPr>
          <w:sz w:val="22"/>
          <w:szCs w:val="22"/>
        </w:rPr>
        <w:t xml:space="preserve"> </w:t>
      </w:r>
      <w:r>
        <w:rPr>
          <w:b/>
          <w:bCs/>
          <w:sz w:val="22"/>
          <w:szCs w:val="22"/>
        </w:rPr>
        <w:t xml:space="preserve"> </w:t>
      </w:r>
    </w:p>
    <w:p w14:paraId="37E41DCE" w14:textId="4A4A2EA8" w:rsidR="0067141D" w:rsidRDefault="0067141D" w:rsidP="006C5AA3">
      <w:pPr>
        <w:pStyle w:val="SOMContent"/>
        <w:jc w:val="both"/>
        <w:rPr>
          <w:u w:val="single"/>
        </w:rPr>
      </w:pPr>
      <w:r w:rsidRPr="0067141D">
        <w:rPr>
          <w:u w:val="single"/>
        </w:rPr>
        <w:t>Hydrodynamic Benchmarking and Validation of the Solid Cylinder</w:t>
      </w:r>
    </w:p>
    <w:p w14:paraId="75F42CA3" w14:textId="7D806A7F" w:rsidR="0067141D" w:rsidRPr="0067141D" w:rsidRDefault="0067141D" w:rsidP="0067141D">
      <w:pPr>
        <w:pStyle w:val="SOMContent"/>
        <w:jc w:val="both"/>
      </w:pPr>
      <w:r w:rsidRPr="0067141D">
        <w:t xml:space="preserve">Before analyzing the performance of the optimized sponge-inspired structures, we validated our numerical approach by simulating flow around a solid circular cylinder at Reynolds </w:t>
      </w:r>
      <w:r w:rsidRPr="003E4720">
        <w:t xml:space="preserve">number </w:t>
      </w:r>
      <m:oMath>
        <m:r>
          <m:rPr>
            <m:sty m:val="p"/>
          </m:rPr>
          <w:rPr>
            <w:rFonts w:ascii="Cambria Math" w:hAnsi="Cambria Math"/>
          </w:rPr>
          <m:t>Re=2100</m:t>
        </m:r>
      </m:oMath>
      <w:r w:rsidRPr="0067141D">
        <w:t>, representative of our experimental conditions. This benchmark case serves to confirm the fidelity of our numerical setup, mesh resolution, and force computation routines.</w:t>
      </w:r>
    </w:p>
    <w:p w14:paraId="6763BE80" w14:textId="56F53AEE" w:rsidR="0005717A" w:rsidRDefault="0067141D" w:rsidP="0005717A">
      <w:pPr>
        <w:pStyle w:val="SOMContent"/>
        <w:jc w:val="both"/>
      </w:pPr>
      <w:r w:rsidRPr="00B57B06">
        <w:rPr>
          <w:b/>
          <w:bCs/>
        </w:rPr>
        <w:t>Figure S</w:t>
      </w:r>
      <w:r w:rsidR="003E4720">
        <w:rPr>
          <w:b/>
          <w:bCs/>
        </w:rPr>
        <w:t>6</w:t>
      </w:r>
      <w:r w:rsidRPr="0067141D">
        <w:t xml:space="preserve"> summarizes the hydrodynamic response of the solid cylinder. </w:t>
      </w:r>
      <w:r w:rsidR="003E4720" w:rsidRPr="00B57B06">
        <w:rPr>
          <w:b/>
          <w:bCs/>
        </w:rPr>
        <w:t>Figure S</w:t>
      </w:r>
      <w:r w:rsidR="003E4720">
        <w:rPr>
          <w:b/>
          <w:bCs/>
        </w:rPr>
        <w:t>6</w:t>
      </w:r>
      <w:r w:rsidR="003E4720" w:rsidRPr="003E4720">
        <w:rPr>
          <w:b/>
          <w:bCs/>
        </w:rPr>
        <w:t>A</w:t>
      </w:r>
      <w:r w:rsidR="009B1D42" w:rsidRPr="0067141D">
        <w:t xml:space="preserve"> and </w:t>
      </w:r>
      <w:r w:rsidR="003E4720" w:rsidRPr="003E4720">
        <w:rPr>
          <w:b/>
          <w:bCs/>
        </w:rPr>
        <w:t>B</w:t>
      </w:r>
      <w:r w:rsidR="009B1D42" w:rsidRPr="0067141D">
        <w:t xml:space="preserve"> show the time evolution of drag and lift coefficients after the flow reaches a quasi-steady state. The lift coefficient exhibits clear periodic oscillations, indicative of vortex shedding. The power spectral density (PSD) of the lift signal (</w:t>
      </w:r>
      <w:r w:rsidR="009B1D42" w:rsidRPr="00B57B06">
        <w:rPr>
          <w:b/>
          <w:bCs/>
        </w:rPr>
        <w:t>Figure S</w:t>
      </w:r>
      <w:r w:rsidR="003E4720">
        <w:rPr>
          <w:b/>
          <w:bCs/>
        </w:rPr>
        <w:t>6C</w:t>
      </w:r>
      <w:r w:rsidR="009B1D42" w:rsidRPr="0067141D">
        <w:t xml:space="preserve">) </w:t>
      </w:r>
      <w:r w:rsidR="0005717A">
        <w:t>identifies</w:t>
      </w:r>
      <w:r w:rsidR="009B1D42" w:rsidRPr="0067141D">
        <w:t xml:space="preserve"> a dominant shedding frequency near 0.9 Hz, which corresponds to a Strouhal number of</w:t>
      </w:r>
      <w:r w:rsidR="009B1D42">
        <w:t xml:space="preserve"> </w:t>
      </w:r>
      <m:oMath>
        <m:r>
          <w:rPr>
            <w:rFonts w:ascii="Cambria Math" w:hAnsi="Cambria Math"/>
          </w:rPr>
          <m:t>St=</m:t>
        </m:r>
        <m:f>
          <m:fPr>
            <m:ctrlPr>
              <w:rPr>
                <w:rFonts w:ascii="Cambria Math" w:hAnsi="Cambria Math"/>
                <w:i/>
              </w:rPr>
            </m:ctrlPr>
          </m:fPr>
          <m:num>
            <m:r>
              <w:rPr>
                <w:rFonts w:ascii="Cambria Math" w:hAnsi="Cambria Math"/>
              </w:rPr>
              <m:t>fD</m:t>
            </m:r>
          </m:num>
          <m:den>
            <m:sSub>
              <m:sSubPr>
                <m:ctrlPr>
                  <w:rPr>
                    <w:rFonts w:ascii="Cambria Math" w:hAnsi="Cambria Math"/>
                    <w:i/>
                  </w:rPr>
                </m:ctrlPr>
              </m:sSubPr>
              <m:e>
                <m:r>
                  <w:rPr>
                    <w:rFonts w:ascii="Cambria Math" w:hAnsi="Cambria Math"/>
                  </w:rPr>
                  <m:t>U</m:t>
                </m:r>
              </m:e>
              <m:sub>
                <m:r>
                  <w:rPr>
                    <w:rFonts w:ascii="Cambria Math" w:hAnsi="Cambria Math"/>
                  </w:rPr>
                  <m:t>0</m:t>
                </m:r>
              </m:sub>
            </m:sSub>
          </m:den>
        </m:f>
        <m:r>
          <w:rPr>
            <w:rFonts w:ascii="Cambria Math" w:hAnsi="Cambria Math"/>
          </w:rPr>
          <m:t>≈0.21</m:t>
        </m:r>
      </m:oMath>
      <w:r w:rsidR="009B1D42">
        <w:t xml:space="preserve">, </w:t>
      </w:r>
      <w:r w:rsidR="009B1D42" w:rsidRPr="0067141D">
        <w:t>where</w:t>
      </w:r>
      <w:r w:rsidR="009B1D42">
        <w:t xml:space="preserve"> </w:t>
      </w:r>
      <m:oMath>
        <m:r>
          <w:rPr>
            <w:rFonts w:ascii="Cambria Math" w:hAnsi="Cambria Math"/>
          </w:rPr>
          <m:t>f</m:t>
        </m:r>
      </m:oMath>
      <w:r w:rsidR="009B1D42" w:rsidRPr="0067141D">
        <w:t xml:space="preserve"> is the shedding frequency,</w:t>
      </w:r>
      <w:r w:rsidR="009B1D42">
        <w:t xml:space="preserve"> </w:t>
      </w:r>
      <m:oMath>
        <m:r>
          <w:rPr>
            <w:rFonts w:ascii="Cambria Math" w:hAnsi="Cambria Math"/>
          </w:rPr>
          <m:t>D</m:t>
        </m:r>
      </m:oMath>
      <w:r w:rsidR="009B1D42" w:rsidRPr="0067141D">
        <w:t xml:space="preserve"> is the cylinder diameter, and </w:t>
      </w:r>
      <m:oMath>
        <m:sSub>
          <m:sSubPr>
            <m:ctrlPr>
              <w:rPr>
                <w:rFonts w:ascii="Cambria Math" w:hAnsi="Cambria Math"/>
                <w:i/>
              </w:rPr>
            </m:ctrlPr>
          </m:sSubPr>
          <m:e>
            <m:r>
              <w:rPr>
                <w:rFonts w:ascii="Cambria Math" w:hAnsi="Cambria Math"/>
              </w:rPr>
              <m:t>U</m:t>
            </m:r>
          </m:e>
          <m:sub>
            <m:r>
              <w:rPr>
                <w:rFonts w:ascii="Cambria Math" w:hAnsi="Cambria Math"/>
              </w:rPr>
              <m:t>0</m:t>
            </m:r>
          </m:sub>
        </m:sSub>
      </m:oMath>
      <w:r w:rsidR="009B1D42">
        <w:t xml:space="preserve"> </w:t>
      </w:r>
      <w:r w:rsidR="009B1D42" w:rsidRPr="0067141D">
        <w:t xml:space="preserve">is the free-stream velocity. This value is consistent with literature data for circular cylinders at similar Reynolds numbers </w:t>
      </w:r>
      <w:r w:rsidR="00D32709">
        <w:fldChar w:fldCharType="begin"/>
      </w:r>
      <w:r w:rsidR="001E7D5E">
        <w:instrText xml:space="preserve"> ADDIN ZOTERO_ITEM CSL_CITATION {"citationID":"AkEUavZw","properties":{"formattedCitation":"\\super 1\\nosupersub{}","plainCitation":"1","noteIndex":0},"citationItems":[{"id":3071,"uris":["http://zotero.org/users/9935298/items/R24TGJTX"],"itemData":{"id":3071,"type":"document","language":"eng","note":"Citation Key: alma99176508360001451\npublisher-place: Pullman, Wash\nPublication title: Synopsis of lift, drag, and vortex frequency data for rigid circular cylinders\ncollection-title: Bulletin / college of engineering. Research division ; 300","publisher":"Technical Extension Service, Washington State University","title":"Synopsis of lift, drag, and vortex frequency data for rigid circular cylinders","author":[{"family":"Lienhard","given":"John H."},{"family":"Service.","given":"Washington State University. Technical Extension"},{"family":"Engineering. Research Division.","given":"Washington State University. College","non-dropping-particle":"of"}],"issued":{"date-parts":[["1966"]]},"citation-key":"alma99176508360001451"}}],"schema":"https://github.com/citation-style-language/schema/raw/master/csl-citation.json"} </w:instrText>
      </w:r>
      <w:r w:rsidR="00D32709">
        <w:fldChar w:fldCharType="separate"/>
      </w:r>
      <w:r w:rsidR="001E7D5E" w:rsidRPr="001E7D5E">
        <w:rPr>
          <w:vertAlign w:val="superscript"/>
        </w:rPr>
        <w:t>1</w:t>
      </w:r>
      <w:r w:rsidR="00D32709">
        <w:fldChar w:fldCharType="end"/>
      </w:r>
      <w:r w:rsidR="009B1D42" w:rsidRPr="0067141D">
        <w:t>.</w:t>
      </w:r>
      <w:r w:rsidR="009B1D42">
        <w:t xml:space="preserve"> </w:t>
      </w:r>
      <w:r w:rsidR="009B1D42" w:rsidRPr="0067141D">
        <w:t xml:space="preserve">The time-averaged drag coefficient obtained from our simulations was approximately </w:t>
      </w:r>
      <m:oMath>
        <m:sSub>
          <m:sSubPr>
            <m:ctrlPr>
              <w:rPr>
                <w:rFonts w:ascii="Cambria Math" w:hAnsi="Cambria Math"/>
                <w:i/>
              </w:rPr>
            </m:ctrlPr>
          </m:sSubPr>
          <m:e>
            <m:r>
              <w:rPr>
                <w:rFonts w:ascii="Cambria Math" w:hAnsi="Cambria Math"/>
              </w:rPr>
              <m:t>c</m:t>
            </m:r>
          </m:e>
          <m:sub>
            <m:r>
              <w:rPr>
                <w:rFonts w:ascii="Cambria Math" w:hAnsi="Cambria Math"/>
              </w:rPr>
              <m:t>D</m:t>
            </m:r>
          </m:sub>
        </m:sSub>
        <m:r>
          <w:rPr>
            <w:rFonts w:ascii="Cambria Math" w:hAnsi="Cambria Math"/>
          </w:rPr>
          <m:t>≈0.99,</m:t>
        </m:r>
      </m:oMath>
      <w:r w:rsidR="009B1D42" w:rsidRPr="0067141D">
        <w:t xml:space="preserve"> also in excellent agreement with established reference values for a smooth circular cylinder at Re</w:t>
      </w:r>
      <w:r w:rsidR="009B1D42" w:rsidRPr="0067141D">
        <w:rPr>
          <w:rFonts w:ascii="Cambria Math" w:hAnsi="Cambria Math" w:cs="Cambria Math"/>
        </w:rPr>
        <w:t>∼</w:t>
      </w:r>
      <w:r w:rsidR="009B1D42" w:rsidRPr="0067141D">
        <w:t>2</w:t>
      </w:r>
      <w:r w:rsidR="005337FF">
        <w:t>1</w:t>
      </w:r>
      <w:r w:rsidR="009B1D42" w:rsidRPr="0067141D">
        <w:t xml:space="preserve">00 </w:t>
      </w:r>
      <w:r w:rsidR="00D32709">
        <w:fldChar w:fldCharType="begin"/>
      </w:r>
      <w:r w:rsidR="00FE6271">
        <w:instrText xml:space="preserve"> ADDIN ZOTERO_ITEM CSL_CITATION {"citationID":"zYGNdZdb","properties":{"formattedCitation":"\\super 8\\nosupersub{}","plainCitation":"8","noteIndex":0},"citationItems":[{"id":3072,"uris":["http://zotero.org/users/9935298/items/AATJAUQ9"],"itemData":{"id":3072,"type":"book","edition":"Fourth edition","event-place":"Hoboken, New Jersey","ISBN":"978-1-118-41573-3","language":"eng","publisher":"John Wiley and Sons, Inc","publisher-place":"Hoboken, New Jersey","source":"K10plus ISBN","title":"Incompressible flow","editor":[{"family":"Panton","given":"Ronald L."}],"issued":{"date-parts":[["2013"]]},"citation-key":"pantonIncompressibleFlow2013"}}],"schema":"https://github.com/citation-style-language/schema/raw/master/csl-citation.json"} </w:instrText>
      </w:r>
      <w:r w:rsidR="00D32709">
        <w:fldChar w:fldCharType="separate"/>
      </w:r>
      <w:r w:rsidR="00FE6271" w:rsidRPr="00FE6271">
        <w:rPr>
          <w:vertAlign w:val="superscript"/>
        </w:rPr>
        <w:t>8</w:t>
      </w:r>
      <w:r w:rsidR="00D32709">
        <w:fldChar w:fldCharType="end"/>
      </w:r>
      <w:r w:rsidR="009B1D42" w:rsidRPr="0067141D">
        <w:t>, where drag coefficients are typically reported in the range of 0.9</w:t>
      </w:r>
      <w:r w:rsidR="00A900AC">
        <w:t xml:space="preserve"> </w:t>
      </w:r>
      <w:r w:rsidR="009B1D42" w:rsidRPr="0067141D">
        <w:t>–</w:t>
      </w:r>
      <w:r w:rsidR="00A900AC">
        <w:t xml:space="preserve"> </w:t>
      </w:r>
      <w:r w:rsidR="009B1D42" w:rsidRPr="0067141D">
        <w:t>1.1.</w:t>
      </w:r>
      <w:r w:rsidR="009B1D42">
        <w:t xml:space="preserve"> </w:t>
      </w:r>
      <w:r w:rsidR="003E4720" w:rsidRPr="00B57B06">
        <w:rPr>
          <w:b/>
          <w:bCs/>
        </w:rPr>
        <w:t xml:space="preserve">Figure </w:t>
      </w:r>
      <w:r w:rsidR="003E4720">
        <w:rPr>
          <w:b/>
          <w:bCs/>
        </w:rPr>
        <w:t>6D</w:t>
      </w:r>
      <w:r w:rsidR="009B1D42" w:rsidRPr="0067141D">
        <w:t xml:space="preserve"> and </w:t>
      </w:r>
      <w:r w:rsidR="003E4720">
        <w:rPr>
          <w:b/>
          <w:bCs/>
        </w:rPr>
        <w:t xml:space="preserve">E </w:t>
      </w:r>
      <w:r w:rsidR="009B1D42" w:rsidRPr="0067141D">
        <w:t>compare our computed drag and Strouhal number with empirical curves from literature</w:t>
      </w:r>
      <w:r w:rsidR="00D32709">
        <w:t xml:space="preserve"> </w:t>
      </w:r>
      <w:r w:rsidR="002C5AD3">
        <w:t xml:space="preserve"> </w:t>
      </w:r>
      <w:r w:rsidR="00D32709">
        <w:fldChar w:fldCharType="begin"/>
      </w:r>
      <w:r w:rsidR="00FE6271">
        <w:instrText xml:space="preserve"> ADDIN ZOTERO_ITEM CSL_CITATION {"citationID":"K0Zz1Kdq","properties":{"formattedCitation":"\\super 1,8\\nosupersub{}","plainCitation":"1,8","noteIndex":0},"citationItems":[{"id":3071,"uris":["http://zotero.org/users/9935298/items/R24TGJTX"],"itemData":{"id":3071,"type":"document","language":"eng","note":"Citation Key: alma99176508360001451\npublisher-place: Pullman, Wash\nPublication title: Synopsis of lift, drag, and vortex frequency data for rigid circular cylinders\ncollection-title: Bulletin / college of engineering. Research division ; 300","publisher":"Technical Extension Service, Washington State University","title":"Synopsis of lift, drag, and vortex frequency data for rigid circular cylinders","author":[{"family":"Lienhard","given":"John H."},{"family":"Service.","given":"Washington State University. Technical Extension"},{"family":"Engineering. Research Division.","given":"Washington State University. College","non-dropping-particle":"of"}],"issued":{"date-parts":[["1966"]]},"citation-key":"alma99176508360001451"},"label":"page"},{"id":3072,"uris":["http://zotero.org/users/9935298/items/AATJAUQ9"],"itemData":{"id":3072,"type":"book","edition":"Fourth edition","event-place":"Hoboken, New Jersey","ISBN":"978-1-118-41573-3","language":"eng","publisher":"John Wiley and Sons, Inc","publisher-place":"Hoboken, New Jersey","source":"K10plus ISBN","title":"Incompressible flow","editor":[{"family":"Panton","given":"Ronald L."}],"issued":{"date-parts":[["2013"]]},"citation-key":"pantonIncompressibleFlow2013"},"label":"page"}],"schema":"https://github.com/citation-style-language/schema/raw/master/csl-citation.json"} </w:instrText>
      </w:r>
      <w:r w:rsidR="00D32709">
        <w:fldChar w:fldCharType="separate"/>
      </w:r>
      <w:r w:rsidR="00FE6271" w:rsidRPr="00FE6271">
        <w:rPr>
          <w:vertAlign w:val="superscript"/>
        </w:rPr>
        <w:t>1,8</w:t>
      </w:r>
      <w:r w:rsidR="00D32709">
        <w:fldChar w:fldCharType="end"/>
      </w:r>
      <w:r w:rsidR="009B1D42" w:rsidRPr="0067141D">
        <w:t>, showing strong agreement across both metrics.</w:t>
      </w:r>
      <w:r w:rsidR="002C5AD3">
        <w:t xml:space="preserve"> </w:t>
      </w:r>
      <w:r w:rsidR="0005717A" w:rsidRPr="0005717A">
        <w:t>This validates the simulation framework and provides a solid reference point for evaluating the hydrodynamic improvements of the optimized designs.</w:t>
      </w:r>
    </w:p>
    <w:p w14:paraId="382E072D" w14:textId="73498AEE" w:rsidR="008B2832" w:rsidRDefault="008B2832" w:rsidP="0005717A">
      <w:pPr>
        <w:pStyle w:val="SOMContent"/>
        <w:jc w:val="both"/>
      </w:pPr>
      <w:r>
        <w:rPr>
          <w:noProof/>
        </w:rPr>
        <w:lastRenderedPageBreak/>
        <w:drawing>
          <wp:inline distT="0" distB="0" distL="0" distR="0" wp14:anchorId="3784EB40" wp14:editId="08F5E1BC">
            <wp:extent cx="5926015" cy="4853090"/>
            <wp:effectExtent l="0" t="0" r="0" b="5080"/>
            <wp:docPr id="17412082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l="888" t="1080" r="1029" b="1252"/>
                    <a:stretch>
                      <a:fillRect/>
                    </a:stretch>
                  </pic:blipFill>
                  <pic:spPr bwMode="auto">
                    <a:xfrm>
                      <a:off x="0" y="0"/>
                      <a:ext cx="5931457" cy="4857546"/>
                    </a:xfrm>
                    <a:prstGeom prst="rect">
                      <a:avLst/>
                    </a:prstGeom>
                    <a:noFill/>
                    <a:ln>
                      <a:noFill/>
                    </a:ln>
                    <a:extLst>
                      <a:ext uri="{53640926-AAD7-44D8-BBD7-CCE9431645EC}">
                        <a14:shadowObscured xmlns:a14="http://schemas.microsoft.com/office/drawing/2010/main"/>
                      </a:ext>
                    </a:extLst>
                  </pic:spPr>
                </pic:pic>
              </a:graphicData>
            </a:graphic>
          </wp:inline>
        </w:drawing>
      </w:r>
    </w:p>
    <w:p w14:paraId="7CE3C9E7" w14:textId="2240BBCB" w:rsidR="00FF6CC0" w:rsidRDefault="00161D24" w:rsidP="00FF6CC0">
      <w:pPr>
        <w:pStyle w:val="SOMContent"/>
        <w:jc w:val="both"/>
        <w:rPr>
          <w:sz w:val="22"/>
          <w:szCs w:val="22"/>
        </w:rPr>
      </w:pPr>
      <w:r w:rsidRPr="00161D24">
        <w:rPr>
          <w:b/>
          <w:bCs/>
          <w:sz w:val="22"/>
          <w:szCs w:val="22"/>
        </w:rPr>
        <w:t>Fig S</w:t>
      </w:r>
      <w:r w:rsidR="003E4720">
        <w:rPr>
          <w:b/>
          <w:bCs/>
          <w:sz w:val="22"/>
          <w:szCs w:val="22"/>
        </w:rPr>
        <w:t>6</w:t>
      </w:r>
      <w:r w:rsidRPr="00161D24">
        <w:rPr>
          <w:b/>
          <w:bCs/>
          <w:sz w:val="22"/>
          <w:szCs w:val="22"/>
        </w:rPr>
        <w:t>: Hydrodynamic validation of the solid circular cylinder at Re≈2</w:t>
      </w:r>
      <w:r w:rsidR="005337FF">
        <w:rPr>
          <w:b/>
          <w:bCs/>
          <w:sz w:val="22"/>
          <w:szCs w:val="22"/>
        </w:rPr>
        <w:t>1</w:t>
      </w:r>
      <w:r w:rsidRPr="00161D24">
        <w:rPr>
          <w:b/>
          <w:bCs/>
          <w:sz w:val="22"/>
          <w:szCs w:val="22"/>
        </w:rPr>
        <w:t>00.</w:t>
      </w:r>
      <w:r w:rsidRPr="00161D24">
        <w:rPr>
          <w:sz w:val="22"/>
          <w:szCs w:val="22"/>
        </w:rPr>
        <w:t xml:space="preserve"> (a) Time-resolved drag coefficient</w:t>
      </w:r>
      <w:r>
        <w:rPr>
          <w:sz w:val="22"/>
          <w:szCs w:val="22"/>
        </w:rPr>
        <w:t xml:space="preserve"> </w:t>
      </w:r>
      <w:r w:rsidRPr="00161D24">
        <w:rPr>
          <w:sz w:val="22"/>
          <w:szCs w:val="22"/>
        </w:rPr>
        <w:t>after reaching quasi-steady-state conditions.</w:t>
      </w:r>
      <w:r>
        <w:rPr>
          <w:sz w:val="22"/>
          <w:szCs w:val="22"/>
        </w:rPr>
        <w:t xml:space="preserve"> </w:t>
      </w:r>
      <w:r w:rsidRPr="00161D24">
        <w:rPr>
          <w:sz w:val="22"/>
          <w:szCs w:val="22"/>
        </w:rPr>
        <w:t>(b) Corresponding lift coefficient showing periodic vortex shedding.</w:t>
      </w:r>
      <w:r>
        <w:rPr>
          <w:sz w:val="22"/>
          <w:szCs w:val="22"/>
        </w:rPr>
        <w:t xml:space="preserve"> </w:t>
      </w:r>
      <w:r w:rsidRPr="00161D24">
        <w:rPr>
          <w:sz w:val="22"/>
          <w:szCs w:val="22"/>
        </w:rPr>
        <w:t>(c) Power spectral density of the lift coefficient, indicating a dominant shedding frequency around 0.9 Hz, from which a Strouhal number of St≈0.21</w:t>
      </w:r>
      <w:r>
        <w:rPr>
          <w:sz w:val="22"/>
          <w:szCs w:val="22"/>
        </w:rPr>
        <w:t xml:space="preserve"> </w:t>
      </w:r>
      <w:r w:rsidRPr="00161D24">
        <w:rPr>
          <w:sz w:val="22"/>
          <w:szCs w:val="22"/>
        </w:rPr>
        <w:t>is calculated.</w:t>
      </w:r>
      <w:r>
        <w:rPr>
          <w:sz w:val="22"/>
          <w:szCs w:val="22"/>
        </w:rPr>
        <w:t xml:space="preserve"> </w:t>
      </w:r>
      <w:r w:rsidRPr="00161D24">
        <w:rPr>
          <w:sz w:val="22"/>
          <w:szCs w:val="22"/>
        </w:rPr>
        <w:t xml:space="preserve">(d) </w:t>
      </w:r>
      <w:r w:rsidR="002C5AD3" w:rsidRPr="002C5AD3">
        <w:rPr>
          <w:sz w:val="22"/>
          <w:szCs w:val="22"/>
        </w:rPr>
        <w:t xml:space="preserve">Recreated plot of drag coefficient versus Reynolds number </w:t>
      </w:r>
      <w:r w:rsidR="002C5AD3" w:rsidRPr="00B13EA2">
        <w:rPr>
          <w:sz w:val="22"/>
          <w:szCs w:val="22"/>
        </w:rPr>
        <w:t xml:space="preserve">from </w:t>
      </w:r>
      <w:r w:rsidR="009A4722" w:rsidRPr="00B13EA2">
        <w:rPr>
          <w:sz w:val="22"/>
          <w:szCs w:val="22"/>
        </w:rPr>
        <w:t>Panton</w:t>
      </w:r>
      <w:r w:rsidR="00D32709" w:rsidRPr="00B13EA2">
        <w:rPr>
          <w:sz w:val="22"/>
          <w:szCs w:val="22"/>
        </w:rPr>
        <w:t xml:space="preserve"> </w:t>
      </w:r>
      <w:r w:rsidR="00D32709" w:rsidRPr="00B13EA2">
        <w:rPr>
          <w:sz w:val="22"/>
          <w:szCs w:val="22"/>
        </w:rPr>
        <w:fldChar w:fldCharType="begin"/>
      </w:r>
      <w:r w:rsidR="00FE6271">
        <w:rPr>
          <w:sz w:val="22"/>
          <w:szCs w:val="22"/>
        </w:rPr>
        <w:instrText xml:space="preserve"> ADDIN ZOTERO_ITEM CSL_CITATION {"citationID":"nL59ikZO","properties":{"formattedCitation":"\\super 8\\nosupersub{}","plainCitation":"8","noteIndex":0},"citationItems":[{"id":3072,"uris":["http://zotero.org/users/9935298/items/AATJAUQ9"],"itemData":{"id":3072,"type":"book","edition":"Fourth edition","event-place":"Hoboken, New Jersey","ISBN":"978-1-118-41573-3","language":"eng","publisher":"John Wiley and Sons, Inc","publisher-place":"Hoboken, New Jersey","source":"K10plus ISBN","title":"Incompressible flow","editor":[{"family":"Panton","given":"Ronald L."}],"issued":{"date-parts":[["2013"]]},"citation-key":"pantonIncompressibleFlow2013"}}],"schema":"https://github.com/citation-style-language/schema/raw/master/csl-citation.json"} </w:instrText>
      </w:r>
      <w:r w:rsidR="00D32709" w:rsidRPr="00B13EA2">
        <w:rPr>
          <w:sz w:val="22"/>
          <w:szCs w:val="22"/>
        </w:rPr>
        <w:fldChar w:fldCharType="separate"/>
      </w:r>
      <w:r w:rsidR="00FE6271" w:rsidRPr="00FE6271">
        <w:rPr>
          <w:sz w:val="22"/>
          <w:vertAlign w:val="superscript"/>
        </w:rPr>
        <w:t>8</w:t>
      </w:r>
      <w:r w:rsidR="00D32709" w:rsidRPr="00B13EA2">
        <w:rPr>
          <w:sz w:val="22"/>
          <w:szCs w:val="22"/>
        </w:rPr>
        <w:fldChar w:fldCharType="end"/>
      </w:r>
      <w:r w:rsidR="002C5AD3" w:rsidRPr="00B13EA2">
        <w:rPr>
          <w:sz w:val="22"/>
          <w:szCs w:val="22"/>
        </w:rPr>
        <w:t>, showing</w:t>
      </w:r>
      <w:r w:rsidR="002C5AD3" w:rsidRPr="002C5AD3">
        <w:rPr>
          <w:sz w:val="22"/>
          <w:szCs w:val="22"/>
        </w:rPr>
        <w:t xml:space="preserve"> close agreement with the simulated time-averaged drag coefficient</w:t>
      </w:r>
      <w:r w:rsidR="002C5AD3">
        <w:rPr>
          <w:sz w:val="22"/>
          <w:szCs w:val="22"/>
        </w:rPr>
        <w:t xml:space="preserve"> (</w:t>
      </w:r>
      <m:oMath>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D</m:t>
            </m:r>
          </m:sub>
        </m:sSub>
        <m:r>
          <w:rPr>
            <w:rFonts w:ascii="Cambria Math" w:hAnsi="Cambria Math"/>
            <w:sz w:val="22"/>
            <w:szCs w:val="22"/>
          </w:rPr>
          <m:t>≈0.99</m:t>
        </m:r>
      </m:oMath>
      <w:r w:rsidR="002C5AD3">
        <w:rPr>
          <w:sz w:val="22"/>
          <w:szCs w:val="22"/>
        </w:rPr>
        <w:t xml:space="preserve">). </w:t>
      </w:r>
      <w:r w:rsidRPr="00161D24">
        <w:rPr>
          <w:sz w:val="22"/>
          <w:szCs w:val="22"/>
        </w:rPr>
        <w:t xml:space="preserve">(e) </w:t>
      </w:r>
      <w:r w:rsidR="002C5AD3" w:rsidRPr="002C5AD3">
        <w:rPr>
          <w:sz w:val="22"/>
          <w:szCs w:val="22"/>
        </w:rPr>
        <w:t xml:space="preserve">Recreated plot of Strouhal number versus Reynolds number for circular cylinders from Lienhard </w:t>
      </w:r>
      <w:r w:rsidR="00D32709">
        <w:rPr>
          <w:sz w:val="22"/>
          <w:szCs w:val="22"/>
        </w:rPr>
        <w:fldChar w:fldCharType="begin"/>
      </w:r>
      <w:r w:rsidR="001E7D5E">
        <w:rPr>
          <w:sz w:val="22"/>
          <w:szCs w:val="22"/>
        </w:rPr>
        <w:instrText xml:space="preserve"> ADDIN ZOTERO_ITEM CSL_CITATION {"citationID":"hfjCWPcV","properties":{"formattedCitation":"\\super 1\\nosupersub{}","plainCitation":"1","noteIndex":0},"citationItems":[{"id":3071,"uris":["http://zotero.org/users/9935298/items/R24TGJTX"],"itemData":{"id":3071,"type":"document","language":"eng","note":"Citation Key: alma99176508360001451\npublisher-place: Pullman, Wash\nPublication title: Synopsis of lift, drag, and vortex frequency data for rigid circular cylinders\ncollection-title: Bulletin / college of engineering. Research division ; 300","publisher":"Technical Extension Service, Washington State University","title":"Synopsis of lift, drag, and vortex frequency data for rigid circular cylinders","author":[{"family":"Lienhard","given":"John H."},{"family":"Service.","given":"Washington State University. Technical Extension"},{"family":"Engineering. Research Division.","given":"Washington State University. College","non-dropping-particle":"of"}],"issued":{"date-parts":[["1966"]]},"citation-key":"alma99176508360001451"}}],"schema":"https://github.com/citation-style-language/schema/raw/master/csl-citation.json"} </w:instrText>
      </w:r>
      <w:r w:rsidR="00D32709">
        <w:rPr>
          <w:sz w:val="22"/>
          <w:szCs w:val="22"/>
        </w:rPr>
        <w:fldChar w:fldCharType="separate"/>
      </w:r>
      <w:r w:rsidR="001E7D5E" w:rsidRPr="001E7D5E">
        <w:rPr>
          <w:sz w:val="22"/>
          <w:vertAlign w:val="superscript"/>
        </w:rPr>
        <w:t>1</w:t>
      </w:r>
      <w:r w:rsidR="00D32709">
        <w:rPr>
          <w:sz w:val="22"/>
          <w:szCs w:val="22"/>
        </w:rPr>
        <w:fldChar w:fldCharType="end"/>
      </w:r>
      <w:r w:rsidR="002C5AD3" w:rsidRPr="002C5AD3">
        <w:rPr>
          <w:sz w:val="22"/>
          <w:szCs w:val="22"/>
        </w:rPr>
        <w:t>, confirming strong agreement with the computed value</w:t>
      </w:r>
      <w:r w:rsidRPr="00161D24">
        <w:rPr>
          <w:sz w:val="22"/>
          <w:szCs w:val="22"/>
        </w:rPr>
        <w:t>.</w:t>
      </w:r>
      <w:r>
        <w:rPr>
          <w:sz w:val="22"/>
          <w:szCs w:val="22"/>
        </w:rPr>
        <w:t xml:space="preserve"> </w:t>
      </w:r>
      <w:r w:rsidRPr="00161D24">
        <w:rPr>
          <w:sz w:val="22"/>
          <w:szCs w:val="22"/>
        </w:rPr>
        <w:t>Together, these results validate the accuracy of the simulation framework and establish a reliable baseline for assessing the performance of optimized porous designs.</w:t>
      </w:r>
    </w:p>
    <w:p w14:paraId="503DC7A9" w14:textId="0B14CC09" w:rsidR="006C5AA3" w:rsidRPr="006C5AA3" w:rsidRDefault="006C5AA3" w:rsidP="006C5AA3">
      <w:pPr>
        <w:pStyle w:val="SOMContent"/>
        <w:jc w:val="both"/>
        <w:rPr>
          <w:u w:val="single"/>
        </w:rPr>
      </w:pPr>
      <w:r w:rsidRPr="006C5AA3">
        <w:rPr>
          <w:u w:val="single"/>
        </w:rPr>
        <w:t>Flow Visualization and Analysis</w:t>
      </w:r>
    </w:p>
    <w:p w14:paraId="75DB1B3C" w14:textId="69986652" w:rsidR="006660F7" w:rsidRDefault="006C5AA3" w:rsidP="006C5AA3">
      <w:pPr>
        <w:pStyle w:val="SOMContent"/>
        <w:jc w:val="both"/>
      </w:pPr>
      <w:r w:rsidRPr="006C5AA3">
        <w:t xml:space="preserve">To interpret the results, we post-processed the 3D flow data using </w:t>
      </w:r>
      <w:proofErr w:type="spellStart"/>
      <w:r w:rsidRPr="006C5AA3">
        <w:t>ParaView</w:t>
      </w:r>
      <w:proofErr w:type="spellEnd"/>
      <w:r w:rsidRPr="006C5AA3">
        <w:t>. Flow structures were visualized by extracting iso-surfaces and planar slices of velocity and vorticity fields</w:t>
      </w:r>
      <w:r>
        <w:t xml:space="preserve">. </w:t>
      </w:r>
      <w:r w:rsidRPr="006C5AA3">
        <w:t xml:space="preserve">We also examined cross-sectional slices through the lattice to see how the flow penetrates the interior. </w:t>
      </w:r>
      <w:r w:rsidR="00465A1B" w:rsidRPr="00B57B06">
        <w:rPr>
          <w:b/>
          <w:bCs/>
        </w:rPr>
        <w:t>Figure S</w:t>
      </w:r>
      <w:r w:rsidR="00236FDF">
        <w:rPr>
          <w:b/>
          <w:bCs/>
        </w:rPr>
        <w:t>7</w:t>
      </w:r>
      <w:r w:rsidR="00465A1B" w:rsidRPr="00465A1B">
        <w:rPr>
          <w:b/>
          <w:bCs/>
        </w:rPr>
        <w:t xml:space="preserve"> </w:t>
      </w:r>
      <w:r w:rsidR="00465A1B" w:rsidRPr="00465A1B">
        <w:t xml:space="preserve">shows a representative vertical slice (through the center axis) of the </w:t>
      </w:r>
      <w:r w:rsidR="00236FDF">
        <w:t>vorticity</w:t>
      </w:r>
      <w:r w:rsidR="00465A1B" w:rsidRPr="00465A1B">
        <w:t xml:space="preserve"> field for the solid cylinder and the optimized designs A, D, H, and I at Reynolds number Re≈2</w:t>
      </w:r>
      <w:r w:rsidR="005337FF">
        <w:t>1</w:t>
      </w:r>
      <w:r w:rsidR="00465A1B" w:rsidRPr="00465A1B">
        <w:t xml:space="preserve">00, corresponding to experimental </w:t>
      </w:r>
      <w:r w:rsidR="004F43C0">
        <w:t>S</w:t>
      </w:r>
      <w:r w:rsidR="00465A1B" w:rsidRPr="00465A1B">
        <w:t>PIV conditions. These cross-sections reveal design-specific flow behavior, highlighting differences in how each structure guides the fluid.</w:t>
      </w:r>
    </w:p>
    <w:p w14:paraId="27F4C624" w14:textId="075E383E" w:rsidR="006660F7" w:rsidRDefault="00FF6CC0" w:rsidP="005D48B4">
      <w:pPr>
        <w:pStyle w:val="SOMContent"/>
        <w:jc w:val="both"/>
      </w:pPr>
      <w:r w:rsidRPr="00455316">
        <w:t xml:space="preserve">The optimized structures show a clear suppression of early vortex shedding compared to the solid cylinder. Vortical structures are weaker, more dispersed, and originate further downstream, </w:t>
      </w:r>
      <w:r w:rsidRPr="00455316">
        <w:lastRenderedPageBreak/>
        <w:t>resulting in reduced wake unsteadiness and more stable flow patterns. In contrast, the solid cylinder generates strong, coherent vortices immediately behind its surface</w:t>
      </w:r>
      <w:r>
        <w:t xml:space="preserve">, </w:t>
      </w:r>
      <w:r w:rsidRPr="00455316">
        <w:t xml:space="preserve">typical of classical bluff body flow at this Reynolds number. </w:t>
      </w:r>
    </w:p>
    <w:p w14:paraId="2794D341" w14:textId="3C813271" w:rsidR="005D48B4" w:rsidRDefault="005D48B4" w:rsidP="006660F7">
      <w:pPr>
        <w:pStyle w:val="SOMContent"/>
        <w:jc w:val="center"/>
      </w:pPr>
      <w:r>
        <w:rPr>
          <w:noProof/>
        </w:rPr>
        <w:drawing>
          <wp:inline distT="0" distB="0" distL="0" distR="0" wp14:anchorId="194A5C01" wp14:editId="49B3DFA7">
            <wp:extent cx="2911370" cy="4835769"/>
            <wp:effectExtent l="0" t="0" r="3810" b="3175"/>
            <wp:docPr id="16032124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l="3459" t="1573" r="3302" b="1575"/>
                    <a:stretch>
                      <a:fillRect/>
                    </a:stretch>
                  </pic:blipFill>
                  <pic:spPr bwMode="auto">
                    <a:xfrm>
                      <a:off x="0" y="0"/>
                      <a:ext cx="2969115" cy="4931682"/>
                    </a:xfrm>
                    <a:prstGeom prst="rect">
                      <a:avLst/>
                    </a:prstGeom>
                    <a:noFill/>
                    <a:ln>
                      <a:noFill/>
                    </a:ln>
                    <a:extLst>
                      <a:ext uri="{53640926-AAD7-44D8-BBD7-CCE9431645EC}">
                        <a14:shadowObscured xmlns:a14="http://schemas.microsoft.com/office/drawing/2010/main"/>
                      </a:ext>
                    </a:extLst>
                  </pic:spPr>
                </pic:pic>
              </a:graphicData>
            </a:graphic>
          </wp:inline>
        </w:drawing>
      </w:r>
    </w:p>
    <w:p w14:paraId="36AEF268" w14:textId="76FEC1D0" w:rsidR="001E6CE1" w:rsidRDefault="001E6CE1" w:rsidP="006C5AA3">
      <w:pPr>
        <w:pStyle w:val="SOMContent"/>
        <w:jc w:val="both"/>
        <w:rPr>
          <w:sz w:val="22"/>
          <w:szCs w:val="22"/>
        </w:rPr>
      </w:pPr>
      <w:r w:rsidRPr="001E6CE1">
        <w:rPr>
          <w:b/>
          <w:bCs/>
          <w:sz w:val="22"/>
          <w:szCs w:val="22"/>
        </w:rPr>
        <w:t>Fig S</w:t>
      </w:r>
      <w:r w:rsidR="00236FDF">
        <w:rPr>
          <w:b/>
          <w:bCs/>
          <w:sz w:val="22"/>
          <w:szCs w:val="22"/>
        </w:rPr>
        <w:t>7</w:t>
      </w:r>
      <w:r w:rsidRPr="001E6CE1">
        <w:rPr>
          <w:b/>
          <w:bCs/>
          <w:sz w:val="22"/>
          <w:szCs w:val="22"/>
        </w:rPr>
        <w:t>: Cross-sectional view of</w:t>
      </w:r>
      <w:r w:rsidR="00236FDF">
        <w:rPr>
          <w:b/>
          <w:bCs/>
          <w:sz w:val="22"/>
          <w:szCs w:val="22"/>
        </w:rPr>
        <w:t xml:space="preserve"> vorticity</w:t>
      </w:r>
      <w:r w:rsidRPr="001E6CE1">
        <w:rPr>
          <w:b/>
          <w:bCs/>
          <w:sz w:val="22"/>
          <w:szCs w:val="22"/>
        </w:rPr>
        <w:t xml:space="preserve"> flow through </w:t>
      </w:r>
      <w:r w:rsidR="00455316">
        <w:rPr>
          <w:b/>
          <w:bCs/>
          <w:sz w:val="22"/>
          <w:szCs w:val="22"/>
        </w:rPr>
        <w:t xml:space="preserve">cylinder and </w:t>
      </w:r>
      <w:r w:rsidRPr="001E6CE1">
        <w:rPr>
          <w:b/>
          <w:bCs/>
          <w:sz w:val="22"/>
          <w:szCs w:val="22"/>
        </w:rPr>
        <w:t xml:space="preserve">sponge-inspired designs A, D, H, and I at Reynolds number </w:t>
      </w:r>
      <w:r w:rsidR="00B52F8D" w:rsidRPr="00B52F8D">
        <w:rPr>
          <w:b/>
          <w:bCs/>
          <w:sz w:val="22"/>
          <w:szCs w:val="22"/>
        </w:rPr>
        <w:t>≈</w:t>
      </w:r>
      <w:r w:rsidR="00455316">
        <w:rPr>
          <w:b/>
          <w:bCs/>
          <w:sz w:val="22"/>
          <w:szCs w:val="22"/>
        </w:rPr>
        <w:t xml:space="preserve"> </w:t>
      </w:r>
      <w:r w:rsidRPr="001E6CE1">
        <w:rPr>
          <w:b/>
          <w:bCs/>
          <w:sz w:val="22"/>
          <w:szCs w:val="22"/>
        </w:rPr>
        <w:t>2</w:t>
      </w:r>
      <w:r w:rsidR="005337FF">
        <w:rPr>
          <w:b/>
          <w:bCs/>
          <w:sz w:val="22"/>
          <w:szCs w:val="22"/>
        </w:rPr>
        <w:t>1</w:t>
      </w:r>
      <w:r w:rsidRPr="001E6CE1">
        <w:rPr>
          <w:b/>
          <w:bCs/>
          <w:sz w:val="22"/>
          <w:szCs w:val="22"/>
        </w:rPr>
        <w:t xml:space="preserve">00, representative of </w:t>
      </w:r>
      <w:r w:rsidR="004F43C0">
        <w:rPr>
          <w:b/>
          <w:bCs/>
          <w:sz w:val="22"/>
          <w:szCs w:val="22"/>
        </w:rPr>
        <w:t>S</w:t>
      </w:r>
      <w:r w:rsidRPr="001E6CE1">
        <w:rPr>
          <w:b/>
          <w:bCs/>
          <w:sz w:val="22"/>
          <w:szCs w:val="22"/>
        </w:rPr>
        <w:t xml:space="preserve">PIV evaluation conditions. </w:t>
      </w:r>
      <w:r w:rsidR="00455316" w:rsidRPr="00455316">
        <w:rPr>
          <w:sz w:val="22"/>
          <w:szCs w:val="22"/>
        </w:rPr>
        <w:t>Vertical slices through the center axis reveal how each geometry influences flow behavior. The optimized designs exhibit clean flow penetration with minimal near-field vortex formation, redirecting vorticity further downstream and indicating effective flow guidance through their porous architecture.</w:t>
      </w:r>
    </w:p>
    <w:p w14:paraId="3E5B5595" w14:textId="656B7809" w:rsidR="009D7451" w:rsidRPr="00CF0396" w:rsidRDefault="009D7451" w:rsidP="009D7451">
      <w:pPr>
        <w:pStyle w:val="SOMContent"/>
        <w:jc w:val="both"/>
      </w:pPr>
      <w:r w:rsidRPr="00455316">
        <w:rPr>
          <w:b/>
          <w:bCs/>
        </w:rPr>
        <w:t>Figure S</w:t>
      </w:r>
      <w:r w:rsidR="00236FDF">
        <w:rPr>
          <w:b/>
          <w:bCs/>
        </w:rPr>
        <w:t>8</w:t>
      </w:r>
      <w:r w:rsidRPr="00455316">
        <w:t xml:space="preserve"> further </w:t>
      </w:r>
      <w:r w:rsidRPr="00CF0396">
        <w:t xml:space="preserve">illustrates these differences using horizontal mid-plane slices of vorticity magnitude. These top-down views capture the spatial organization of the wake, showing how the optimized designs alter the strength, position, and coherence of shed vortices. </w:t>
      </w:r>
      <w:proofErr w:type="gramStart"/>
      <w:r w:rsidRPr="00CF0396">
        <w:t>Flow</w:t>
      </w:r>
      <w:proofErr w:type="gramEnd"/>
      <w:r w:rsidRPr="00CF0396">
        <w:t xml:space="preserve"> through the porous networks is visible, and the onset of vortex shedding is consistently delayed relative to the solid cylinder.</w:t>
      </w:r>
    </w:p>
    <w:p w14:paraId="197E860B" w14:textId="7BD25F61" w:rsidR="00455316" w:rsidRPr="00CF0396" w:rsidRDefault="009D7451" w:rsidP="006C5AA3">
      <w:pPr>
        <w:pStyle w:val="SOMContent"/>
        <w:jc w:val="both"/>
      </w:pPr>
      <w:r w:rsidRPr="00CF0396">
        <w:t xml:space="preserve">To complement these static visualizations, we provide </w:t>
      </w:r>
      <w:r w:rsidR="00236FDF" w:rsidRPr="00CF0396">
        <w:t>S</w:t>
      </w:r>
      <w:r w:rsidRPr="00CF0396">
        <w:t xml:space="preserve">upplementary </w:t>
      </w:r>
      <w:r w:rsidR="00236FDF" w:rsidRPr="00CF0396">
        <w:t>V</w:t>
      </w:r>
      <w:r w:rsidRPr="00CF0396">
        <w:t>ideos</w:t>
      </w:r>
      <w:r w:rsidR="00236FDF" w:rsidRPr="00CF0396">
        <w:t xml:space="preserve"> 6 and 7</w:t>
      </w:r>
      <w:r w:rsidRPr="00CF0396">
        <w:t xml:space="preserve"> showing time-resolved vorticity fields for all five designs. These videos offer a dynamic view of the vortex formation and shedding processes, illustrating the reduced and delayed vorticity evolution in the optimized structures. The complete code, along with documentation and execution scripts, is available at </w:t>
      </w:r>
      <w:hyperlink r:id="rId20" w:history="1">
        <w:r w:rsidRPr="00CF0396">
          <w:rPr>
            <w:rStyle w:val="Hyperlink"/>
          </w:rPr>
          <w:t>https://github.com/cselab/sponge</w:t>
        </w:r>
      </w:hyperlink>
      <w:r w:rsidRPr="00CF0396">
        <w:t xml:space="preserve">. </w:t>
      </w:r>
    </w:p>
    <w:p w14:paraId="50DF1A1C" w14:textId="172A8B68" w:rsidR="005D48B4" w:rsidRDefault="005D48B4" w:rsidP="006C5AA3">
      <w:pPr>
        <w:pStyle w:val="SOMContent"/>
        <w:jc w:val="both"/>
      </w:pPr>
      <w:r>
        <w:rPr>
          <w:noProof/>
        </w:rPr>
        <w:lastRenderedPageBreak/>
        <w:drawing>
          <wp:inline distT="0" distB="0" distL="0" distR="0" wp14:anchorId="7C5A3B12" wp14:editId="76FF38D0">
            <wp:extent cx="5893542" cy="2851753"/>
            <wp:effectExtent l="0" t="0" r="0" b="6350"/>
            <wp:docPr id="17796466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l="900" t="1" r="953" b="1321"/>
                    <a:stretch>
                      <a:fillRect/>
                    </a:stretch>
                  </pic:blipFill>
                  <pic:spPr bwMode="auto">
                    <a:xfrm>
                      <a:off x="0" y="0"/>
                      <a:ext cx="5896942" cy="2853398"/>
                    </a:xfrm>
                    <a:prstGeom prst="rect">
                      <a:avLst/>
                    </a:prstGeom>
                    <a:noFill/>
                    <a:ln>
                      <a:noFill/>
                    </a:ln>
                    <a:extLst>
                      <a:ext uri="{53640926-AAD7-44D8-BBD7-CCE9431645EC}">
                        <a14:shadowObscured xmlns:a14="http://schemas.microsoft.com/office/drawing/2010/main"/>
                      </a:ext>
                    </a:extLst>
                  </pic:spPr>
                </pic:pic>
              </a:graphicData>
            </a:graphic>
          </wp:inline>
        </w:drawing>
      </w:r>
    </w:p>
    <w:p w14:paraId="66EFE362" w14:textId="79AC80ED" w:rsidR="00455316" w:rsidRPr="00D8579D" w:rsidRDefault="00455316" w:rsidP="006C5AA3">
      <w:pPr>
        <w:pStyle w:val="SOMContent"/>
        <w:jc w:val="both"/>
        <w:rPr>
          <w:sz w:val="22"/>
          <w:szCs w:val="22"/>
        </w:rPr>
      </w:pPr>
      <w:r w:rsidRPr="001E6CE1">
        <w:rPr>
          <w:b/>
          <w:bCs/>
          <w:sz w:val="22"/>
          <w:szCs w:val="22"/>
        </w:rPr>
        <w:t>Fig S</w:t>
      </w:r>
      <w:r w:rsidR="00236FDF">
        <w:rPr>
          <w:b/>
          <w:bCs/>
          <w:sz w:val="22"/>
          <w:szCs w:val="22"/>
        </w:rPr>
        <w:t>8</w:t>
      </w:r>
      <w:r w:rsidRPr="001E6CE1">
        <w:rPr>
          <w:b/>
          <w:bCs/>
          <w:sz w:val="22"/>
          <w:szCs w:val="22"/>
        </w:rPr>
        <w:t xml:space="preserve">: </w:t>
      </w:r>
      <w:r>
        <w:rPr>
          <w:b/>
          <w:bCs/>
          <w:sz w:val="22"/>
          <w:szCs w:val="22"/>
        </w:rPr>
        <w:t>T</w:t>
      </w:r>
      <w:r w:rsidRPr="00455316">
        <w:rPr>
          <w:b/>
          <w:bCs/>
          <w:sz w:val="22"/>
          <w:szCs w:val="22"/>
        </w:rPr>
        <w:t>op-down vorticity fields at mid-height for the solid cylinder and optimized designs A, D, H, and I at Re ≈ 2</w:t>
      </w:r>
      <w:r w:rsidR="00D8579D">
        <w:rPr>
          <w:b/>
          <w:bCs/>
          <w:sz w:val="22"/>
          <w:szCs w:val="22"/>
        </w:rPr>
        <w:t>1</w:t>
      </w:r>
      <w:r w:rsidRPr="00455316">
        <w:rPr>
          <w:b/>
          <w:bCs/>
          <w:sz w:val="22"/>
          <w:szCs w:val="22"/>
        </w:rPr>
        <w:t xml:space="preserve">00. </w:t>
      </w:r>
      <w:r w:rsidRPr="00455316">
        <w:rPr>
          <w:sz w:val="22"/>
          <w:szCs w:val="22"/>
        </w:rPr>
        <w:t>The porous designs exhibit flow-through behavior and delayed vortex shedding, with weakened and downstream-displaced vortices compared to the intense near-field shedding observed behind the solid cylinder.</w:t>
      </w:r>
      <w:r>
        <w:rPr>
          <w:b/>
          <w:bCs/>
          <w:sz w:val="22"/>
          <w:szCs w:val="22"/>
        </w:rPr>
        <w:t xml:space="preserve"> </w:t>
      </w:r>
    </w:p>
    <w:p w14:paraId="14F9F309" w14:textId="1562DFC2" w:rsidR="003C1DB5" w:rsidRPr="003C1DB5" w:rsidRDefault="004F43C0" w:rsidP="003C1DB5">
      <w:pPr>
        <w:pStyle w:val="SOMContent"/>
        <w:jc w:val="both"/>
        <w:rPr>
          <w:b/>
          <w:bCs/>
        </w:rPr>
      </w:pPr>
      <w:r>
        <w:rPr>
          <w:b/>
          <w:bCs/>
        </w:rPr>
        <w:t>S</w:t>
      </w:r>
      <w:r w:rsidR="003C1DB5" w:rsidRPr="003C1DB5">
        <w:rPr>
          <w:b/>
          <w:bCs/>
        </w:rPr>
        <w:t>PIV Measurements and Flow Loop Setup</w:t>
      </w:r>
    </w:p>
    <w:p w14:paraId="7797B996" w14:textId="173A1CE5" w:rsidR="003E4EA2" w:rsidRDefault="003E4EA2" w:rsidP="003E4EA2">
      <w:pPr>
        <w:pStyle w:val="SOMContent"/>
        <w:jc w:val="both"/>
      </w:pPr>
      <w:r w:rsidRPr="003E4EA2">
        <w:t xml:space="preserve">To characterize the fluidic performance of the optimized sponge-inspired designs, </w:t>
      </w:r>
      <w:r w:rsidR="005464A8">
        <w:t xml:space="preserve">Stereo </w:t>
      </w:r>
      <w:r w:rsidRPr="003E4EA2">
        <w:t>Particle Image Velocimetry (</w:t>
      </w:r>
      <w:r w:rsidR="005464A8">
        <w:t>S</w:t>
      </w:r>
      <w:r w:rsidRPr="003E4EA2">
        <w:t xml:space="preserve">PIV) was used to measure flow behavior in the wake region, focusing on vortex shedding, flow stability, and drag reduction. Experiments were conducted in a vertical recirculating water tunnel, with the setup schematically shown in </w:t>
      </w:r>
      <w:r w:rsidRPr="00F826C9">
        <w:rPr>
          <w:b/>
          <w:bCs/>
        </w:rPr>
        <w:t>Figure S</w:t>
      </w:r>
      <w:r w:rsidR="00236FDF">
        <w:rPr>
          <w:b/>
          <w:bCs/>
        </w:rPr>
        <w:t>9</w:t>
      </w:r>
      <w:r w:rsidRPr="003E4EA2">
        <w:t>.</w:t>
      </w:r>
    </w:p>
    <w:p w14:paraId="2CC4F3E6" w14:textId="0F9FFFA6" w:rsidR="00DD681F" w:rsidRDefault="00DD681F" w:rsidP="00DD681F">
      <w:pPr>
        <w:pStyle w:val="SOMContent"/>
        <w:jc w:val="both"/>
      </w:pPr>
      <w:r>
        <w:t>The sponge samples were mounted 4.5 diameters downstream of a 5</w:t>
      </w:r>
      <w:r w:rsidR="00D8579D" w:rsidRPr="00D8579D">
        <w:rPr>
          <w:vertAlign w:val="superscript"/>
        </w:rPr>
        <w:t>th</w:t>
      </w:r>
      <w:r w:rsidR="00D8579D">
        <w:t xml:space="preserve"> </w:t>
      </w:r>
      <w:r>
        <w:t xml:space="preserve">order polynomial contraction and flow straightener to ensure a uniform inlet velocity profile. Flow rate was regulated using a 2.5-inch ball valve and variable frequency drive (VFD) and monitored in real-time via a Coriolis flowmeter. This resulted in </w:t>
      </w:r>
      <w:proofErr w:type="gramStart"/>
      <w:r>
        <w:t>flow steady</w:t>
      </w:r>
      <w:proofErr w:type="gramEnd"/>
      <w:r>
        <w:t xml:space="preserve"> within 1% with a nominally top-hat profile. A dual-cavity </w:t>
      </w:r>
      <w:proofErr w:type="spellStart"/>
      <w:proofErr w:type="gramStart"/>
      <w:r>
        <w:t>Nd:YAG</w:t>
      </w:r>
      <w:proofErr w:type="spellEnd"/>
      <w:proofErr w:type="gramEnd"/>
      <w:r>
        <w:t xml:space="preserve"> laser generated a planar laser sheet aligned 4.76 mm off the sample centerline, illuminating the wake region. The flow was seeded with Potters 110P8 hollow glass microspheres (5–25 µm) to serve as tracer particles. </w:t>
      </w:r>
    </w:p>
    <w:p w14:paraId="6BC28856" w14:textId="15F8151C" w:rsidR="003C6ADB" w:rsidRDefault="00DD681F" w:rsidP="00DD681F">
      <w:pPr>
        <w:pStyle w:val="SOMContent"/>
        <w:jc w:val="both"/>
      </w:pPr>
      <w:r>
        <w:t xml:space="preserve">A pair of </w:t>
      </w:r>
      <w:proofErr w:type="spellStart"/>
      <w:r>
        <w:t>FlowMaster</w:t>
      </w:r>
      <w:proofErr w:type="spellEnd"/>
      <w:r>
        <w:t xml:space="preserve"> Imager </w:t>
      </w:r>
      <w:proofErr w:type="spellStart"/>
      <w:r>
        <w:t>ProX</w:t>
      </w:r>
      <w:proofErr w:type="spellEnd"/>
      <w:r>
        <w:t xml:space="preserve"> 1600 × </w:t>
      </w:r>
      <w:proofErr w:type="gramStart"/>
      <w:r>
        <w:t>1200 pixel</w:t>
      </w:r>
      <w:proofErr w:type="gramEnd"/>
      <w:r>
        <w:t xml:space="preserve"> cameras with </w:t>
      </w:r>
      <w:proofErr w:type="spellStart"/>
      <w:r>
        <w:t>Scheimpflug</w:t>
      </w:r>
      <w:proofErr w:type="spellEnd"/>
      <w:r>
        <w:t xml:space="preserve"> adapters were arranged in a stereoscopic configuration to capture 3D velocity data in a vertical plane extending from the rear of the sample to 2–3 diameters downstream. Image pairs were recorded at 14 Hz for 40 seconds per test case.</w:t>
      </w:r>
    </w:p>
    <w:p w14:paraId="6A93A292" w14:textId="154ACC65" w:rsidR="003A50D5" w:rsidRDefault="00981169" w:rsidP="00981169">
      <w:pPr>
        <w:pStyle w:val="SOMContent"/>
        <w:jc w:val="center"/>
      </w:pPr>
      <w:r w:rsidRPr="00CB0D80">
        <w:rPr>
          <w:noProof/>
        </w:rPr>
        <w:lastRenderedPageBreak/>
        <w:drawing>
          <wp:inline distT="0" distB="0" distL="0" distR="0" wp14:anchorId="6CE21F79" wp14:editId="618951F9">
            <wp:extent cx="4647912" cy="5318760"/>
            <wp:effectExtent l="0" t="0" r="635" b="0"/>
            <wp:docPr id="971975258" name="Picture 1" descr="Diagram of a diagram of a water pum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975258" name="Picture 1" descr="Diagram of a diagram of a water pump&#10;&#10;AI-generated content may be incorrect."/>
                    <pic:cNvPicPr/>
                  </pic:nvPicPr>
                  <pic:blipFill rotWithShape="1">
                    <a:blip r:embed="rId22"/>
                    <a:srcRect b="6726"/>
                    <a:stretch>
                      <a:fillRect/>
                    </a:stretch>
                  </pic:blipFill>
                  <pic:spPr bwMode="auto">
                    <a:xfrm>
                      <a:off x="0" y="0"/>
                      <a:ext cx="4705502" cy="5384663"/>
                    </a:xfrm>
                    <a:prstGeom prst="rect">
                      <a:avLst/>
                    </a:prstGeom>
                    <a:ln>
                      <a:noFill/>
                    </a:ln>
                    <a:extLst>
                      <a:ext uri="{53640926-AAD7-44D8-BBD7-CCE9431645EC}">
                        <a14:shadowObscured xmlns:a14="http://schemas.microsoft.com/office/drawing/2010/main"/>
                      </a:ext>
                    </a:extLst>
                  </pic:spPr>
                </pic:pic>
              </a:graphicData>
            </a:graphic>
          </wp:inline>
        </w:drawing>
      </w:r>
    </w:p>
    <w:p w14:paraId="0604C82A" w14:textId="055B5F00" w:rsidR="003A50D5" w:rsidRDefault="003A50D5" w:rsidP="003C1DB5">
      <w:pPr>
        <w:pStyle w:val="SOMContent"/>
        <w:jc w:val="both"/>
        <w:rPr>
          <w:sz w:val="22"/>
          <w:szCs w:val="22"/>
        </w:rPr>
      </w:pPr>
      <w:r w:rsidRPr="003A50D5">
        <w:rPr>
          <w:b/>
          <w:bCs/>
          <w:sz w:val="22"/>
          <w:szCs w:val="22"/>
        </w:rPr>
        <w:t>Fig S</w:t>
      </w:r>
      <w:r w:rsidR="00236FDF">
        <w:rPr>
          <w:b/>
          <w:bCs/>
          <w:sz w:val="22"/>
          <w:szCs w:val="22"/>
        </w:rPr>
        <w:t>9</w:t>
      </w:r>
      <w:r w:rsidRPr="003A50D5">
        <w:rPr>
          <w:b/>
          <w:bCs/>
          <w:sz w:val="22"/>
          <w:szCs w:val="22"/>
        </w:rPr>
        <w:t xml:space="preserve">: Schematic of the vertical flow loop and Stereo </w:t>
      </w:r>
      <w:r w:rsidR="004F43C0">
        <w:rPr>
          <w:b/>
          <w:bCs/>
          <w:sz w:val="22"/>
          <w:szCs w:val="22"/>
        </w:rPr>
        <w:t>S</w:t>
      </w:r>
      <w:r w:rsidRPr="003A50D5">
        <w:rPr>
          <w:b/>
          <w:bCs/>
          <w:sz w:val="22"/>
          <w:szCs w:val="22"/>
        </w:rPr>
        <w:t>PIV imaging system</w:t>
      </w:r>
      <w:r w:rsidRPr="003A50D5">
        <w:rPr>
          <w:sz w:val="22"/>
          <w:szCs w:val="22"/>
        </w:rPr>
        <w:t>. The setup includes a flow conditioner, test section, and stereo camera configuration. A dual-cavity laser sheet intersects the wake region, and high-speed cameras record tracer motion for velocity reconstruction and CFD validation.</w:t>
      </w:r>
    </w:p>
    <w:p w14:paraId="0E4DE55F" w14:textId="4F463A62" w:rsidR="00236FDF" w:rsidRDefault="00236FDF" w:rsidP="00236FDF">
      <w:pPr>
        <w:pStyle w:val="SOMContent"/>
        <w:jc w:val="both"/>
      </w:pPr>
      <w:r w:rsidRPr="00DD681F">
        <w:rPr>
          <w:b/>
          <w:bCs/>
        </w:rPr>
        <w:t>Figure S1</w:t>
      </w:r>
      <w:r>
        <w:rPr>
          <w:b/>
          <w:bCs/>
        </w:rPr>
        <w:t>0</w:t>
      </w:r>
      <w:r>
        <w:t xml:space="preserve"> highlights the SPIV measurement region. The left panel shows a representative CFD snapshot of the flow around a solid cylinder at the center plane, with the SPIV domain overlaid. The right panel presents a sample velocity field visualization, with streamlines and velocity magnitude illustrating the resolved flow dynamics in the wake region. Velocity fields were reconstructed using </w:t>
      </w:r>
      <w:proofErr w:type="spellStart"/>
      <w:r>
        <w:t>LaVision</w:t>
      </w:r>
      <w:proofErr w:type="spellEnd"/>
      <w:r>
        <w:t xml:space="preserve"> </w:t>
      </w:r>
      <w:proofErr w:type="spellStart"/>
      <w:r>
        <w:t>DaVis</w:t>
      </w:r>
      <w:proofErr w:type="spellEnd"/>
      <w:r>
        <w:t xml:space="preserve"> 7.2 software via a multi-pass cross-correlation algorithm, with a final interrogation window of 32 × 32 pixels with 50% overlap, corresponding to a 0.8 mm spatial resolution. </w:t>
      </w:r>
      <w:r w:rsidRPr="0011574D">
        <w:t>In addition, custom Python</w:t>
      </w:r>
      <w:r>
        <w:t xml:space="preserve"> and MATLAB</w:t>
      </w:r>
      <w:r w:rsidRPr="0011574D">
        <w:t xml:space="preserve"> scripts were used to further analyze the </w:t>
      </w:r>
      <w:r>
        <w:t>S</w:t>
      </w:r>
      <w:r w:rsidRPr="0011574D">
        <w:t xml:space="preserve">PIV </w:t>
      </w:r>
      <w:r>
        <w:t xml:space="preserve">raw </w:t>
      </w:r>
      <w:r w:rsidRPr="0011574D">
        <w:t>data</w:t>
      </w:r>
      <w:r>
        <w:t xml:space="preserve">. </w:t>
      </w:r>
    </w:p>
    <w:p w14:paraId="2C368702" w14:textId="3AC01570" w:rsidR="00682B71" w:rsidRDefault="00682B71" w:rsidP="003C1DB5">
      <w:pPr>
        <w:pStyle w:val="SOMContent"/>
        <w:jc w:val="both"/>
        <w:rPr>
          <w:sz w:val="22"/>
          <w:szCs w:val="22"/>
        </w:rPr>
      </w:pPr>
      <w:r>
        <w:rPr>
          <w:noProof/>
          <w:sz w:val="22"/>
          <w:szCs w:val="22"/>
        </w:rPr>
        <w:lastRenderedPageBreak/>
        <w:drawing>
          <wp:inline distT="0" distB="0" distL="0" distR="0" wp14:anchorId="485654C3" wp14:editId="3AB06C3E">
            <wp:extent cx="5943757" cy="2177456"/>
            <wp:effectExtent l="0" t="0" r="0" b="0"/>
            <wp:docPr id="17276308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l="998" t="2911" r="1557" b="3318"/>
                    <a:stretch>
                      <a:fillRect/>
                    </a:stretch>
                  </pic:blipFill>
                  <pic:spPr bwMode="auto">
                    <a:xfrm>
                      <a:off x="0" y="0"/>
                      <a:ext cx="5948213" cy="2179088"/>
                    </a:xfrm>
                    <a:prstGeom prst="rect">
                      <a:avLst/>
                    </a:prstGeom>
                    <a:noFill/>
                    <a:ln>
                      <a:noFill/>
                    </a:ln>
                    <a:extLst>
                      <a:ext uri="{53640926-AAD7-44D8-BBD7-CCE9431645EC}">
                        <a14:shadowObscured xmlns:a14="http://schemas.microsoft.com/office/drawing/2010/main"/>
                      </a:ext>
                    </a:extLst>
                  </pic:spPr>
                </pic:pic>
              </a:graphicData>
            </a:graphic>
          </wp:inline>
        </w:drawing>
      </w:r>
    </w:p>
    <w:p w14:paraId="68AB589A" w14:textId="4E14607F" w:rsidR="00AF04ED" w:rsidRDefault="00AF04ED" w:rsidP="003C1DB5">
      <w:pPr>
        <w:pStyle w:val="SOMContent"/>
        <w:jc w:val="both"/>
        <w:rPr>
          <w:b/>
          <w:bCs/>
          <w:sz w:val="22"/>
          <w:szCs w:val="22"/>
        </w:rPr>
      </w:pPr>
      <w:r w:rsidRPr="003A50D5">
        <w:rPr>
          <w:b/>
          <w:bCs/>
          <w:sz w:val="22"/>
          <w:szCs w:val="22"/>
        </w:rPr>
        <w:t>Fig S</w:t>
      </w:r>
      <w:r>
        <w:rPr>
          <w:b/>
          <w:bCs/>
          <w:sz w:val="22"/>
          <w:szCs w:val="22"/>
        </w:rPr>
        <w:t>1</w:t>
      </w:r>
      <w:r w:rsidR="00236FDF">
        <w:rPr>
          <w:b/>
          <w:bCs/>
          <w:sz w:val="22"/>
          <w:szCs w:val="22"/>
        </w:rPr>
        <w:t>0</w:t>
      </w:r>
      <w:r w:rsidRPr="003A50D5">
        <w:rPr>
          <w:b/>
          <w:bCs/>
          <w:sz w:val="22"/>
          <w:szCs w:val="22"/>
        </w:rPr>
        <w:t>: Schematic</w:t>
      </w:r>
      <w:r>
        <w:rPr>
          <w:b/>
          <w:bCs/>
          <w:sz w:val="22"/>
          <w:szCs w:val="22"/>
        </w:rPr>
        <w:t xml:space="preserve"> of the </w:t>
      </w:r>
      <w:r w:rsidR="004F43C0">
        <w:rPr>
          <w:b/>
          <w:bCs/>
          <w:sz w:val="22"/>
          <w:szCs w:val="22"/>
        </w:rPr>
        <w:t>S</w:t>
      </w:r>
      <w:r>
        <w:rPr>
          <w:b/>
          <w:bCs/>
          <w:sz w:val="22"/>
          <w:szCs w:val="22"/>
        </w:rPr>
        <w:t xml:space="preserve">PIV measurement domain: </w:t>
      </w:r>
      <w:r w:rsidR="0064634C" w:rsidRPr="0064634C">
        <w:rPr>
          <w:sz w:val="22"/>
          <w:szCs w:val="22"/>
        </w:rPr>
        <w:t>The flow direction is from left to right.</w:t>
      </w:r>
      <w:r w:rsidR="0064634C">
        <w:rPr>
          <w:b/>
          <w:bCs/>
          <w:sz w:val="22"/>
          <w:szCs w:val="22"/>
        </w:rPr>
        <w:t xml:space="preserve"> </w:t>
      </w:r>
      <w:r w:rsidRPr="00702D85">
        <w:rPr>
          <w:sz w:val="22"/>
          <w:szCs w:val="22"/>
        </w:rPr>
        <w:t xml:space="preserve">The left side shows a representative frame from CFD </w:t>
      </w:r>
      <w:r w:rsidR="00702D85" w:rsidRPr="00702D85">
        <w:rPr>
          <w:sz w:val="22"/>
          <w:szCs w:val="22"/>
        </w:rPr>
        <w:t>simulations</w:t>
      </w:r>
      <w:r w:rsidRPr="00702D85">
        <w:rPr>
          <w:sz w:val="22"/>
          <w:szCs w:val="22"/>
        </w:rPr>
        <w:t xml:space="preserve"> for a solid cylinder with a dotted boxed indicating the </w:t>
      </w:r>
      <w:r w:rsidR="004F43C0">
        <w:rPr>
          <w:sz w:val="22"/>
          <w:szCs w:val="22"/>
        </w:rPr>
        <w:t>S</w:t>
      </w:r>
      <w:r w:rsidRPr="00702D85">
        <w:rPr>
          <w:sz w:val="22"/>
          <w:szCs w:val="22"/>
        </w:rPr>
        <w:t xml:space="preserve">PIV </w:t>
      </w:r>
      <w:r w:rsidR="00702D85" w:rsidRPr="00702D85">
        <w:rPr>
          <w:sz w:val="22"/>
          <w:szCs w:val="22"/>
        </w:rPr>
        <w:t>measurement</w:t>
      </w:r>
      <w:r w:rsidRPr="00702D85">
        <w:rPr>
          <w:sz w:val="22"/>
          <w:szCs w:val="22"/>
        </w:rPr>
        <w:t xml:space="preserve"> domain. The right side shows </w:t>
      </w:r>
      <w:r w:rsidR="00702D85" w:rsidRPr="00702D85">
        <w:rPr>
          <w:sz w:val="22"/>
          <w:szCs w:val="22"/>
        </w:rPr>
        <w:t>a</w:t>
      </w:r>
      <w:r w:rsidRPr="00702D85">
        <w:rPr>
          <w:sz w:val="22"/>
          <w:szCs w:val="22"/>
        </w:rPr>
        <w:t xml:space="preserve">n exemplary visualization </w:t>
      </w:r>
      <w:r w:rsidR="00702D85" w:rsidRPr="00702D85">
        <w:rPr>
          <w:sz w:val="22"/>
          <w:szCs w:val="22"/>
        </w:rPr>
        <w:t>of the velocity fields including streamlines. The background is color coded by velocity with arrows indicating XY flow direction.</w:t>
      </w:r>
      <w:r w:rsidR="00702D85">
        <w:rPr>
          <w:b/>
          <w:bCs/>
          <w:sz w:val="22"/>
          <w:szCs w:val="22"/>
        </w:rPr>
        <w:t xml:space="preserve"> </w:t>
      </w:r>
    </w:p>
    <w:p w14:paraId="5B7AFB2E" w14:textId="1888EE68" w:rsidR="00234893" w:rsidRPr="00234893" w:rsidRDefault="00234893" w:rsidP="00234893">
      <w:pPr>
        <w:pStyle w:val="SOMContent"/>
        <w:jc w:val="both"/>
      </w:pPr>
      <w:r w:rsidRPr="00234893">
        <w:t xml:space="preserve">To directly compare experimental and simulated flow fields, we extracted the corresponding velocity data from the CFD simulations within the same spatial domain as the </w:t>
      </w:r>
      <w:r w:rsidR="004F43C0">
        <w:t>S</w:t>
      </w:r>
      <w:r w:rsidRPr="00234893">
        <w:t>PIV measurement window. This enabled side-by-side visual comparisons and allowed for direct overlays of experimental and numerical results, facilitating validation and deeper interpretation of the wake dynamics behind each design.</w:t>
      </w:r>
    </w:p>
    <w:p w14:paraId="26063D93" w14:textId="77777777" w:rsidR="002C2C5C" w:rsidRDefault="002C2C5C" w:rsidP="00981169">
      <w:pPr>
        <w:pStyle w:val="SOMContent"/>
        <w:jc w:val="both"/>
        <w:rPr>
          <w:b/>
          <w:bCs/>
        </w:rPr>
      </w:pPr>
      <w:r w:rsidRPr="002C2C5C">
        <w:rPr>
          <w:b/>
          <w:bCs/>
        </w:rPr>
        <w:t xml:space="preserve">Figure S11 </w:t>
      </w:r>
      <w:r w:rsidRPr="002C2C5C">
        <w:t xml:space="preserve">shows representative velocity field comparisons for the four optimized designs (A, D, H, and I). In each panel, velocity magnitude is shown as the background color, with vectors and streamlines overlaid to illustrate local flow direction and structure. The flow direction is upward, corresponding to the positive </w:t>
      </w:r>
      <w:r>
        <w:t>Y</w:t>
      </w:r>
      <w:r w:rsidRPr="002C2C5C">
        <w:t xml:space="preserve"> axis. </w:t>
      </w:r>
      <w:r w:rsidRPr="002C2C5C">
        <w:rPr>
          <w:b/>
          <w:bCs/>
        </w:rPr>
        <w:t>Supplementary Videos 8–11</w:t>
      </w:r>
      <w:r w:rsidRPr="002C2C5C">
        <w:t xml:space="preserve"> provide time-resolved comparisons between SPIV and CFD velocity fields, offering a dynamic view of wake evolution and vortex shedding.</w:t>
      </w:r>
    </w:p>
    <w:p w14:paraId="269A3FE9" w14:textId="10012165" w:rsidR="00981169" w:rsidRPr="0064634C" w:rsidRDefault="002C2C5C" w:rsidP="00981169">
      <w:pPr>
        <w:pStyle w:val="SOMContent"/>
        <w:jc w:val="both"/>
      </w:pPr>
      <w:r w:rsidRPr="002C2C5C">
        <w:t>Overall, velocity magnitudes match well in both spatial distribution and amplitude, confirming that the simulations capture the dominant flow structures and bulk transport observed experimentally. For all four designs, the extent and shape of the wake, as well as streamline orientations, are consistent across both datasets.</w:t>
      </w:r>
      <w:r>
        <w:t xml:space="preserve"> </w:t>
      </w:r>
      <w:r w:rsidR="00981169" w:rsidRPr="0064634C">
        <w:t xml:space="preserve">However, some differences become apparent upon inspection of the time-resolved velocity field videos. </w:t>
      </w:r>
      <w:proofErr w:type="gramStart"/>
      <w:r w:rsidR="00A4364C" w:rsidRPr="00A4364C">
        <w:t>In particular, vortex</w:t>
      </w:r>
      <w:proofErr w:type="gramEnd"/>
      <w:r w:rsidR="00A4364C" w:rsidRPr="00A4364C">
        <w:t xml:space="preserve"> shedding appears more pronounced in the SPIV measurements, with vortices forming and detaching approximately</w:t>
      </w:r>
      <w:r w:rsidR="00A4364C">
        <w:t xml:space="preserve"> 1 -</w:t>
      </w:r>
      <w:r w:rsidR="00A4364C" w:rsidRPr="00A4364C">
        <w:t xml:space="preserve"> </w:t>
      </w:r>
      <w:r w:rsidRPr="00A4364C">
        <w:t>1.5-cylinder</w:t>
      </w:r>
      <w:r w:rsidR="00A4364C" w:rsidRPr="00A4364C">
        <w:t xml:space="preserve"> diameters closer to the structure compared to the CFD results.</w:t>
      </w:r>
      <w:r w:rsidR="00A4364C">
        <w:t xml:space="preserve"> </w:t>
      </w:r>
      <w:r w:rsidR="00981169" w:rsidRPr="0064634C">
        <w:t xml:space="preserve">In the simulations, the onset of shedding is further downstream and, in some cases, partially outside the </w:t>
      </w:r>
      <w:r w:rsidR="004F43C0">
        <w:t>S</w:t>
      </w:r>
      <w:r w:rsidR="00981169" w:rsidRPr="0064634C">
        <w:t>PIV field of view. This discrepancy can be attributed to several factors inherent to experimental conditions: surface roughness introduced during sample fabrication may trigger earlier flow separation in physical tests; the finite size of the seeding particles (5–25 µm) may restrict their ability to fully enter and track flow within smaller pores</w:t>
      </w:r>
      <w:r w:rsidR="00981169">
        <w:t>, which were as small as 1</w:t>
      </w:r>
      <w:r w:rsidR="005B3DE5">
        <w:t>5</w:t>
      </w:r>
      <w:r w:rsidR="00981169">
        <w:t xml:space="preserve">0 </w:t>
      </w:r>
      <w:r w:rsidR="00981169" w:rsidRPr="0064634C">
        <w:t>µm</w:t>
      </w:r>
      <w:r w:rsidR="00981169">
        <w:t xml:space="preserve">. </w:t>
      </w:r>
      <w:r w:rsidR="00981169" w:rsidRPr="00992B66">
        <w:t xml:space="preserve">Furthermore, near-wall boundary layers were more pronounced in the </w:t>
      </w:r>
      <w:r w:rsidR="00A4364C">
        <w:t>S</w:t>
      </w:r>
      <w:r w:rsidR="00981169" w:rsidRPr="00992B66">
        <w:t>PIV setup due to interaction with the tunnel walls, whereas the CFD simulations used periodic boundary conditions on the side walls to reduce computational expense</w:t>
      </w:r>
      <w:r w:rsidR="00981169">
        <w:t xml:space="preserve"> as previously described. </w:t>
      </w:r>
      <w:r w:rsidR="00981169" w:rsidRPr="0064634C">
        <w:t>Despite these differences, the overall dynamics and flow trends are well captured.</w:t>
      </w:r>
    </w:p>
    <w:p w14:paraId="6B2F9D13" w14:textId="5E0EBFC9" w:rsidR="004D7558" w:rsidRDefault="004D7558" w:rsidP="00234893">
      <w:pPr>
        <w:pStyle w:val="SOMContent"/>
        <w:jc w:val="both"/>
      </w:pPr>
    </w:p>
    <w:p w14:paraId="1C2A8D56" w14:textId="1CD635DD" w:rsidR="00DF3A94" w:rsidRDefault="00DF3A94" w:rsidP="00234893">
      <w:pPr>
        <w:pStyle w:val="SOMContent"/>
        <w:jc w:val="both"/>
      </w:pPr>
      <w:r>
        <w:rPr>
          <w:noProof/>
        </w:rPr>
        <w:lastRenderedPageBreak/>
        <w:drawing>
          <wp:inline distT="0" distB="0" distL="0" distR="0" wp14:anchorId="7B93A0A1" wp14:editId="0447B596">
            <wp:extent cx="5849122" cy="3408680"/>
            <wp:effectExtent l="0" t="0" r="0" b="1270"/>
            <wp:docPr id="6506454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extLst>
                        <a:ext uri="{28A0092B-C50C-407E-A947-70E740481C1C}">
                          <a14:useLocalDpi xmlns:a14="http://schemas.microsoft.com/office/drawing/2010/main" val="0"/>
                        </a:ext>
                      </a:extLst>
                    </a:blip>
                    <a:srcRect l="386" t="1293" r="1191" b="2287"/>
                    <a:stretch>
                      <a:fillRect/>
                    </a:stretch>
                  </pic:blipFill>
                  <pic:spPr bwMode="auto">
                    <a:xfrm>
                      <a:off x="0" y="0"/>
                      <a:ext cx="5849862" cy="3409111"/>
                    </a:xfrm>
                    <a:prstGeom prst="rect">
                      <a:avLst/>
                    </a:prstGeom>
                    <a:noFill/>
                    <a:ln>
                      <a:noFill/>
                    </a:ln>
                    <a:extLst>
                      <a:ext uri="{53640926-AAD7-44D8-BBD7-CCE9431645EC}">
                        <a14:shadowObscured xmlns:a14="http://schemas.microsoft.com/office/drawing/2010/main"/>
                      </a:ext>
                    </a:extLst>
                  </pic:spPr>
                </pic:pic>
              </a:graphicData>
            </a:graphic>
          </wp:inline>
        </w:drawing>
      </w:r>
    </w:p>
    <w:p w14:paraId="71A0D835" w14:textId="46F74414" w:rsidR="002C2C5C" w:rsidRDefault="00234893" w:rsidP="00234893">
      <w:pPr>
        <w:pStyle w:val="SOMContent"/>
        <w:jc w:val="both"/>
        <w:rPr>
          <w:rFonts w:eastAsia="Calibri"/>
          <w:sz w:val="22"/>
          <w:szCs w:val="22"/>
        </w:rPr>
      </w:pPr>
      <w:r w:rsidRPr="0064634C">
        <w:rPr>
          <w:b/>
          <w:bCs/>
          <w:sz w:val="22"/>
          <w:szCs w:val="22"/>
        </w:rPr>
        <w:t>Figure S1</w:t>
      </w:r>
      <w:r w:rsidR="00A4364C">
        <w:rPr>
          <w:b/>
          <w:bCs/>
          <w:sz w:val="22"/>
          <w:szCs w:val="22"/>
        </w:rPr>
        <w:t>1</w:t>
      </w:r>
      <w:r w:rsidRPr="0064634C">
        <w:rPr>
          <w:sz w:val="22"/>
          <w:szCs w:val="22"/>
        </w:rPr>
        <w:t xml:space="preserve">: </w:t>
      </w:r>
      <w:r w:rsidR="00AA08A8" w:rsidRPr="00AA08A8">
        <w:rPr>
          <w:b/>
          <w:bCs/>
          <w:sz w:val="22"/>
          <w:szCs w:val="22"/>
        </w:rPr>
        <w:t>Time</w:t>
      </w:r>
      <w:r w:rsidR="00AA08A8">
        <w:rPr>
          <w:b/>
          <w:bCs/>
          <w:sz w:val="22"/>
          <w:szCs w:val="22"/>
        </w:rPr>
        <w:t>-</w:t>
      </w:r>
      <w:r w:rsidR="00AA08A8" w:rsidRPr="00AA08A8">
        <w:rPr>
          <w:b/>
          <w:bCs/>
          <w:sz w:val="22"/>
          <w:szCs w:val="22"/>
        </w:rPr>
        <w:t>matched v</w:t>
      </w:r>
      <w:r w:rsidR="00723464" w:rsidRPr="00AA08A8">
        <w:rPr>
          <w:b/>
          <w:bCs/>
          <w:sz w:val="22"/>
          <w:szCs w:val="22"/>
        </w:rPr>
        <w:t>el</w:t>
      </w:r>
      <w:r w:rsidR="00723464">
        <w:rPr>
          <w:b/>
          <w:bCs/>
          <w:sz w:val="22"/>
          <w:szCs w:val="22"/>
        </w:rPr>
        <w:t xml:space="preserve">ocity </w:t>
      </w:r>
      <w:r w:rsidRPr="0064634C">
        <w:rPr>
          <w:b/>
          <w:bCs/>
          <w:sz w:val="22"/>
          <w:szCs w:val="22"/>
        </w:rPr>
        <w:t xml:space="preserve">fields obtained from CFD (left) and </w:t>
      </w:r>
      <w:r w:rsidR="00723464">
        <w:rPr>
          <w:b/>
          <w:bCs/>
          <w:sz w:val="22"/>
          <w:szCs w:val="22"/>
        </w:rPr>
        <w:t>S</w:t>
      </w:r>
      <w:r w:rsidRPr="0064634C">
        <w:rPr>
          <w:b/>
          <w:bCs/>
          <w:sz w:val="22"/>
          <w:szCs w:val="22"/>
        </w:rPr>
        <w:t>PIV (right) for optimized designs A, D, H, and I at Reynolds number ≈ 2</w:t>
      </w:r>
      <w:r w:rsidR="00D8579D">
        <w:rPr>
          <w:b/>
          <w:bCs/>
          <w:sz w:val="22"/>
          <w:szCs w:val="22"/>
        </w:rPr>
        <w:t>1</w:t>
      </w:r>
      <w:r w:rsidRPr="0064634C">
        <w:rPr>
          <w:b/>
          <w:bCs/>
          <w:sz w:val="22"/>
          <w:szCs w:val="22"/>
        </w:rPr>
        <w:t>00</w:t>
      </w:r>
      <w:r w:rsidRPr="0064634C">
        <w:rPr>
          <w:sz w:val="22"/>
          <w:szCs w:val="22"/>
        </w:rPr>
        <w:t>.</w:t>
      </w:r>
      <w:r w:rsidR="0064634C" w:rsidRPr="0064634C">
        <w:rPr>
          <w:rFonts w:eastAsia="Calibri"/>
          <w:sz w:val="22"/>
          <w:szCs w:val="22"/>
        </w:rPr>
        <w:t xml:space="preserve"> </w:t>
      </w:r>
      <w:r w:rsidR="002C2C5C" w:rsidRPr="002C2C5C">
        <w:rPr>
          <w:rFonts w:eastAsia="Calibri"/>
          <w:sz w:val="22"/>
          <w:szCs w:val="22"/>
        </w:rPr>
        <w:t xml:space="preserve">Flow is directed upward along the positive </w:t>
      </w:r>
      <w:r w:rsidR="002C2C5C">
        <w:rPr>
          <w:rFonts w:eastAsia="Calibri"/>
          <w:sz w:val="22"/>
          <w:szCs w:val="22"/>
        </w:rPr>
        <w:t>Y</w:t>
      </w:r>
      <w:r w:rsidR="002C2C5C" w:rsidRPr="002C2C5C">
        <w:rPr>
          <w:rFonts w:eastAsia="Calibri"/>
          <w:sz w:val="22"/>
          <w:szCs w:val="22"/>
        </w:rPr>
        <w:t xml:space="preserve"> axis, while transverse (lift) velocities act along the x axis. Each panel shows the same spatial domain, with velocity magnitude mapped as the background color and overlaid vectors and streamlines indicating flow direction and structure. Supplementary Videos 8–11 provide time-resolved comparisons for all four designs.</w:t>
      </w:r>
    </w:p>
    <w:p w14:paraId="23814015" w14:textId="47F968D7" w:rsidR="00AA08A8" w:rsidRDefault="00AA08A8" w:rsidP="00723464">
      <w:pPr>
        <w:pStyle w:val="SOMContent"/>
        <w:jc w:val="both"/>
      </w:pPr>
      <w:r w:rsidRPr="00AA08A8">
        <w:t xml:space="preserve">To complement the instantaneous snapshots in </w:t>
      </w:r>
      <w:r w:rsidRPr="00AA08A8">
        <w:rPr>
          <w:b/>
          <w:bCs/>
        </w:rPr>
        <w:t>Figure S11</w:t>
      </w:r>
      <w:r w:rsidRPr="00AA08A8">
        <w:t xml:space="preserve">, we include side-by-side comparisons of flow statistics aggregated over time for the same spatial domain and designs (A, D, H, and I). </w:t>
      </w:r>
      <w:r w:rsidRPr="00AA08A8">
        <w:rPr>
          <w:b/>
          <w:bCs/>
        </w:rPr>
        <w:t>Figure S12</w:t>
      </w:r>
      <w:r w:rsidRPr="00AA08A8">
        <w:t xml:space="preserve"> shows time-averaged velocity magnitude fields from CFD (left) and SPIV (right), using the same color scheme </w:t>
      </w:r>
      <w:r>
        <w:t xml:space="preserve">and spatial domain </w:t>
      </w:r>
      <w:r w:rsidRPr="00AA08A8">
        <w:t xml:space="preserve">as </w:t>
      </w:r>
      <w:r w:rsidRPr="00AA08A8">
        <w:rPr>
          <w:b/>
          <w:bCs/>
        </w:rPr>
        <w:t>Figure S11</w:t>
      </w:r>
      <w:r w:rsidRPr="00AA08A8">
        <w:t xml:space="preserve">. The mean-flow fields agree in wake shape and width across </w:t>
      </w:r>
      <w:r>
        <w:t>the</w:t>
      </w:r>
      <w:r w:rsidRPr="00AA08A8">
        <w:t xml:space="preserve"> designs. In the SPIV data, the more fluidic-optimized designs (H and I) show vortex formation beginning further downstream compared to the mechanically optimized designs (A and D).</w:t>
      </w:r>
      <w:r>
        <w:t xml:space="preserve"> </w:t>
      </w:r>
      <w:r w:rsidRPr="00723464">
        <w:t xml:space="preserve">This delayed vortex organization is consistent with the reduced force fluctuations of designs </w:t>
      </w:r>
      <w:proofErr w:type="gramStart"/>
      <w:r w:rsidRPr="00723464">
        <w:t>H</w:t>
      </w:r>
      <w:proofErr w:type="gramEnd"/>
      <w:r w:rsidRPr="00723464">
        <w:t xml:space="preserve"> and I reported in </w:t>
      </w:r>
      <w:r w:rsidRPr="00723464">
        <w:rPr>
          <w:b/>
          <w:bCs/>
        </w:rPr>
        <w:t>Figure 5</w:t>
      </w:r>
      <w:r w:rsidRPr="00723464">
        <w:t xml:space="preserve"> of the main manuscript.</w:t>
      </w:r>
      <w:r w:rsidRPr="00AA08A8">
        <w:t xml:space="preserve"> In the CFD results, the wake extends further downstream, with part of the coherent structures lying outside the plotted field of view.</w:t>
      </w:r>
    </w:p>
    <w:p w14:paraId="482694DD" w14:textId="44DA733D" w:rsidR="00723464" w:rsidRDefault="00AA08A8" w:rsidP="00723464">
      <w:pPr>
        <w:pStyle w:val="SOMContent"/>
        <w:jc w:val="both"/>
      </w:pPr>
      <w:r w:rsidRPr="00AA08A8">
        <w:rPr>
          <w:b/>
          <w:bCs/>
        </w:rPr>
        <w:t>Figure S13</w:t>
      </w:r>
      <w:r w:rsidRPr="00AA08A8">
        <w:t xml:space="preserve"> presents maps of turbulence kinetic energy (TKE)</w:t>
      </w:r>
      <w:r>
        <w:t xml:space="preserve"> for the four optimized designs between CFD and SPIV</w:t>
      </w:r>
      <w:r w:rsidRPr="00AA08A8">
        <w:t>. High-TKE regions correspond to shear layers and the vortex street. In the solid-cylinder wake, time-averaged TKE was about 50% higher and peaked roughly one diameter closer to the body compared to the optimized designs. CFD predicted an even more pronounced downstream shift than observed in SPIV</w:t>
      </w:r>
      <w:r w:rsidR="00AE7987">
        <w:rPr>
          <w:bCs/>
        </w:rPr>
        <w:t>.</w:t>
      </w:r>
    </w:p>
    <w:p w14:paraId="37E93848" w14:textId="0B29C69E" w:rsidR="0076015C" w:rsidRDefault="0076015C" w:rsidP="00234893">
      <w:pPr>
        <w:pStyle w:val="SOMContent"/>
        <w:jc w:val="both"/>
      </w:pPr>
    </w:p>
    <w:p w14:paraId="1EA1B04E" w14:textId="7D914FCD" w:rsidR="00723464" w:rsidRDefault="00723464" w:rsidP="00234893">
      <w:pPr>
        <w:pStyle w:val="SOMContent"/>
        <w:jc w:val="both"/>
      </w:pPr>
      <w:r>
        <w:rPr>
          <w:noProof/>
        </w:rPr>
        <w:lastRenderedPageBreak/>
        <w:drawing>
          <wp:inline distT="0" distB="0" distL="0" distR="0" wp14:anchorId="418F7B87" wp14:editId="70FF1504">
            <wp:extent cx="5934710" cy="3483030"/>
            <wp:effectExtent l="0" t="0" r="8890" b="3175"/>
            <wp:docPr id="15157203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a:extLst>
                        <a:ext uri="{28A0092B-C50C-407E-A947-70E740481C1C}">
                          <a14:useLocalDpi xmlns:a14="http://schemas.microsoft.com/office/drawing/2010/main" val="0"/>
                        </a:ext>
                      </a:extLst>
                    </a:blip>
                    <a:srcRect l="525" t="1170" r="715" b="1993"/>
                    <a:stretch>
                      <a:fillRect/>
                    </a:stretch>
                  </pic:blipFill>
                  <pic:spPr bwMode="auto">
                    <a:xfrm>
                      <a:off x="0" y="0"/>
                      <a:ext cx="5936397" cy="3484020"/>
                    </a:xfrm>
                    <a:prstGeom prst="rect">
                      <a:avLst/>
                    </a:prstGeom>
                    <a:noFill/>
                    <a:ln>
                      <a:noFill/>
                    </a:ln>
                    <a:extLst>
                      <a:ext uri="{53640926-AAD7-44D8-BBD7-CCE9431645EC}">
                        <a14:shadowObscured xmlns:a14="http://schemas.microsoft.com/office/drawing/2010/main"/>
                      </a:ext>
                    </a:extLst>
                  </pic:spPr>
                </pic:pic>
              </a:graphicData>
            </a:graphic>
          </wp:inline>
        </w:drawing>
      </w:r>
    </w:p>
    <w:p w14:paraId="0D0C999F" w14:textId="425F02C4" w:rsidR="00723464" w:rsidRDefault="00723464" w:rsidP="00723464">
      <w:pPr>
        <w:pStyle w:val="SOMContent"/>
        <w:jc w:val="both"/>
        <w:rPr>
          <w:sz w:val="22"/>
          <w:szCs w:val="22"/>
        </w:rPr>
      </w:pPr>
      <w:r w:rsidRPr="0064634C">
        <w:rPr>
          <w:b/>
          <w:bCs/>
          <w:sz w:val="22"/>
          <w:szCs w:val="22"/>
        </w:rPr>
        <w:t>Figure S1</w:t>
      </w:r>
      <w:r w:rsidR="00A4364C">
        <w:rPr>
          <w:b/>
          <w:bCs/>
          <w:sz w:val="22"/>
          <w:szCs w:val="22"/>
        </w:rPr>
        <w:t>2</w:t>
      </w:r>
      <w:r w:rsidRPr="0064634C">
        <w:rPr>
          <w:sz w:val="22"/>
          <w:szCs w:val="22"/>
        </w:rPr>
        <w:t xml:space="preserve">: </w:t>
      </w:r>
      <w:r w:rsidRPr="00723464">
        <w:rPr>
          <w:b/>
          <w:bCs/>
          <w:sz w:val="22"/>
          <w:szCs w:val="22"/>
        </w:rPr>
        <w:t xml:space="preserve">Time averaged </w:t>
      </w:r>
      <w:r>
        <w:rPr>
          <w:b/>
          <w:bCs/>
          <w:sz w:val="22"/>
          <w:szCs w:val="22"/>
        </w:rPr>
        <w:t>v</w:t>
      </w:r>
      <w:r w:rsidRPr="00723464">
        <w:rPr>
          <w:b/>
          <w:bCs/>
          <w:sz w:val="22"/>
          <w:szCs w:val="22"/>
        </w:rPr>
        <w:t>elocity</w:t>
      </w:r>
      <w:r>
        <w:rPr>
          <w:b/>
          <w:bCs/>
          <w:sz w:val="22"/>
          <w:szCs w:val="22"/>
        </w:rPr>
        <w:t xml:space="preserve"> </w:t>
      </w:r>
      <w:r w:rsidRPr="0064634C">
        <w:rPr>
          <w:b/>
          <w:bCs/>
          <w:sz w:val="22"/>
          <w:szCs w:val="22"/>
        </w:rPr>
        <w:t xml:space="preserve">fields obtained from CFD (left) and </w:t>
      </w:r>
      <w:r>
        <w:rPr>
          <w:b/>
          <w:bCs/>
          <w:sz w:val="22"/>
          <w:szCs w:val="22"/>
        </w:rPr>
        <w:t>S</w:t>
      </w:r>
      <w:r w:rsidRPr="0064634C">
        <w:rPr>
          <w:b/>
          <w:bCs/>
          <w:sz w:val="22"/>
          <w:szCs w:val="22"/>
        </w:rPr>
        <w:t>PIV (right) for optimized designs A, D, H, and I at Reynolds number ≈ 2</w:t>
      </w:r>
      <w:r w:rsidR="00D8579D">
        <w:rPr>
          <w:b/>
          <w:bCs/>
          <w:sz w:val="22"/>
          <w:szCs w:val="22"/>
        </w:rPr>
        <w:t>1</w:t>
      </w:r>
      <w:r w:rsidRPr="0064634C">
        <w:rPr>
          <w:b/>
          <w:bCs/>
          <w:sz w:val="22"/>
          <w:szCs w:val="22"/>
        </w:rPr>
        <w:t>00</w:t>
      </w:r>
      <w:r w:rsidRPr="0064634C">
        <w:rPr>
          <w:sz w:val="22"/>
          <w:szCs w:val="22"/>
        </w:rPr>
        <w:t>.</w:t>
      </w:r>
      <w:r>
        <w:rPr>
          <w:sz w:val="22"/>
          <w:szCs w:val="22"/>
        </w:rPr>
        <w:t xml:space="preserve"> </w:t>
      </w:r>
      <w:r w:rsidRPr="0064634C">
        <w:rPr>
          <w:sz w:val="22"/>
          <w:szCs w:val="22"/>
        </w:rPr>
        <w:t xml:space="preserve">Each panel displays the same spatial domain with background color indicating </w:t>
      </w:r>
      <w:r w:rsidR="001A0458">
        <w:rPr>
          <w:sz w:val="22"/>
          <w:szCs w:val="22"/>
        </w:rPr>
        <w:t xml:space="preserve">time averaged </w:t>
      </w:r>
      <w:r w:rsidRPr="0064634C">
        <w:rPr>
          <w:sz w:val="22"/>
          <w:szCs w:val="22"/>
        </w:rPr>
        <w:t>velocity magnitude.</w:t>
      </w:r>
    </w:p>
    <w:p w14:paraId="10CD2342" w14:textId="77777777" w:rsidR="00A4364C" w:rsidRDefault="00A4364C" w:rsidP="00723464">
      <w:pPr>
        <w:pStyle w:val="SOMContent"/>
        <w:jc w:val="both"/>
        <w:rPr>
          <w:sz w:val="22"/>
          <w:szCs w:val="22"/>
        </w:rPr>
      </w:pPr>
    </w:p>
    <w:p w14:paraId="0FC0CD94" w14:textId="4D43AC26" w:rsidR="00AE7987" w:rsidRDefault="00AE7987" w:rsidP="00234893">
      <w:pPr>
        <w:pStyle w:val="SOMContent"/>
        <w:jc w:val="both"/>
      </w:pPr>
      <w:r>
        <w:rPr>
          <w:noProof/>
        </w:rPr>
        <w:drawing>
          <wp:inline distT="0" distB="0" distL="0" distR="0" wp14:anchorId="3C9B3A82" wp14:editId="78EE5396">
            <wp:extent cx="5927725" cy="3400854"/>
            <wp:effectExtent l="0" t="0" r="0" b="9525"/>
            <wp:docPr id="1563411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a:extLst>
                        <a:ext uri="{28A0092B-C50C-407E-A947-70E740481C1C}">
                          <a14:useLocalDpi xmlns:a14="http://schemas.microsoft.com/office/drawing/2010/main" val="0"/>
                        </a:ext>
                      </a:extLst>
                    </a:blip>
                    <a:srcRect l="922" t="1124" r="924" b="2705"/>
                    <a:stretch>
                      <a:fillRect/>
                    </a:stretch>
                  </pic:blipFill>
                  <pic:spPr bwMode="auto">
                    <a:xfrm>
                      <a:off x="0" y="0"/>
                      <a:ext cx="5930772" cy="3402602"/>
                    </a:xfrm>
                    <a:prstGeom prst="rect">
                      <a:avLst/>
                    </a:prstGeom>
                    <a:noFill/>
                    <a:ln>
                      <a:noFill/>
                    </a:ln>
                    <a:extLst>
                      <a:ext uri="{53640926-AAD7-44D8-BBD7-CCE9431645EC}">
                        <a14:shadowObscured xmlns:a14="http://schemas.microsoft.com/office/drawing/2010/main"/>
                      </a:ext>
                    </a:extLst>
                  </pic:spPr>
                </pic:pic>
              </a:graphicData>
            </a:graphic>
          </wp:inline>
        </w:drawing>
      </w:r>
    </w:p>
    <w:p w14:paraId="26775E0B" w14:textId="78749D13" w:rsidR="00723464" w:rsidRDefault="00723464" w:rsidP="00723464">
      <w:pPr>
        <w:pStyle w:val="SOMContent"/>
        <w:jc w:val="both"/>
        <w:rPr>
          <w:sz w:val="22"/>
          <w:szCs w:val="22"/>
        </w:rPr>
      </w:pPr>
      <w:r w:rsidRPr="00723464">
        <w:rPr>
          <w:b/>
          <w:bCs/>
          <w:sz w:val="22"/>
          <w:szCs w:val="22"/>
        </w:rPr>
        <w:t>Figure S1</w:t>
      </w:r>
      <w:r w:rsidR="00AE7987">
        <w:rPr>
          <w:b/>
          <w:bCs/>
          <w:sz w:val="22"/>
          <w:szCs w:val="22"/>
        </w:rPr>
        <w:t>3</w:t>
      </w:r>
      <w:r w:rsidRPr="00723464">
        <w:rPr>
          <w:b/>
          <w:bCs/>
          <w:sz w:val="22"/>
          <w:szCs w:val="22"/>
        </w:rPr>
        <w:t>: Turbulence kinetic energy fields obtained</w:t>
      </w:r>
      <w:r w:rsidRPr="0064634C">
        <w:rPr>
          <w:b/>
          <w:bCs/>
          <w:sz w:val="22"/>
          <w:szCs w:val="22"/>
        </w:rPr>
        <w:t xml:space="preserve"> from CFD (left) and </w:t>
      </w:r>
      <w:r>
        <w:rPr>
          <w:b/>
          <w:bCs/>
          <w:sz w:val="22"/>
          <w:szCs w:val="22"/>
        </w:rPr>
        <w:t>S</w:t>
      </w:r>
      <w:r w:rsidRPr="0064634C">
        <w:rPr>
          <w:b/>
          <w:bCs/>
          <w:sz w:val="22"/>
          <w:szCs w:val="22"/>
        </w:rPr>
        <w:t>PIV (right) for optimized designs A, D, H, and I at Reynolds number ≈ 2</w:t>
      </w:r>
      <w:r w:rsidR="00D8579D">
        <w:rPr>
          <w:b/>
          <w:bCs/>
          <w:sz w:val="22"/>
          <w:szCs w:val="22"/>
        </w:rPr>
        <w:t>1</w:t>
      </w:r>
      <w:r w:rsidRPr="0064634C">
        <w:rPr>
          <w:b/>
          <w:bCs/>
          <w:sz w:val="22"/>
          <w:szCs w:val="22"/>
        </w:rPr>
        <w:t>00</w:t>
      </w:r>
      <w:r w:rsidRPr="0064634C">
        <w:rPr>
          <w:sz w:val="22"/>
          <w:szCs w:val="22"/>
        </w:rPr>
        <w:t>.</w:t>
      </w:r>
      <w:r w:rsidRPr="0064634C">
        <w:rPr>
          <w:rFonts w:eastAsia="Calibri"/>
          <w:sz w:val="22"/>
          <w:szCs w:val="22"/>
        </w:rPr>
        <w:t xml:space="preserve"> </w:t>
      </w:r>
      <w:r w:rsidRPr="0064634C">
        <w:rPr>
          <w:sz w:val="22"/>
          <w:szCs w:val="22"/>
        </w:rPr>
        <w:t xml:space="preserve">Each panel displays the same spatial domain with background color indicating </w:t>
      </w:r>
      <w:r w:rsidR="001A0458">
        <w:rPr>
          <w:sz w:val="22"/>
          <w:szCs w:val="22"/>
        </w:rPr>
        <w:t>t</w:t>
      </w:r>
      <w:r w:rsidR="001A0458" w:rsidRPr="001A0458">
        <w:rPr>
          <w:sz w:val="22"/>
          <w:szCs w:val="22"/>
        </w:rPr>
        <w:t>urbulence kinetic energy fields</w:t>
      </w:r>
      <w:r w:rsidR="001A0458">
        <w:rPr>
          <w:sz w:val="22"/>
          <w:szCs w:val="22"/>
        </w:rPr>
        <w:t>.</w:t>
      </w:r>
    </w:p>
    <w:p w14:paraId="38C02F5C" w14:textId="34A91C55" w:rsidR="00D9251E" w:rsidRDefault="006A601D" w:rsidP="0064634C">
      <w:pPr>
        <w:pStyle w:val="SOMContent"/>
        <w:jc w:val="both"/>
      </w:pPr>
      <w:r w:rsidRPr="006A601D">
        <w:lastRenderedPageBreak/>
        <w:t xml:space="preserve">To further assess agreement between simulation and experiment, </w:t>
      </w:r>
      <w:r w:rsidRPr="006A601D">
        <w:rPr>
          <w:b/>
          <w:bCs/>
        </w:rPr>
        <w:t>Figure S14</w:t>
      </w:r>
      <w:r w:rsidRPr="006A601D">
        <w:t xml:space="preserve"> provides quantitative comparisons of two wake metrics across all designs.</w:t>
      </w:r>
      <w:r>
        <w:t xml:space="preserve"> </w:t>
      </w:r>
      <w:r w:rsidRPr="006A601D">
        <w:rPr>
          <w:b/>
          <w:bCs/>
        </w:rPr>
        <w:t>Figure S14A</w:t>
      </w:r>
      <w:r w:rsidRPr="006A601D">
        <w:t xml:space="preserve"> shows the dominant vortex shedding frequencies obtained from FFT analysis of the velocity signals in the wake. For CFD, including the solid cylinder, the peak frequencies lie between 0.85 and 0.95 Hz. The corresponding SPIV peaks fall slightly higher, between 1.00 and 1.10 Hz. These values correspond to Strouhal numbers ranging from 0.20 (lowest in CFD) to 0.25 (highest in SPIV).</w:t>
      </w:r>
      <w:r>
        <w:t xml:space="preserve"> </w:t>
      </w:r>
      <w:r w:rsidR="00D9251E" w:rsidRPr="00D9251E">
        <w:t xml:space="preserve">The observed </w:t>
      </w:r>
      <w:r>
        <w:t>shift</w:t>
      </w:r>
      <w:r w:rsidR="00D9251E" w:rsidRPr="00D9251E">
        <w:t xml:space="preserve"> is within expectations when considering that: (</w:t>
      </w:r>
      <w:proofErr w:type="spellStart"/>
      <w:r w:rsidR="00D9251E" w:rsidRPr="00D9251E">
        <w:t>i</w:t>
      </w:r>
      <w:proofErr w:type="spellEnd"/>
      <w:r w:rsidR="00D9251E" w:rsidRPr="00D9251E">
        <w:t xml:space="preserve">) the </w:t>
      </w:r>
      <w:r w:rsidR="004F43C0">
        <w:t>S</w:t>
      </w:r>
      <w:r w:rsidR="00D9251E" w:rsidRPr="00D9251E">
        <w:t xml:space="preserve">PIV sampling rate results in a frequency bin width of 0.1 Hz, which limits precision in peak detection; (ii) small differences in the effective reference velocity and diameter between CFD and experiment can shift the calculated Strouhal number; and (iii) physical effects such as blockage, wall interactions, and geometric imperfections in the fabricated samples can promote earlier vortex formation and slightly higher shedding frequencies in </w:t>
      </w:r>
      <w:r w:rsidR="004F43C0">
        <w:t>S</w:t>
      </w:r>
      <w:r w:rsidR="00D9251E" w:rsidRPr="00D9251E">
        <w:t>PIV.</w:t>
      </w:r>
    </w:p>
    <w:p w14:paraId="05511D5E" w14:textId="5ECACD0C" w:rsidR="0064634C" w:rsidRDefault="006A601D" w:rsidP="005F0B2B">
      <w:pPr>
        <w:pStyle w:val="SOMContent"/>
        <w:jc w:val="both"/>
      </w:pPr>
      <w:r w:rsidRPr="006A601D">
        <w:rPr>
          <w:b/>
          <w:bCs/>
        </w:rPr>
        <w:t>Figure S14B</w:t>
      </w:r>
      <w:r w:rsidRPr="006A601D">
        <w:t xml:space="preserve"> compares the mean transverse velocity component in the wake, denoted </w:t>
      </w:r>
      <m:oMath>
        <m:sSub>
          <m:sSubPr>
            <m:ctrlPr>
              <w:rPr>
                <w:rFonts w:ascii="Cambria Math" w:hAnsi="Cambria Math"/>
                <w:i/>
              </w:rPr>
            </m:ctrlPr>
          </m:sSubPr>
          <m:e>
            <m:r>
              <w:rPr>
                <w:rFonts w:ascii="Cambria Math" w:hAnsi="Cambria Math"/>
              </w:rPr>
              <m:t>v</m:t>
            </m:r>
          </m:e>
          <m:sub>
            <m:r>
              <w:rPr>
                <w:rFonts w:ascii="Cambria Math" w:hAnsi="Cambria Math"/>
              </w:rPr>
              <m:t>x</m:t>
            </m:r>
          </m:sub>
        </m:sSub>
      </m:oMath>
      <w:r w:rsidRPr="006A601D">
        <w:t xml:space="preserve">​. Here we use the coordinate system introduced in </w:t>
      </w:r>
      <w:r w:rsidRPr="006A601D">
        <w:rPr>
          <w:b/>
          <w:bCs/>
        </w:rPr>
        <w:t>Figure S11</w:t>
      </w:r>
      <w:r w:rsidRPr="006A601D">
        <w:t xml:space="preserve">, where the bulk flow direction is upward along </w:t>
      </w:r>
      <m:oMath>
        <m:r>
          <w:rPr>
            <w:rFonts w:ascii="Cambria Math" w:hAnsi="Cambria Math"/>
          </w:rPr>
          <m:t>+y</m:t>
        </m:r>
      </m:oMath>
      <w:r w:rsidRPr="006A601D">
        <w:t xml:space="preserve"> and the transverse (lift) direction is along </w:t>
      </w:r>
      <m:oMath>
        <m:r>
          <w:rPr>
            <w:rFonts w:ascii="Cambria Math" w:hAnsi="Cambria Math"/>
          </w:rPr>
          <m:t>x</m:t>
        </m:r>
      </m:oMath>
      <w:r w:rsidRPr="006A601D">
        <w:t xml:space="preserve">. </w:t>
      </w:r>
      <w:r w:rsidR="005F0B2B">
        <w:t>T</w:t>
      </w:r>
      <w:r w:rsidR="005F0B2B" w:rsidRPr="005F0B2B">
        <w:t xml:space="preserve">he comparison region is centered on the structure in </w:t>
      </w:r>
      <m:oMath>
        <m:r>
          <w:rPr>
            <w:rFonts w:ascii="Cambria Math" w:hAnsi="Cambria Math"/>
          </w:rPr>
          <m:t>x</m:t>
        </m:r>
      </m:oMath>
      <w:r w:rsidR="005F0B2B" w:rsidRPr="005F0B2B">
        <w:t xml:space="preserve"> and located downstream in </w:t>
      </w:r>
      <m:oMath>
        <m:r>
          <w:rPr>
            <w:rFonts w:ascii="Cambria Math" w:hAnsi="Cambria Math"/>
          </w:rPr>
          <m:t>y</m:t>
        </m:r>
      </m:oMath>
      <w:r w:rsidR="005F0B2B" w:rsidRPr="005F0B2B">
        <w:t>, where vorticity is strongest.</w:t>
      </w:r>
      <w:r w:rsidR="005F0B2B">
        <w:t xml:space="preserve"> </w:t>
      </w:r>
      <w:r w:rsidRPr="006A601D">
        <w:t xml:space="preserve">SPIV measurements report slightly elevated </w:t>
      </w:r>
      <m:oMath>
        <m:sSub>
          <m:sSubPr>
            <m:ctrlPr>
              <w:rPr>
                <w:rFonts w:ascii="Cambria Math" w:hAnsi="Cambria Math"/>
                <w:i/>
              </w:rPr>
            </m:ctrlPr>
          </m:sSubPr>
          <m:e>
            <m:r>
              <w:rPr>
                <w:rFonts w:ascii="Cambria Math" w:hAnsi="Cambria Math"/>
              </w:rPr>
              <m:t>v</m:t>
            </m:r>
          </m:e>
          <m:sub>
            <m:r>
              <w:rPr>
                <w:rFonts w:ascii="Cambria Math" w:hAnsi="Cambria Math"/>
              </w:rPr>
              <m:t>x</m:t>
            </m:r>
          </m:sub>
        </m:sSub>
      </m:oMath>
      <w:r w:rsidRPr="006A601D">
        <w:t xml:space="preserve"> values, on average 0.011 m/s higher than CFD. </w:t>
      </w:r>
      <w:r w:rsidR="00A13068" w:rsidRPr="00A13068">
        <w:t xml:space="preserve">This is consistent with the more pronounced vortex shedding observed in the SPIV videos and can be explained by real-world effects such as tunnel wall influence, imperfect structural symmetry, or surface roughness from fabrication. In addition, the seeding particles used for SPIV (5–25 µm) are relatively large compared to the smallest lattice pores (~150 µm), and the bigger particles may not fully follow </w:t>
      </w:r>
      <w:r w:rsidR="00A13068">
        <w:t>global flow</w:t>
      </w:r>
      <w:r w:rsidR="00A13068" w:rsidRPr="00A13068">
        <w:t xml:space="preserve"> within these regions. </w:t>
      </w:r>
      <w:r w:rsidR="005F0B2B" w:rsidRPr="005F0B2B">
        <w:t>Such effects could bias local velocity measurements and contribute to the slightly stronger vortex shedding observed in SPIV relative to CFD.</w:t>
      </w:r>
      <w:r w:rsidR="00A13068">
        <w:t xml:space="preserve"> </w:t>
      </w:r>
      <w:r w:rsidR="00A13068" w:rsidRPr="00A13068">
        <w:t>Importantly, relative to the solid cylinder, both CFD and SPIV show that the optimized designs reduce the</w:t>
      </w:r>
      <w:r w:rsidR="00A13068">
        <w:t xml:space="preserve"> </w:t>
      </w:r>
      <w:r w:rsidRPr="006A601D">
        <w:t xml:space="preserve">transverse wake velocity </w:t>
      </w:r>
      <m:oMath>
        <m:sSub>
          <m:sSubPr>
            <m:ctrlPr>
              <w:rPr>
                <w:rFonts w:ascii="Cambria Math" w:hAnsi="Cambria Math"/>
                <w:i/>
              </w:rPr>
            </m:ctrlPr>
          </m:sSubPr>
          <m:e>
            <m:r>
              <w:rPr>
                <w:rFonts w:ascii="Cambria Math" w:hAnsi="Cambria Math"/>
              </w:rPr>
              <m:t>v</m:t>
            </m:r>
          </m:e>
          <m:sub>
            <m:r>
              <w:rPr>
                <w:rFonts w:ascii="Cambria Math" w:hAnsi="Cambria Math"/>
              </w:rPr>
              <m:t>x</m:t>
            </m:r>
          </m:sub>
        </m:sSub>
      </m:oMath>
      <w:r w:rsidRPr="006A601D">
        <w:t>​ by a factor of roughly 3–5.</w:t>
      </w:r>
      <w:r>
        <w:t xml:space="preserve"> </w:t>
      </w:r>
      <w:r w:rsidR="0064634C" w:rsidRPr="0064634C">
        <w:t>This suppression of wake dynamics highlights the effectiveness of the design optimization process in reducing unsteady forces and enhancing flow stability.</w:t>
      </w:r>
    </w:p>
    <w:p w14:paraId="40484FFD" w14:textId="39FAEE4F" w:rsidR="00562F57" w:rsidRPr="0064634C" w:rsidRDefault="00562F57" w:rsidP="0064634C">
      <w:pPr>
        <w:rPr>
          <w:rFonts w:eastAsia="Times New Roman"/>
          <w:sz w:val="24"/>
          <w:szCs w:val="24"/>
        </w:rPr>
      </w:pPr>
      <w:r>
        <w:rPr>
          <w:rFonts w:eastAsia="Times New Roman"/>
          <w:noProof/>
          <w:sz w:val="24"/>
          <w:szCs w:val="24"/>
        </w:rPr>
        <w:drawing>
          <wp:inline distT="0" distB="0" distL="0" distR="0" wp14:anchorId="66ACC614" wp14:editId="05B1A396">
            <wp:extent cx="5935980" cy="1747509"/>
            <wp:effectExtent l="0" t="0" r="0" b="5715"/>
            <wp:docPr id="1918487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a:extLst>
                        <a:ext uri="{28A0092B-C50C-407E-A947-70E740481C1C}">
                          <a14:useLocalDpi xmlns:a14="http://schemas.microsoft.com/office/drawing/2010/main" val="0"/>
                        </a:ext>
                      </a:extLst>
                    </a:blip>
                    <a:srcRect l="2372" t="2914" b="2902"/>
                    <a:stretch>
                      <a:fillRect/>
                    </a:stretch>
                  </pic:blipFill>
                  <pic:spPr bwMode="auto">
                    <a:xfrm>
                      <a:off x="0" y="0"/>
                      <a:ext cx="5967340" cy="1756741"/>
                    </a:xfrm>
                    <a:prstGeom prst="rect">
                      <a:avLst/>
                    </a:prstGeom>
                    <a:noFill/>
                    <a:ln>
                      <a:noFill/>
                    </a:ln>
                    <a:extLst>
                      <a:ext uri="{53640926-AAD7-44D8-BBD7-CCE9431645EC}">
                        <a14:shadowObscured xmlns:a14="http://schemas.microsoft.com/office/drawing/2010/main"/>
                      </a:ext>
                    </a:extLst>
                  </pic:spPr>
                </pic:pic>
              </a:graphicData>
            </a:graphic>
          </wp:inline>
        </w:drawing>
      </w:r>
    </w:p>
    <w:p w14:paraId="38828607" w14:textId="1FAB94EA" w:rsidR="00F826C9" w:rsidRDefault="0064634C" w:rsidP="00702D85">
      <w:pPr>
        <w:pStyle w:val="SOMContent"/>
        <w:jc w:val="both"/>
        <w:rPr>
          <w:sz w:val="22"/>
          <w:szCs w:val="22"/>
        </w:rPr>
      </w:pPr>
      <w:r w:rsidRPr="0064634C">
        <w:rPr>
          <w:b/>
          <w:bCs/>
          <w:sz w:val="22"/>
          <w:szCs w:val="22"/>
        </w:rPr>
        <w:t>Figure S1</w:t>
      </w:r>
      <w:r w:rsidR="00AE7987">
        <w:rPr>
          <w:b/>
          <w:bCs/>
          <w:sz w:val="22"/>
          <w:szCs w:val="22"/>
        </w:rPr>
        <w:t>4</w:t>
      </w:r>
      <w:r w:rsidRPr="0064634C">
        <w:rPr>
          <w:b/>
          <w:bCs/>
          <w:sz w:val="22"/>
          <w:szCs w:val="22"/>
        </w:rPr>
        <w:t xml:space="preserve">: Quantitative comparison between CFD and </w:t>
      </w:r>
      <w:r w:rsidR="004F43C0">
        <w:rPr>
          <w:b/>
          <w:bCs/>
          <w:sz w:val="22"/>
          <w:szCs w:val="22"/>
        </w:rPr>
        <w:t>S</w:t>
      </w:r>
      <w:r w:rsidRPr="0064634C">
        <w:rPr>
          <w:b/>
          <w:bCs/>
          <w:sz w:val="22"/>
          <w:szCs w:val="22"/>
        </w:rPr>
        <w:t>PIV results for flow stability and vortex dynamics.</w:t>
      </w:r>
      <w:r>
        <w:rPr>
          <w:b/>
          <w:bCs/>
          <w:sz w:val="22"/>
          <w:szCs w:val="22"/>
        </w:rPr>
        <w:t xml:space="preserve"> </w:t>
      </w:r>
      <w:r w:rsidRPr="0064634C">
        <w:rPr>
          <w:sz w:val="22"/>
          <w:szCs w:val="22"/>
        </w:rPr>
        <w:t xml:space="preserve">(a) </w:t>
      </w:r>
      <w:r w:rsidR="005F0B2B" w:rsidRPr="005F0B2B">
        <w:rPr>
          <w:sz w:val="22"/>
          <w:szCs w:val="22"/>
        </w:rPr>
        <w:t>Dominant vortex shedding frequencies extracted from the wake region for optimized designs (A, D, H, I) and the solid cylinder. CFD frequencies range from 0.85–0.95 Hz, while SPIV frequencies fall within 1.00–1.10 Hz, corresponding to Strouhal numbers of 0.20–0.25 and showing good consistency between methods.</w:t>
      </w:r>
      <w:r w:rsidR="005F0B2B">
        <w:rPr>
          <w:sz w:val="22"/>
          <w:szCs w:val="22"/>
        </w:rPr>
        <w:t xml:space="preserve"> (b) </w:t>
      </w:r>
      <w:r w:rsidR="005F0B2B" w:rsidRPr="005F0B2B">
        <w:rPr>
          <w:sz w:val="22"/>
          <w:szCs w:val="22"/>
        </w:rPr>
        <w:t xml:space="preserve">Mean transverse velocity component </w:t>
      </w:r>
      <m:oMath>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x</m:t>
            </m:r>
          </m:sub>
        </m:sSub>
      </m:oMath>
      <w:r w:rsidR="005F0B2B" w:rsidRPr="005F0B2B">
        <w:rPr>
          <w:sz w:val="22"/>
          <w:szCs w:val="22"/>
        </w:rPr>
        <w:t xml:space="preserve"> in the downstream wake, where vorticity is highest (coordinate system as defined in Fig. S11, with flow along</w:t>
      </w:r>
      <w:r w:rsidR="005F0B2B">
        <w:rPr>
          <w:sz w:val="22"/>
          <w:szCs w:val="22"/>
        </w:rPr>
        <w:t xml:space="preserve"> </w:t>
      </w:r>
      <m:oMath>
        <m:r>
          <w:rPr>
            <w:rFonts w:ascii="Cambria Math" w:hAnsi="Cambria Math"/>
            <w:sz w:val="22"/>
            <w:szCs w:val="22"/>
          </w:rPr>
          <m:t>+y</m:t>
        </m:r>
      </m:oMath>
      <w:r w:rsidR="005F0B2B" w:rsidRPr="005F0B2B">
        <w:rPr>
          <w:sz w:val="22"/>
          <w:szCs w:val="22"/>
        </w:rPr>
        <w:t xml:space="preserve"> and lift direction along </w:t>
      </w:r>
      <m:oMath>
        <m:r>
          <w:rPr>
            <w:rFonts w:ascii="Cambria Math" w:hAnsi="Cambria Math"/>
            <w:sz w:val="22"/>
            <w:szCs w:val="22"/>
          </w:rPr>
          <m:t>x</m:t>
        </m:r>
      </m:oMath>
      <w:r w:rsidR="005F0B2B" w:rsidRPr="005F0B2B">
        <w:rPr>
          <w:sz w:val="22"/>
          <w:szCs w:val="22"/>
        </w:rPr>
        <w:t>). SPIV values are slightly higher than CFD, likely due to surface roughness of fabricated samples, particle tracking limitations, and boundary effects. Both datasets, however, show that the optimized designs reduce transverse wake velocities by a factor of ~3–5 compared to the solid cylinder, demonstrating the effectiveness of the optimized geometries in suppressing wake instabilities.</w:t>
      </w:r>
    </w:p>
    <w:p w14:paraId="2148D1B4" w14:textId="0F960FFA" w:rsidR="00D32709" w:rsidRDefault="00C0756D" w:rsidP="001E7D5E">
      <w:pPr>
        <w:pStyle w:val="SOMContent"/>
        <w:jc w:val="both"/>
        <w:rPr>
          <w:b/>
        </w:rPr>
      </w:pPr>
      <w:r>
        <w:rPr>
          <w:b/>
        </w:rPr>
        <w:lastRenderedPageBreak/>
        <w:t>References</w:t>
      </w:r>
    </w:p>
    <w:p w14:paraId="5F21FB7F" w14:textId="77777777" w:rsidR="001E7D5E" w:rsidRPr="001E7D5E" w:rsidRDefault="001E7D5E" w:rsidP="001E7D5E">
      <w:pPr>
        <w:pStyle w:val="SOMContent"/>
        <w:jc w:val="both"/>
        <w:rPr>
          <w:b/>
        </w:rPr>
      </w:pPr>
    </w:p>
    <w:p w14:paraId="14EFEA50" w14:textId="77777777" w:rsidR="00FE6271" w:rsidRPr="00FE6271" w:rsidRDefault="00D32709" w:rsidP="00FE6271">
      <w:pPr>
        <w:pStyle w:val="Bibliography"/>
        <w:rPr>
          <w:sz w:val="24"/>
        </w:rPr>
      </w:pPr>
      <w:r w:rsidRPr="001E7D5E">
        <w:rPr>
          <w:sz w:val="24"/>
          <w:szCs w:val="24"/>
        </w:rPr>
        <w:fldChar w:fldCharType="begin"/>
      </w:r>
      <w:r w:rsidR="00FE6271">
        <w:rPr>
          <w:sz w:val="24"/>
          <w:szCs w:val="24"/>
        </w:rPr>
        <w:instrText xml:space="preserve"> ADDIN ZOTERO_BIBL {"uncited":[],"omitted":[],"custom":[]} CSL_BIBLIOGRAPHY </w:instrText>
      </w:r>
      <w:r w:rsidRPr="001E7D5E">
        <w:rPr>
          <w:sz w:val="24"/>
          <w:szCs w:val="24"/>
        </w:rPr>
        <w:fldChar w:fldCharType="separate"/>
      </w:r>
      <w:r w:rsidR="00FE6271" w:rsidRPr="00FE6271">
        <w:rPr>
          <w:sz w:val="24"/>
        </w:rPr>
        <w:t>1.</w:t>
      </w:r>
      <w:r w:rsidR="00FE6271" w:rsidRPr="00FE6271">
        <w:rPr>
          <w:sz w:val="24"/>
        </w:rPr>
        <w:tab/>
        <w:t>Lienhard, J. H., Service., W. S. University. T. E. &amp; of Engineering. Research Division., W. S. University. C. Synopsis of lift, drag, and vortex frequency data for rigid circular cylinders. (1966).</w:t>
      </w:r>
    </w:p>
    <w:p w14:paraId="52FCC977" w14:textId="77777777" w:rsidR="00FE6271" w:rsidRPr="00FE6271" w:rsidRDefault="00FE6271" w:rsidP="00FE6271">
      <w:pPr>
        <w:pStyle w:val="Bibliography"/>
        <w:rPr>
          <w:sz w:val="24"/>
        </w:rPr>
      </w:pPr>
      <w:r w:rsidRPr="00FE6271">
        <w:rPr>
          <w:sz w:val="24"/>
        </w:rPr>
        <w:t>2.</w:t>
      </w:r>
      <w:r w:rsidRPr="00FE6271">
        <w:rPr>
          <w:sz w:val="24"/>
        </w:rPr>
        <w:tab/>
        <w:t xml:space="preserve">Bradford, E., Schweidtmann, A. M. &amp; Lapkin, A. Efficient multiobjective optimization employing Gaussian processes, spectral sampling and a genetic algorithm. </w:t>
      </w:r>
      <w:r w:rsidRPr="00FE6271">
        <w:rPr>
          <w:i/>
          <w:iCs/>
          <w:sz w:val="24"/>
        </w:rPr>
        <w:t>J Glob Optim</w:t>
      </w:r>
      <w:r w:rsidRPr="00FE6271">
        <w:rPr>
          <w:sz w:val="24"/>
        </w:rPr>
        <w:t xml:space="preserve"> </w:t>
      </w:r>
      <w:r w:rsidRPr="00FE6271">
        <w:rPr>
          <w:b/>
          <w:bCs/>
          <w:sz w:val="24"/>
        </w:rPr>
        <w:t>71</w:t>
      </w:r>
      <w:r w:rsidRPr="00FE6271">
        <w:rPr>
          <w:sz w:val="24"/>
        </w:rPr>
        <w:t>, 407–438 (2018).</w:t>
      </w:r>
    </w:p>
    <w:p w14:paraId="46C9C23B" w14:textId="77777777" w:rsidR="00FE6271" w:rsidRPr="00FE6271" w:rsidRDefault="00FE6271" w:rsidP="00FE6271">
      <w:pPr>
        <w:pStyle w:val="Bibliography"/>
        <w:rPr>
          <w:sz w:val="24"/>
        </w:rPr>
      </w:pPr>
      <w:r w:rsidRPr="00FE6271">
        <w:rPr>
          <w:sz w:val="24"/>
        </w:rPr>
        <w:t>3.</w:t>
      </w:r>
      <w:r w:rsidRPr="00FE6271">
        <w:rPr>
          <w:sz w:val="24"/>
        </w:rPr>
        <w:tab/>
        <w:t xml:space="preserve">Helton, J. C. &amp; Davis, F. J. Latin hypercube sampling and the propagation of uncertainty in analyses of complex systems. </w:t>
      </w:r>
      <w:r w:rsidRPr="00FE6271">
        <w:rPr>
          <w:i/>
          <w:iCs/>
          <w:sz w:val="24"/>
        </w:rPr>
        <w:t>Reliability Engineering &amp; System Safety</w:t>
      </w:r>
      <w:r w:rsidRPr="00FE6271">
        <w:rPr>
          <w:sz w:val="24"/>
        </w:rPr>
        <w:t xml:space="preserve"> </w:t>
      </w:r>
      <w:r w:rsidRPr="00FE6271">
        <w:rPr>
          <w:b/>
          <w:bCs/>
          <w:sz w:val="24"/>
        </w:rPr>
        <w:t>81</w:t>
      </w:r>
      <w:r w:rsidRPr="00FE6271">
        <w:rPr>
          <w:sz w:val="24"/>
        </w:rPr>
        <w:t>, 23–69 (2003).</w:t>
      </w:r>
    </w:p>
    <w:p w14:paraId="452D2FC5" w14:textId="77777777" w:rsidR="00FE6271" w:rsidRPr="00FE6271" w:rsidRDefault="00FE6271" w:rsidP="00FE6271">
      <w:pPr>
        <w:pStyle w:val="Bibliography"/>
        <w:rPr>
          <w:sz w:val="24"/>
        </w:rPr>
      </w:pPr>
      <w:r w:rsidRPr="00FE6271">
        <w:rPr>
          <w:sz w:val="24"/>
        </w:rPr>
        <w:t>4.</w:t>
      </w:r>
      <w:r w:rsidRPr="00FE6271">
        <w:rPr>
          <w:sz w:val="24"/>
        </w:rPr>
        <w:tab/>
        <w:t>Tian, Y., Luković, M. K., Erps, T., Foshey, M. &amp; Matusik, W. AutoOED: Automated Optimal Experiment Design Platform. Preprint at https://doi.org/10.48550/ARXIV.2104.05959 (2021).</w:t>
      </w:r>
    </w:p>
    <w:p w14:paraId="718E6657" w14:textId="77777777" w:rsidR="00FE6271" w:rsidRPr="00FE6271" w:rsidRDefault="00FE6271" w:rsidP="00FE6271">
      <w:pPr>
        <w:pStyle w:val="Bibliography"/>
        <w:rPr>
          <w:sz w:val="24"/>
        </w:rPr>
      </w:pPr>
      <w:r w:rsidRPr="00FE6271">
        <w:rPr>
          <w:sz w:val="24"/>
        </w:rPr>
        <w:t>5.</w:t>
      </w:r>
      <w:r w:rsidRPr="00FE6271">
        <w:rPr>
          <w:sz w:val="24"/>
        </w:rPr>
        <w:tab/>
        <w:t xml:space="preserve">Ananthakrishnan, R., Chard, K., Foster, I. &amp; Tuecke, S. Globus platform‐as‐a‐service for collaborative science applications. </w:t>
      </w:r>
      <w:r w:rsidRPr="00FE6271">
        <w:rPr>
          <w:i/>
          <w:iCs/>
          <w:sz w:val="24"/>
        </w:rPr>
        <w:t>Concurrency and Computation</w:t>
      </w:r>
      <w:r w:rsidRPr="00FE6271">
        <w:rPr>
          <w:sz w:val="24"/>
        </w:rPr>
        <w:t xml:space="preserve"> </w:t>
      </w:r>
      <w:r w:rsidRPr="00FE6271">
        <w:rPr>
          <w:b/>
          <w:bCs/>
          <w:sz w:val="24"/>
        </w:rPr>
        <w:t>27</w:t>
      </w:r>
      <w:r w:rsidRPr="00FE6271">
        <w:rPr>
          <w:sz w:val="24"/>
        </w:rPr>
        <w:t>, 290–305 (2015).</w:t>
      </w:r>
    </w:p>
    <w:p w14:paraId="7EF90645" w14:textId="77777777" w:rsidR="00FE6271" w:rsidRPr="00FE6271" w:rsidRDefault="00FE6271" w:rsidP="00FE6271">
      <w:pPr>
        <w:pStyle w:val="Bibliography"/>
        <w:rPr>
          <w:sz w:val="24"/>
        </w:rPr>
      </w:pPr>
      <w:r w:rsidRPr="00FE6271">
        <w:rPr>
          <w:sz w:val="24"/>
        </w:rPr>
        <w:t>6.</w:t>
      </w:r>
      <w:r w:rsidRPr="00FE6271">
        <w:rPr>
          <w:sz w:val="24"/>
        </w:rPr>
        <w:tab/>
        <w:t xml:space="preserve">Popinet, S. An accurate adaptive solver for surface-tension-driven interfacial flows. </w:t>
      </w:r>
      <w:r w:rsidRPr="00FE6271">
        <w:rPr>
          <w:i/>
          <w:iCs/>
          <w:sz w:val="24"/>
        </w:rPr>
        <w:t>Journal of Computational Physics</w:t>
      </w:r>
      <w:r w:rsidRPr="00FE6271">
        <w:rPr>
          <w:sz w:val="24"/>
        </w:rPr>
        <w:t xml:space="preserve"> </w:t>
      </w:r>
      <w:r w:rsidRPr="00FE6271">
        <w:rPr>
          <w:b/>
          <w:bCs/>
          <w:sz w:val="24"/>
        </w:rPr>
        <w:t>228</w:t>
      </w:r>
      <w:r w:rsidRPr="00FE6271">
        <w:rPr>
          <w:sz w:val="24"/>
        </w:rPr>
        <w:t>, 5838–5866 (2009).</w:t>
      </w:r>
    </w:p>
    <w:p w14:paraId="32729036" w14:textId="77777777" w:rsidR="00FE6271" w:rsidRPr="00FE6271" w:rsidRDefault="00FE6271" w:rsidP="00FE6271">
      <w:pPr>
        <w:pStyle w:val="Bibliography"/>
        <w:rPr>
          <w:sz w:val="24"/>
        </w:rPr>
      </w:pPr>
      <w:r w:rsidRPr="00FE6271">
        <w:rPr>
          <w:sz w:val="24"/>
        </w:rPr>
        <w:t>7.</w:t>
      </w:r>
      <w:r w:rsidRPr="00FE6271">
        <w:rPr>
          <w:sz w:val="24"/>
        </w:rPr>
        <w:tab/>
        <w:t xml:space="preserve">Song, B. </w:t>
      </w:r>
      <w:r w:rsidRPr="00FE6271">
        <w:rPr>
          <w:i/>
          <w:iCs/>
          <w:sz w:val="24"/>
        </w:rPr>
        <w:t>et al.</w:t>
      </w:r>
      <w:r w:rsidRPr="00FE6271">
        <w:rPr>
          <w:sz w:val="24"/>
        </w:rPr>
        <w:t xml:space="preserve"> Direct numerical simulation of flow over a cylinder immersed in the grid-generated turbulence. </w:t>
      </w:r>
      <w:r w:rsidRPr="00FE6271">
        <w:rPr>
          <w:i/>
          <w:iCs/>
          <w:sz w:val="24"/>
        </w:rPr>
        <w:t>Physics of Fluids</w:t>
      </w:r>
      <w:r w:rsidRPr="00FE6271">
        <w:rPr>
          <w:sz w:val="24"/>
        </w:rPr>
        <w:t xml:space="preserve"> </w:t>
      </w:r>
      <w:r w:rsidRPr="00FE6271">
        <w:rPr>
          <w:b/>
          <w:bCs/>
          <w:sz w:val="24"/>
        </w:rPr>
        <w:t>34</w:t>
      </w:r>
      <w:r w:rsidRPr="00FE6271">
        <w:rPr>
          <w:sz w:val="24"/>
        </w:rPr>
        <w:t>, 015109 (2022).</w:t>
      </w:r>
    </w:p>
    <w:p w14:paraId="701326EE" w14:textId="77777777" w:rsidR="00FE6271" w:rsidRPr="00FE6271" w:rsidRDefault="00FE6271" w:rsidP="00FE6271">
      <w:pPr>
        <w:pStyle w:val="Bibliography"/>
        <w:rPr>
          <w:sz w:val="24"/>
        </w:rPr>
      </w:pPr>
      <w:r w:rsidRPr="00FE6271">
        <w:rPr>
          <w:sz w:val="24"/>
        </w:rPr>
        <w:t>8.</w:t>
      </w:r>
      <w:r w:rsidRPr="00FE6271">
        <w:rPr>
          <w:sz w:val="24"/>
        </w:rPr>
        <w:tab/>
      </w:r>
      <w:r w:rsidRPr="00FE6271">
        <w:rPr>
          <w:i/>
          <w:iCs/>
          <w:sz w:val="24"/>
        </w:rPr>
        <w:t>Incompressible Flow</w:t>
      </w:r>
      <w:r w:rsidRPr="00FE6271">
        <w:rPr>
          <w:sz w:val="24"/>
        </w:rPr>
        <w:t>. (John Wiley and Sons, Inc, Hoboken, New Jersey, 2013).</w:t>
      </w:r>
    </w:p>
    <w:p w14:paraId="7CC7FBC4" w14:textId="2E32E572" w:rsidR="00D32709" w:rsidRPr="00D32709" w:rsidRDefault="00D32709" w:rsidP="00D32709">
      <w:pPr>
        <w:pStyle w:val="SOMContent"/>
        <w:jc w:val="both"/>
      </w:pPr>
      <w:r w:rsidRPr="001E7D5E">
        <w:fldChar w:fldCharType="end"/>
      </w:r>
    </w:p>
    <w:p w14:paraId="0DB6FAB5" w14:textId="77777777" w:rsidR="00C0756D" w:rsidRPr="005F0B2B" w:rsidRDefault="00C0756D" w:rsidP="00702D85">
      <w:pPr>
        <w:pStyle w:val="SOMContent"/>
        <w:jc w:val="both"/>
        <w:rPr>
          <w:sz w:val="22"/>
          <w:szCs w:val="22"/>
        </w:rPr>
      </w:pPr>
    </w:p>
    <w:sectPr w:rsidR="00C0756D" w:rsidRPr="005F0B2B" w:rsidSect="000B7E4F">
      <w:footerReference w:type="default" r:id="rId28"/>
      <w:headerReference w:type="first" r:id="rId29"/>
      <w:footerReference w:type="first" r:id="rId30"/>
      <w:pgSz w:w="12240" w:h="15840" w:code="1"/>
      <w:pgMar w:top="1296" w:right="1440" w:bottom="1296" w:left="1440" w:header="432" w:footer="720" w:gutter="0"/>
      <w:lnNumType w:countBy="5" w:distance="72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B29FB8" w14:textId="77777777" w:rsidR="00AD683F" w:rsidRDefault="00AD683F" w:rsidP="00D73714">
      <w:r>
        <w:separator/>
      </w:r>
    </w:p>
  </w:endnote>
  <w:endnote w:type="continuationSeparator" w:id="0">
    <w:p w14:paraId="46423D2C" w14:textId="77777777" w:rsidR="00AD683F" w:rsidRDefault="00AD683F" w:rsidP="00D73714">
      <w:r>
        <w:continuationSeparator/>
      </w:r>
    </w:p>
  </w:endnote>
  <w:endnote w:type="continuationNotice" w:id="1">
    <w:p w14:paraId="6A8E657B" w14:textId="77777777" w:rsidR="00AD683F" w:rsidRDefault="00AD683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Lucida Grande">
    <w:altName w:val="Segoe UI"/>
    <w:charset w:val="00"/>
    <w:family w:val="auto"/>
    <w:pitch w:val="variable"/>
    <w:sig w:usb0="E1000AEF"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BlissRegular">
    <w:altName w:val="Cambria"/>
    <w:panose1 w:val="00000000000000000000"/>
    <w:charset w:val="00"/>
    <w:family w:val="roman"/>
    <w:notTrueType/>
    <w:pitch w:val="variable"/>
    <w:sig w:usb0="00000003" w:usb1="00000000" w:usb2="00000000" w:usb3="00000000" w:csb0="00000001" w:csb1="00000000"/>
  </w:font>
  <w:font w:name="BlissMedium">
    <w:altName w:val="Cambria"/>
    <w:panose1 w:val="00000000000000000000"/>
    <w:charset w:val="00"/>
    <w:family w:val="roman"/>
    <w:notTrueType/>
    <w:pitch w:val="variable"/>
    <w:sig w:usb0="00000003" w:usb1="00000000" w:usb2="00000000" w:usb3="00000000" w:csb0="00000001" w:csb1="00000000"/>
  </w:font>
  <w:font w:name="BlissBold">
    <w:altName w:val="Cambria"/>
    <w:panose1 w:val="00000000000000000000"/>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242896" w14:textId="4CB2FEC0" w:rsidR="002C4DCA" w:rsidRPr="007F55DC" w:rsidRDefault="002C4DCA">
    <w:pPr>
      <w:pStyle w:val="Footer"/>
      <w:jc w:val="center"/>
      <w:rPr>
        <w:caps/>
        <w:noProof/>
      </w:rPr>
    </w:pPr>
    <w:r w:rsidRPr="007F55DC">
      <w:rPr>
        <w:caps/>
      </w:rPr>
      <w:fldChar w:fldCharType="begin"/>
    </w:r>
    <w:r w:rsidRPr="007F55DC">
      <w:rPr>
        <w:caps/>
      </w:rPr>
      <w:instrText xml:space="preserve"> PAGE   \* MERGEFORMAT </w:instrText>
    </w:r>
    <w:r w:rsidRPr="007F55DC">
      <w:rPr>
        <w:caps/>
      </w:rPr>
      <w:fldChar w:fldCharType="separate"/>
    </w:r>
    <w:r w:rsidRPr="007F55DC">
      <w:rPr>
        <w:caps/>
        <w:noProof/>
      </w:rPr>
      <w:t>4</w:t>
    </w:r>
    <w:r w:rsidRPr="007F55DC">
      <w:rPr>
        <w:caps/>
        <w:noProof/>
      </w:rPr>
      <w:fldChar w:fldCharType="end"/>
    </w:r>
  </w:p>
  <w:p w14:paraId="4435F476" w14:textId="77777777" w:rsidR="002C4DCA" w:rsidRDefault="002C4DC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52A9B8" w14:textId="4AEB110C" w:rsidR="002C4DCA" w:rsidRDefault="002C4DCA">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Pr>
        <w:caps/>
        <w:noProof/>
        <w:color w:val="4F81BD" w:themeColor="accent1"/>
      </w:rPr>
      <w:t>1</w:t>
    </w:r>
    <w:r>
      <w:rPr>
        <w:caps/>
        <w:noProof/>
        <w:color w:val="4F81BD" w:themeColor="accent1"/>
      </w:rPr>
      <w:fldChar w:fldCharType="end"/>
    </w:r>
  </w:p>
  <w:p w14:paraId="5D45F473" w14:textId="77777777" w:rsidR="002C4DCA" w:rsidRDefault="002C4DC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BF2D6C" w14:textId="77777777" w:rsidR="00AD683F" w:rsidRDefault="00AD683F" w:rsidP="00D73714">
      <w:r>
        <w:separator/>
      </w:r>
    </w:p>
  </w:footnote>
  <w:footnote w:type="continuationSeparator" w:id="0">
    <w:p w14:paraId="43290866" w14:textId="77777777" w:rsidR="00AD683F" w:rsidRDefault="00AD683F" w:rsidP="00D73714">
      <w:r>
        <w:continuationSeparator/>
      </w:r>
    </w:p>
  </w:footnote>
  <w:footnote w:type="continuationNotice" w:id="1">
    <w:p w14:paraId="1E1D15AE" w14:textId="77777777" w:rsidR="00AD683F" w:rsidRDefault="00AD683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37F5B3" w14:textId="482E2676" w:rsidR="002C4DCA" w:rsidRPr="00204015" w:rsidRDefault="002C4DCA" w:rsidP="00D73714">
    <w:pPr>
      <w:pStyle w:val="Header"/>
    </w:pPr>
    <w:r>
      <w:rPr>
        <w:noProof/>
      </w:rPr>
      <w:drawing>
        <wp:anchor distT="0" distB="0" distL="114300" distR="114300" simplePos="0" relativeHeight="251658240" behindDoc="1" locked="0" layoutInCell="1" allowOverlap="1" wp14:anchorId="5C67786B" wp14:editId="72EBED97">
          <wp:simplePos x="0" y="0"/>
          <wp:positionH relativeFrom="margin">
            <wp:align>left</wp:align>
          </wp:positionH>
          <wp:positionV relativeFrom="paragraph">
            <wp:posOffset>5288</wp:posOffset>
          </wp:positionV>
          <wp:extent cx="1045029" cy="457200"/>
          <wp:effectExtent l="0" t="0" r="3175" b="0"/>
          <wp:wrapTight wrapText="bothSides">
            <wp:wrapPolygon edited="0">
              <wp:start x="0" y="0"/>
              <wp:lineTo x="0" y="20700"/>
              <wp:lineTo x="21272" y="20700"/>
              <wp:lineTo x="21272"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ience-AAAS-stacked-color.jpg"/>
                  <pic:cNvPicPr/>
                </pic:nvPicPr>
                <pic:blipFill>
                  <a:blip r:embed="rId1"/>
                  <a:stretch>
                    <a:fillRect/>
                  </a:stretch>
                </pic:blipFill>
                <pic:spPr>
                  <a:xfrm>
                    <a:off x="0" y="0"/>
                    <a:ext cx="1045029" cy="457200"/>
                  </a:xfrm>
                  <a:prstGeom prst="rect">
                    <a:avLst/>
                  </a:prstGeom>
                </pic:spPr>
              </pic:pic>
            </a:graphicData>
          </a:graphic>
          <wp14:sizeRelH relativeFrom="page">
            <wp14:pctWidth>0</wp14:pctWidth>
          </wp14:sizeRelH>
          <wp14:sizeRelV relativeFrom="page">
            <wp14:pctHeight>0</wp14:pctHeight>
          </wp14:sizeRelV>
        </wp:anchor>
      </w:drawing>
    </w:r>
    <w:r>
      <w:tab/>
    </w:r>
    <w:r w:rsidRPr="00204015">
      <w:t>Submitted Manuscript: Confidential</w:t>
    </w:r>
    <w:r>
      <w:tab/>
    </w:r>
  </w:p>
  <w:p w14:paraId="39D9CEFC" w14:textId="15DB7D42" w:rsidR="002C4DCA" w:rsidRDefault="002C4DCA" w:rsidP="00D7371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8306B6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12C0A9CE"/>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FF87976"/>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57B8ABE4"/>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98FC9550"/>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C76FF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4C34C55E"/>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C068088"/>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50088B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C8A39C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FFFFFFFF"/>
    <w:lvl w:ilvl="0">
      <w:numFmt w:val="decimal"/>
      <w:lvlText w:val="*"/>
      <w:lvlJc w:val="left"/>
    </w:lvl>
  </w:abstractNum>
  <w:abstractNum w:abstractNumId="11" w15:restartNumberingAfterBreak="0">
    <w:nsid w:val="05356499"/>
    <w:multiLevelType w:val="hybridMultilevel"/>
    <w:tmpl w:val="8B4A06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C856E20"/>
    <w:multiLevelType w:val="multilevel"/>
    <w:tmpl w:val="FEB4D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18DD7C93"/>
    <w:multiLevelType w:val="hybridMultilevel"/>
    <w:tmpl w:val="DD50FB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95A564B"/>
    <w:multiLevelType w:val="hybridMultilevel"/>
    <w:tmpl w:val="778831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CF46B95"/>
    <w:multiLevelType w:val="multilevel"/>
    <w:tmpl w:val="F2765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71D4C77"/>
    <w:multiLevelType w:val="multilevel"/>
    <w:tmpl w:val="8730E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F5E69A7"/>
    <w:multiLevelType w:val="hybridMultilevel"/>
    <w:tmpl w:val="DC5434E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9" w15:restartNumberingAfterBreak="0">
    <w:nsid w:val="31AE0B88"/>
    <w:multiLevelType w:val="multilevel"/>
    <w:tmpl w:val="44CC9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8F119C9"/>
    <w:multiLevelType w:val="hybridMultilevel"/>
    <w:tmpl w:val="206C2C34"/>
    <w:lvl w:ilvl="0" w:tplc="1E527D9A">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0AC2A3C"/>
    <w:multiLevelType w:val="multilevel"/>
    <w:tmpl w:val="1188F2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1FA3652"/>
    <w:multiLevelType w:val="hybridMultilevel"/>
    <w:tmpl w:val="3F5644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2803080"/>
    <w:multiLevelType w:val="hybridMultilevel"/>
    <w:tmpl w:val="AA3C57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4AC220A"/>
    <w:multiLevelType w:val="hybridMultilevel"/>
    <w:tmpl w:val="1BC6F7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71C09D9"/>
    <w:multiLevelType w:val="multilevel"/>
    <w:tmpl w:val="D8C0F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60B13569"/>
    <w:multiLevelType w:val="multilevel"/>
    <w:tmpl w:val="69545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2D17F72"/>
    <w:multiLevelType w:val="hybridMultilevel"/>
    <w:tmpl w:val="425AD402"/>
    <w:lvl w:ilvl="0" w:tplc="AC6A06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A05552E"/>
    <w:multiLevelType w:val="multilevel"/>
    <w:tmpl w:val="3BEEA3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ABB3E11"/>
    <w:multiLevelType w:val="multilevel"/>
    <w:tmpl w:val="C1709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C3F46C7"/>
    <w:multiLevelType w:val="multilevel"/>
    <w:tmpl w:val="13005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14575772">
    <w:abstractNumId w:val="13"/>
  </w:num>
  <w:num w:numId="2" w16cid:durableId="210726862">
    <w:abstractNumId w:val="9"/>
  </w:num>
  <w:num w:numId="3" w16cid:durableId="1620844150">
    <w:abstractNumId w:val="7"/>
  </w:num>
  <w:num w:numId="4" w16cid:durableId="530999250">
    <w:abstractNumId w:val="6"/>
  </w:num>
  <w:num w:numId="5" w16cid:durableId="594747967">
    <w:abstractNumId w:val="5"/>
  </w:num>
  <w:num w:numId="6" w16cid:durableId="1541546982">
    <w:abstractNumId w:val="4"/>
  </w:num>
  <w:num w:numId="7" w16cid:durableId="128088875">
    <w:abstractNumId w:val="8"/>
  </w:num>
  <w:num w:numId="8" w16cid:durableId="1254121773">
    <w:abstractNumId w:val="3"/>
  </w:num>
  <w:num w:numId="9" w16cid:durableId="284509258">
    <w:abstractNumId w:val="2"/>
  </w:num>
  <w:num w:numId="10" w16cid:durableId="1560480541">
    <w:abstractNumId w:val="1"/>
  </w:num>
  <w:num w:numId="11" w16cid:durableId="1913275196">
    <w:abstractNumId w:val="0"/>
  </w:num>
  <w:num w:numId="12" w16cid:durableId="449668943">
    <w:abstractNumId w:val="10"/>
    <w:lvlOverride w:ilvl="0">
      <w:lvl w:ilvl="0">
        <w:start w:val="1"/>
        <w:numFmt w:val="bullet"/>
        <w:lvlText w:val=""/>
        <w:legacy w:legacy="1" w:legacySpace="0" w:legacyIndent="360"/>
        <w:lvlJc w:val="left"/>
        <w:pPr>
          <w:ind w:left="360" w:hanging="360"/>
        </w:pPr>
        <w:rPr>
          <w:rFonts w:ascii="Symbol" w:hAnsi="Symbol" w:hint="default"/>
        </w:rPr>
      </w:lvl>
    </w:lvlOverride>
  </w:num>
  <w:num w:numId="13" w16cid:durableId="1858888529">
    <w:abstractNumId w:val="18"/>
  </w:num>
  <w:num w:numId="14" w16cid:durableId="957294646">
    <w:abstractNumId w:val="25"/>
  </w:num>
  <w:num w:numId="15" w16cid:durableId="736247283">
    <w:abstractNumId w:val="23"/>
  </w:num>
  <w:num w:numId="16" w16cid:durableId="471681468">
    <w:abstractNumId w:val="11"/>
  </w:num>
  <w:num w:numId="17" w16cid:durableId="575432838">
    <w:abstractNumId w:val="15"/>
  </w:num>
  <w:num w:numId="18" w16cid:durableId="1758332578">
    <w:abstractNumId w:val="14"/>
  </w:num>
  <w:num w:numId="19" w16cid:durableId="1379741874">
    <w:abstractNumId w:val="22"/>
  </w:num>
  <w:num w:numId="20" w16cid:durableId="2039814487">
    <w:abstractNumId w:val="24"/>
  </w:num>
  <w:num w:numId="21" w16cid:durableId="1409771101">
    <w:abstractNumId w:val="21"/>
  </w:num>
  <w:num w:numId="22" w16cid:durableId="98452491">
    <w:abstractNumId w:val="20"/>
  </w:num>
  <w:num w:numId="23" w16cid:durableId="273946325">
    <w:abstractNumId w:val="19"/>
  </w:num>
  <w:num w:numId="24" w16cid:durableId="198394429">
    <w:abstractNumId w:val="16"/>
  </w:num>
  <w:num w:numId="25" w16cid:durableId="1188565063">
    <w:abstractNumId w:val="17"/>
  </w:num>
  <w:num w:numId="26" w16cid:durableId="1848399673">
    <w:abstractNumId w:val="30"/>
  </w:num>
  <w:num w:numId="27" w16cid:durableId="57024590">
    <w:abstractNumId w:val="26"/>
  </w:num>
  <w:num w:numId="28" w16cid:durableId="596135548">
    <w:abstractNumId w:val="28"/>
  </w:num>
  <w:num w:numId="29" w16cid:durableId="1036005144">
    <w:abstractNumId w:val="29"/>
  </w:num>
  <w:num w:numId="30" w16cid:durableId="639774782">
    <w:abstractNumId w:val="12"/>
  </w:num>
  <w:num w:numId="31" w16cid:durableId="1939674115">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1"/>
  <w:proofState w:spelling="clean" w:grammar="clean"/>
  <w:stylePaneFormatFilter w:val="3704" w:allStyles="0" w:customStyles="0" w:latentStyles="1" w:stylesInUse="0" w:headingStyles="0" w:numberingStyles="0" w:tableStyles="0" w:directFormattingOnRuns="1" w:directFormattingOnParagraphs="1" w:directFormattingOnNumbering="1" w:directFormattingOnTables="0" w:clearFormatting="1" w:top3HeadingStyles="1" w:visibleStyles="0" w:alternateStyleNames="0"/>
  <w:stylePaneSortMethod w:val="0000"/>
  <w:doNotTrackMoves/>
  <w:doNotTrackFormatting/>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261D"/>
    <w:rsid w:val="00001DF0"/>
    <w:rsid w:val="00001FBD"/>
    <w:rsid w:val="000030C7"/>
    <w:rsid w:val="0000399E"/>
    <w:rsid w:val="00003FEE"/>
    <w:rsid w:val="0000412D"/>
    <w:rsid w:val="000064D9"/>
    <w:rsid w:val="000079A0"/>
    <w:rsid w:val="00010176"/>
    <w:rsid w:val="00010A90"/>
    <w:rsid w:val="000141CC"/>
    <w:rsid w:val="00014C47"/>
    <w:rsid w:val="0001522F"/>
    <w:rsid w:val="00015628"/>
    <w:rsid w:val="00015F81"/>
    <w:rsid w:val="0001644F"/>
    <w:rsid w:val="00016FA8"/>
    <w:rsid w:val="000174FF"/>
    <w:rsid w:val="00017543"/>
    <w:rsid w:val="00021D47"/>
    <w:rsid w:val="000228C7"/>
    <w:rsid w:val="00022F72"/>
    <w:rsid w:val="000238E0"/>
    <w:rsid w:val="00023F9E"/>
    <w:rsid w:val="00024B15"/>
    <w:rsid w:val="000269EF"/>
    <w:rsid w:val="00026FDD"/>
    <w:rsid w:val="00033C1B"/>
    <w:rsid w:val="000344A7"/>
    <w:rsid w:val="000345F8"/>
    <w:rsid w:val="00036111"/>
    <w:rsid w:val="000415D8"/>
    <w:rsid w:val="00042918"/>
    <w:rsid w:val="00044225"/>
    <w:rsid w:val="00045747"/>
    <w:rsid w:val="000464E0"/>
    <w:rsid w:val="000506DA"/>
    <w:rsid w:val="0005140B"/>
    <w:rsid w:val="000519BB"/>
    <w:rsid w:val="00051B28"/>
    <w:rsid w:val="000521CC"/>
    <w:rsid w:val="00052568"/>
    <w:rsid w:val="000527B5"/>
    <w:rsid w:val="000540BB"/>
    <w:rsid w:val="000560EA"/>
    <w:rsid w:val="000562CC"/>
    <w:rsid w:val="0005717A"/>
    <w:rsid w:val="00061465"/>
    <w:rsid w:val="000632DE"/>
    <w:rsid w:val="00063761"/>
    <w:rsid w:val="00063B0E"/>
    <w:rsid w:val="00065BFD"/>
    <w:rsid w:val="0006676E"/>
    <w:rsid w:val="00066786"/>
    <w:rsid w:val="000702AF"/>
    <w:rsid w:val="000706D7"/>
    <w:rsid w:val="00071766"/>
    <w:rsid w:val="00071B2F"/>
    <w:rsid w:val="00071F38"/>
    <w:rsid w:val="00071FB7"/>
    <w:rsid w:val="00073E3B"/>
    <w:rsid w:val="00075B68"/>
    <w:rsid w:val="00076159"/>
    <w:rsid w:val="000762B5"/>
    <w:rsid w:val="000763C2"/>
    <w:rsid w:val="00077272"/>
    <w:rsid w:val="0008162E"/>
    <w:rsid w:val="00083152"/>
    <w:rsid w:val="00085D75"/>
    <w:rsid w:val="00086299"/>
    <w:rsid w:val="00086F7A"/>
    <w:rsid w:val="0009289D"/>
    <w:rsid w:val="00093DA7"/>
    <w:rsid w:val="00094E73"/>
    <w:rsid w:val="00095099"/>
    <w:rsid w:val="000974E4"/>
    <w:rsid w:val="000977E4"/>
    <w:rsid w:val="000A3C36"/>
    <w:rsid w:val="000A62BE"/>
    <w:rsid w:val="000A7201"/>
    <w:rsid w:val="000B2048"/>
    <w:rsid w:val="000B21ED"/>
    <w:rsid w:val="000B434B"/>
    <w:rsid w:val="000B5857"/>
    <w:rsid w:val="000B6949"/>
    <w:rsid w:val="000B7146"/>
    <w:rsid w:val="000B7E4F"/>
    <w:rsid w:val="000C3AA2"/>
    <w:rsid w:val="000C3FAB"/>
    <w:rsid w:val="000C460C"/>
    <w:rsid w:val="000C71AA"/>
    <w:rsid w:val="000C7A09"/>
    <w:rsid w:val="000C7F0C"/>
    <w:rsid w:val="000D042B"/>
    <w:rsid w:val="000D152B"/>
    <w:rsid w:val="000D28A4"/>
    <w:rsid w:val="000D349B"/>
    <w:rsid w:val="000D42DA"/>
    <w:rsid w:val="000D4A20"/>
    <w:rsid w:val="000D4D2E"/>
    <w:rsid w:val="000D582E"/>
    <w:rsid w:val="000D7ECD"/>
    <w:rsid w:val="000E02CB"/>
    <w:rsid w:val="000E12D7"/>
    <w:rsid w:val="000E365D"/>
    <w:rsid w:val="000E3692"/>
    <w:rsid w:val="000E67EC"/>
    <w:rsid w:val="000E6915"/>
    <w:rsid w:val="000E7790"/>
    <w:rsid w:val="000E7E02"/>
    <w:rsid w:val="000F0553"/>
    <w:rsid w:val="000F0946"/>
    <w:rsid w:val="000F123D"/>
    <w:rsid w:val="000F2F59"/>
    <w:rsid w:val="000F531B"/>
    <w:rsid w:val="000F7545"/>
    <w:rsid w:val="0010082B"/>
    <w:rsid w:val="00100869"/>
    <w:rsid w:val="00101767"/>
    <w:rsid w:val="001023F5"/>
    <w:rsid w:val="00104085"/>
    <w:rsid w:val="00104A3A"/>
    <w:rsid w:val="00104B74"/>
    <w:rsid w:val="00105C79"/>
    <w:rsid w:val="001074DD"/>
    <w:rsid w:val="0010774E"/>
    <w:rsid w:val="00110652"/>
    <w:rsid w:val="00110982"/>
    <w:rsid w:val="00111899"/>
    <w:rsid w:val="00112250"/>
    <w:rsid w:val="001149E3"/>
    <w:rsid w:val="00114E5A"/>
    <w:rsid w:val="00115715"/>
    <w:rsid w:val="0011574D"/>
    <w:rsid w:val="00115C13"/>
    <w:rsid w:val="00115F89"/>
    <w:rsid w:val="0011738B"/>
    <w:rsid w:val="00117AFE"/>
    <w:rsid w:val="00120C65"/>
    <w:rsid w:val="00121D9F"/>
    <w:rsid w:val="00122032"/>
    <w:rsid w:val="00122855"/>
    <w:rsid w:val="00123E4E"/>
    <w:rsid w:val="00124ABC"/>
    <w:rsid w:val="00124D5F"/>
    <w:rsid w:val="00130767"/>
    <w:rsid w:val="001316F8"/>
    <w:rsid w:val="001331D7"/>
    <w:rsid w:val="00133C50"/>
    <w:rsid w:val="0013635A"/>
    <w:rsid w:val="00137B4D"/>
    <w:rsid w:val="001447DE"/>
    <w:rsid w:val="00144EB5"/>
    <w:rsid w:val="00145CCB"/>
    <w:rsid w:val="00145CF4"/>
    <w:rsid w:val="001473A9"/>
    <w:rsid w:val="00147595"/>
    <w:rsid w:val="00147FDF"/>
    <w:rsid w:val="00153544"/>
    <w:rsid w:val="0015549E"/>
    <w:rsid w:val="00156C41"/>
    <w:rsid w:val="00160666"/>
    <w:rsid w:val="00161716"/>
    <w:rsid w:val="001617C0"/>
    <w:rsid w:val="00161D24"/>
    <w:rsid w:val="001638AC"/>
    <w:rsid w:val="00163B50"/>
    <w:rsid w:val="0016559E"/>
    <w:rsid w:val="00166503"/>
    <w:rsid w:val="001706ED"/>
    <w:rsid w:val="00171B1E"/>
    <w:rsid w:val="00172897"/>
    <w:rsid w:val="00172A28"/>
    <w:rsid w:val="0017334F"/>
    <w:rsid w:val="00173688"/>
    <w:rsid w:val="00174D19"/>
    <w:rsid w:val="001764C9"/>
    <w:rsid w:val="001775FA"/>
    <w:rsid w:val="00177780"/>
    <w:rsid w:val="00177A4E"/>
    <w:rsid w:val="00177E26"/>
    <w:rsid w:val="0018055E"/>
    <w:rsid w:val="00180EDF"/>
    <w:rsid w:val="00183EB1"/>
    <w:rsid w:val="00184AB3"/>
    <w:rsid w:val="00185D6B"/>
    <w:rsid w:val="0019094B"/>
    <w:rsid w:val="00191D7A"/>
    <w:rsid w:val="00193D66"/>
    <w:rsid w:val="00193E87"/>
    <w:rsid w:val="00194A06"/>
    <w:rsid w:val="00195F67"/>
    <w:rsid w:val="00196689"/>
    <w:rsid w:val="00197CDD"/>
    <w:rsid w:val="001A0458"/>
    <w:rsid w:val="001A0DA5"/>
    <w:rsid w:val="001A16EA"/>
    <w:rsid w:val="001A446B"/>
    <w:rsid w:val="001A4DFD"/>
    <w:rsid w:val="001A56D3"/>
    <w:rsid w:val="001A6569"/>
    <w:rsid w:val="001A6C54"/>
    <w:rsid w:val="001A6D55"/>
    <w:rsid w:val="001B0C99"/>
    <w:rsid w:val="001B1E8D"/>
    <w:rsid w:val="001B26F4"/>
    <w:rsid w:val="001B2E30"/>
    <w:rsid w:val="001B596A"/>
    <w:rsid w:val="001B61EF"/>
    <w:rsid w:val="001B6F9E"/>
    <w:rsid w:val="001B719D"/>
    <w:rsid w:val="001B74FA"/>
    <w:rsid w:val="001C2A86"/>
    <w:rsid w:val="001C3663"/>
    <w:rsid w:val="001C3FAD"/>
    <w:rsid w:val="001C4CC8"/>
    <w:rsid w:val="001C52CE"/>
    <w:rsid w:val="001C7B49"/>
    <w:rsid w:val="001D0697"/>
    <w:rsid w:val="001D0D56"/>
    <w:rsid w:val="001D218A"/>
    <w:rsid w:val="001D3DE1"/>
    <w:rsid w:val="001D4C6A"/>
    <w:rsid w:val="001D64FD"/>
    <w:rsid w:val="001D66FC"/>
    <w:rsid w:val="001E1875"/>
    <w:rsid w:val="001E22B8"/>
    <w:rsid w:val="001E33E3"/>
    <w:rsid w:val="001E385D"/>
    <w:rsid w:val="001E494A"/>
    <w:rsid w:val="001E6CE1"/>
    <w:rsid w:val="001E6F5E"/>
    <w:rsid w:val="001E7AE2"/>
    <w:rsid w:val="001E7D5E"/>
    <w:rsid w:val="001F1684"/>
    <w:rsid w:val="001F1AAE"/>
    <w:rsid w:val="001F2382"/>
    <w:rsid w:val="001F24B5"/>
    <w:rsid w:val="001F396A"/>
    <w:rsid w:val="001F3B75"/>
    <w:rsid w:val="001F411B"/>
    <w:rsid w:val="001F4CFC"/>
    <w:rsid w:val="001F532B"/>
    <w:rsid w:val="001F5A24"/>
    <w:rsid w:val="001F6715"/>
    <w:rsid w:val="001F740B"/>
    <w:rsid w:val="001F7BCF"/>
    <w:rsid w:val="00200048"/>
    <w:rsid w:val="00200C47"/>
    <w:rsid w:val="00201394"/>
    <w:rsid w:val="002015DE"/>
    <w:rsid w:val="00202F9C"/>
    <w:rsid w:val="002047D5"/>
    <w:rsid w:val="002048C4"/>
    <w:rsid w:val="002053AF"/>
    <w:rsid w:val="00205FF4"/>
    <w:rsid w:val="00206808"/>
    <w:rsid w:val="0020683E"/>
    <w:rsid w:val="00207979"/>
    <w:rsid w:val="00207992"/>
    <w:rsid w:val="0021079F"/>
    <w:rsid w:val="0021117A"/>
    <w:rsid w:val="002157B4"/>
    <w:rsid w:val="002165B4"/>
    <w:rsid w:val="00221308"/>
    <w:rsid w:val="0022154C"/>
    <w:rsid w:val="00224DEA"/>
    <w:rsid w:val="00225092"/>
    <w:rsid w:val="00225DD4"/>
    <w:rsid w:val="002265CF"/>
    <w:rsid w:val="00227AE4"/>
    <w:rsid w:val="002308C7"/>
    <w:rsid w:val="00230D22"/>
    <w:rsid w:val="00231592"/>
    <w:rsid w:val="00231D89"/>
    <w:rsid w:val="00234627"/>
    <w:rsid w:val="00234893"/>
    <w:rsid w:val="00235449"/>
    <w:rsid w:val="00235E1C"/>
    <w:rsid w:val="00236F8D"/>
    <w:rsid w:val="00236FDF"/>
    <w:rsid w:val="0023728D"/>
    <w:rsid w:val="002376EB"/>
    <w:rsid w:val="00237BE7"/>
    <w:rsid w:val="002404BA"/>
    <w:rsid w:val="00241744"/>
    <w:rsid w:val="0024185D"/>
    <w:rsid w:val="0024212F"/>
    <w:rsid w:val="002423F2"/>
    <w:rsid w:val="0024409C"/>
    <w:rsid w:val="00245399"/>
    <w:rsid w:val="002475FA"/>
    <w:rsid w:val="002516C4"/>
    <w:rsid w:val="00252B7E"/>
    <w:rsid w:val="002530F3"/>
    <w:rsid w:val="00253410"/>
    <w:rsid w:val="002542CE"/>
    <w:rsid w:val="00254B9A"/>
    <w:rsid w:val="00267912"/>
    <w:rsid w:val="00270F47"/>
    <w:rsid w:val="00271540"/>
    <w:rsid w:val="00273CBD"/>
    <w:rsid w:val="0027595E"/>
    <w:rsid w:val="00276830"/>
    <w:rsid w:val="0027719D"/>
    <w:rsid w:val="0028169A"/>
    <w:rsid w:val="00281783"/>
    <w:rsid w:val="002825A2"/>
    <w:rsid w:val="002861B1"/>
    <w:rsid w:val="00290671"/>
    <w:rsid w:val="00291BFB"/>
    <w:rsid w:val="002921C5"/>
    <w:rsid w:val="0029404C"/>
    <w:rsid w:val="00294759"/>
    <w:rsid w:val="00295075"/>
    <w:rsid w:val="00295475"/>
    <w:rsid w:val="00295BE8"/>
    <w:rsid w:val="002A05E1"/>
    <w:rsid w:val="002A18EC"/>
    <w:rsid w:val="002A192C"/>
    <w:rsid w:val="002A1B7C"/>
    <w:rsid w:val="002A2621"/>
    <w:rsid w:val="002A28CB"/>
    <w:rsid w:val="002A45C9"/>
    <w:rsid w:val="002A53A4"/>
    <w:rsid w:val="002A5412"/>
    <w:rsid w:val="002A575A"/>
    <w:rsid w:val="002A63DF"/>
    <w:rsid w:val="002A6B1F"/>
    <w:rsid w:val="002B00DB"/>
    <w:rsid w:val="002B37F9"/>
    <w:rsid w:val="002B3A8B"/>
    <w:rsid w:val="002B51B9"/>
    <w:rsid w:val="002B59AA"/>
    <w:rsid w:val="002B64AB"/>
    <w:rsid w:val="002B7C3F"/>
    <w:rsid w:val="002C07E9"/>
    <w:rsid w:val="002C19FE"/>
    <w:rsid w:val="002C1BFA"/>
    <w:rsid w:val="002C1DF5"/>
    <w:rsid w:val="002C25EC"/>
    <w:rsid w:val="002C27E3"/>
    <w:rsid w:val="002C2843"/>
    <w:rsid w:val="002C2B79"/>
    <w:rsid w:val="002C2C5C"/>
    <w:rsid w:val="002C33B8"/>
    <w:rsid w:val="002C4DCA"/>
    <w:rsid w:val="002C5AD3"/>
    <w:rsid w:val="002D04A2"/>
    <w:rsid w:val="002D232C"/>
    <w:rsid w:val="002D4962"/>
    <w:rsid w:val="002D60A2"/>
    <w:rsid w:val="002E028B"/>
    <w:rsid w:val="002E031C"/>
    <w:rsid w:val="002E13DD"/>
    <w:rsid w:val="002E24A6"/>
    <w:rsid w:val="002E30F4"/>
    <w:rsid w:val="002E4BAA"/>
    <w:rsid w:val="002E5C7C"/>
    <w:rsid w:val="002E5DC0"/>
    <w:rsid w:val="002E60B9"/>
    <w:rsid w:val="002E7A3C"/>
    <w:rsid w:val="002F01BB"/>
    <w:rsid w:val="002F14A0"/>
    <w:rsid w:val="002F1673"/>
    <w:rsid w:val="002F1CA9"/>
    <w:rsid w:val="002F1F09"/>
    <w:rsid w:val="002F2301"/>
    <w:rsid w:val="002F2541"/>
    <w:rsid w:val="002F2911"/>
    <w:rsid w:val="002F6357"/>
    <w:rsid w:val="002F75FC"/>
    <w:rsid w:val="002F7740"/>
    <w:rsid w:val="00300316"/>
    <w:rsid w:val="00300A52"/>
    <w:rsid w:val="003017E2"/>
    <w:rsid w:val="00303351"/>
    <w:rsid w:val="003061D9"/>
    <w:rsid w:val="00307F53"/>
    <w:rsid w:val="00310501"/>
    <w:rsid w:val="00311BC5"/>
    <w:rsid w:val="00317AD5"/>
    <w:rsid w:val="0032020B"/>
    <w:rsid w:val="0032143F"/>
    <w:rsid w:val="003234AD"/>
    <w:rsid w:val="00331FCE"/>
    <w:rsid w:val="00332F33"/>
    <w:rsid w:val="00333DDC"/>
    <w:rsid w:val="00334C19"/>
    <w:rsid w:val="00336EBB"/>
    <w:rsid w:val="00340ACB"/>
    <w:rsid w:val="00341550"/>
    <w:rsid w:val="003416B0"/>
    <w:rsid w:val="003423D5"/>
    <w:rsid w:val="003426E6"/>
    <w:rsid w:val="00342DDD"/>
    <w:rsid w:val="00342EC0"/>
    <w:rsid w:val="00343D65"/>
    <w:rsid w:val="0034438E"/>
    <w:rsid w:val="00345066"/>
    <w:rsid w:val="00345C13"/>
    <w:rsid w:val="00347950"/>
    <w:rsid w:val="00352AE8"/>
    <w:rsid w:val="00354D4F"/>
    <w:rsid w:val="0035717C"/>
    <w:rsid w:val="00357455"/>
    <w:rsid w:val="00357A22"/>
    <w:rsid w:val="00361785"/>
    <w:rsid w:val="00363BF8"/>
    <w:rsid w:val="00365315"/>
    <w:rsid w:val="003658DF"/>
    <w:rsid w:val="00366E55"/>
    <w:rsid w:val="0036721C"/>
    <w:rsid w:val="00367FDD"/>
    <w:rsid w:val="00370228"/>
    <w:rsid w:val="00370D3C"/>
    <w:rsid w:val="00370ED5"/>
    <w:rsid w:val="00370FED"/>
    <w:rsid w:val="00372A6C"/>
    <w:rsid w:val="00373E2D"/>
    <w:rsid w:val="00374D5F"/>
    <w:rsid w:val="00375F7D"/>
    <w:rsid w:val="00377F8A"/>
    <w:rsid w:val="00381151"/>
    <w:rsid w:val="00381486"/>
    <w:rsid w:val="00381744"/>
    <w:rsid w:val="00381E32"/>
    <w:rsid w:val="00382418"/>
    <w:rsid w:val="00382722"/>
    <w:rsid w:val="0038427C"/>
    <w:rsid w:val="0038434E"/>
    <w:rsid w:val="00384FDC"/>
    <w:rsid w:val="003851C5"/>
    <w:rsid w:val="0038666E"/>
    <w:rsid w:val="00386BA6"/>
    <w:rsid w:val="00386F23"/>
    <w:rsid w:val="00391FA5"/>
    <w:rsid w:val="00392346"/>
    <w:rsid w:val="003926E4"/>
    <w:rsid w:val="0039398D"/>
    <w:rsid w:val="00394DCC"/>
    <w:rsid w:val="00395FE6"/>
    <w:rsid w:val="003966A6"/>
    <w:rsid w:val="00396912"/>
    <w:rsid w:val="00397931"/>
    <w:rsid w:val="003A144E"/>
    <w:rsid w:val="003A16C6"/>
    <w:rsid w:val="003A1E89"/>
    <w:rsid w:val="003A2369"/>
    <w:rsid w:val="003A50D5"/>
    <w:rsid w:val="003A563D"/>
    <w:rsid w:val="003A5B6E"/>
    <w:rsid w:val="003A60AF"/>
    <w:rsid w:val="003A6EF9"/>
    <w:rsid w:val="003A77E5"/>
    <w:rsid w:val="003A7E63"/>
    <w:rsid w:val="003B0531"/>
    <w:rsid w:val="003B07C0"/>
    <w:rsid w:val="003B470D"/>
    <w:rsid w:val="003B5050"/>
    <w:rsid w:val="003B74E2"/>
    <w:rsid w:val="003C073C"/>
    <w:rsid w:val="003C1339"/>
    <w:rsid w:val="003C1677"/>
    <w:rsid w:val="003C1C49"/>
    <w:rsid w:val="003C1DB5"/>
    <w:rsid w:val="003C21B6"/>
    <w:rsid w:val="003C2547"/>
    <w:rsid w:val="003C3632"/>
    <w:rsid w:val="003C4251"/>
    <w:rsid w:val="003C4C1C"/>
    <w:rsid w:val="003C58F0"/>
    <w:rsid w:val="003C5D71"/>
    <w:rsid w:val="003C6617"/>
    <w:rsid w:val="003C6ADB"/>
    <w:rsid w:val="003D1361"/>
    <w:rsid w:val="003D1A47"/>
    <w:rsid w:val="003D2A72"/>
    <w:rsid w:val="003D3777"/>
    <w:rsid w:val="003D39E6"/>
    <w:rsid w:val="003D477A"/>
    <w:rsid w:val="003D6392"/>
    <w:rsid w:val="003D6A29"/>
    <w:rsid w:val="003D6A87"/>
    <w:rsid w:val="003D7737"/>
    <w:rsid w:val="003D791C"/>
    <w:rsid w:val="003E0675"/>
    <w:rsid w:val="003E1419"/>
    <w:rsid w:val="003E2BE6"/>
    <w:rsid w:val="003E40AA"/>
    <w:rsid w:val="003E4720"/>
    <w:rsid w:val="003E47D5"/>
    <w:rsid w:val="003E4EA2"/>
    <w:rsid w:val="003E631C"/>
    <w:rsid w:val="003E7DC9"/>
    <w:rsid w:val="003F19B9"/>
    <w:rsid w:val="003F2A98"/>
    <w:rsid w:val="003F2FE1"/>
    <w:rsid w:val="003F3EC0"/>
    <w:rsid w:val="003F53EF"/>
    <w:rsid w:val="003F5EEB"/>
    <w:rsid w:val="003F761E"/>
    <w:rsid w:val="003F7BC7"/>
    <w:rsid w:val="00400FD7"/>
    <w:rsid w:val="00401C9F"/>
    <w:rsid w:val="00401ED3"/>
    <w:rsid w:val="00402857"/>
    <w:rsid w:val="0040406F"/>
    <w:rsid w:val="00404C39"/>
    <w:rsid w:val="004057E5"/>
    <w:rsid w:val="004060AD"/>
    <w:rsid w:val="004060BF"/>
    <w:rsid w:val="00410BD5"/>
    <w:rsid w:val="00413904"/>
    <w:rsid w:val="004143EA"/>
    <w:rsid w:val="00416968"/>
    <w:rsid w:val="004179B5"/>
    <w:rsid w:val="0042112E"/>
    <w:rsid w:val="00421A24"/>
    <w:rsid w:val="00421C15"/>
    <w:rsid w:val="0042236F"/>
    <w:rsid w:val="004230C9"/>
    <w:rsid w:val="00423799"/>
    <w:rsid w:val="004256F6"/>
    <w:rsid w:val="004305DE"/>
    <w:rsid w:val="00432A92"/>
    <w:rsid w:val="004337B4"/>
    <w:rsid w:val="00433BE6"/>
    <w:rsid w:val="0043434A"/>
    <w:rsid w:val="0043533A"/>
    <w:rsid w:val="004358E9"/>
    <w:rsid w:val="004369B0"/>
    <w:rsid w:val="0044000E"/>
    <w:rsid w:val="00442567"/>
    <w:rsid w:val="0044337A"/>
    <w:rsid w:val="00444423"/>
    <w:rsid w:val="0044484A"/>
    <w:rsid w:val="00444C38"/>
    <w:rsid w:val="00444DB9"/>
    <w:rsid w:val="00445017"/>
    <w:rsid w:val="00446B66"/>
    <w:rsid w:val="00447EB3"/>
    <w:rsid w:val="004509E7"/>
    <w:rsid w:val="004527E6"/>
    <w:rsid w:val="004532BE"/>
    <w:rsid w:val="004532CC"/>
    <w:rsid w:val="00455316"/>
    <w:rsid w:val="00455434"/>
    <w:rsid w:val="00456BCE"/>
    <w:rsid w:val="00461B70"/>
    <w:rsid w:val="00463455"/>
    <w:rsid w:val="0046471B"/>
    <w:rsid w:val="00464ABD"/>
    <w:rsid w:val="00465A1B"/>
    <w:rsid w:val="00465B38"/>
    <w:rsid w:val="00465F7D"/>
    <w:rsid w:val="004660C7"/>
    <w:rsid w:val="004670F4"/>
    <w:rsid w:val="00470011"/>
    <w:rsid w:val="00470DDD"/>
    <w:rsid w:val="00470F0F"/>
    <w:rsid w:val="00472495"/>
    <w:rsid w:val="00473618"/>
    <w:rsid w:val="0047478A"/>
    <w:rsid w:val="004754AC"/>
    <w:rsid w:val="00475539"/>
    <w:rsid w:val="00475725"/>
    <w:rsid w:val="00476291"/>
    <w:rsid w:val="00477A89"/>
    <w:rsid w:val="004812C4"/>
    <w:rsid w:val="00482684"/>
    <w:rsid w:val="00483280"/>
    <w:rsid w:val="00483C3F"/>
    <w:rsid w:val="00483FCA"/>
    <w:rsid w:val="00487600"/>
    <w:rsid w:val="004876B9"/>
    <w:rsid w:val="00490015"/>
    <w:rsid w:val="00491739"/>
    <w:rsid w:val="00492A91"/>
    <w:rsid w:val="00494859"/>
    <w:rsid w:val="00495DBD"/>
    <w:rsid w:val="004A24D4"/>
    <w:rsid w:val="004A4089"/>
    <w:rsid w:val="004A4ABB"/>
    <w:rsid w:val="004A5DD4"/>
    <w:rsid w:val="004A5F75"/>
    <w:rsid w:val="004A61B3"/>
    <w:rsid w:val="004A7881"/>
    <w:rsid w:val="004A7E0D"/>
    <w:rsid w:val="004B05BC"/>
    <w:rsid w:val="004B11EB"/>
    <w:rsid w:val="004B2480"/>
    <w:rsid w:val="004B2E3F"/>
    <w:rsid w:val="004B3716"/>
    <w:rsid w:val="004B4F4B"/>
    <w:rsid w:val="004B6AD4"/>
    <w:rsid w:val="004B6F19"/>
    <w:rsid w:val="004C05C5"/>
    <w:rsid w:val="004C091E"/>
    <w:rsid w:val="004C0CBE"/>
    <w:rsid w:val="004C16CE"/>
    <w:rsid w:val="004C59AC"/>
    <w:rsid w:val="004C605B"/>
    <w:rsid w:val="004C62C8"/>
    <w:rsid w:val="004D1005"/>
    <w:rsid w:val="004D10EA"/>
    <w:rsid w:val="004D19A5"/>
    <w:rsid w:val="004D2566"/>
    <w:rsid w:val="004D2EF6"/>
    <w:rsid w:val="004D46D3"/>
    <w:rsid w:val="004D6781"/>
    <w:rsid w:val="004D7558"/>
    <w:rsid w:val="004D7845"/>
    <w:rsid w:val="004E0DE2"/>
    <w:rsid w:val="004E5486"/>
    <w:rsid w:val="004E7A0D"/>
    <w:rsid w:val="004E7B49"/>
    <w:rsid w:val="004F0D07"/>
    <w:rsid w:val="004F1019"/>
    <w:rsid w:val="004F32EC"/>
    <w:rsid w:val="004F43C0"/>
    <w:rsid w:val="004F4B33"/>
    <w:rsid w:val="004F517A"/>
    <w:rsid w:val="004F6488"/>
    <w:rsid w:val="00501CED"/>
    <w:rsid w:val="00502617"/>
    <w:rsid w:val="00513F55"/>
    <w:rsid w:val="005143BC"/>
    <w:rsid w:val="0051492F"/>
    <w:rsid w:val="00515A27"/>
    <w:rsid w:val="00517675"/>
    <w:rsid w:val="005202B7"/>
    <w:rsid w:val="005207A2"/>
    <w:rsid w:val="00524712"/>
    <w:rsid w:val="00524D3A"/>
    <w:rsid w:val="00527117"/>
    <w:rsid w:val="00530622"/>
    <w:rsid w:val="00530A28"/>
    <w:rsid w:val="00532CE2"/>
    <w:rsid w:val="005337FF"/>
    <w:rsid w:val="00535C37"/>
    <w:rsid w:val="00536347"/>
    <w:rsid w:val="00537839"/>
    <w:rsid w:val="00537CEA"/>
    <w:rsid w:val="005405A9"/>
    <w:rsid w:val="00540FAF"/>
    <w:rsid w:val="00541954"/>
    <w:rsid w:val="00545A77"/>
    <w:rsid w:val="00545DD8"/>
    <w:rsid w:val="005464A8"/>
    <w:rsid w:val="00551667"/>
    <w:rsid w:val="00552102"/>
    <w:rsid w:val="005541A7"/>
    <w:rsid w:val="00554468"/>
    <w:rsid w:val="00554558"/>
    <w:rsid w:val="005559BD"/>
    <w:rsid w:val="00555B7C"/>
    <w:rsid w:val="00557070"/>
    <w:rsid w:val="00560CF5"/>
    <w:rsid w:val="00560D04"/>
    <w:rsid w:val="005612DE"/>
    <w:rsid w:val="0056135A"/>
    <w:rsid w:val="00561889"/>
    <w:rsid w:val="00562F57"/>
    <w:rsid w:val="00563F16"/>
    <w:rsid w:val="005659B1"/>
    <w:rsid w:val="00565B68"/>
    <w:rsid w:val="00565D96"/>
    <w:rsid w:val="00567647"/>
    <w:rsid w:val="00567935"/>
    <w:rsid w:val="00571CFD"/>
    <w:rsid w:val="00572498"/>
    <w:rsid w:val="00573338"/>
    <w:rsid w:val="00573C54"/>
    <w:rsid w:val="00573DD0"/>
    <w:rsid w:val="005745BC"/>
    <w:rsid w:val="00574CA3"/>
    <w:rsid w:val="00575375"/>
    <w:rsid w:val="00575AAB"/>
    <w:rsid w:val="0057635B"/>
    <w:rsid w:val="00576481"/>
    <w:rsid w:val="00576A3A"/>
    <w:rsid w:val="00576E95"/>
    <w:rsid w:val="00580DF0"/>
    <w:rsid w:val="00581142"/>
    <w:rsid w:val="00581E1B"/>
    <w:rsid w:val="0058264D"/>
    <w:rsid w:val="00583226"/>
    <w:rsid w:val="00583AEA"/>
    <w:rsid w:val="00583CCA"/>
    <w:rsid w:val="00585F63"/>
    <w:rsid w:val="005862F3"/>
    <w:rsid w:val="005871CD"/>
    <w:rsid w:val="00587557"/>
    <w:rsid w:val="00587669"/>
    <w:rsid w:val="00587DC8"/>
    <w:rsid w:val="00594429"/>
    <w:rsid w:val="005946DB"/>
    <w:rsid w:val="00594913"/>
    <w:rsid w:val="00597F35"/>
    <w:rsid w:val="005A0564"/>
    <w:rsid w:val="005A14F1"/>
    <w:rsid w:val="005A1B68"/>
    <w:rsid w:val="005A2396"/>
    <w:rsid w:val="005A2965"/>
    <w:rsid w:val="005A2E3E"/>
    <w:rsid w:val="005A4CA6"/>
    <w:rsid w:val="005A54A8"/>
    <w:rsid w:val="005A5E83"/>
    <w:rsid w:val="005A690B"/>
    <w:rsid w:val="005B1E05"/>
    <w:rsid w:val="005B29DC"/>
    <w:rsid w:val="005B2BB5"/>
    <w:rsid w:val="005B3DE5"/>
    <w:rsid w:val="005B4226"/>
    <w:rsid w:val="005B42D6"/>
    <w:rsid w:val="005B4CFD"/>
    <w:rsid w:val="005B50D5"/>
    <w:rsid w:val="005B584D"/>
    <w:rsid w:val="005B6E1C"/>
    <w:rsid w:val="005C084A"/>
    <w:rsid w:val="005C099F"/>
    <w:rsid w:val="005C1D6F"/>
    <w:rsid w:val="005C3F13"/>
    <w:rsid w:val="005C4946"/>
    <w:rsid w:val="005C61F3"/>
    <w:rsid w:val="005C7511"/>
    <w:rsid w:val="005C7805"/>
    <w:rsid w:val="005D105C"/>
    <w:rsid w:val="005D1F27"/>
    <w:rsid w:val="005D3340"/>
    <w:rsid w:val="005D3727"/>
    <w:rsid w:val="005D41F1"/>
    <w:rsid w:val="005D48B4"/>
    <w:rsid w:val="005D4F96"/>
    <w:rsid w:val="005D6707"/>
    <w:rsid w:val="005E126A"/>
    <w:rsid w:val="005E2766"/>
    <w:rsid w:val="005E2B85"/>
    <w:rsid w:val="005E35B8"/>
    <w:rsid w:val="005F0259"/>
    <w:rsid w:val="005F0B2B"/>
    <w:rsid w:val="005F4385"/>
    <w:rsid w:val="005F49A2"/>
    <w:rsid w:val="005F690D"/>
    <w:rsid w:val="005F6934"/>
    <w:rsid w:val="00600DD3"/>
    <w:rsid w:val="0060197B"/>
    <w:rsid w:val="006028C0"/>
    <w:rsid w:val="00602A01"/>
    <w:rsid w:val="0060379B"/>
    <w:rsid w:val="00603916"/>
    <w:rsid w:val="00604D27"/>
    <w:rsid w:val="00606EBD"/>
    <w:rsid w:val="00607124"/>
    <w:rsid w:val="00610D08"/>
    <w:rsid w:val="00611DB9"/>
    <w:rsid w:val="006122A0"/>
    <w:rsid w:val="006131F4"/>
    <w:rsid w:val="00613F51"/>
    <w:rsid w:val="00614AE8"/>
    <w:rsid w:val="0061510C"/>
    <w:rsid w:val="006161C9"/>
    <w:rsid w:val="00616E83"/>
    <w:rsid w:val="006243AC"/>
    <w:rsid w:val="006266B5"/>
    <w:rsid w:val="00627266"/>
    <w:rsid w:val="00627E37"/>
    <w:rsid w:val="0063045E"/>
    <w:rsid w:val="00631669"/>
    <w:rsid w:val="00632F22"/>
    <w:rsid w:val="006343B7"/>
    <w:rsid w:val="00634EBF"/>
    <w:rsid w:val="0063583D"/>
    <w:rsid w:val="0063605D"/>
    <w:rsid w:val="006370A6"/>
    <w:rsid w:val="006373D3"/>
    <w:rsid w:val="00637687"/>
    <w:rsid w:val="00637F6A"/>
    <w:rsid w:val="00640C81"/>
    <w:rsid w:val="0064261D"/>
    <w:rsid w:val="00643077"/>
    <w:rsid w:val="00643E40"/>
    <w:rsid w:val="00644485"/>
    <w:rsid w:val="00645553"/>
    <w:rsid w:val="006455DA"/>
    <w:rsid w:val="006460B4"/>
    <w:rsid w:val="0064634C"/>
    <w:rsid w:val="006478EC"/>
    <w:rsid w:val="00647E33"/>
    <w:rsid w:val="006500DF"/>
    <w:rsid w:val="00650509"/>
    <w:rsid w:val="0065050E"/>
    <w:rsid w:val="006528C9"/>
    <w:rsid w:val="00652F68"/>
    <w:rsid w:val="00653ABA"/>
    <w:rsid w:val="00653AEA"/>
    <w:rsid w:val="00653D51"/>
    <w:rsid w:val="0065407C"/>
    <w:rsid w:val="0065435C"/>
    <w:rsid w:val="00655A58"/>
    <w:rsid w:val="0065637B"/>
    <w:rsid w:val="00656828"/>
    <w:rsid w:val="00657BFE"/>
    <w:rsid w:val="006606F3"/>
    <w:rsid w:val="00660E5E"/>
    <w:rsid w:val="00663741"/>
    <w:rsid w:val="006656BE"/>
    <w:rsid w:val="006660F7"/>
    <w:rsid w:val="0066677E"/>
    <w:rsid w:val="00666EF1"/>
    <w:rsid w:val="0067141D"/>
    <w:rsid w:val="006757DB"/>
    <w:rsid w:val="00676097"/>
    <w:rsid w:val="00677A83"/>
    <w:rsid w:val="0068067C"/>
    <w:rsid w:val="00680CA2"/>
    <w:rsid w:val="00682198"/>
    <w:rsid w:val="006828D6"/>
    <w:rsid w:val="00682B71"/>
    <w:rsid w:val="00683043"/>
    <w:rsid w:val="006831E5"/>
    <w:rsid w:val="00684793"/>
    <w:rsid w:val="0068771B"/>
    <w:rsid w:val="00687CBC"/>
    <w:rsid w:val="00687F5B"/>
    <w:rsid w:val="00690FDE"/>
    <w:rsid w:val="0069104C"/>
    <w:rsid w:val="006929AF"/>
    <w:rsid w:val="00692EF1"/>
    <w:rsid w:val="00694008"/>
    <w:rsid w:val="00694511"/>
    <w:rsid w:val="00694DB6"/>
    <w:rsid w:val="00694EEB"/>
    <w:rsid w:val="006955F2"/>
    <w:rsid w:val="00695BDC"/>
    <w:rsid w:val="0069726B"/>
    <w:rsid w:val="0069759B"/>
    <w:rsid w:val="006A0DD2"/>
    <w:rsid w:val="006A1709"/>
    <w:rsid w:val="006A2645"/>
    <w:rsid w:val="006A2E47"/>
    <w:rsid w:val="006A4250"/>
    <w:rsid w:val="006A4EAE"/>
    <w:rsid w:val="006A4FC5"/>
    <w:rsid w:val="006A601D"/>
    <w:rsid w:val="006A62B2"/>
    <w:rsid w:val="006A6349"/>
    <w:rsid w:val="006A6419"/>
    <w:rsid w:val="006A6BED"/>
    <w:rsid w:val="006A7883"/>
    <w:rsid w:val="006B0732"/>
    <w:rsid w:val="006B0B32"/>
    <w:rsid w:val="006B278F"/>
    <w:rsid w:val="006B476B"/>
    <w:rsid w:val="006B5CE4"/>
    <w:rsid w:val="006B7DE5"/>
    <w:rsid w:val="006C117B"/>
    <w:rsid w:val="006C1DDF"/>
    <w:rsid w:val="006C5AA3"/>
    <w:rsid w:val="006C6348"/>
    <w:rsid w:val="006D108B"/>
    <w:rsid w:val="006D40FF"/>
    <w:rsid w:val="006D4A41"/>
    <w:rsid w:val="006D67F5"/>
    <w:rsid w:val="006D718F"/>
    <w:rsid w:val="006E2D52"/>
    <w:rsid w:val="006E386E"/>
    <w:rsid w:val="006E4812"/>
    <w:rsid w:val="006E48F0"/>
    <w:rsid w:val="006E5832"/>
    <w:rsid w:val="006E590E"/>
    <w:rsid w:val="006E5DD6"/>
    <w:rsid w:val="006E78CD"/>
    <w:rsid w:val="006F08E6"/>
    <w:rsid w:val="006F1820"/>
    <w:rsid w:val="006F1AC9"/>
    <w:rsid w:val="006F25C2"/>
    <w:rsid w:val="006F3C9E"/>
    <w:rsid w:val="006F58F2"/>
    <w:rsid w:val="006F6D49"/>
    <w:rsid w:val="00701253"/>
    <w:rsid w:val="007013F0"/>
    <w:rsid w:val="00701557"/>
    <w:rsid w:val="00701D69"/>
    <w:rsid w:val="00701DA9"/>
    <w:rsid w:val="00701FDB"/>
    <w:rsid w:val="00702D85"/>
    <w:rsid w:val="0070343B"/>
    <w:rsid w:val="00703931"/>
    <w:rsid w:val="007052FF"/>
    <w:rsid w:val="00706360"/>
    <w:rsid w:val="00707E38"/>
    <w:rsid w:val="007113A9"/>
    <w:rsid w:val="007116D9"/>
    <w:rsid w:val="00712B29"/>
    <w:rsid w:val="00713927"/>
    <w:rsid w:val="007161A3"/>
    <w:rsid w:val="00716CFA"/>
    <w:rsid w:val="0071784A"/>
    <w:rsid w:val="00717968"/>
    <w:rsid w:val="0072199E"/>
    <w:rsid w:val="00721B86"/>
    <w:rsid w:val="00722BCD"/>
    <w:rsid w:val="0072333F"/>
    <w:rsid w:val="00723464"/>
    <w:rsid w:val="00724924"/>
    <w:rsid w:val="00725095"/>
    <w:rsid w:val="007250A8"/>
    <w:rsid w:val="007253A3"/>
    <w:rsid w:val="00726197"/>
    <w:rsid w:val="00726278"/>
    <w:rsid w:val="00726373"/>
    <w:rsid w:val="00727542"/>
    <w:rsid w:val="00731BA3"/>
    <w:rsid w:val="00732462"/>
    <w:rsid w:val="00733DC6"/>
    <w:rsid w:val="00733F40"/>
    <w:rsid w:val="00734E58"/>
    <w:rsid w:val="007374C7"/>
    <w:rsid w:val="00741D39"/>
    <w:rsid w:val="00742782"/>
    <w:rsid w:val="00742A00"/>
    <w:rsid w:val="007433DB"/>
    <w:rsid w:val="007440FE"/>
    <w:rsid w:val="00746571"/>
    <w:rsid w:val="00746804"/>
    <w:rsid w:val="0074692B"/>
    <w:rsid w:val="00746AAF"/>
    <w:rsid w:val="00750E91"/>
    <w:rsid w:val="00752AB8"/>
    <w:rsid w:val="00753386"/>
    <w:rsid w:val="00755125"/>
    <w:rsid w:val="00755E3D"/>
    <w:rsid w:val="00755F3A"/>
    <w:rsid w:val="007573F4"/>
    <w:rsid w:val="00757D5F"/>
    <w:rsid w:val="0076015C"/>
    <w:rsid w:val="0076048F"/>
    <w:rsid w:val="00761186"/>
    <w:rsid w:val="00762EDD"/>
    <w:rsid w:val="00765E6F"/>
    <w:rsid w:val="007665B8"/>
    <w:rsid w:val="00767D79"/>
    <w:rsid w:val="00772416"/>
    <w:rsid w:val="00773225"/>
    <w:rsid w:val="0077592F"/>
    <w:rsid w:val="00777CF6"/>
    <w:rsid w:val="00780523"/>
    <w:rsid w:val="007868D5"/>
    <w:rsid w:val="00787839"/>
    <w:rsid w:val="00787EED"/>
    <w:rsid w:val="0079097A"/>
    <w:rsid w:val="007932CB"/>
    <w:rsid w:val="00793DEE"/>
    <w:rsid w:val="00795F83"/>
    <w:rsid w:val="00796333"/>
    <w:rsid w:val="007967D4"/>
    <w:rsid w:val="007A0AAD"/>
    <w:rsid w:val="007A3AE7"/>
    <w:rsid w:val="007A43C0"/>
    <w:rsid w:val="007A4B93"/>
    <w:rsid w:val="007A61EE"/>
    <w:rsid w:val="007A698F"/>
    <w:rsid w:val="007A6CFF"/>
    <w:rsid w:val="007B072D"/>
    <w:rsid w:val="007B0F9C"/>
    <w:rsid w:val="007B107A"/>
    <w:rsid w:val="007B149F"/>
    <w:rsid w:val="007B25DD"/>
    <w:rsid w:val="007B2B45"/>
    <w:rsid w:val="007B3679"/>
    <w:rsid w:val="007B3BE2"/>
    <w:rsid w:val="007B3D0E"/>
    <w:rsid w:val="007B463E"/>
    <w:rsid w:val="007B47ED"/>
    <w:rsid w:val="007B4822"/>
    <w:rsid w:val="007B55B2"/>
    <w:rsid w:val="007B6C11"/>
    <w:rsid w:val="007B7E30"/>
    <w:rsid w:val="007B7E4B"/>
    <w:rsid w:val="007C05D6"/>
    <w:rsid w:val="007C219C"/>
    <w:rsid w:val="007C5482"/>
    <w:rsid w:val="007C6679"/>
    <w:rsid w:val="007C675B"/>
    <w:rsid w:val="007C70D6"/>
    <w:rsid w:val="007D0C7D"/>
    <w:rsid w:val="007D1050"/>
    <w:rsid w:val="007D124D"/>
    <w:rsid w:val="007D14F3"/>
    <w:rsid w:val="007D14F7"/>
    <w:rsid w:val="007D1951"/>
    <w:rsid w:val="007D2431"/>
    <w:rsid w:val="007D3DAB"/>
    <w:rsid w:val="007D733F"/>
    <w:rsid w:val="007E0C7B"/>
    <w:rsid w:val="007E2852"/>
    <w:rsid w:val="007E37C1"/>
    <w:rsid w:val="007E5362"/>
    <w:rsid w:val="007E680C"/>
    <w:rsid w:val="007F0E45"/>
    <w:rsid w:val="007F20A8"/>
    <w:rsid w:val="007F55DC"/>
    <w:rsid w:val="007F6367"/>
    <w:rsid w:val="007F70A9"/>
    <w:rsid w:val="007F7BC7"/>
    <w:rsid w:val="00800DA1"/>
    <w:rsid w:val="008033CC"/>
    <w:rsid w:val="00804904"/>
    <w:rsid w:val="0080544A"/>
    <w:rsid w:val="00805E9D"/>
    <w:rsid w:val="008061C3"/>
    <w:rsid w:val="008062AC"/>
    <w:rsid w:val="00807A9B"/>
    <w:rsid w:val="00807BEE"/>
    <w:rsid w:val="0081188F"/>
    <w:rsid w:val="00812AC5"/>
    <w:rsid w:val="008134F0"/>
    <w:rsid w:val="00815711"/>
    <w:rsid w:val="00820E2C"/>
    <w:rsid w:val="00821BBC"/>
    <w:rsid w:val="00821CF3"/>
    <w:rsid w:val="008229B8"/>
    <w:rsid w:val="00823C88"/>
    <w:rsid w:val="00824913"/>
    <w:rsid w:val="008262C3"/>
    <w:rsid w:val="008270D8"/>
    <w:rsid w:val="00830066"/>
    <w:rsid w:val="0083077B"/>
    <w:rsid w:val="00830ACB"/>
    <w:rsid w:val="00830FDD"/>
    <w:rsid w:val="00834007"/>
    <w:rsid w:val="008355A0"/>
    <w:rsid w:val="008355F1"/>
    <w:rsid w:val="00835716"/>
    <w:rsid w:val="008366F6"/>
    <w:rsid w:val="00837774"/>
    <w:rsid w:val="00837A68"/>
    <w:rsid w:val="00837F3C"/>
    <w:rsid w:val="008402D6"/>
    <w:rsid w:val="00840F19"/>
    <w:rsid w:val="008424EA"/>
    <w:rsid w:val="008430F6"/>
    <w:rsid w:val="0084589D"/>
    <w:rsid w:val="0084615B"/>
    <w:rsid w:val="00846813"/>
    <w:rsid w:val="0084745B"/>
    <w:rsid w:val="00854CE6"/>
    <w:rsid w:val="00855000"/>
    <w:rsid w:val="00857B88"/>
    <w:rsid w:val="0086043D"/>
    <w:rsid w:val="00861268"/>
    <w:rsid w:val="00863492"/>
    <w:rsid w:val="00863C24"/>
    <w:rsid w:val="00863E70"/>
    <w:rsid w:val="00864045"/>
    <w:rsid w:val="00864A85"/>
    <w:rsid w:val="008650F8"/>
    <w:rsid w:val="00865C04"/>
    <w:rsid w:val="0086656C"/>
    <w:rsid w:val="00866D34"/>
    <w:rsid w:val="00867EC8"/>
    <w:rsid w:val="008710B0"/>
    <w:rsid w:val="00872C8E"/>
    <w:rsid w:val="0087302F"/>
    <w:rsid w:val="008730EF"/>
    <w:rsid w:val="00873C31"/>
    <w:rsid w:val="00873E20"/>
    <w:rsid w:val="008746AC"/>
    <w:rsid w:val="00874C96"/>
    <w:rsid w:val="00876586"/>
    <w:rsid w:val="00876879"/>
    <w:rsid w:val="00877261"/>
    <w:rsid w:val="00877F27"/>
    <w:rsid w:val="00880806"/>
    <w:rsid w:val="0088137D"/>
    <w:rsid w:val="00883129"/>
    <w:rsid w:val="0088441A"/>
    <w:rsid w:val="00884466"/>
    <w:rsid w:val="00885513"/>
    <w:rsid w:val="00886893"/>
    <w:rsid w:val="00887B15"/>
    <w:rsid w:val="00891F82"/>
    <w:rsid w:val="00892304"/>
    <w:rsid w:val="00893BC2"/>
    <w:rsid w:val="00896A78"/>
    <w:rsid w:val="008A06FF"/>
    <w:rsid w:val="008A198A"/>
    <w:rsid w:val="008A2D49"/>
    <w:rsid w:val="008A398C"/>
    <w:rsid w:val="008A44A5"/>
    <w:rsid w:val="008A5006"/>
    <w:rsid w:val="008B018C"/>
    <w:rsid w:val="008B0ED9"/>
    <w:rsid w:val="008B2832"/>
    <w:rsid w:val="008B2D70"/>
    <w:rsid w:val="008B3209"/>
    <w:rsid w:val="008B388C"/>
    <w:rsid w:val="008B420E"/>
    <w:rsid w:val="008B4537"/>
    <w:rsid w:val="008B58F9"/>
    <w:rsid w:val="008B5E49"/>
    <w:rsid w:val="008B610E"/>
    <w:rsid w:val="008C0631"/>
    <w:rsid w:val="008C1384"/>
    <w:rsid w:val="008C13BC"/>
    <w:rsid w:val="008C1C5B"/>
    <w:rsid w:val="008C361F"/>
    <w:rsid w:val="008C418C"/>
    <w:rsid w:val="008C57F5"/>
    <w:rsid w:val="008C5F47"/>
    <w:rsid w:val="008C73EC"/>
    <w:rsid w:val="008D080F"/>
    <w:rsid w:val="008D0DDC"/>
    <w:rsid w:val="008D31EA"/>
    <w:rsid w:val="008D4482"/>
    <w:rsid w:val="008D5410"/>
    <w:rsid w:val="008D5F43"/>
    <w:rsid w:val="008E0923"/>
    <w:rsid w:val="008E0EBD"/>
    <w:rsid w:val="008E1408"/>
    <w:rsid w:val="008E1D81"/>
    <w:rsid w:val="008E2DA3"/>
    <w:rsid w:val="008F0723"/>
    <w:rsid w:val="008F12B4"/>
    <w:rsid w:val="008F1FFC"/>
    <w:rsid w:val="008F2233"/>
    <w:rsid w:val="008F43F4"/>
    <w:rsid w:val="008F62C8"/>
    <w:rsid w:val="008F6FED"/>
    <w:rsid w:val="008F708A"/>
    <w:rsid w:val="0090050B"/>
    <w:rsid w:val="00900F1F"/>
    <w:rsid w:val="00901726"/>
    <w:rsid w:val="009025E3"/>
    <w:rsid w:val="0090386A"/>
    <w:rsid w:val="00903B1D"/>
    <w:rsid w:val="009044BC"/>
    <w:rsid w:val="00905DE7"/>
    <w:rsid w:val="00905FAF"/>
    <w:rsid w:val="0090788C"/>
    <w:rsid w:val="00913504"/>
    <w:rsid w:val="00914D74"/>
    <w:rsid w:val="00914EDB"/>
    <w:rsid w:val="00914FEA"/>
    <w:rsid w:val="009150BE"/>
    <w:rsid w:val="009155FD"/>
    <w:rsid w:val="00915852"/>
    <w:rsid w:val="00916D53"/>
    <w:rsid w:val="00916FDB"/>
    <w:rsid w:val="009170A7"/>
    <w:rsid w:val="00917DEF"/>
    <w:rsid w:val="009212EC"/>
    <w:rsid w:val="00921557"/>
    <w:rsid w:val="009227F0"/>
    <w:rsid w:val="00923E9F"/>
    <w:rsid w:val="009242E1"/>
    <w:rsid w:val="00924E08"/>
    <w:rsid w:val="00925672"/>
    <w:rsid w:val="009257DA"/>
    <w:rsid w:val="00927305"/>
    <w:rsid w:val="0093016A"/>
    <w:rsid w:val="00931C3D"/>
    <w:rsid w:val="00932496"/>
    <w:rsid w:val="00933333"/>
    <w:rsid w:val="009336EC"/>
    <w:rsid w:val="00933891"/>
    <w:rsid w:val="009343B0"/>
    <w:rsid w:val="0094035C"/>
    <w:rsid w:val="00940D35"/>
    <w:rsid w:val="0094198A"/>
    <w:rsid w:val="00942EB0"/>
    <w:rsid w:val="00943179"/>
    <w:rsid w:val="00943C73"/>
    <w:rsid w:val="009464E6"/>
    <w:rsid w:val="009472DE"/>
    <w:rsid w:val="0095033B"/>
    <w:rsid w:val="0095036B"/>
    <w:rsid w:val="00950ACC"/>
    <w:rsid w:val="009526C9"/>
    <w:rsid w:val="00952774"/>
    <w:rsid w:val="009553CF"/>
    <w:rsid w:val="009554F5"/>
    <w:rsid w:val="00955AB0"/>
    <w:rsid w:val="00957E22"/>
    <w:rsid w:val="009618C8"/>
    <w:rsid w:val="009620F1"/>
    <w:rsid w:val="00963893"/>
    <w:rsid w:val="00964005"/>
    <w:rsid w:val="00964349"/>
    <w:rsid w:val="00966FB7"/>
    <w:rsid w:val="009715FA"/>
    <w:rsid w:val="009719B2"/>
    <w:rsid w:val="00973C57"/>
    <w:rsid w:val="0097571B"/>
    <w:rsid w:val="009767DE"/>
    <w:rsid w:val="00976FC5"/>
    <w:rsid w:val="00977BE8"/>
    <w:rsid w:val="009804E0"/>
    <w:rsid w:val="00980B9F"/>
    <w:rsid w:val="00981169"/>
    <w:rsid w:val="00985AFC"/>
    <w:rsid w:val="0098667D"/>
    <w:rsid w:val="0099021D"/>
    <w:rsid w:val="00991448"/>
    <w:rsid w:val="00991E8E"/>
    <w:rsid w:val="009921CF"/>
    <w:rsid w:val="00992B66"/>
    <w:rsid w:val="00994438"/>
    <w:rsid w:val="00995421"/>
    <w:rsid w:val="00995C17"/>
    <w:rsid w:val="009966F9"/>
    <w:rsid w:val="00996D6D"/>
    <w:rsid w:val="00997A70"/>
    <w:rsid w:val="009A1320"/>
    <w:rsid w:val="009A1470"/>
    <w:rsid w:val="009A1E00"/>
    <w:rsid w:val="009A1F06"/>
    <w:rsid w:val="009A3E67"/>
    <w:rsid w:val="009A4481"/>
    <w:rsid w:val="009A4722"/>
    <w:rsid w:val="009A51BB"/>
    <w:rsid w:val="009A64AB"/>
    <w:rsid w:val="009A6B8F"/>
    <w:rsid w:val="009A6EB2"/>
    <w:rsid w:val="009B00A4"/>
    <w:rsid w:val="009B0810"/>
    <w:rsid w:val="009B12BD"/>
    <w:rsid w:val="009B12D2"/>
    <w:rsid w:val="009B1D42"/>
    <w:rsid w:val="009B2609"/>
    <w:rsid w:val="009B5D49"/>
    <w:rsid w:val="009B6223"/>
    <w:rsid w:val="009C1F9F"/>
    <w:rsid w:val="009C2B21"/>
    <w:rsid w:val="009C5B56"/>
    <w:rsid w:val="009D0287"/>
    <w:rsid w:val="009D1A88"/>
    <w:rsid w:val="009D1D42"/>
    <w:rsid w:val="009D25CB"/>
    <w:rsid w:val="009D2B78"/>
    <w:rsid w:val="009D4D29"/>
    <w:rsid w:val="009D4E2D"/>
    <w:rsid w:val="009D4F2D"/>
    <w:rsid w:val="009D4F45"/>
    <w:rsid w:val="009D5725"/>
    <w:rsid w:val="009D636F"/>
    <w:rsid w:val="009D7451"/>
    <w:rsid w:val="009E2B65"/>
    <w:rsid w:val="009E3CEC"/>
    <w:rsid w:val="009E48F8"/>
    <w:rsid w:val="009E5D28"/>
    <w:rsid w:val="009E717F"/>
    <w:rsid w:val="009E78A6"/>
    <w:rsid w:val="009F2779"/>
    <w:rsid w:val="009F2800"/>
    <w:rsid w:val="009F2B56"/>
    <w:rsid w:val="009F3086"/>
    <w:rsid w:val="009F3BCA"/>
    <w:rsid w:val="009F3D59"/>
    <w:rsid w:val="009F4229"/>
    <w:rsid w:val="009F4D7E"/>
    <w:rsid w:val="009F4EB9"/>
    <w:rsid w:val="009F70E2"/>
    <w:rsid w:val="009F74DB"/>
    <w:rsid w:val="00A02FCD"/>
    <w:rsid w:val="00A04CFB"/>
    <w:rsid w:val="00A05B6D"/>
    <w:rsid w:val="00A06B89"/>
    <w:rsid w:val="00A07C12"/>
    <w:rsid w:val="00A126F5"/>
    <w:rsid w:val="00A127AE"/>
    <w:rsid w:val="00A12805"/>
    <w:rsid w:val="00A13068"/>
    <w:rsid w:val="00A13460"/>
    <w:rsid w:val="00A160EA"/>
    <w:rsid w:val="00A16681"/>
    <w:rsid w:val="00A1712F"/>
    <w:rsid w:val="00A1748D"/>
    <w:rsid w:val="00A177C7"/>
    <w:rsid w:val="00A17C1D"/>
    <w:rsid w:val="00A22E86"/>
    <w:rsid w:val="00A234A9"/>
    <w:rsid w:val="00A23CD5"/>
    <w:rsid w:val="00A24384"/>
    <w:rsid w:val="00A24627"/>
    <w:rsid w:val="00A251D0"/>
    <w:rsid w:val="00A25E52"/>
    <w:rsid w:val="00A303EA"/>
    <w:rsid w:val="00A313D1"/>
    <w:rsid w:val="00A31E99"/>
    <w:rsid w:val="00A32B7B"/>
    <w:rsid w:val="00A3345B"/>
    <w:rsid w:val="00A33677"/>
    <w:rsid w:val="00A33E3C"/>
    <w:rsid w:val="00A34452"/>
    <w:rsid w:val="00A363AB"/>
    <w:rsid w:val="00A4116E"/>
    <w:rsid w:val="00A41AC8"/>
    <w:rsid w:val="00A4364C"/>
    <w:rsid w:val="00A43B5A"/>
    <w:rsid w:val="00A4466F"/>
    <w:rsid w:val="00A45839"/>
    <w:rsid w:val="00A459A8"/>
    <w:rsid w:val="00A475EB"/>
    <w:rsid w:val="00A47D7F"/>
    <w:rsid w:val="00A50124"/>
    <w:rsid w:val="00A51678"/>
    <w:rsid w:val="00A53647"/>
    <w:rsid w:val="00A54492"/>
    <w:rsid w:val="00A554A7"/>
    <w:rsid w:val="00A56752"/>
    <w:rsid w:val="00A57D42"/>
    <w:rsid w:val="00A62068"/>
    <w:rsid w:val="00A630DE"/>
    <w:rsid w:val="00A644A5"/>
    <w:rsid w:val="00A64D30"/>
    <w:rsid w:val="00A65308"/>
    <w:rsid w:val="00A655D7"/>
    <w:rsid w:val="00A65808"/>
    <w:rsid w:val="00A66230"/>
    <w:rsid w:val="00A73129"/>
    <w:rsid w:val="00A7539E"/>
    <w:rsid w:val="00A75C5D"/>
    <w:rsid w:val="00A777A4"/>
    <w:rsid w:val="00A80658"/>
    <w:rsid w:val="00A82F0D"/>
    <w:rsid w:val="00A83171"/>
    <w:rsid w:val="00A8495E"/>
    <w:rsid w:val="00A861BA"/>
    <w:rsid w:val="00A861BD"/>
    <w:rsid w:val="00A86934"/>
    <w:rsid w:val="00A878A7"/>
    <w:rsid w:val="00A87D37"/>
    <w:rsid w:val="00A900AC"/>
    <w:rsid w:val="00A9261D"/>
    <w:rsid w:val="00A92A4A"/>
    <w:rsid w:val="00A940D1"/>
    <w:rsid w:val="00A94917"/>
    <w:rsid w:val="00A954C5"/>
    <w:rsid w:val="00A95DD9"/>
    <w:rsid w:val="00AA08A8"/>
    <w:rsid w:val="00AA0A62"/>
    <w:rsid w:val="00AA14AF"/>
    <w:rsid w:val="00AA30A9"/>
    <w:rsid w:val="00AA30B7"/>
    <w:rsid w:val="00AA446F"/>
    <w:rsid w:val="00AA673B"/>
    <w:rsid w:val="00AA6A7E"/>
    <w:rsid w:val="00AA77B2"/>
    <w:rsid w:val="00AA79B6"/>
    <w:rsid w:val="00AB1F8B"/>
    <w:rsid w:val="00AB325A"/>
    <w:rsid w:val="00AB4060"/>
    <w:rsid w:val="00AB6EFD"/>
    <w:rsid w:val="00AC008E"/>
    <w:rsid w:val="00AC4045"/>
    <w:rsid w:val="00AC4304"/>
    <w:rsid w:val="00AC55FF"/>
    <w:rsid w:val="00AC560B"/>
    <w:rsid w:val="00AC5D06"/>
    <w:rsid w:val="00AC7484"/>
    <w:rsid w:val="00AC77FB"/>
    <w:rsid w:val="00AC7896"/>
    <w:rsid w:val="00AD02D6"/>
    <w:rsid w:val="00AD057A"/>
    <w:rsid w:val="00AD107D"/>
    <w:rsid w:val="00AD1089"/>
    <w:rsid w:val="00AD1814"/>
    <w:rsid w:val="00AD31A0"/>
    <w:rsid w:val="00AD44DF"/>
    <w:rsid w:val="00AD471D"/>
    <w:rsid w:val="00AD5719"/>
    <w:rsid w:val="00AD5C92"/>
    <w:rsid w:val="00AD683F"/>
    <w:rsid w:val="00AD7D66"/>
    <w:rsid w:val="00AE0F8D"/>
    <w:rsid w:val="00AE134C"/>
    <w:rsid w:val="00AE3712"/>
    <w:rsid w:val="00AE3C6A"/>
    <w:rsid w:val="00AE6056"/>
    <w:rsid w:val="00AE7566"/>
    <w:rsid w:val="00AE7987"/>
    <w:rsid w:val="00AE79A7"/>
    <w:rsid w:val="00AF04EB"/>
    <w:rsid w:val="00AF04ED"/>
    <w:rsid w:val="00AF4470"/>
    <w:rsid w:val="00AF5218"/>
    <w:rsid w:val="00AF6AFC"/>
    <w:rsid w:val="00B00AC8"/>
    <w:rsid w:val="00B01CB1"/>
    <w:rsid w:val="00B02512"/>
    <w:rsid w:val="00B044EF"/>
    <w:rsid w:val="00B04786"/>
    <w:rsid w:val="00B049C1"/>
    <w:rsid w:val="00B05040"/>
    <w:rsid w:val="00B052C9"/>
    <w:rsid w:val="00B0541D"/>
    <w:rsid w:val="00B05641"/>
    <w:rsid w:val="00B06308"/>
    <w:rsid w:val="00B068D5"/>
    <w:rsid w:val="00B06D1F"/>
    <w:rsid w:val="00B0747B"/>
    <w:rsid w:val="00B108A3"/>
    <w:rsid w:val="00B1280B"/>
    <w:rsid w:val="00B13A00"/>
    <w:rsid w:val="00B13C00"/>
    <w:rsid w:val="00B13EA2"/>
    <w:rsid w:val="00B1529B"/>
    <w:rsid w:val="00B15469"/>
    <w:rsid w:val="00B203C1"/>
    <w:rsid w:val="00B21CC0"/>
    <w:rsid w:val="00B2495D"/>
    <w:rsid w:val="00B24C96"/>
    <w:rsid w:val="00B25026"/>
    <w:rsid w:val="00B2568F"/>
    <w:rsid w:val="00B3065E"/>
    <w:rsid w:val="00B31AB3"/>
    <w:rsid w:val="00B34B53"/>
    <w:rsid w:val="00B3508E"/>
    <w:rsid w:val="00B352CF"/>
    <w:rsid w:val="00B36795"/>
    <w:rsid w:val="00B40F6D"/>
    <w:rsid w:val="00B422F9"/>
    <w:rsid w:val="00B4375D"/>
    <w:rsid w:val="00B437B6"/>
    <w:rsid w:val="00B43AF9"/>
    <w:rsid w:val="00B44AD4"/>
    <w:rsid w:val="00B44E3A"/>
    <w:rsid w:val="00B45077"/>
    <w:rsid w:val="00B45CD3"/>
    <w:rsid w:val="00B47B29"/>
    <w:rsid w:val="00B504DA"/>
    <w:rsid w:val="00B5088D"/>
    <w:rsid w:val="00B52491"/>
    <w:rsid w:val="00B52557"/>
    <w:rsid w:val="00B52F8D"/>
    <w:rsid w:val="00B54431"/>
    <w:rsid w:val="00B5455F"/>
    <w:rsid w:val="00B56399"/>
    <w:rsid w:val="00B57B06"/>
    <w:rsid w:val="00B57EC9"/>
    <w:rsid w:val="00B60765"/>
    <w:rsid w:val="00B60E9B"/>
    <w:rsid w:val="00B61A4E"/>
    <w:rsid w:val="00B61DCB"/>
    <w:rsid w:val="00B63221"/>
    <w:rsid w:val="00B633DA"/>
    <w:rsid w:val="00B63521"/>
    <w:rsid w:val="00B65B04"/>
    <w:rsid w:val="00B66E9E"/>
    <w:rsid w:val="00B67E1F"/>
    <w:rsid w:val="00B7263A"/>
    <w:rsid w:val="00B74226"/>
    <w:rsid w:val="00B8202B"/>
    <w:rsid w:val="00B82FEA"/>
    <w:rsid w:val="00B83250"/>
    <w:rsid w:val="00B83DDA"/>
    <w:rsid w:val="00B84598"/>
    <w:rsid w:val="00B859D0"/>
    <w:rsid w:val="00B85B22"/>
    <w:rsid w:val="00B85D99"/>
    <w:rsid w:val="00B86CE8"/>
    <w:rsid w:val="00B90DEF"/>
    <w:rsid w:val="00B92E9E"/>
    <w:rsid w:val="00B92F90"/>
    <w:rsid w:val="00B9331C"/>
    <w:rsid w:val="00B939E3"/>
    <w:rsid w:val="00B954E8"/>
    <w:rsid w:val="00B95CEA"/>
    <w:rsid w:val="00B96CC4"/>
    <w:rsid w:val="00B97165"/>
    <w:rsid w:val="00B972F5"/>
    <w:rsid w:val="00B9768E"/>
    <w:rsid w:val="00BA147E"/>
    <w:rsid w:val="00BA3D25"/>
    <w:rsid w:val="00BA3DB6"/>
    <w:rsid w:val="00BA49FF"/>
    <w:rsid w:val="00BA54A0"/>
    <w:rsid w:val="00BA621A"/>
    <w:rsid w:val="00BA64AE"/>
    <w:rsid w:val="00BA6778"/>
    <w:rsid w:val="00BA67C6"/>
    <w:rsid w:val="00BA6C5F"/>
    <w:rsid w:val="00BA6D39"/>
    <w:rsid w:val="00BA71B8"/>
    <w:rsid w:val="00BA75CC"/>
    <w:rsid w:val="00BA7B32"/>
    <w:rsid w:val="00BB0021"/>
    <w:rsid w:val="00BB02FE"/>
    <w:rsid w:val="00BB031B"/>
    <w:rsid w:val="00BB1A0F"/>
    <w:rsid w:val="00BB1E27"/>
    <w:rsid w:val="00BB3C9D"/>
    <w:rsid w:val="00BB57F9"/>
    <w:rsid w:val="00BB6D22"/>
    <w:rsid w:val="00BB7527"/>
    <w:rsid w:val="00BB7F6F"/>
    <w:rsid w:val="00BC043B"/>
    <w:rsid w:val="00BC059D"/>
    <w:rsid w:val="00BC3000"/>
    <w:rsid w:val="00BC493B"/>
    <w:rsid w:val="00BC6898"/>
    <w:rsid w:val="00BC7464"/>
    <w:rsid w:val="00BC7D57"/>
    <w:rsid w:val="00BD0232"/>
    <w:rsid w:val="00BD127C"/>
    <w:rsid w:val="00BD1667"/>
    <w:rsid w:val="00BD1FB2"/>
    <w:rsid w:val="00BD33C4"/>
    <w:rsid w:val="00BD3B33"/>
    <w:rsid w:val="00BD3FEC"/>
    <w:rsid w:val="00BD56BB"/>
    <w:rsid w:val="00BD576C"/>
    <w:rsid w:val="00BD60B3"/>
    <w:rsid w:val="00BD620C"/>
    <w:rsid w:val="00BD6FE2"/>
    <w:rsid w:val="00BE13A1"/>
    <w:rsid w:val="00BE151A"/>
    <w:rsid w:val="00BE1EA8"/>
    <w:rsid w:val="00BE30B7"/>
    <w:rsid w:val="00BE3F0C"/>
    <w:rsid w:val="00BE5126"/>
    <w:rsid w:val="00BE5D15"/>
    <w:rsid w:val="00BE6A28"/>
    <w:rsid w:val="00BE7789"/>
    <w:rsid w:val="00BF0680"/>
    <w:rsid w:val="00BF1C07"/>
    <w:rsid w:val="00BF2D06"/>
    <w:rsid w:val="00BF6C48"/>
    <w:rsid w:val="00BF71DE"/>
    <w:rsid w:val="00BF7A42"/>
    <w:rsid w:val="00BF7BC5"/>
    <w:rsid w:val="00C00F79"/>
    <w:rsid w:val="00C0125F"/>
    <w:rsid w:val="00C01FDD"/>
    <w:rsid w:val="00C05B90"/>
    <w:rsid w:val="00C06032"/>
    <w:rsid w:val="00C0714B"/>
    <w:rsid w:val="00C07264"/>
    <w:rsid w:val="00C0756D"/>
    <w:rsid w:val="00C1125D"/>
    <w:rsid w:val="00C1271D"/>
    <w:rsid w:val="00C12B3A"/>
    <w:rsid w:val="00C13940"/>
    <w:rsid w:val="00C15BE5"/>
    <w:rsid w:val="00C16266"/>
    <w:rsid w:val="00C17F1B"/>
    <w:rsid w:val="00C17FA8"/>
    <w:rsid w:val="00C20240"/>
    <w:rsid w:val="00C215D4"/>
    <w:rsid w:val="00C22590"/>
    <w:rsid w:val="00C22A04"/>
    <w:rsid w:val="00C22F2E"/>
    <w:rsid w:val="00C23C64"/>
    <w:rsid w:val="00C25EAC"/>
    <w:rsid w:val="00C26915"/>
    <w:rsid w:val="00C31B48"/>
    <w:rsid w:val="00C32B94"/>
    <w:rsid w:val="00C33662"/>
    <w:rsid w:val="00C3528D"/>
    <w:rsid w:val="00C3561E"/>
    <w:rsid w:val="00C35D24"/>
    <w:rsid w:val="00C426A5"/>
    <w:rsid w:val="00C42E72"/>
    <w:rsid w:val="00C451C4"/>
    <w:rsid w:val="00C46EF4"/>
    <w:rsid w:val="00C52D1E"/>
    <w:rsid w:val="00C5301F"/>
    <w:rsid w:val="00C55C91"/>
    <w:rsid w:val="00C60960"/>
    <w:rsid w:val="00C616D0"/>
    <w:rsid w:val="00C61E91"/>
    <w:rsid w:val="00C62125"/>
    <w:rsid w:val="00C621C7"/>
    <w:rsid w:val="00C62706"/>
    <w:rsid w:val="00C65559"/>
    <w:rsid w:val="00C65956"/>
    <w:rsid w:val="00C67D30"/>
    <w:rsid w:val="00C67E58"/>
    <w:rsid w:val="00C706D9"/>
    <w:rsid w:val="00C708FE"/>
    <w:rsid w:val="00C729D5"/>
    <w:rsid w:val="00C741DD"/>
    <w:rsid w:val="00C746BE"/>
    <w:rsid w:val="00C75234"/>
    <w:rsid w:val="00C7529C"/>
    <w:rsid w:val="00C75926"/>
    <w:rsid w:val="00C774C8"/>
    <w:rsid w:val="00C80871"/>
    <w:rsid w:val="00C82E11"/>
    <w:rsid w:val="00C83554"/>
    <w:rsid w:val="00C8378D"/>
    <w:rsid w:val="00C83889"/>
    <w:rsid w:val="00C84045"/>
    <w:rsid w:val="00C85708"/>
    <w:rsid w:val="00C85FF8"/>
    <w:rsid w:val="00C86475"/>
    <w:rsid w:val="00C86E03"/>
    <w:rsid w:val="00C875CF"/>
    <w:rsid w:val="00C87B80"/>
    <w:rsid w:val="00C87D9E"/>
    <w:rsid w:val="00C91C96"/>
    <w:rsid w:val="00C92960"/>
    <w:rsid w:val="00C93DA3"/>
    <w:rsid w:val="00C95D80"/>
    <w:rsid w:val="00CA0E62"/>
    <w:rsid w:val="00CA1660"/>
    <w:rsid w:val="00CA296B"/>
    <w:rsid w:val="00CA3321"/>
    <w:rsid w:val="00CA436A"/>
    <w:rsid w:val="00CA45FA"/>
    <w:rsid w:val="00CA4EC8"/>
    <w:rsid w:val="00CA5500"/>
    <w:rsid w:val="00CB0434"/>
    <w:rsid w:val="00CB1915"/>
    <w:rsid w:val="00CB3A82"/>
    <w:rsid w:val="00CB4117"/>
    <w:rsid w:val="00CB681C"/>
    <w:rsid w:val="00CB74F1"/>
    <w:rsid w:val="00CB7741"/>
    <w:rsid w:val="00CC0D23"/>
    <w:rsid w:val="00CC1E23"/>
    <w:rsid w:val="00CC2657"/>
    <w:rsid w:val="00CC3527"/>
    <w:rsid w:val="00CC374D"/>
    <w:rsid w:val="00CC3A16"/>
    <w:rsid w:val="00CC6F68"/>
    <w:rsid w:val="00CC7625"/>
    <w:rsid w:val="00CC7725"/>
    <w:rsid w:val="00CD0EB6"/>
    <w:rsid w:val="00CD237F"/>
    <w:rsid w:val="00CD3366"/>
    <w:rsid w:val="00CD4267"/>
    <w:rsid w:val="00CD4C40"/>
    <w:rsid w:val="00CD5E9E"/>
    <w:rsid w:val="00CD6058"/>
    <w:rsid w:val="00CD6EF1"/>
    <w:rsid w:val="00CE23B7"/>
    <w:rsid w:val="00CE2684"/>
    <w:rsid w:val="00CE307D"/>
    <w:rsid w:val="00CE427C"/>
    <w:rsid w:val="00CE4603"/>
    <w:rsid w:val="00CE5411"/>
    <w:rsid w:val="00CE588D"/>
    <w:rsid w:val="00CE6579"/>
    <w:rsid w:val="00CE6F3A"/>
    <w:rsid w:val="00CE7AF7"/>
    <w:rsid w:val="00CE7B69"/>
    <w:rsid w:val="00CE7F89"/>
    <w:rsid w:val="00CF0396"/>
    <w:rsid w:val="00CF157E"/>
    <w:rsid w:val="00CF2446"/>
    <w:rsid w:val="00CF267E"/>
    <w:rsid w:val="00CF33DA"/>
    <w:rsid w:val="00CF3BEC"/>
    <w:rsid w:val="00CF5737"/>
    <w:rsid w:val="00CF7FE6"/>
    <w:rsid w:val="00D01145"/>
    <w:rsid w:val="00D04161"/>
    <w:rsid w:val="00D05D8C"/>
    <w:rsid w:val="00D06F32"/>
    <w:rsid w:val="00D0769B"/>
    <w:rsid w:val="00D1013A"/>
    <w:rsid w:val="00D11378"/>
    <w:rsid w:val="00D119C1"/>
    <w:rsid w:val="00D1289B"/>
    <w:rsid w:val="00D14AAE"/>
    <w:rsid w:val="00D14AC7"/>
    <w:rsid w:val="00D17C1B"/>
    <w:rsid w:val="00D20913"/>
    <w:rsid w:val="00D221ED"/>
    <w:rsid w:val="00D233AC"/>
    <w:rsid w:val="00D244E2"/>
    <w:rsid w:val="00D25207"/>
    <w:rsid w:val="00D26041"/>
    <w:rsid w:val="00D3020F"/>
    <w:rsid w:val="00D304C5"/>
    <w:rsid w:val="00D30D60"/>
    <w:rsid w:val="00D32709"/>
    <w:rsid w:val="00D339B6"/>
    <w:rsid w:val="00D41424"/>
    <w:rsid w:val="00D41DD0"/>
    <w:rsid w:val="00D436C8"/>
    <w:rsid w:val="00D43A41"/>
    <w:rsid w:val="00D4698E"/>
    <w:rsid w:val="00D46FA7"/>
    <w:rsid w:val="00D47412"/>
    <w:rsid w:val="00D534E3"/>
    <w:rsid w:val="00D55F1C"/>
    <w:rsid w:val="00D606EE"/>
    <w:rsid w:val="00D61494"/>
    <w:rsid w:val="00D62A59"/>
    <w:rsid w:val="00D63BDB"/>
    <w:rsid w:val="00D640C0"/>
    <w:rsid w:val="00D641DD"/>
    <w:rsid w:val="00D64A0D"/>
    <w:rsid w:val="00D65274"/>
    <w:rsid w:val="00D67B7B"/>
    <w:rsid w:val="00D7049B"/>
    <w:rsid w:val="00D70548"/>
    <w:rsid w:val="00D70BE7"/>
    <w:rsid w:val="00D71605"/>
    <w:rsid w:val="00D731A1"/>
    <w:rsid w:val="00D731EE"/>
    <w:rsid w:val="00D73714"/>
    <w:rsid w:val="00D74392"/>
    <w:rsid w:val="00D74D91"/>
    <w:rsid w:val="00D75285"/>
    <w:rsid w:val="00D768B9"/>
    <w:rsid w:val="00D779AB"/>
    <w:rsid w:val="00D8033B"/>
    <w:rsid w:val="00D805A6"/>
    <w:rsid w:val="00D832A3"/>
    <w:rsid w:val="00D8579D"/>
    <w:rsid w:val="00D85BD1"/>
    <w:rsid w:val="00D87687"/>
    <w:rsid w:val="00D901AB"/>
    <w:rsid w:val="00D908B3"/>
    <w:rsid w:val="00D90C35"/>
    <w:rsid w:val="00D911C3"/>
    <w:rsid w:val="00D91845"/>
    <w:rsid w:val="00D9251E"/>
    <w:rsid w:val="00D92C97"/>
    <w:rsid w:val="00D9389E"/>
    <w:rsid w:val="00D947F8"/>
    <w:rsid w:val="00D96AFA"/>
    <w:rsid w:val="00D96FC4"/>
    <w:rsid w:val="00D97D8F"/>
    <w:rsid w:val="00DA035F"/>
    <w:rsid w:val="00DA1E3C"/>
    <w:rsid w:val="00DA520F"/>
    <w:rsid w:val="00DA5862"/>
    <w:rsid w:val="00DA6A6A"/>
    <w:rsid w:val="00DA6F85"/>
    <w:rsid w:val="00DA79E8"/>
    <w:rsid w:val="00DA7E8E"/>
    <w:rsid w:val="00DB421B"/>
    <w:rsid w:val="00DB4853"/>
    <w:rsid w:val="00DB5CAE"/>
    <w:rsid w:val="00DB60CE"/>
    <w:rsid w:val="00DB6FFD"/>
    <w:rsid w:val="00DB72E6"/>
    <w:rsid w:val="00DB74B9"/>
    <w:rsid w:val="00DC0167"/>
    <w:rsid w:val="00DC11DE"/>
    <w:rsid w:val="00DC1CB9"/>
    <w:rsid w:val="00DC1D50"/>
    <w:rsid w:val="00DC4A14"/>
    <w:rsid w:val="00DC51CA"/>
    <w:rsid w:val="00DC5909"/>
    <w:rsid w:val="00DC5F7A"/>
    <w:rsid w:val="00DC6ADA"/>
    <w:rsid w:val="00DD0CEA"/>
    <w:rsid w:val="00DD0D48"/>
    <w:rsid w:val="00DD1299"/>
    <w:rsid w:val="00DD225C"/>
    <w:rsid w:val="00DD321E"/>
    <w:rsid w:val="00DD361C"/>
    <w:rsid w:val="00DD36A3"/>
    <w:rsid w:val="00DD681F"/>
    <w:rsid w:val="00DD6CAA"/>
    <w:rsid w:val="00DD74CF"/>
    <w:rsid w:val="00DE0E63"/>
    <w:rsid w:val="00DE1247"/>
    <w:rsid w:val="00DE28BD"/>
    <w:rsid w:val="00DE35DF"/>
    <w:rsid w:val="00DE4131"/>
    <w:rsid w:val="00DE5CC7"/>
    <w:rsid w:val="00DE6346"/>
    <w:rsid w:val="00DE63D0"/>
    <w:rsid w:val="00DE66F4"/>
    <w:rsid w:val="00DE7047"/>
    <w:rsid w:val="00DF0416"/>
    <w:rsid w:val="00DF0909"/>
    <w:rsid w:val="00DF0E02"/>
    <w:rsid w:val="00DF1010"/>
    <w:rsid w:val="00DF1587"/>
    <w:rsid w:val="00DF1C7B"/>
    <w:rsid w:val="00DF2E2F"/>
    <w:rsid w:val="00DF3A94"/>
    <w:rsid w:val="00DF4A21"/>
    <w:rsid w:val="00DF65E9"/>
    <w:rsid w:val="00DF6B8A"/>
    <w:rsid w:val="00E0051F"/>
    <w:rsid w:val="00E009B7"/>
    <w:rsid w:val="00E0133A"/>
    <w:rsid w:val="00E0428D"/>
    <w:rsid w:val="00E0440F"/>
    <w:rsid w:val="00E05FE2"/>
    <w:rsid w:val="00E12438"/>
    <w:rsid w:val="00E14358"/>
    <w:rsid w:val="00E17CE8"/>
    <w:rsid w:val="00E20DF9"/>
    <w:rsid w:val="00E21063"/>
    <w:rsid w:val="00E217E3"/>
    <w:rsid w:val="00E27ADB"/>
    <w:rsid w:val="00E27D08"/>
    <w:rsid w:val="00E30013"/>
    <w:rsid w:val="00E34428"/>
    <w:rsid w:val="00E351C0"/>
    <w:rsid w:val="00E37C62"/>
    <w:rsid w:val="00E441CB"/>
    <w:rsid w:val="00E44554"/>
    <w:rsid w:val="00E463A3"/>
    <w:rsid w:val="00E47674"/>
    <w:rsid w:val="00E503A2"/>
    <w:rsid w:val="00E514E9"/>
    <w:rsid w:val="00E51DD6"/>
    <w:rsid w:val="00E5395C"/>
    <w:rsid w:val="00E56D3D"/>
    <w:rsid w:val="00E57120"/>
    <w:rsid w:val="00E6098E"/>
    <w:rsid w:val="00E61787"/>
    <w:rsid w:val="00E6182A"/>
    <w:rsid w:val="00E6299C"/>
    <w:rsid w:val="00E62C07"/>
    <w:rsid w:val="00E62DC9"/>
    <w:rsid w:val="00E62EF2"/>
    <w:rsid w:val="00E63153"/>
    <w:rsid w:val="00E63BFF"/>
    <w:rsid w:val="00E6458C"/>
    <w:rsid w:val="00E64688"/>
    <w:rsid w:val="00E67496"/>
    <w:rsid w:val="00E701D7"/>
    <w:rsid w:val="00E70BA4"/>
    <w:rsid w:val="00E712CC"/>
    <w:rsid w:val="00E718CA"/>
    <w:rsid w:val="00E72365"/>
    <w:rsid w:val="00E737F7"/>
    <w:rsid w:val="00E752C5"/>
    <w:rsid w:val="00E7556D"/>
    <w:rsid w:val="00E75FA3"/>
    <w:rsid w:val="00E76028"/>
    <w:rsid w:val="00E7644D"/>
    <w:rsid w:val="00E767B2"/>
    <w:rsid w:val="00E76B37"/>
    <w:rsid w:val="00E80565"/>
    <w:rsid w:val="00E80E2A"/>
    <w:rsid w:val="00E8100E"/>
    <w:rsid w:val="00E81750"/>
    <w:rsid w:val="00E82D10"/>
    <w:rsid w:val="00E83A77"/>
    <w:rsid w:val="00E84375"/>
    <w:rsid w:val="00E84681"/>
    <w:rsid w:val="00E848B8"/>
    <w:rsid w:val="00E90A37"/>
    <w:rsid w:val="00E912CA"/>
    <w:rsid w:val="00E92CA0"/>
    <w:rsid w:val="00E92F7E"/>
    <w:rsid w:val="00E93C88"/>
    <w:rsid w:val="00E94420"/>
    <w:rsid w:val="00E95B44"/>
    <w:rsid w:val="00E96B21"/>
    <w:rsid w:val="00E97F00"/>
    <w:rsid w:val="00EA0207"/>
    <w:rsid w:val="00EA3836"/>
    <w:rsid w:val="00EA3E56"/>
    <w:rsid w:val="00EA479B"/>
    <w:rsid w:val="00EA490B"/>
    <w:rsid w:val="00EA4B5D"/>
    <w:rsid w:val="00EA5590"/>
    <w:rsid w:val="00EA620F"/>
    <w:rsid w:val="00EA734E"/>
    <w:rsid w:val="00EA7F2C"/>
    <w:rsid w:val="00EB062C"/>
    <w:rsid w:val="00EB187A"/>
    <w:rsid w:val="00EB1BA6"/>
    <w:rsid w:val="00EB48D0"/>
    <w:rsid w:val="00EB5EE6"/>
    <w:rsid w:val="00EC445C"/>
    <w:rsid w:val="00EC5BA4"/>
    <w:rsid w:val="00EC626C"/>
    <w:rsid w:val="00EC6699"/>
    <w:rsid w:val="00EC685E"/>
    <w:rsid w:val="00EC76F7"/>
    <w:rsid w:val="00ED16CE"/>
    <w:rsid w:val="00ED19C5"/>
    <w:rsid w:val="00ED1E8D"/>
    <w:rsid w:val="00ED3C7E"/>
    <w:rsid w:val="00ED40E7"/>
    <w:rsid w:val="00ED4D2D"/>
    <w:rsid w:val="00ED5BC2"/>
    <w:rsid w:val="00ED7904"/>
    <w:rsid w:val="00ED7B28"/>
    <w:rsid w:val="00ED7EA4"/>
    <w:rsid w:val="00EE093D"/>
    <w:rsid w:val="00EE17B2"/>
    <w:rsid w:val="00EE1D99"/>
    <w:rsid w:val="00EE23F9"/>
    <w:rsid w:val="00EE26E9"/>
    <w:rsid w:val="00EE3E29"/>
    <w:rsid w:val="00EE5393"/>
    <w:rsid w:val="00EE5E4A"/>
    <w:rsid w:val="00EE6929"/>
    <w:rsid w:val="00EF3766"/>
    <w:rsid w:val="00EF3AE7"/>
    <w:rsid w:val="00EF3E3C"/>
    <w:rsid w:val="00EF54CA"/>
    <w:rsid w:val="00EF613A"/>
    <w:rsid w:val="00EF62F2"/>
    <w:rsid w:val="00EF69D9"/>
    <w:rsid w:val="00EF791B"/>
    <w:rsid w:val="00F01975"/>
    <w:rsid w:val="00F02C1D"/>
    <w:rsid w:val="00F04747"/>
    <w:rsid w:val="00F10BE0"/>
    <w:rsid w:val="00F12796"/>
    <w:rsid w:val="00F138A7"/>
    <w:rsid w:val="00F13C34"/>
    <w:rsid w:val="00F13E36"/>
    <w:rsid w:val="00F14615"/>
    <w:rsid w:val="00F15B30"/>
    <w:rsid w:val="00F16070"/>
    <w:rsid w:val="00F161ED"/>
    <w:rsid w:val="00F219FB"/>
    <w:rsid w:val="00F2647E"/>
    <w:rsid w:val="00F26AF7"/>
    <w:rsid w:val="00F27110"/>
    <w:rsid w:val="00F33375"/>
    <w:rsid w:val="00F343D4"/>
    <w:rsid w:val="00F42D12"/>
    <w:rsid w:val="00F444BD"/>
    <w:rsid w:val="00F44B6F"/>
    <w:rsid w:val="00F457A8"/>
    <w:rsid w:val="00F465E5"/>
    <w:rsid w:val="00F46D8C"/>
    <w:rsid w:val="00F5000F"/>
    <w:rsid w:val="00F502AF"/>
    <w:rsid w:val="00F506F3"/>
    <w:rsid w:val="00F50752"/>
    <w:rsid w:val="00F50D5F"/>
    <w:rsid w:val="00F5136A"/>
    <w:rsid w:val="00F51650"/>
    <w:rsid w:val="00F51CC4"/>
    <w:rsid w:val="00F51D81"/>
    <w:rsid w:val="00F52399"/>
    <w:rsid w:val="00F52F4F"/>
    <w:rsid w:val="00F539E9"/>
    <w:rsid w:val="00F54776"/>
    <w:rsid w:val="00F54E66"/>
    <w:rsid w:val="00F55B9A"/>
    <w:rsid w:val="00F5625E"/>
    <w:rsid w:val="00F56F8E"/>
    <w:rsid w:val="00F5789C"/>
    <w:rsid w:val="00F57A01"/>
    <w:rsid w:val="00F6012E"/>
    <w:rsid w:val="00F61369"/>
    <w:rsid w:val="00F64EA5"/>
    <w:rsid w:val="00F651E4"/>
    <w:rsid w:val="00F66D82"/>
    <w:rsid w:val="00F67DE5"/>
    <w:rsid w:val="00F70CC8"/>
    <w:rsid w:val="00F7106F"/>
    <w:rsid w:val="00F716A3"/>
    <w:rsid w:val="00F72442"/>
    <w:rsid w:val="00F739FD"/>
    <w:rsid w:val="00F73B97"/>
    <w:rsid w:val="00F74433"/>
    <w:rsid w:val="00F81406"/>
    <w:rsid w:val="00F8186C"/>
    <w:rsid w:val="00F81F0D"/>
    <w:rsid w:val="00F81F7C"/>
    <w:rsid w:val="00F826C9"/>
    <w:rsid w:val="00F82F23"/>
    <w:rsid w:val="00F83E9E"/>
    <w:rsid w:val="00F85B36"/>
    <w:rsid w:val="00F86093"/>
    <w:rsid w:val="00F860F9"/>
    <w:rsid w:val="00F90B31"/>
    <w:rsid w:val="00F924A1"/>
    <w:rsid w:val="00F928C3"/>
    <w:rsid w:val="00F94C3E"/>
    <w:rsid w:val="00F95221"/>
    <w:rsid w:val="00F95312"/>
    <w:rsid w:val="00F955DB"/>
    <w:rsid w:val="00F96D10"/>
    <w:rsid w:val="00F971FE"/>
    <w:rsid w:val="00F97419"/>
    <w:rsid w:val="00F97C4E"/>
    <w:rsid w:val="00FA0C6C"/>
    <w:rsid w:val="00FA183C"/>
    <w:rsid w:val="00FA1B67"/>
    <w:rsid w:val="00FA4134"/>
    <w:rsid w:val="00FA4326"/>
    <w:rsid w:val="00FA4AEE"/>
    <w:rsid w:val="00FA4F4D"/>
    <w:rsid w:val="00FA5D00"/>
    <w:rsid w:val="00FA6AE4"/>
    <w:rsid w:val="00FA72F1"/>
    <w:rsid w:val="00FB25E4"/>
    <w:rsid w:val="00FB4E16"/>
    <w:rsid w:val="00FB60BD"/>
    <w:rsid w:val="00FB6FB6"/>
    <w:rsid w:val="00FB7FC2"/>
    <w:rsid w:val="00FC0CE6"/>
    <w:rsid w:val="00FC321A"/>
    <w:rsid w:val="00FC3E35"/>
    <w:rsid w:val="00FC5D37"/>
    <w:rsid w:val="00FC6349"/>
    <w:rsid w:val="00FC6B49"/>
    <w:rsid w:val="00FC7570"/>
    <w:rsid w:val="00FC75CB"/>
    <w:rsid w:val="00FD10F7"/>
    <w:rsid w:val="00FD16D7"/>
    <w:rsid w:val="00FD3C38"/>
    <w:rsid w:val="00FD48F1"/>
    <w:rsid w:val="00FD546E"/>
    <w:rsid w:val="00FD5B60"/>
    <w:rsid w:val="00FD5C33"/>
    <w:rsid w:val="00FD6338"/>
    <w:rsid w:val="00FD6DAB"/>
    <w:rsid w:val="00FD7381"/>
    <w:rsid w:val="00FE2CAA"/>
    <w:rsid w:val="00FE3705"/>
    <w:rsid w:val="00FE53C7"/>
    <w:rsid w:val="00FE587A"/>
    <w:rsid w:val="00FE6271"/>
    <w:rsid w:val="00FE6E2F"/>
    <w:rsid w:val="00FE75F5"/>
    <w:rsid w:val="00FF157A"/>
    <w:rsid w:val="00FF27E5"/>
    <w:rsid w:val="00FF4AA4"/>
    <w:rsid w:val="00FF5960"/>
    <w:rsid w:val="00FF5F92"/>
    <w:rsid w:val="00FF6A72"/>
    <w:rsid w:val="00FF6CC0"/>
    <w:rsid w:val="00FF71F1"/>
    <w:rsid w:val="00FF7454"/>
    <w:rsid w:val="24DB6467"/>
    <w:rsid w:val="539FF48A"/>
    <w:rsid w:val="67C4AAD7"/>
    <w:rsid w:val="749D391F"/>
    <w:rsid w:val="7FEA168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F2DF832"/>
  <w15:docId w15:val="{F4DFB8AC-5902-49D1-A4F1-F0E72572AD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iPriority="0" w:unhideWhenUsed="1"/>
    <w:lsdException w:name="HTML Code" w:semiHidden="1" w:uiPriority="0" w:unhideWhenUsed="1"/>
    <w:lsdException w:name="HTML Definition" w:semiHidden="1" w:uiPriority="0" w:unhideWhenUsed="1"/>
    <w:lsdException w:name="HTML Keyboard" w:semiHidden="1" w:uiPriority="0" w:unhideWhenUsed="1"/>
    <w:lsdException w:name="HTML Preformatted" w:semiHidden="1" w:uiPriority="0" w:unhideWhenUsed="1"/>
    <w:lsdException w:name="HTML Sample" w:semiHidden="1" w:uiPriority="0" w:unhideWhenUsed="1"/>
    <w:lsdException w:name="HTML Typewriter" w:semiHidden="1" w:uiPriority="0" w:unhideWhenUsed="1"/>
    <w:lsdException w:name="HTML Variable" w:semiHidden="1" w:uiPriority="0"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0636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Text">
    <w:name w:val="Base_Text"/>
    <w:rsid w:val="009A3899"/>
    <w:pPr>
      <w:spacing w:before="120"/>
    </w:pPr>
    <w:rPr>
      <w:rFonts w:eastAsia="Times New Roman"/>
      <w:sz w:val="24"/>
      <w:szCs w:val="24"/>
    </w:rPr>
  </w:style>
  <w:style w:type="paragraph" w:customStyle="1" w:styleId="1stparatext">
    <w:name w:val="1st para text"/>
    <w:basedOn w:val="BaseText"/>
    <w:rsid w:val="009A3899"/>
  </w:style>
  <w:style w:type="paragraph" w:customStyle="1" w:styleId="BaseHeading">
    <w:name w:val="Base_Heading"/>
    <w:rsid w:val="009A3899"/>
    <w:pPr>
      <w:keepNext/>
      <w:spacing w:before="240"/>
      <w:outlineLvl w:val="0"/>
    </w:pPr>
    <w:rPr>
      <w:rFonts w:eastAsia="Times New Roman"/>
      <w:kern w:val="28"/>
      <w:sz w:val="28"/>
      <w:szCs w:val="28"/>
    </w:rPr>
  </w:style>
  <w:style w:type="paragraph" w:customStyle="1" w:styleId="AbstractHead">
    <w:name w:val="Abstract Head"/>
    <w:basedOn w:val="BaseHeading"/>
    <w:rsid w:val="009A3899"/>
  </w:style>
  <w:style w:type="paragraph" w:customStyle="1" w:styleId="AbstractSummary">
    <w:name w:val="Abstract/Summary"/>
    <w:basedOn w:val="BaseText"/>
    <w:rsid w:val="009A3899"/>
  </w:style>
  <w:style w:type="paragraph" w:customStyle="1" w:styleId="Referencesandnotes">
    <w:name w:val="References and notes"/>
    <w:basedOn w:val="BaseText"/>
    <w:rsid w:val="009A3899"/>
    <w:pPr>
      <w:ind w:left="720" w:hanging="720"/>
    </w:pPr>
  </w:style>
  <w:style w:type="paragraph" w:customStyle="1" w:styleId="Acknowledgement">
    <w:name w:val="Acknowledgement"/>
    <w:basedOn w:val="Referencesandnotes"/>
    <w:qFormat/>
    <w:rsid w:val="009A3899"/>
  </w:style>
  <w:style w:type="paragraph" w:customStyle="1" w:styleId="Subhead">
    <w:name w:val="Subhead"/>
    <w:basedOn w:val="BaseHeading"/>
    <w:rsid w:val="009A3899"/>
    <w:rPr>
      <w:b/>
      <w:bCs/>
      <w:sz w:val="24"/>
      <w:szCs w:val="24"/>
    </w:rPr>
  </w:style>
  <w:style w:type="paragraph" w:customStyle="1" w:styleId="AppendixHead">
    <w:name w:val="AppendixHead"/>
    <w:basedOn w:val="Subhead"/>
    <w:rsid w:val="009A3899"/>
  </w:style>
  <w:style w:type="paragraph" w:customStyle="1" w:styleId="AppendixSubhead">
    <w:name w:val="AppendixSubhead"/>
    <w:basedOn w:val="Subhead"/>
    <w:rsid w:val="009A3899"/>
  </w:style>
  <w:style w:type="paragraph" w:customStyle="1" w:styleId="Articletype">
    <w:name w:val="Article type"/>
    <w:basedOn w:val="BaseText"/>
    <w:rsid w:val="009A3899"/>
  </w:style>
  <w:style w:type="character" w:customStyle="1" w:styleId="aubase">
    <w:name w:val="au_base"/>
    <w:rsid w:val="009A3899"/>
    <w:rPr>
      <w:sz w:val="24"/>
    </w:rPr>
  </w:style>
  <w:style w:type="character" w:customStyle="1" w:styleId="aucollab">
    <w:name w:val="au_collab"/>
    <w:basedOn w:val="aubase"/>
    <w:rsid w:val="009A3899"/>
    <w:rPr>
      <w:sz w:val="24"/>
      <w:bdr w:val="none" w:sz="0" w:space="0" w:color="auto"/>
      <w:shd w:val="clear" w:color="auto" w:fill="C0C0C0"/>
    </w:rPr>
  </w:style>
  <w:style w:type="character" w:customStyle="1" w:styleId="audeg">
    <w:name w:val="au_deg"/>
    <w:basedOn w:val="DefaultParagraphFont"/>
    <w:rsid w:val="009A3899"/>
    <w:rPr>
      <w:sz w:val="24"/>
      <w:bdr w:val="none" w:sz="0" w:space="0" w:color="auto"/>
      <w:shd w:val="clear" w:color="auto" w:fill="FFFF00"/>
    </w:rPr>
  </w:style>
  <w:style w:type="character" w:customStyle="1" w:styleId="aufname">
    <w:name w:val="au_fname"/>
    <w:basedOn w:val="aubase"/>
    <w:rsid w:val="009A3899"/>
    <w:rPr>
      <w:sz w:val="24"/>
      <w:bdr w:val="none" w:sz="0" w:space="0" w:color="auto"/>
      <w:shd w:val="clear" w:color="auto" w:fill="00FFFF"/>
    </w:rPr>
  </w:style>
  <w:style w:type="character" w:customStyle="1" w:styleId="aurole">
    <w:name w:val="au_role"/>
    <w:basedOn w:val="aubase"/>
    <w:rsid w:val="009A3899"/>
    <w:rPr>
      <w:sz w:val="24"/>
      <w:bdr w:val="none" w:sz="0" w:space="0" w:color="auto"/>
      <w:shd w:val="clear" w:color="auto" w:fill="808000"/>
    </w:rPr>
  </w:style>
  <w:style w:type="character" w:customStyle="1" w:styleId="ausuffix">
    <w:name w:val="au_suffix"/>
    <w:basedOn w:val="aubase"/>
    <w:rsid w:val="009A3899"/>
    <w:rPr>
      <w:sz w:val="24"/>
      <w:bdr w:val="none" w:sz="0" w:space="0" w:color="auto"/>
      <w:shd w:val="clear" w:color="auto" w:fill="FF00FF"/>
    </w:rPr>
  </w:style>
  <w:style w:type="character" w:customStyle="1" w:styleId="ausurname">
    <w:name w:val="au_surname"/>
    <w:basedOn w:val="aubase"/>
    <w:rsid w:val="009A3899"/>
    <w:rPr>
      <w:sz w:val="24"/>
      <w:bdr w:val="none" w:sz="0" w:space="0" w:color="auto"/>
      <w:shd w:val="clear" w:color="auto" w:fill="00FF00"/>
    </w:rPr>
  </w:style>
  <w:style w:type="paragraph" w:customStyle="1" w:styleId="AuthorAttribute">
    <w:name w:val="Author Attribute"/>
    <w:basedOn w:val="BaseText"/>
    <w:rsid w:val="009A3899"/>
    <w:pPr>
      <w:spacing w:before="480"/>
    </w:pPr>
  </w:style>
  <w:style w:type="paragraph" w:customStyle="1" w:styleId="Footnote">
    <w:name w:val="Footnote"/>
    <w:basedOn w:val="BaseText"/>
    <w:rsid w:val="009A3899"/>
  </w:style>
  <w:style w:type="paragraph" w:customStyle="1" w:styleId="AuthorFootnote">
    <w:name w:val="AuthorFootnote"/>
    <w:basedOn w:val="Footnote"/>
    <w:rsid w:val="009A3899"/>
    <w:pPr>
      <w:autoSpaceDE w:val="0"/>
      <w:autoSpaceDN w:val="0"/>
      <w:adjustRightInd w:val="0"/>
    </w:pPr>
    <w:rPr>
      <w:lang w:bidi="he-IL"/>
    </w:rPr>
  </w:style>
  <w:style w:type="paragraph" w:customStyle="1" w:styleId="Authors">
    <w:name w:val="Authors"/>
    <w:basedOn w:val="BaseText"/>
    <w:rsid w:val="009A3899"/>
    <w:pPr>
      <w:spacing w:after="360"/>
      <w:jc w:val="center"/>
    </w:pPr>
  </w:style>
  <w:style w:type="paragraph" w:styleId="BalloonText">
    <w:name w:val="Balloon Text"/>
    <w:basedOn w:val="Normal"/>
    <w:link w:val="BalloonTextChar"/>
    <w:semiHidden/>
    <w:rsid w:val="009A3899"/>
    <w:rPr>
      <w:rFonts w:ascii="Lucida Grande" w:eastAsia="Times New Roman" w:hAnsi="Lucida Grande"/>
      <w:sz w:val="18"/>
      <w:szCs w:val="18"/>
    </w:rPr>
  </w:style>
  <w:style w:type="character" w:customStyle="1" w:styleId="BalloonTextChar">
    <w:name w:val="Balloon Text Char"/>
    <w:basedOn w:val="DefaultParagraphFont"/>
    <w:link w:val="BalloonText"/>
    <w:semiHidden/>
    <w:rsid w:val="009A3899"/>
    <w:rPr>
      <w:rFonts w:ascii="Lucida Grande" w:eastAsia="Times New Roman" w:hAnsi="Lucida Grande"/>
      <w:sz w:val="18"/>
      <w:szCs w:val="18"/>
    </w:rPr>
  </w:style>
  <w:style w:type="character" w:customStyle="1" w:styleId="bibarticle">
    <w:name w:val="bib_article"/>
    <w:basedOn w:val="DefaultParagraphFont"/>
    <w:rsid w:val="009A3899"/>
    <w:rPr>
      <w:sz w:val="24"/>
      <w:bdr w:val="none" w:sz="0" w:space="0" w:color="auto"/>
      <w:shd w:val="clear" w:color="auto" w:fill="00FFFF"/>
    </w:rPr>
  </w:style>
  <w:style w:type="character" w:customStyle="1" w:styleId="bibbase">
    <w:name w:val="bib_base"/>
    <w:rsid w:val="009A3899"/>
    <w:rPr>
      <w:sz w:val="24"/>
    </w:rPr>
  </w:style>
  <w:style w:type="character" w:customStyle="1" w:styleId="bibcomment">
    <w:name w:val="bib_comment"/>
    <w:basedOn w:val="bibbase"/>
    <w:rsid w:val="009A3899"/>
    <w:rPr>
      <w:sz w:val="24"/>
    </w:rPr>
  </w:style>
  <w:style w:type="character" w:customStyle="1" w:styleId="bibdeg">
    <w:name w:val="bib_deg"/>
    <w:basedOn w:val="bibbase"/>
    <w:rsid w:val="009A3899"/>
    <w:rPr>
      <w:sz w:val="24"/>
    </w:rPr>
  </w:style>
  <w:style w:type="character" w:customStyle="1" w:styleId="bibdoi">
    <w:name w:val="bib_doi"/>
    <w:basedOn w:val="bibbase"/>
    <w:rsid w:val="009A3899"/>
    <w:rPr>
      <w:sz w:val="24"/>
      <w:bdr w:val="none" w:sz="0" w:space="0" w:color="auto"/>
      <w:shd w:val="clear" w:color="auto" w:fill="00FF00"/>
    </w:rPr>
  </w:style>
  <w:style w:type="character" w:customStyle="1" w:styleId="bibetal">
    <w:name w:val="bib_etal"/>
    <w:basedOn w:val="bibbase"/>
    <w:rsid w:val="009A3899"/>
    <w:rPr>
      <w:sz w:val="24"/>
      <w:bdr w:val="none" w:sz="0" w:space="0" w:color="auto"/>
      <w:shd w:val="clear" w:color="auto" w:fill="008080"/>
    </w:rPr>
  </w:style>
  <w:style w:type="character" w:customStyle="1" w:styleId="bibfname">
    <w:name w:val="bib_fname"/>
    <w:basedOn w:val="bibbase"/>
    <w:rsid w:val="009A3899"/>
    <w:rPr>
      <w:sz w:val="24"/>
      <w:bdr w:val="none" w:sz="0" w:space="0" w:color="auto"/>
      <w:shd w:val="clear" w:color="auto" w:fill="FFFF00"/>
    </w:rPr>
  </w:style>
  <w:style w:type="character" w:customStyle="1" w:styleId="bibfpage">
    <w:name w:val="bib_fpage"/>
    <w:basedOn w:val="bibbase"/>
    <w:rsid w:val="009A3899"/>
    <w:rPr>
      <w:sz w:val="24"/>
      <w:bdr w:val="none" w:sz="0" w:space="0" w:color="auto"/>
      <w:shd w:val="clear" w:color="auto" w:fill="808080"/>
    </w:rPr>
  </w:style>
  <w:style w:type="character" w:customStyle="1" w:styleId="bibissue">
    <w:name w:val="bib_issue"/>
    <w:basedOn w:val="bibbase"/>
    <w:rsid w:val="009A3899"/>
    <w:rPr>
      <w:sz w:val="24"/>
      <w:bdr w:val="none" w:sz="0" w:space="0" w:color="auto"/>
      <w:shd w:val="clear" w:color="auto" w:fill="FFFF00"/>
    </w:rPr>
  </w:style>
  <w:style w:type="character" w:customStyle="1" w:styleId="bibjournal">
    <w:name w:val="bib_journal"/>
    <w:basedOn w:val="bibbase"/>
    <w:rsid w:val="009A3899"/>
    <w:rPr>
      <w:sz w:val="24"/>
      <w:bdr w:val="none" w:sz="0" w:space="0" w:color="auto"/>
      <w:shd w:val="clear" w:color="auto" w:fill="808000"/>
    </w:rPr>
  </w:style>
  <w:style w:type="character" w:customStyle="1" w:styleId="biblpage">
    <w:name w:val="bib_lpage"/>
    <w:basedOn w:val="bibbase"/>
    <w:rsid w:val="009A3899"/>
    <w:rPr>
      <w:sz w:val="24"/>
      <w:bdr w:val="none" w:sz="0" w:space="0" w:color="auto"/>
      <w:shd w:val="clear" w:color="auto" w:fill="808080"/>
    </w:rPr>
  </w:style>
  <w:style w:type="character" w:customStyle="1" w:styleId="bibmedline">
    <w:name w:val="bib_medline"/>
    <w:basedOn w:val="bibbase"/>
    <w:rsid w:val="009A3899"/>
    <w:rPr>
      <w:sz w:val="24"/>
    </w:rPr>
  </w:style>
  <w:style w:type="character" w:customStyle="1" w:styleId="bibnumber">
    <w:name w:val="bib_number"/>
    <w:basedOn w:val="bibbase"/>
    <w:rsid w:val="009A3899"/>
    <w:rPr>
      <w:sz w:val="24"/>
    </w:rPr>
  </w:style>
  <w:style w:type="character" w:customStyle="1" w:styleId="biborganization">
    <w:name w:val="bib_organization"/>
    <w:basedOn w:val="bibbase"/>
    <w:rsid w:val="009A3899"/>
    <w:rPr>
      <w:sz w:val="24"/>
      <w:bdr w:val="none" w:sz="0" w:space="0" w:color="auto"/>
      <w:shd w:val="clear" w:color="auto" w:fill="808000"/>
    </w:rPr>
  </w:style>
  <w:style w:type="character" w:customStyle="1" w:styleId="bibsuffix">
    <w:name w:val="bib_suffix"/>
    <w:basedOn w:val="bibbase"/>
    <w:rsid w:val="009A3899"/>
    <w:rPr>
      <w:sz w:val="24"/>
    </w:rPr>
  </w:style>
  <w:style w:type="character" w:customStyle="1" w:styleId="bibsuppl">
    <w:name w:val="bib_suppl"/>
    <w:basedOn w:val="bibbase"/>
    <w:rsid w:val="009A3899"/>
    <w:rPr>
      <w:sz w:val="24"/>
      <w:bdr w:val="none" w:sz="0" w:space="0" w:color="auto"/>
      <w:shd w:val="clear" w:color="auto" w:fill="FFFF00"/>
    </w:rPr>
  </w:style>
  <w:style w:type="character" w:customStyle="1" w:styleId="bibsurname">
    <w:name w:val="bib_surname"/>
    <w:basedOn w:val="bibbase"/>
    <w:rsid w:val="009A3899"/>
    <w:rPr>
      <w:sz w:val="24"/>
      <w:bdr w:val="none" w:sz="0" w:space="0" w:color="auto"/>
      <w:shd w:val="clear" w:color="auto" w:fill="FFFF00"/>
    </w:rPr>
  </w:style>
  <w:style w:type="character" w:customStyle="1" w:styleId="bibunpubl">
    <w:name w:val="bib_unpubl"/>
    <w:basedOn w:val="bibbase"/>
    <w:rsid w:val="009A3899"/>
    <w:rPr>
      <w:sz w:val="24"/>
    </w:rPr>
  </w:style>
  <w:style w:type="character" w:customStyle="1" w:styleId="biburl">
    <w:name w:val="bib_url"/>
    <w:basedOn w:val="bibbase"/>
    <w:rsid w:val="009A3899"/>
    <w:rPr>
      <w:sz w:val="24"/>
      <w:bdr w:val="none" w:sz="0" w:space="0" w:color="auto"/>
      <w:shd w:val="clear" w:color="auto" w:fill="00FF00"/>
    </w:rPr>
  </w:style>
  <w:style w:type="character" w:customStyle="1" w:styleId="bibvolume">
    <w:name w:val="bib_volume"/>
    <w:basedOn w:val="bibbase"/>
    <w:rsid w:val="009A3899"/>
    <w:rPr>
      <w:sz w:val="24"/>
      <w:bdr w:val="none" w:sz="0" w:space="0" w:color="auto"/>
      <w:shd w:val="clear" w:color="auto" w:fill="00FF00"/>
    </w:rPr>
  </w:style>
  <w:style w:type="character" w:customStyle="1" w:styleId="bibyear">
    <w:name w:val="bib_year"/>
    <w:basedOn w:val="bibbase"/>
    <w:rsid w:val="009A3899"/>
    <w:rPr>
      <w:sz w:val="24"/>
      <w:bdr w:val="none" w:sz="0" w:space="0" w:color="auto"/>
      <w:shd w:val="clear" w:color="auto" w:fill="FF00FF"/>
    </w:rPr>
  </w:style>
  <w:style w:type="paragraph" w:customStyle="1" w:styleId="BookorMeetingInformation">
    <w:name w:val="Book or Meeting Information"/>
    <w:basedOn w:val="BaseText"/>
    <w:rsid w:val="009A3899"/>
  </w:style>
  <w:style w:type="paragraph" w:customStyle="1" w:styleId="BookInformation">
    <w:name w:val="BookInformation"/>
    <w:basedOn w:val="BaseText"/>
    <w:rsid w:val="009A3899"/>
  </w:style>
  <w:style w:type="paragraph" w:customStyle="1" w:styleId="Level2Head">
    <w:name w:val="Level 2 Head"/>
    <w:basedOn w:val="BaseHeading"/>
    <w:rsid w:val="009A3899"/>
    <w:pPr>
      <w:outlineLvl w:val="1"/>
    </w:pPr>
    <w:rPr>
      <w:i/>
      <w:iCs/>
      <w:sz w:val="24"/>
      <w:szCs w:val="24"/>
    </w:rPr>
  </w:style>
  <w:style w:type="paragraph" w:customStyle="1" w:styleId="BoxLevel2Head">
    <w:name w:val="BoxLevel 2 Head"/>
    <w:basedOn w:val="Level2Head"/>
    <w:rsid w:val="009A3899"/>
    <w:pPr>
      <w:shd w:val="clear" w:color="auto" w:fill="E6E6E6"/>
    </w:pPr>
  </w:style>
  <w:style w:type="paragraph" w:customStyle="1" w:styleId="BoxListUnnumbered">
    <w:name w:val="BoxListUnnumbered"/>
    <w:basedOn w:val="BaseText"/>
    <w:rsid w:val="009A3899"/>
    <w:pPr>
      <w:shd w:val="clear" w:color="auto" w:fill="E6E6E6"/>
      <w:ind w:left="1080" w:hanging="360"/>
    </w:pPr>
  </w:style>
  <w:style w:type="paragraph" w:customStyle="1" w:styleId="BoxList">
    <w:name w:val="BoxList"/>
    <w:basedOn w:val="BoxListUnnumbered"/>
    <w:rsid w:val="009A3899"/>
  </w:style>
  <w:style w:type="paragraph" w:customStyle="1" w:styleId="BoxSubhead">
    <w:name w:val="BoxSubhead"/>
    <w:basedOn w:val="Subhead"/>
    <w:rsid w:val="009A3899"/>
    <w:pPr>
      <w:shd w:val="clear" w:color="auto" w:fill="E6E6E6"/>
    </w:pPr>
  </w:style>
  <w:style w:type="paragraph" w:customStyle="1" w:styleId="Paragraph">
    <w:name w:val="Paragraph"/>
    <w:basedOn w:val="BaseText"/>
    <w:rsid w:val="009A3899"/>
    <w:pPr>
      <w:ind w:firstLine="720"/>
    </w:pPr>
  </w:style>
  <w:style w:type="paragraph" w:customStyle="1" w:styleId="BoxText">
    <w:name w:val="BoxText"/>
    <w:basedOn w:val="Paragraph"/>
    <w:rsid w:val="009A3899"/>
    <w:pPr>
      <w:shd w:val="clear" w:color="auto" w:fill="E6E6E6"/>
    </w:pPr>
  </w:style>
  <w:style w:type="paragraph" w:customStyle="1" w:styleId="BoxTitle">
    <w:name w:val="BoxTitle"/>
    <w:basedOn w:val="BaseHeading"/>
    <w:rsid w:val="009A3899"/>
    <w:pPr>
      <w:shd w:val="clear" w:color="auto" w:fill="E6E6E6"/>
    </w:pPr>
    <w:rPr>
      <w:b/>
      <w:sz w:val="24"/>
      <w:szCs w:val="24"/>
    </w:rPr>
  </w:style>
  <w:style w:type="paragraph" w:customStyle="1" w:styleId="BulletedText">
    <w:name w:val="Bulleted Text"/>
    <w:basedOn w:val="BaseText"/>
    <w:rsid w:val="009A3899"/>
    <w:pPr>
      <w:ind w:left="720" w:hanging="720"/>
    </w:pPr>
  </w:style>
  <w:style w:type="paragraph" w:customStyle="1" w:styleId="career-magazine">
    <w:name w:val="career-magazine"/>
    <w:basedOn w:val="BaseText"/>
    <w:rsid w:val="009A3899"/>
    <w:pPr>
      <w:jc w:val="right"/>
    </w:pPr>
    <w:rPr>
      <w:color w:val="FF0000"/>
    </w:rPr>
  </w:style>
  <w:style w:type="paragraph" w:customStyle="1" w:styleId="career-stage">
    <w:name w:val="career-stage"/>
    <w:basedOn w:val="BaseText"/>
    <w:rsid w:val="009A3899"/>
    <w:pPr>
      <w:jc w:val="right"/>
    </w:pPr>
    <w:rPr>
      <w:color w:val="339966"/>
    </w:rPr>
  </w:style>
  <w:style w:type="character" w:customStyle="1" w:styleId="citebase">
    <w:name w:val="cite_base"/>
    <w:rsid w:val="009A3899"/>
    <w:rPr>
      <w:sz w:val="24"/>
    </w:rPr>
  </w:style>
  <w:style w:type="character" w:customStyle="1" w:styleId="citebib">
    <w:name w:val="cite_bib"/>
    <w:basedOn w:val="DefaultParagraphFont"/>
    <w:rsid w:val="009A3899"/>
    <w:rPr>
      <w:sz w:val="24"/>
      <w:bdr w:val="none" w:sz="0" w:space="0" w:color="auto"/>
      <w:shd w:val="clear" w:color="auto" w:fill="00FFFF"/>
    </w:rPr>
  </w:style>
  <w:style w:type="character" w:customStyle="1" w:styleId="citebox">
    <w:name w:val="cite_box"/>
    <w:basedOn w:val="citebase"/>
    <w:rsid w:val="009A3899"/>
    <w:rPr>
      <w:sz w:val="24"/>
    </w:rPr>
  </w:style>
  <w:style w:type="character" w:customStyle="1" w:styleId="citeen">
    <w:name w:val="cite_en"/>
    <w:basedOn w:val="citebase"/>
    <w:rsid w:val="009A3899"/>
    <w:rPr>
      <w:sz w:val="24"/>
      <w:shd w:val="clear" w:color="auto" w:fill="FFFF00"/>
      <w:vertAlign w:val="superscript"/>
    </w:rPr>
  </w:style>
  <w:style w:type="character" w:customStyle="1" w:styleId="citeeq">
    <w:name w:val="cite_eq"/>
    <w:basedOn w:val="citebase"/>
    <w:rsid w:val="009A3899"/>
    <w:rPr>
      <w:sz w:val="24"/>
      <w:bdr w:val="none" w:sz="0" w:space="0" w:color="auto"/>
      <w:shd w:val="clear" w:color="auto" w:fill="FF99CC"/>
    </w:rPr>
  </w:style>
  <w:style w:type="character" w:customStyle="1" w:styleId="citefig">
    <w:name w:val="cite_fig"/>
    <w:basedOn w:val="citebase"/>
    <w:rsid w:val="009A3899"/>
    <w:rPr>
      <w:color w:val="000000"/>
      <w:sz w:val="24"/>
      <w:bdr w:val="none" w:sz="0" w:space="0" w:color="auto"/>
      <w:shd w:val="clear" w:color="auto" w:fill="00FF00"/>
    </w:rPr>
  </w:style>
  <w:style w:type="character" w:customStyle="1" w:styleId="citefn">
    <w:name w:val="cite_fn"/>
    <w:basedOn w:val="citebase"/>
    <w:rsid w:val="009A3899"/>
    <w:rPr>
      <w:sz w:val="24"/>
      <w:bdr w:val="none" w:sz="0" w:space="0" w:color="auto"/>
      <w:shd w:val="clear" w:color="auto" w:fill="FF0000"/>
    </w:rPr>
  </w:style>
  <w:style w:type="character" w:customStyle="1" w:styleId="citetbl">
    <w:name w:val="cite_tbl"/>
    <w:basedOn w:val="citebase"/>
    <w:rsid w:val="009A3899"/>
    <w:rPr>
      <w:color w:val="000000"/>
      <w:sz w:val="24"/>
      <w:bdr w:val="none" w:sz="0" w:space="0" w:color="auto"/>
      <w:shd w:val="clear" w:color="auto" w:fill="FF00FF"/>
    </w:rPr>
  </w:style>
  <w:style w:type="character" w:styleId="CommentReference">
    <w:name w:val="annotation reference"/>
    <w:basedOn w:val="DefaultParagraphFont"/>
    <w:rsid w:val="009A3899"/>
    <w:rPr>
      <w:sz w:val="18"/>
      <w:szCs w:val="18"/>
    </w:rPr>
  </w:style>
  <w:style w:type="paragraph" w:styleId="CommentText">
    <w:name w:val="annotation text"/>
    <w:basedOn w:val="Normal"/>
    <w:link w:val="CommentTextChar"/>
    <w:semiHidden/>
    <w:rsid w:val="009A3899"/>
    <w:rPr>
      <w:rFonts w:eastAsia="Times New Roman"/>
    </w:rPr>
  </w:style>
  <w:style w:type="character" w:customStyle="1" w:styleId="CommentTextChar">
    <w:name w:val="Comment Text Char"/>
    <w:basedOn w:val="DefaultParagraphFont"/>
    <w:link w:val="CommentText"/>
    <w:semiHidden/>
    <w:rsid w:val="009A3899"/>
    <w:rPr>
      <w:rFonts w:ascii="Times New Roman" w:eastAsia="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9A3899"/>
    <w:rPr>
      <w:b/>
      <w:bCs/>
    </w:rPr>
  </w:style>
  <w:style w:type="character" w:customStyle="1" w:styleId="CommentSubjectChar">
    <w:name w:val="Comment Subject Char"/>
    <w:basedOn w:val="CommentTextChar"/>
    <w:link w:val="CommentSubject"/>
    <w:uiPriority w:val="99"/>
    <w:semiHidden/>
    <w:rsid w:val="009A3899"/>
    <w:rPr>
      <w:rFonts w:ascii="Times New Roman" w:eastAsia="Times New Roman" w:hAnsi="Times New Roman"/>
      <w:b/>
      <w:bCs/>
      <w:sz w:val="20"/>
      <w:szCs w:val="20"/>
    </w:rPr>
  </w:style>
  <w:style w:type="paragraph" w:customStyle="1" w:styleId="ContinuedParagraph">
    <w:name w:val="ContinuedParagraph"/>
    <w:basedOn w:val="Paragraph"/>
    <w:rsid w:val="009A3899"/>
    <w:pPr>
      <w:ind w:firstLine="0"/>
    </w:pPr>
  </w:style>
  <w:style w:type="character" w:customStyle="1" w:styleId="ContractNumber">
    <w:name w:val="Contract Number"/>
    <w:basedOn w:val="DefaultParagraphFont"/>
    <w:rsid w:val="009A3899"/>
    <w:rPr>
      <w:sz w:val="24"/>
      <w:szCs w:val="24"/>
      <w:bdr w:val="none" w:sz="0" w:space="0" w:color="auto"/>
      <w:shd w:val="clear" w:color="auto" w:fill="CCFFCC"/>
    </w:rPr>
  </w:style>
  <w:style w:type="character" w:customStyle="1" w:styleId="ContractSponsor">
    <w:name w:val="Contract Sponsor"/>
    <w:basedOn w:val="DefaultParagraphFont"/>
    <w:rsid w:val="009A3899"/>
    <w:rPr>
      <w:sz w:val="24"/>
      <w:szCs w:val="24"/>
      <w:bdr w:val="none" w:sz="0" w:space="0" w:color="auto"/>
      <w:shd w:val="clear" w:color="auto" w:fill="FFCC99"/>
    </w:rPr>
  </w:style>
  <w:style w:type="paragraph" w:customStyle="1" w:styleId="Correspondence">
    <w:name w:val="Correspondence"/>
    <w:basedOn w:val="BaseText"/>
    <w:rsid w:val="009A3899"/>
    <w:pPr>
      <w:spacing w:before="0" w:after="240"/>
    </w:pPr>
  </w:style>
  <w:style w:type="paragraph" w:customStyle="1" w:styleId="DateAccepted">
    <w:name w:val="Date Accepted"/>
    <w:basedOn w:val="BaseText"/>
    <w:rsid w:val="009A3899"/>
    <w:pPr>
      <w:spacing w:before="360"/>
    </w:pPr>
  </w:style>
  <w:style w:type="paragraph" w:customStyle="1" w:styleId="Deck">
    <w:name w:val="Deck"/>
    <w:basedOn w:val="BaseHeading"/>
    <w:rsid w:val="009A3899"/>
    <w:pPr>
      <w:outlineLvl w:val="1"/>
    </w:pPr>
  </w:style>
  <w:style w:type="paragraph" w:customStyle="1" w:styleId="DefTerm">
    <w:name w:val="DefTerm"/>
    <w:basedOn w:val="BaseText"/>
    <w:rsid w:val="009A3899"/>
    <w:pPr>
      <w:ind w:left="720"/>
    </w:pPr>
  </w:style>
  <w:style w:type="paragraph" w:customStyle="1" w:styleId="Definition">
    <w:name w:val="Definition"/>
    <w:basedOn w:val="DefTerm"/>
    <w:rsid w:val="009A3899"/>
    <w:pPr>
      <w:ind w:left="1080" w:hanging="360"/>
    </w:pPr>
  </w:style>
  <w:style w:type="paragraph" w:customStyle="1" w:styleId="DefListTitle">
    <w:name w:val="DefListTitle"/>
    <w:basedOn w:val="BaseHeading"/>
    <w:rsid w:val="009A3899"/>
  </w:style>
  <w:style w:type="paragraph" w:customStyle="1" w:styleId="discipline">
    <w:name w:val="discipline"/>
    <w:basedOn w:val="BaseText"/>
    <w:rsid w:val="009A3899"/>
    <w:pPr>
      <w:jc w:val="right"/>
    </w:pPr>
    <w:rPr>
      <w:color w:val="993366"/>
    </w:rPr>
  </w:style>
  <w:style w:type="paragraph" w:customStyle="1" w:styleId="Editors">
    <w:name w:val="Editors"/>
    <w:basedOn w:val="Authors"/>
    <w:rsid w:val="009A3899"/>
  </w:style>
  <w:style w:type="character" w:styleId="Emphasis">
    <w:name w:val="Emphasis"/>
    <w:basedOn w:val="DefaultParagraphFont"/>
    <w:uiPriority w:val="20"/>
    <w:qFormat/>
    <w:rsid w:val="009A3899"/>
    <w:rPr>
      <w:i/>
      <w:iCs/>
    </w:rPr>
  </w:style>
  <w:style w:type="character" w:styleId="EndnoteReference">
    <w:name w:val="endnote reference"/>
    <w:basedOn w:val="DefaultParagraphFont"/>
    <w:semiHidden/>
    <w:rsid w:val="009A3899"/>
    <w:rPr>
      <w:vertAlign w:val="superscript"/>
    </w:rPr>
  </w:style>
  <w:style w:type="paragraph" w:styleId="EndnoteText">
    <w:name w:val="endnote text"/>
    <w:basedOn w:val="Normal"/>
    <w:link w:val="EndnoteTextChar"/>
    <w:semiHidden/>
    <w:rsid w:val="009A3899"/>
    <w:rPr>
      <w:rFonts w:ascii="Cambria" w:eastAsia="Cambria" w:hAnsi="Cambria"/>
    </w:rPr>
  </w:style>
  <w:style w:type="character" w:customStyle="1" w:styleId="EndnoteTextChar">
    <w:name w:val="Endnote Text Char"/>
    <w:basedOn w:val="DefaultParagraphFont"/>
    <w:link w:val="EndnoteText"/>
    <w:semiHidden/>
    <w:rsid w:val="009A3899"/>
    <w:rPr>
      <w:rFonts w:ascii="Cambria" w:eastAsia="Cambria" w:hAnsi="Cambria"/>
      <w:sz w:val="20"/>
      <w:szCs w:val="20"/>
    </w:rPr>
  </w:style>
  <w:style w:type="character" w:customStyle="1" w:styleId="eqno">
    <w:name w:val="eq_no"/>
    <w:basedOn w:val="citebase"/>
    <w:rsid w:val="009A3899"/>
    <w:rPr>
      <w:sz w:val="24"/>
    </w:rPr>
  </w:style>
  <w:style w:type="paragraph" w:customStyle="1" w:styleId="Equation">
    <w:name w:val="Equation"/>
    <w:basedOn w:val="BaseText"/>
    <w:rsid w:val="009A3899"/>
    <w:pPr>
      <w:jc w:val="center"/>
    </w:pPr>
  </w:style>
  <w:style w:type="paragraph" w:customStyle="1" w:styleId="FieldCodes">
    <w:name w:val="FieldCodes"/>
    <w:basedOn w:val="BaseText"/>
    <w:rsid w:val="009A3899"/>
  </w:style>
  <w:style w:type="paragraph" w:customStyle="1" w:styleId="Legend">
    <w:name w:val="Legend"/>
    <w:basedOn w:val="BaseHeading"/>
    <w:rsid w:val="009A3899"/>
    <w:rPr>
      <w:sz w:val="24"/>
      <w:szCs w:val="24"/>
    </w:rPr>
  </w:style>
  <w:style w:type="paragraph" w:customStyle="1" w:styleId="FigureCopyright">
    <w:name w:val="FigureCopyright"/>
    <w:basedOn w:val="Legend"/>
    <w:rsid w:val="009A3899"/>
    <w:pPr>
      <w:autoSpaceDE w:val="0"/>
      <w:autoSpaceDN w:val="0"/>
      <w:adjustRightInd w:val="0"/>
      <w:spacing w:before="80"/>
    </w:pPr>
    <w:rPr>
      <w:lang w:bidi="he-IL"/>
    </w:rPr>
  </w:style>
  <w:style w:type="paragraph" w:customStyle="1" w:styleId="FigureCredit">
    <w:name w:val="FigureCredit"/>
    <w:basedOn w:val="FigureCopyright"/>
    <w:rsid w:val="009A3899"/>
  </w:style>
  <w:style w:type="character" w:styleId="FollowedHyperlink">
    <w:name w:val="FollowedHyperlink"/>
    <w:basedOn w:val="DefaultParagraphFont"/>
    <w:rsid w:val="009A3899"/>
    <w:rPr>
      <w:color w:val="800080"/>
      <w:u w:val="single"/>
    </w:rPr>
  </w:style>
  <w:style w:type="paragraph" w:styleId="Footer">
    <w:name w:val="footer"/>
    <w:basedOn w:val="Normal"/>
    <w:link w:val="FooterChar"/>
    <w:uiPriority w:val="99"/>
    <w:rsid w:val="009A3899"/>
    <w:pPr>
      <w:tabs>
        <w:tab w:val="center" w:pos="4320"/>
        <w:tab w:val="right" w:pos="8640"/>
      </w:tabs>
    </w:pPr>
    <w:rPr>
      <w:rFonts w:eastAsia="Times New Roman"/>
    </w:rPr>
  </w:style>
  <w:style w:type="character" w:customStyle="1" w:styleId="FooterChar">
    <w:name w:val="Footer Char"/>
    <w:basedOn w:val="DefaultParagraphFont"/>
    <w:link w:val="Footer"/>
    <w:uiPriority w:val="99"/>
    <w:rsid w:val="009A3899"/>
    <w:rPr>
      <w:rFonts w:ascii="Times New Roman" w:eastAsia="Times New Roman" w:hAnsi="Times New Roman"/>
      <w:sz w:val="20"/>
      <w:szCs w:val="20"/>
    </w:rPr>
  </w:style>
  <w:style w:type="character" w:styleId="FootnoteReference">
    <w:name w:val="footnote reference"/>
    <w:basedOn w:val="DefaultParagraphFont"/>
    <w:semiHidden/>
    <w:rsid w:val="009A3899"/>
    <w:rPr>
      <w:vertAlign w:val="superscript"/>
    </w:rPr>
  </w:style>
  <w:style w:type="paragraph" w:customStyle="1" w:styleId="Gloss">
    <w:name w:val="Gloss"/>
    <w:basedOn w:val="AbstractSummary"/>
    <w:rsid w:val="009A3899"/>
  </w:style>
  <w:style w:type="paragraph" w:customStyle="1" w:styleId="Glossary">
    <w:name w:val="Glossary"/>
    <w:basedOn w:val="BaseText"/>
    <w:rsid w:val="009A3899"/>
  </w:style>
  <w:style w:type="paragraph" w:customStyle="1" w:styleId="GlossHead">
    <w:name w:val="GlossHead"/>
    <w:basedOn w:val="AbstractHead"/>
    <w:rsid w:val="009A3899"/>
  </w:style>
  <w:style w:type="paragraph" w:customStyle="1" w:styleId="GraphicAltText">
    <w:name w:val="GraphicAltText"/>
    <w:basedOn w:val="Legend"/>
    <w:rsid w:val="009A3899"/>
    <w:pPr>
      <w:autoSpaceDE w:val="0"/>
      <w:autoSpaceDN w:val="0"/>
      <w:adjustRightInd w:val="0"/>
    </w:pPr>
  </w:style>
  <w:style w:type="paragraph" w:customStyle="1" w:styleId="GraphicCredit">
    <w:name w:val="GraphicCredit"/>
    <w:basedOn w:val="FigureCredit"/>
    <w:rsid w:val="009A3899"/>
  </w:style>
  <w:style w:type="paragraph" w:customStyle="1" w:styleId="Head">
    <w:name w:val="Head"/>
    <w:basedOn w:val="BaseHeading"/>
    <w:rsid w:val="009A3899"/>
    <w:pPr>
      <w:spacing w:before="120" w:after="120"/>
      <w:jc w:val="center"/>
    </w:pPr>
    <w:rPr>
      <w:b/>
      <w:bCs/>
    </w:rPr>
  </w:style>
  <w:style w:type="paragraph" w:styleId="Header">
    <w:name w:val="header"/>
    <w:basedOn w:val="Normal"/>
    <w:link w:val="HeaderChar"/>
    <w:rsid w:val="009A3899"/>
    <w:pPr>
      <w:tabs>
        <w:tab w:val="center" w:pos="4320"/>
        <w:tab w:val="right" w:pos="8640"/>
      </w:tabs>
    </w:pPr>
    <w:rPr>
      <w:rFonts w:eastAsia="Times New Roman"/>
    </w:rPr>
  </w:style>
  <w:style w:type="character" w:customStyle="1" w:styleId="HeaderChar">
    <w:name w:val="Header Char"/>
    <w:basedOn w:val="DefaultParagraphFont"/>
    <w:link w:val="Header"/>
    <w:rsid w:val="009A3899"/>
    <w:rPr>
      <w:rFonts w:ascii="Times New Roman" w:eastAsia="Times New Roman" w:hAnsi="Times New Roman"/>
      <w:sz w:val="20"/>
      <w:szCs w:val="20"/>
    </w:rPr>
  </w:style>
  <w:style w:type="character" w:styleId="HTMLAcronym">
    <w:name w:val="HTML Acronym"/>
    <w:basedOn w:val="DefaultParagraphFont"/>
    <w:rsid w:val="009A3899"/>
  </w:style>
  <w:style w:type="character" w:styleId="HTMLCite">
    <w:name w:val="HTML Cite"/>
    <w:basedOn w:val="DefaultParagraphFont"/>
    <w:rsid w:val="009A3899"/>
    <w:rPr>
      <w:i/>
      <w:iCs/>
    </w:rPr>
  </w:style>
  <w:style w:type="character" w:styleId="HTMLCode">
    <w:name w:val="HTML Code"/>
    <w:basedOn w:val="DefaultParagraphFont"/>
    <w:rsid w:val="009A3899"/>
    <w:rPr>
      <w:rFonts w:ascii="Courier New" w:hAnsi="Courier New" w:cs="Courier New"/>
      <w:sz w:val="20"/>
      <w:szCs w:val="20"/>
    </w:rPr>
  </w:style>
  <w:style w:type="character" w:styleId="HTMLDefinition">
    <w:name w:val="HTML Definition"/>
    <w:basedOn w:val="DefaultParagraphFont"/>
    <w:rsid w:val="009A3899"/>
    <w:rPr>
      <w:i/>
      <w:iCs/>
    </w:rPr>
  </w:style>
  <w:style w:type="character" w:styleId="HTMLKeyboard">
    <w:name w:val="HTML Keyboard"/>
    <w:basedOn w:val="DefaultParagraphFont"/>
    <w:rsid w:val="009A3899"/>
    <w:rPr>
      <w:rFonts w:ascii="Courier New" w:hAnsi="Courier New" w:cs="Courier New"/>
      <w:sz w:val="20"/>
      <w:szCs w:val="20"/>
    </w:rPr>
  </w:style>
  <w:style w:type="paragraph" w:styleId="HTMLPreformatted">
    <w:name w:val="HTML Preformatted"/>
    <w:basedOn w:val="Normal"/>
    <w:link w:val="HTMLPreformattedChar"/>
    <w:rsid w:val="009A3899"/>
    <w:rPr>
      <w:rFonts w:ascii="Consolas" w:eastAsia="Times New Roman" w:hAnsi="Consolas"/>
    </w:rPr>
  </w:style>
  <w:style w:type="character" w:customStyle="1" w:styleId="HTMLPreformattedChar">
    <w:name w:val="HTML Preformatted Char"/>
    <w:basedOn w:val="DefaultParagraphFont"/>
    <w:link w:val="HTMLPreformatted"/>
    <w:rsid w:val="009A3899"/>
    <w:rPr>
      <w:rFonts w:ascii="Consolas" w:eastAsia="Times New Roman" w:hAnsi="Consolas"/>
      <w:sz w:val="20"/>
      <w:szCs w:val="20"/>
    </w:rPr>
  </w:style>
  <w:style w:type="character" w:styleId="HTMLSample">
    <w:name w:val="HTML Sample"/>
    <w:basedOn w:val="DefaultParagraphFont"/>
    <w:rsid w:val="009A3899"/>
    <w:rPr>
      <w:rFonts w:ascii="Courier New" w:hAnsi="Courier New" w:cs="Courier New"/>
    </w:rPr>
  </w:style>
  <w:style w:type="character" w:styleId="HTMLTypewriter">
    <w:name w:val="HTML Typewriter"/>
    <w:basedOn w:val="DefaultParagraphFont"/>
    <w:rsid w:val="009A3899"/>
    <w:rPr>
      <w:rFonts w:ascii="Courier New" w:hAnsi="Courier New" w:cs="Courier New"/>
      <w:sz w:val="20"/>
      <w:szCs w:val="20"/>
    </w:rPr>
  </w:style>
  <w:style w:type="character" w:styleId="HTMLVariable">
    <w:name w:val="HTML Variable"/>
    <w:basedOn w:val="DefaultParagraphFont"/>
    <w:rsid w:val="009A3899"/>
    <w:rPr>
      <w:i/>
      <w:iCs/>
    </w:rPr>
  </w:style>
  <w:style w:type="character" w:styleId="Hyperlink">
    <w:name w:val="Hyperlink"/>
    <w:basedOn w:val="DefaultParagraphFont"/>
    <w:rsid w:val="009A3899"/>
    <w:rPr>
      <w:color w:val="0000FF"/>
      <w:u w:val="single"/>
    </w:rPr>
  </w:style>
  <w:style w:type="paragraph" w:customStyle="1" w:styleId="InstructionsText">
    <w:name w:val="Instructions Text"/>
    <w:basedOn w:val="BaseText"/>
    <w:rsid w:val="009A3899"/>
  </w:style>
  <w:style w:type="paragraph" w:customStyle="1" w:styleId="Overline">
    <w:name w:val="Overline"/>
    <w:basedOn w:val="BaseText"/>
    <w:rsid w:val="009A3899"/>
  </w:style>
  <w:style w:type="paragraph" w:customStyle="1" w:styleId="IssueName">
    <w:name w:val="IssueName"/>
    <w:basedOn w:val="Overline"/>
    <w:rsid w:val="009A3899"/>
  </w:style>
  <w:style w:type="paragraph" w:customStyle="1" w:styleId="Keywords">
    <w:name w:val="Keywords"/>
    <w:basedOn w:val="BaseText"/>
    <w:rsid w:val="009A3899"/>
  </w:style>
  <w:style w:type="paragraph" w:customStyle="1" w:styleId="Level3Head">
    <w:name w:val="Level 3 Head"/>
    <w:basedOn w:val="BaseHeading"/>
    <w:rsid w:val="009A3899"/>
    <w:pPr>
      <w:outlineLvl w:val="2"/>
    </w:pPr>
    <w:rPr>
      <w:sz w:val="24"/>
      <w:szCs w:val="24"/>
      <w:u w:val="single"/>
    </w:rPr>
  </w:style>
  <w:style w:type="paragraph" w:customStyle="1" w:styleId="Level4Head">
    <w:name w:val="Level 4 Head"/>
    <w:basedOn w:val="BaseHeading"/>
    <w:rsid w:val="009A3899"/>
    <w:pPr>
      <w:ind w:left="346"/>
    </w:pPr>
    <w:rPr>
      <w:sz w:val="24"/>
      <w:szCs w:val="24"/>
    </w:rPr>
  </w:style>
  <w:style w:type="character" w:styleId="LineNumber">
    <w:name w:val="line number"/>
    <w:basedOn w:val="DefaultParagraphFont"/>
    <w:rsid w:val="009A3899"/>
  </w:style>
  <w:style w:type="paragraph" w:customStyle="1" w:styleId="Literaryquote">
    <w:name w:val="Literary quote"/>
    <w:basedOn w:val="BaseText"/>
    <w:rsid w:val="009A3899"/>
    <w:pPr>
      <w:ind w:left="1440" w:right="1440"/>
    </w:pPr>
  </w:style>
  <w:style w:type="paragraph" w:customStyle="1" w:styleId="MaterialsText">
    <w:name w:val="Materials Text"/>
    <w:basedOn w:val="BaseText"/>
    <w:rsid w:val="009A3899"/>
  </w:style>
  <w:style w:type="paragraph" w:customStyle="1" w:styleId="NoteInProof">
    <w:name w:val="NoteInProof"/>
    <w:basedOn w:val="BaseText"/>
    <w:rsid w:val="009A3899"/>
  </w:style>
  <w:style w:type="paragraph" w:customStyle="1" w:styleId="Notes">
    <w:name w:val="Notes"/>
    <w:basedOn w:val="BaseText"/>
    <w:rsid w:val="009A3899"/>
    <w:rPr>
      <w:i/>
    </w:rPr>
  </w:style>
  <w:style w:type="paragraph" w:customStyle="1" w:styleId="Notes-Helvetica">
    <w:name w:val="Notes-Helvetica"/>
    <w:basedOn w:val="BaseText"/>
    <w:rsid w:val="009A3899"/>
    <w:rPr>
      <w:i/>
    </w:rPr>
  </w:style>
  <w:style w:type="paragraph" w:customStyle="1" w:styleId="NumberedInstructions">
    <w:name w:val="Numbered Instructions"/>
    <w:basedOn w:val="BaseText"/>
    <w:rsid w:val="009A3899"/>
  </w:style>
  <w:style w:type="paragraph" w:customStyle="1" w:styleId="OutlineLevel1">
    <w:name w:val="OutlineLevel1"/>
    <w:basedOn w:val="BaseHeading"/>
    <w:rsid w:val="009A3899"/>
    <w:rPr>
      <w:b/>
      <w:bCs/>
    </w:rPr>
  </w:style>
  <w:style w:type="paragraph" w:customStyle="1" w:styleId="OutlineLevel2">
    <w:name w:val="OutlineLevel2"/>
    <w:basedOn w:val="BaseHeading"/>
    <w:rsid w:val="009A3899"/>
    <w:pPr>
      <w:ind w:left="360"/>
      <w:outlineLvl w:val="1"/>
    </w:pPr>
    <w:rPr>
      <w:b/>
      <w:bCs/>
      <w:sz w:val="24"/>
      <w:szCs w:val="24"/>
    </w:rPr>
  </w:style>
  <w:style w:type="paragraph" w:customStyle="1" w:styleId="OutlineLevel3">
    <w:name w:val="OutlineLevel3"/>
    <w:basedOn w:val="BaseHeading"/>
    <w:rsid w:val="009A3899"/>
    <w:pPr>
      <w:ind w:left="720"/>
      <w:outlineLvl w:val="2"/>
    </w:pPr>
    <w:rPr>
      <w:b/>
      <w:bCs/>
      <w:sz w:val="24"/>
      <w:szCs w:val="24"/>
    </w:rPr>
  </w:style>
  <w:style w:type="character" w:styleId="PageNumber">
    <w:name w:val="page number"/>
    <w:basedOn w:val="DefaultParagraphFont"/>
    <w:rsid w:val="009A3899"/>
  </w:style>
  <w:style w:type="paragraph" w:customStyle="1" w:styleId="Preformat">
    <w:name w:val="Preformat"/>
    <w:basedOn w:val="BaseText"/>
    <w:rsid w:val="009A3899"/>
    <w:pPr>
      <w:tabs>
        <w:tab w:val="left" w:pos="360"/>
        <w:tab w:val="left" w:pos="720"/>
        <w:tab w:val="left" w:pos="1080"/>
        <w:tab w:val="left" w:pos="1440"/>
        <w:tab w:val="left" w:pos="1800"/>
        <w:tab w:val="left" w:pos="2160"/>
        <w:tab w:val="left" w:pos="2520"/>
        <w:tab w:val="left" w:pos="2880"/>
      </w:tabs>
    </w:pPr>
    <w:rPr>
      <w:rFonts w:ascii="Courier New" w:hAnsi="Courier New" w:cs="Courier New"/>
    </w:rPr>
  </w:style>
  <w:style w:type="paragraph" w:customStyle="1" w:styleId="ProductAuthors">
    <w:name w:val="ProductAuthors"/>
    <w:basedOn w:val="BaseText"/>
    <w:rsid w:val="009A3899"/>
  </w:style>
  <w:style w:type="paragraph" w:customStyle="1" w:styleId="ProductInformation">
    <w:name w:val="ProductInformation"/>
    <w:basedOn w:val="BaseText"/>
    <w:rsid w:val="009A3899"/>
  </w:style>
  <w:style w:type="paragraph" w:customStyle="1" w:styleId="ProductTitle">
    <w:name w:val="ProductTitle"/>
    <w:basedOn w:val="BaseText"/>
    <w:rsid w:val="009A3899"/>
    <w:rPr>
      <w:b/>
      <w:bCs/>
    </w:rPr>
  </w:style>
  <w:style w:type="paragraph" w:customStyle="1" w:styleId="PublishedOnline">
    <w:name w:val="Published Online"/>
    <w:basedOn w:val="DateAccepted"/>
    <w:rsid w:val="009A3899"/>
  </w:style>
  <w:style w:type="paragraph" w:customStyle="1" w:styleId="RecipeMaterials">
    <w:name w:val="Recipe Materials"/>
    <w:basedOn w:val="BaseText"/>
    <w:rsid w:val="009A3899"/>
  </w:style>
  <w:style w:type="paragraph" w:customStyle="1" w:styleId="Refhead">
    <w:name w:val="Ref head"/>
    <w:basedOn w:val="BaseHeading"/>
    <w:rsid w:val="009A3899"/>
    <w:pPr>
      <w:spacing w:before="120" w:after="120"/>
    </w:pPr>
    <w:rPr>
      <w:b/>
      <w:bCs/>
      <w:sz w:val="24"/>
      <w:szCs w:val="24"/>
    </w:rPr>
  </w:style>
  <w:style w:type="paragraph" w:customStyle="1" w:styleId="ReferenceNote">
    <w:name w:val="Reference Note"/>
    <w:basedOn w:val="Referencesandnotes"/>
    <w:rsid w:val="009A3899"/>
  </w:style>
  <w:style w:type="paragraph" w:customStyle="1" w:styleId="ReferencesandnotesLong">
    <w:name w:val="References and notes Long"/>
    <w:basedOn w:val="BaseText"/>
    <w:rsid w:val="009A3899"/>
    <w:pPr>
      <w:ind w:left="720" w:hanging="720"/>
    </w:pPr>
  </w:style>
  <w:style w:type="paragraph" w:customStyle="1" w:styleId="region">
    <w:name w:val="region"/>
    <w:basedOn w:val="BaseText"/>
    <w:rsid w:val="009A3899"/>
    <w:pPr>
      <w:jc w:val="right"/>
    </w:pPr>
    <w:rPr>
      <w:color w:val="0000FF"/>
    </w:rPr>
  </w:style>
  <w:style w:type="paragraph" w:customStyle="1" w:styleId="RelatedArticle">
    <w:name w:val="RelatedArticle"/>
    <w:basedOn w:val="Referencesandnotes"/>
    <w:rsid w:val="009A3899"/>
  </w:style>
  <w:style w:type="paragraph" w:customStyle="1" w:styleId="RunHead">
    <w:name w:val="RunHead"/>
    <w:basedOn w:val="BaseText"/>
    <w:rsid w:val="009A3899"/>
  </w:style>
  <w:style w:type="paragraph" w:customStyle="1" w:styleId="SOMContent">
    <w:name w:val="SOMContent"/>
    <w:basedOn w:val="1stparatext"/>
    <w:rsid w:val="009A3899"/>
  </w:style>
  <w:style w:type="paragraph" w:customStyle="1" w:styleId="SOMHead">
    <w:name w:val="SOMHead"/>
    <w:basedOn w:val="BaseHeading"/>
    <w:rsid w:val="009A3899"/>
    <w:rPr>
      <w:b/>
      <w:sz w:val="24"/>
      <w:szCs w:val="24"/>
    </w:rPr>
  </w:style>
  <w:style w:type="paragraph" w:customStyle="1" w:styleId="Speaker">
    <w:name w:val="Speaker"/>
    <w:basedOn w:val="Paragraph"/>
    <w:rsid w:val="009A3899"/>
    <w:pPr>
      <w:autoSpaceDE w:val="0"/>
      <w:autoSpaceDN w:val="0"/>
      <w:adjustRightInd w:val="0"/>
    </w:pPr>
    <w:rPr>
      <w:b/>
      <w:lang w:bidi="he-IL"/>
    </w:rPr>
  </w:style>
  <w:style w:type="paragraph" w:customStyle="1" w:styleId="Speech">
    <w:name w:val="Speech"/>
    <w:basedOn w:val="Paragraph"/>
    <w:rsid w:val="009A3899"/>
    <w:pPr>
      <w:autoSpaceDE w:val="0"/>
      <w:autoSpaceDN w:val="0"/>
      <w:adjustRightInd w:val="0"/>
    </w:pPr>
    <w:rPr>
      <w:lang w:bidi="he-IL"/>
    </w:rPr>
  </w:style>
  <w:style w:type="character" w:styleId="Strong">
    <w:name w:val="Strong"/>
    <w:basedOn w:val="DefaultParagraphFont"/>
    <w:uiPriority w:val="22"/>
    <w:qFormat/>
    <w:rsid w:val="009A3899"/>
    <w:rPr>
      <w:b/>
      <w:bCs/>
    </w:rPr>
  </w:style>
  <w:style w:type="paragraph" w:customStyle="1" w:styleId="SX-Abstract">
    <w:name w:val="SX-Abstract"/>
    <w:basedOn w:val="Normal"/>
    <w:qFormat/>
    <w:rsid w:val="009A3899"/>
    <w:pPr>
      <w:widowControl w:val="0"/>
      <w:spacing w:before="120" w:after="240" w:line="210" w:lineRule="exact"/>
      <w:ind w:left="700" w:right="700"/>
      <w:jc w:val="both"/>
    </w:pPr>
    <w:rPr>
      <w:rFonts w:ascii="BlissRegular" w:eastAsia="Times New Roman" w:hAnsi="BlissRegular"/>
      <w:b/>
    </w:rPr>
  </w:style>
  <w:style w:type="paragraph" w:customStyle="1" w:styleId="SX-Affiliation">
    <w:name w:val="SX-Affiliation"/>
    <w:basedOn w:val="Normal"/>
    <w:next w:val="Normal"/>
    <w:qFormat/>
    <w:rsid w:val="009A3899"/>
    <w:pPr>
      <w:spacing w:after="160" w:line="190" w:lineRule="exact"/>
    </w:pPr>
    <w:rPr>
      <w:rFonts w:ascii="BlissRegular" w:eastAsia="Times New Roman" w:hAnsi="BlissRegular"/>
      <w:sz w:val="16"/>
    </w:rPr>
  </w:style>
  <w:style w:type="paragraph" w:customStyle="1" w:styleId="SX-Articlehead">
    <w:name w:val="SX-Article head"/>
    <w:basedOn w:val="Normal"/>
    <w:qFormat/>
    <w:rsid w:val="009A3899"/>
    <w:pPr>
      <w:spacing w:before="210" w:line="210" w:lineRule="exact"/>
      <w:ind w:firstLine="288"/>
      <w:jc w:val="both"/>
    </w:pPr>
    <w:rPr>
      <w:rFonts w:eastAsia="Times New Roman"/>
      <w:b/>
      <w:sz w:val="18"/>
    </w:rPr>
  </w:style>
  <w:style w:type="paragraph" w:customStyle="1" w:styleId="SX-Authornames">
    <w:name w:val="SX-Author names"/>
    <w:basedOn w:val="Normal"/>
    <w:rsid w:val="009A3899"/>
    <w:pPr>
      <w:spacing w:after="120" w:line="210" w:lineRule="exact"/>
    </w:pPr>
    <w:rPr>
      <w:rFonts w:ascii="BlissMedium" w:eastAsia="Times New Roman" w:hAnsi="BlissMedium"/>
    </w:rPr>
  </w:style>
  <w:style w:type="paragraph" w:customStyle="1" w:styleId="SX-Bodytext">
    <w:name w:val="SX-Body text"/>
    <w:basedOn w:val="Normal"/>
    <w:next w:val="Normal"/>
    <w:rsid w:val="009A3899"/>
    <w:pPr>
      <w:spacing w:line="210" w:lineRule="exact"/>
      <w:ind w:firstLine="288"/>
      <w:jc w:val="both"/>
    </w:pPr>
    <w:rPr>
      <w:rFonts w:eastAsia="Times New Roman"/>
      <w:sz w:val="18"/>
    </w:rPr>
  </w:style>
  <w:style w:type="paragraph" w:customStyle="1" w:styleId="SX-Bodytextflush">
    <w:name w:val="SX-Body text flush"/>
    <w:basedOn w:val="SX-Bodytext"/>
    <w:next w:val="SX-Bodytext"/>
    <w:rsid w:val="009A3899"/>
    <w:pPr>
      <w:ind w:firstLine="0"/>
    </w:pPr>
  </w:style>
  <w:style w:type="paragraph" w:customStyle="1" w:styleId="SX-Correspondence">
    <w:name w:val="SX-Correspondence"/>
    <w:basedOn w:val="SX-Affiliation"/>
    <w:qFormat/>
    <w:rsid w:val="009A3899"/>
    <w:pPr>
      <w:spacing w:after="80"/>
    </w:pPr>
  </w:style>
  <w:style w:type="paragraph" w:customStyle="1" w:styleId="SX-Date">
    <w:name w:val="SX-Date"/>
    <w:basedOn w:val="Normal"/>
    <w:qFormat/>
    <w:rsid w:val="009A3899"/>
    <w:pPr>
      <w:spacing w:before="180" w:line="190" w:lineRule="exact"/>
      <w:ind w:left="245" w:hanging="245"/>
      <w:jc w:val="both"/>
    </w:pPr>
    <w:rPr>
      <w:rFonts w:eastAsia="Times New Roman"/>
      <w:sz w:val="16"/>
    </w:rPr>
  </w:style>
  <w:style w:type="paragraph" w:customStyle="1" w:styleId="SX-Equation">
    <w:name w:val="SX-Equation"/>
    <w:basedOn w:val="SX-Bodytextflush"/>
    <w:next w:val="SX-Bodytext"/>
    <w:rsid w:val="009A3899"/>
    <w:pPr>
      <w:autoSpaceDE w:val="0"/>
      <w:autoSpaceDN w:val="0"/>
      <w:adjustRightInd w:val="0"/>
      <w:spacing w:line="240" w:lineRule="auto"/>
      <w:jc w:val="center"/>
    </w:pPr>
  </w:style>
  <w:style w:type="paragraph" w:customStyle="1" w:styleId="SX-Legend">
    <w:name w:val="SX-Legend"/>
    <w:basedOn w:val="SX-Authornames"/>
    <w:rsid w:val="009A3899"/>
    <w:pPr>
      <w:jc w:val="both"/>
    </w:pPr>
    <w:rPr>
      <w:sz w:val="18"/>
    </w:rPr>
  </w:style>
  <w:style w:type="paragraph" w:customStyle="1" w:styleId="SX-References">
    <w:name w:val="SX-References"/>
    <w:basedOn w:val="Normal"/>
    <w:rsid w:val="009A3899"/>
    <w:pPr>
      <w:spacing w:line="190" w:lineRule="exact"/>
      <w:ind w:left="245" w:hanging="245"/>
      <w:jc w:val="both"/>
    </w:pPr>
    <w:rPr>
      <w:rFonts w:eastAsia="Times New Roman"/>
      <w:sz w:val="16"/>
    </w:rPr>
  </w:style>
  <w:style w:type="paragraph" w:customStyle="1" w:styleId="SX-RefHead">
    <w:name w:val="SX-RefHead"/>
    <w:basedOn w:val="Normal"/>
    <w:rsid w:val="009A3899"/>
    <w:pPr>
      <w:spacing w:before="200" w:line="190" w:lineRule="exact"/>
    </w:pPr>
    <w:rPr>
      <w:rFonts w:eastAsia="Times New Roman"/>
      <w:b/>
      <w:sz w:val="16"/>
    </w:rPr>
  </w:style>
  <w:style w:type="character" w:customStyle="1" w:styleId="SX-reflink">
    <w:name w:val="SX-reflink"/>
    <w:basedOn w:val="DefaultParagraphFont"/>
    <w:uiPriority w:val="1"/>
    <w:qFormat/>
    <w:rsid w:val="009A3899"/>
    <w:rPr>
      <w:color w:val="0000FF"/>
      <w:sz w:val="16"/>
      <w:u w:val="words"/>
      <w:bdr w:val="none" w:sz="0" w:space="0" w:color="auto"/>
      <w:shd w:val="clear" w:color="auto" w:fill="FFFFFF"/>
    </w:rPr>
  </w:style>
  <w:style w:type="paragraph" w:customStyle="1" w:styleId="SX-SOMHead">
    <w:name w:val="SX-SOMHead"/>
    <w:basedOn w:val="SX-RefHead"/>
    <w:rsid w:val="009A3899"/>
  </w:style>
  <w:style w:type="paragraph" w:customStyle="1" w:styleId="SX-Tablehead">
    <w:name w:val="SX-Tablehead"/>
    <w:basedOn w:val="Normal"/>
    <w:qFormat/>
    <w:rsid w:val="009A3899"/>
    <w:rPr>
      <w:rFonts w:eastAsia="Times New Roman"/>
      <w:szCs w:val="24"/>
    </w:rPr>
  </w:style>
  <w:style w:type="paragraph" w:customStyle="1" w:styleId="SX-Tablelegend">
    <w:name w:val="SX-Tablelegend"/>
    <w:basedOn w:val="Normal"/>
    <w:qFormat/>
    <w:rsid w:val="009A3899"/>
    <w:pPr>
      <w:spacing w:line="190" w:lineRule="exact"/>
      <w:ind w:left="245" w:hanging="245"/>
      <w:jc w:val="both"/>
    </w:pPr>
    <w:rPr>
      <w:rFonts w:eastAsia="Times New Roman"/>
      <w:sz w:val="16"/>
    </w:rPr>
  </w:style>
  <w:style w:type="paragraph" w:customStyle="1" w:styleId="SX-Tabletext">
    <w:name w:val="SX-Tabletext"/>
    <w:basedOn w:val="Normal"/>
    <w:qFormat/>
    <w:rsid w:val="009A3899"/>
    <w:pPr>
      <w:spacing w:line="210" w:lineRule="exact"/>
      <w:jc w:val="center"/>
    </w:pPr>
    <w:rPr>
      <w:rFonts w:eastAsia="Times New Roman"/>
      <w:sz w:val="18"/>
    </w:rPr>
  </w:style>
  <w:style w:type="paragraph" w:customStyle="1" w:styleId="SX-Tabletitle">
    <w:name w:val="SX-Tabletitle"/>
    <w:basedOn w:val="Normal"/>
    <w:qFormat/>
    <w:rsid w:val="009A3899"/>
    <w:pPr>
      <w:spacing w:after="120" w:line="210" w:lineRule="exact"/>
      <w:jc w:val="both"/>
    </w:pPr>
    <w:rPr>
      <w:rFonts w:ascii="BlissMedium" w:eastAsia="Times New Roman" w:hAnsi="BlissMedium"/>
      <w:sz w:val="18"/>
    </w:rPr>
  </w:style>
  <w:style w:type="paragraph" w:customStyle="1" w:styleId="SX-Title">
    <w:name w:val="SX-Title"/>
    <w:basedOn w:val="Normal"/>
    <w:rsid w:val="009A3899"/>
    <w:pPr>
      <w:spacing w:after="240" w:line="500" w:lineRule="exact"/>
    </w:pPr>
    <w:rPr>
      <w:rFonts w:ascii="BlissBold" w:eastAsia="Times New Roman" w:hAnsi="BlissBold"/>
      <w:b/>
      <w:sz w:val="44"/>
    </w:rPr>
  </w:style>
  <w:style w:type="paragraph" w:customStyle="1" w:styleId="Tablecolumnhead">
    <w:name w:val="Table column head"/>
    <w:basedOn w:val="BaseText"/>
    <w:rsid w:val="009A3899"/>
    <w:pPr>
      <w:spacing w:before="0"/>
    </w:pPr>
  </w:style>
  <w:style w:type="paragraph" w:customStyle="1" w:styleId="Tabletext">
    <w:name w:val="Table text"/>
    <w:basedOn w:val="BaseText"/>
    <w:rsid w:val="009A3899"/>
    <w:pPr>
      <w:spacing w:before="0"/>
    </w:pPr>
  </w:style>
  <w:style w:type="paragraph" w:customStyle="1" w:styleId="TableLegend">
    <w:name w:val="TableLegend"/>
    <w:basedOn w:val="BaseText"/>
    <w:rsid w:val="009A3899"/>
    <w:pPr>
      <w:spacing w:before="0"/>
    </w:pPr>
  </w:style>
  <w:style w:type="paragraph" w:customStyle="1" w:styleId="TableTitle">
    <w:name w:val="TableTitle"/>
    <w:basedOn w:val="BaseHeading"/>
    <w:rsid w:val="009A3899"/>
  </w:style>
  <w:style w:type="paragraph" w:customStyle="1" w:styleId="Teaser">
    <w:name w:val="Teaser"/>
    <w:basedOn w:val="BaseText"/>
    <w:qFormat/>
    <w:rsid w:val="009A3899"/>
  </w:style>
  <w:style w:type="paragraph" w:customStyle="1" w:styleId="TWIS">
    <w:name w:val="TWIS"/>
    <w:basedOn w:val="AbstractSummary"/>
    <w:rsid w:val="009A3899"/>
    <w:pPr>
      <w:autoSpaceDE w:val="0"/>
      <w:autoSpaceDN w:val="0"/>
      <w:adjustRightInd w:val="0"/>
    </w:pPr>
  </w:style>
  <w:style w:type="paragraph" w:customStyle="1" w:styleId="TWISorEC">
    <w:name w:val="TWIS or EC"/>
    <w:basedOn w:val="Normal"/>
    <w:rsid w:val="009A3899"/>
    <w:pPr>
      <w:spacing w:line="210" w:lineRule="exact"/>
    </w:pPr>
    <w:rPr>
      <w:rFonts w:ascii="BlissRegular" w:eastAsia="Times New Roman" w:hAnsi="BlissRegular"/>
      <w:sz w:val="19"/>
    </w:rPr>
  </w:style>
  <w:style w:type="paragraph" w:customStyle="1" w:styleId="work-sector">
    <w:name w:val="work-sector"/>
    <w:basedOn w:val="BaseText"/>
    <w:rsid w:val="009A3899"/>
    <w:pPr>
      <w:jc w:val="right"/>
    </w:pPr>
    <w:rPr>
      <w:color w:val="003300"/>
    </w:rPr>
  </w:style>
  <w:style w:type="paragraph" w:customStyle="1" w:styleId="DOI">
    <w:name w:val="DOI"/>
    <w:basedOn w:val="DateAccepted"/>
    <w:qFormat/>
    <w:rsid w:val="009A7F20"/>
  </w:style>
  <w:style w:type="character" w:styleId="UnresolvedMention">
    <w:name w:val="Unresolved Mention"/>
    <w:basedOn w:val="DefaultParagraphFont"/>
    <w:uiPriority w:val="99"/>
    <w:semiHidden/>
    <w:unhideWhenUsed/>
    <w:rsid w:val="00F26AF7"/>
    <w:rPr>
      <w:color w:val="808080"/>
      <w:shd w:val="clear" w:color="auto" w:fill="E6E6E6"/>
    </w:rPr>
  </w:style>
  <w:style w:type="paragraph" w:customStyle="1" w:styleId="acknowledgement0">
    <w:name w:val="acknowledgement"/>
    <w:basedOn w:val="Normal"/>
    <w:rsid w:val="009A6B8F"/>
    <w:pPr>
      <w:spacing w:before="100" w:beforeAutospacing="1" w:after="100" w:afterAutospacing="1"/>
    </w:pPr>
    <w:rPr>
      <w:rFonts w:eastAsia="Times New Roman"/>
      <w:sz w:val="24"/>
      <w:szCs w:val="24"/>
    </w:rPr>
  </w:style>
  <w:style w:type="character" w:customStyle="1" w:styleId="apple-converted-space">
    <w:name w:val="apple-converted-space"/>
    <w:basedOn w:val="DefaultParagraphFont"/>
    <w:rsid w:val="009A6B8F"/>
  </w:style>
  <w:style w:type="paragraph" w:styleId="Revision">
    <w:name w:val="Revision"/>
    <w:hidden/>
    <w:uiPriority w:val="71"/>
    <w:rsid w:val="003D791C"/>
  </w:style>
  <w:style w:type="paragraph" w:styleId="ListParagraph">
    <w:name w:val="List Paragraph"/>
    <w:basedOn w:val="Normal"/>
    <w:uiPriority w:val="72"/>
    <w:qFormat/>
    <w:rsid w:val="0088137D"/>
    <w:pPr>
      <w:ind w:left="720"/>
      <w:contextualSpacing/>
    </w:pPr>
  </w:style>
  <w:style w:type="paragraph" w:styleId="Bibliography">
    <w:name w:val="Bibliography"/>
    <w:basedOn w:val="Normal"/>
    <w:next w:val="Normal"/>
    <w:uiPriority w:val="70"/>
    <w:rsid w:val="005E2766"/>
    <w:pPr>
      <w:tabs>
        <w:tab w:val="left" w:pos="504"/>
      </w:tabs>
      <w:spacing w:after="240"/>
      <w:ind w:left="504" w:hanging="504"/>
    </w:pPr>
  </w:style>
  <w:style w:type="character" w:styleId="PlaceholderText">
    <w:name w:val="Placeholder Text"/>
    <w:basedOn w:val="DefaultParagraphFont"/>
    <w:uiPriority w:val="99"/>
    <w:unhideWhenUsed/>
    <w:rsid w:val="00145CCB"/>
    <w:rPr>
      <w:color w:val="666666"/>
    </w:rPr>
  </w:style>
  <w:style w:type="table" w:styleId="TableGrid">
    <w:name w:val="Table Grid"/>
    <w:basedOn w:val="TableNormal"/>
    <w:uiPriority w:val="59"/>
    <w:rsid w:val="005613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694EEB"/>
    <w:pPr>
      <w:spacing w:after="200"/>
    </w:pPr>
    <w:rPr>
      <w:i/>
      <w:iCs/>
      <w:color w:val="1F497D" w:themeColor="text2"/>
      <w:sz w:val="18"/>
      <w:szCs w:val="18"/>
    </w:rPr>
  </w:style>
  <w:style w:type="paragraph" w:styleId="NormalWeb">
    <w:name w:val="Normal (Web)"/>
    <w:basedOn w:val="Normal"/>
    <w:uiPriority w:val="99"/>
    <w:semiHidden/>
    <w:unhideWhenUsed/>
    <w:rsid w:val="001F5A24"/>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446886">
      <w:bodyDiv w:val="1"/>
      <w:marLeft w:val="0"/>
      <w:marRight w:val="0"/>
      <w:marTop w:val="0"/>
      <w:marBottom w:val="0"/>
      <w:divBdr>
        <w:top w:val="none" w:sz="0" w:space="0" w:color="auto"/>
        <w:left w:val="none" w:sz="0" w:space="0" w:color="auto"/>
        <w:bottom w:val="none" w:sz="0" w:space="0" w:color="auto"/>
        <w:right w:val="none" w:sz="0" w:space="0" w:color="auto"/>
      </w:divBdr>
    </w:div>
    <w:div w:id="21975921">
      <w:bodyDiv w:val="1"/>
      <w:marLeft w:val="0"/>
      <w:marRight w:val="0"/>
      <w:marTop w:val="0"/>
      <w:marBottom w:val="0"/>
      <w:divBdr>
        <w:top w:val="none" w:sz="0" w:space="0" w:color="auto"/>
        <w:left w:val="none" w:sz="0" w:space="0" w:color="auto"/>
        <w:bottom w:val="none" w:sz="0" w:space="0" w:color="auto"/>
        <w:right w:val="none" w:sz="0" w:space="0" w:color="auto"/>
      </w:divBdr>
      <w:divsChild>
        <w:div w:id="1084036875">
          <w:marLeft w:val="0"/>
          <w:marRight w:val="0"/>
          <w:marTop w:val="0"/>
          <w:marBottom w:val="0"/>
          <w:divBdr>
            <w:top w:val="none" w:sz="0" w:space="0" w:color="auto"/>
            <w:left w:val="none" w:sz="0" w:space="0" w:color="auto"/>
            <w:bottom w:val="none" w:sz="0" w:space="0" w:color="auto"/>
            <w:right w:val="none" w:sz="0" w:space="0" w:color="auto"/>
          </w:divBdr>
          <w:divsChild>
            <w:div w:id="1166357005">
              <w:marLeft w:val="0"/>
              <w:marRight w:val="0"/>
              <w:marTop w:val="0"/>
              <w:marBottom w:val="0"/>
              <w:divBdr>
                <w:top w:val="none" w:sz="0" w:space="0" w:color="auto"/>
                <w:left w:val="none" w:sz="0" w:space="0" w:color="auto"/>
                <w:bottom w:val="none" w:sz="0" w:space="0" w:color="auto"/>
                <w:right w:val="none" w:sz="0" w:space="0" w:color="auto"/>
              </w:divBdr>
              <w:divsChild>
                <w:div w:id="1213225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657376">
      <w:bodyDiv w:val="1"/>
      <w:marLeft w:val="0"/>
      <w:marRight w:val="0"/>
      <w:marTop w:val="0"/>
      <w:marBottom w:val="0"/>
      <w:divBdr>
        <w:top w:val="none" w:sz="0" w:space="0" w:color="auto"/>
        <w:left w:val="none" w:sz="0" w:space="0" w:color="auto"/>
        <w:bottom w:val="none" w:sz="0" w:space="0" w:color="auto"/>
        <w:right w:val="none" w:sz="0" w:space="0" w:color="auto"/>
      </w:divBdr>
    </w:div>
    <w:div w:id="38013102">
      <w:bodyDiv w:val="1"/>
      <w:marLeft w:val="0"/>
      <w:marRight w:val="0"/>
      <w:marTop w:val="0"/>
      <w:marBottom w:val="0"/>
      <w:divBdr>
        <w:top w:val="none" w:sz="0" w:space="0" w:color="auto"/>
        <w:left w:val="none" w:sz="0" w:space="0" w:color="auto"/>
        <w:bottom w:val="none" w:sz="0" w:space="0" w:color="auto"/>
        <w:right w:val="none" w:sz="0" w:space="0" w:color="auto"/>
      </w:divBdr>
    </w:div>
    <w:div w:id="38677042">
      <w:bodyDiv w:val="1"/>
      <w:marLeft w:val="0"/>
      <w:marRight w:val="0"/>
      <w:marTop w:val="0"/>
      <w:marBottom w:val="0"/>
      <w:divBdr>
        <w:top w:val="none" w:sz="0" w:space="0" w:color="auto"/>
        <w:left w:val="none" w:sz="0" w:space="0" w:color="auto"/>
        <w:bottom w:val="none" w:sz="0" w:space="0" w:color="auto"/>
        <w:right w:val="none" w:sz="0" w:space="0" w:color="auto"/>
      </w:divBdr>
    </w:div>
    <w:div w:id="43524623">
      <w:bodyDiv w:val="1"/>
      <w:marLeft w:val="0"/>
      <w:marRight w:val="0"/>
      <w:marTop w:val="0"/>
      <w:marBottom w:val="0"/>
      <w:divBdr>
        <w:top w:val="none" w:sz="0" w:space="0" w:color="auto"/>
        <w:left w:val="none" w:sz="0" w:space="0" w:color="auto"/>
        <w:bottom w:val="none" w:sz="0" w:space="0" w:color="auto"/>
        <w:right w:val="none" w:sz="0" w:space="0" w:color="auto"/>
      </w:divBdr>
    </w:div>
    <w:div w:id="51077905">
      <w:bodyDiv w:val="1"/>
      <w:marLeft w:val="0"/>
      <w:marRight w:val="0"/>
      <w:marTop w:val="0"/>
      <w:marBottom w:val="0"/>
      <w:divBdr>
        <w:top w:val="none" w:sz="0" w:space="0" w:color="auto"/>
        <w:left w:val="none" w:sz="0" w:space="0" w:color="auto"/>
        <w:bottom w:val="none" w:sz="0" w:space="0" w:color="auto"/>
        <w:right w:val="none" w:sz="0" w:space="0" w:color="auto"/>
      </w:divBdr>
    </w:div>
    <w:div w:id="51470159">
      <w:bodyDiv w:val="1"/>
      <w:marLeft w:val="0"/>
      <w:marRight w:val="0"/>
      <w:marTop w:val="0"/>
      <w:marBottom w:val="0"/>
      <w:divBdr>
        <w:top w:val="none" w:sz="0" w:space="0" w:color="auto"/>
        <w:left w:val="none" w:sz="0" w:space="0" w:color="auto"/>
        <w:bottom w:val="none" w:sz="0" w:space="0" w:color="auto"/>
        <w:right w:val="none" w:sz="0" w:space="0" w:color="auto"/>
      </w:divBdr>
    </w:div>
    <w:div w:id="63921466">
      <w:bodyDiv w:val="1"/>
      <w:marLeft w:val="0"/>
      <w:marRight w:val="0"/>
      <w:marTop w:val="0"/>
      <w:marBottom w:val="0"/>
      <w:divBdr>
        <w:top w:val="none" w:sz="0" w:space="0" w:color="auto"/>
        <w:left w:val="none" w:sz="0" w:space="0" w:color="auto"/>
        <w:bottom w:val="none" w:sz="0" w:space="0" w:color="auto"/>
        <w:right w:val="none" w:sz="0" w:space="0" w:color="auto"/>
      </w:divBdr>
    </w:div>
    <w:div w:id="65808915">
      <w:bodyDiv w:val="1"/>
      <w:marLeft w:val="0"/>
      <w:marRight w:val="0"/>
      <w:marTop w:val="0"/>
      <w:marBottom w:val="0"/>
      <w:divBdr>
        <w:top w:val="none" w:sz="0" w:space="0" w:color="auto"/>
        <w:left w:val="none" w:sz="0" w:space="0" w:color="auto"/>
        <w:bottom w:val="none" w:sz="0" w:space="0" w:color="auto"/>
        <w:right w:val="none" w:sz="0" w:space="0" w:color="auto"/>
      </w:divBdr>
    </w:div>
    <w:div w:id="88162577">
      <w:bodyDiv w:val="1"/>
      <w:marLeft w:val="0"/>
      <w:marRight w:val="0"/>
      <w:marTop w:val="0"/>
      <w:marBottom w:val="0"/>
      <w:divBdr>
        <w:top w:val="none" w:sz="0" w:space="0" w:color="auto"/>
        <w:left w:val="none" w:sz="0" w:space="0" w:color="auto"/>
        <w:bottom w:val="none" w:sz="0" w:space="0" w:color="auto"/>
        <w:right w:val="none" w:sz="0" w:space="0" w:color="auto"/>
      </w:divBdr>
    </w:div>
    <w:div w:id="100613341">
      <w:bodyDiv w:val="1"/>
      <w:marLeft w:val="0"/>
      <w:marRight w:val="0"/>
      <w:marTop w:val="0"/>
      <w:marBottom w:val="0"/>
      <w:divBdr>
        <w:top w:val="none" w:sz="0" w:space="0" w:color="auto"/>
        <w:left w:val="none" w:sz="0" w:space="0" w:color="auto"/>
        <w:bottom w:val="none" w:sz="0" w:space="0" w:color="auto"/>
        <w:right w:val="none" w:sz="0" w:space="0" w:color="auto"/>
      </w:divBdr>
    </w:div>
    <w:div w:id="140580178">
      <w:bodyDiv w:val="1"/>
      <w:marLeft w:val="0"/>
      <w:marRight w:val="0"/>
      <w:marTop w:val="0"/>
      <w:marBottom w:val="0"/>
      <w:divBdr>
        <w:top w:val="none" w:sz="0" w:space="0" w:color="auto"/>
        <w:left w:val="none" w:sz="0" w:space="0" w:color="auto"/>
        <w:bottom w:val="none" w:sz="0" w:space="0" w:color="auto"/>
        <w:right w:val="none" w:sz="0" w:space="0" w:color="auto"/>
      </w:divBdr>
    </w:div>
    <w:div w:id="144665887">
      <w:bodyDiv w:val="1"/>
      <w:marLeft w:val="0"/>
      <w:marRight w:val="0"/>
      <w:marTop w:val="0"/>
      <w:marBottom w:val="0"/>
      <w:divBdr>
        <w:top w:val="none" w:sz="0" w:space="0" w:color="auto"/>
        <w:left w:val="none" w:sz="0" w:space="0" w:color="auto"/>
        <w:bottom w:val="none" w:sz="0" w:space="0" w:color="auto"/>
        <w:right w:val="none" w:sz="0" w:space="0" w:color="auto"/>
      </w:divBdr>
    </w:div>
    <w:div w:id="173762778">
      <w:bodyDiv w:val="1"/>
      <w:marLeft w:val="0"/>
      <w:marRight w:val="0"/>
      <w:marTop w:val="0"/>
      <w:marBottom w:val="0"/>
      <w:divBdr>
        <w:top w:val="none" w:sz="0" w:space="0" w:color="auto"/>
        <w:left w:val="none" w:sz="0" w:space="0" w:color="auto"/>
        <w:bottom w:val="none" w:sz="0" w:space="0" w:color="auto"/>
        <w:right w:val="none" w:sz="0" w:space="0" w:color="auto"/>
      </w:divBdr>
    </w:div>
    <w:div w:id="215628012">
      <w:bodyDiv w:val="1"/>
      <w:marLeft w:val="0"/>
      <w:marRight w:val="0"/>
      <w:marTop w:val="0"/>
      <w:marBottom w:val="0"/>
      <w:divBdr>
        <w:top w:val="none" w:sz="0" w:space="0" w:color="auto"/>
        <w:left w:val="none" w:sz="0" w:space="0" w:color="auto"/>
        <w:bottom w:val="none" w:sz="0" w:space="0" w:color="auto"/>
        <w:right w:val="none" w:sz="0" w:space="0" w:color="auto"/>
      </w:divBdr>
    </w:div>
    <w:div w:id="225728747">
      <w:bodyDiv w:val="1"/>
      <w:marLeft w:val="0"/>
      <w:marRight w:val="0"/>
      <w:marTop w:val="0"/>
      <w:marBottom w:val="0"/>
      <w:divBdr>
        <w:top w:val="none" w:sz="0" w:space="0" w:color="auto"/>
        <w:left w:val="none" w:sz="0" w:space="0" w:color="auto"/>
        <w:bottom w:val="none" w:sz="0" w:space="0" w:color="auto"/>
        <w:right w:val="none" w:sz="0" w:space="0" w:color="auto"/>
      </w:divBdr>
    </w:div>
    <w:div w:id="231084694">
      <w:bodyDiv w:val="1"/>
      <w:marLeft w:val="0"/>
      <w:marRight w:val="0"/>
      <w:marTop w:val="0"/>
      <w:marBottom w:val="0"/>
      <w:divBdr>
        <w:top w:val="none" w:sz="0" w:space="0" w:color="auto"/>
        <w:left w:val="none" w:sz="0" w:space="0" w:color="auto"/>
        <w:bottom w:val="none" w:sz="0" w:space="0" w:color="auto"/>
        <w:right w:val="none" w:sz="0" w:space="0" w:color="auto"/>
      </w:divBdr>
    </w:div>
    <w:div w:id="250552539">
      <w:bodyDiv w:val="1"/>
      <w:marLeft w:val="0"/>
      <w:marRight w:val="0"/>
      <w:marTop w:val="0"/>
      <w:marBottom w:val="0"/>
      <w:divBdr>
        <w:top w:val="none" w:sz="0" w:space="0" w:color="auto"/>
        <w:left w:val="none" w:sz="0" w:space="0" w:color="auto"/>
        <w:bottom w:val="none" w:sz="0" w:space="0" w:color="auto"/>
        <w:right w:val="none" w:sz="0" w:space="0" w:color="auto"/>
      </w:divBdr>
    </w:div>
    <w:div w:id="252325565">
      <w:bodyDiv w:val="1"/>
      <w:marLeft w:val="0"/>
      <w:marRight w:val="0"/>
      <w:marTop w:val="0"/>
      <w:marBottom w:val="0"/>
      <w:divBdr>
        <w:top w:val="none" w:sz="0" w:space="0" w:color="auto"/>
        <w:left w:val="none" w:sz="0" w:space="0" w:color="auto"/>
        <w:bottom w:val="none" w:sz="0" w:space="0" w:color="auto"/>
        <w:right w:val="none" w:sz="0" w:space="0" w:color="auto"/>
      </w:divBdr>
    </w:div>
    <w:div w:id="265817915">
      <w:bodyDiv w:val="1"/>
      <w:marLeft w:val="0"/>
      <w:marRight w:val="0"/>
      <w:marTop w:val="0"/>
      <w:marBottom w:val="0"/>
      <w:divBdr>
        <w:top w:val="none" w:sz="0" w:space="0" w:color="auto"/>
        <w:left w:val="none" w:sz="0" w:space="0" w:color="auto"/>
        <w:bottom w:val="none" w:sz="0" w:space="0" w:color="auto"/>
        <w:right w:val="none" w:sz="0" w:space="0" w:color="auto"/>
      </w:divBdr>
    </w:div>
    <w:div w:id="296037208">
      <w:bodyDiv w:val="1"/>
      <w:marLeft w:val="0"/>
      <w:marRight w:val="0"/>
      <w:marTop w:val="0"/>
      <w:marBottom w:val="0"/>
      <w:divBdr>
        <w:top w:val="none" w:sz="0" w:space="0" w:color="auto"/>
        <w:left w:val="none" w:sz="0" w:space="0" w:color="auto"/>
        <w:bottom w:val="none" w:sz="0" w:space="0" w:color="auto"/>
        <w:right w:val="none" w:sz="0" w:space="0" w:color="auto"/>
      </w:divBdr>
    </w:div>
    <w:div w:id="309484037">
      <w:bodyDiv w:val="1"/>
      <w:marLeft w:val="0"/>
      <w:marRight w:val="0"/>
      <w:marTop w:val="0"/>
      <w:marBottom w:val="0"/>
      <w:divBdr>
        <w:top w:val="none" w:sz="0" w:space="0" w:color="auto"/>
        <w:left w:val="none" w:sz="0" w:space="0" w:color="auto"/>
        <w:bottom w:val="none" w:sz="0" w:space="0" w:color="auto"/>
        <w:right w:val="none" w:sz="0" w:space="0" w:color="auto"/>
      </w:divBdr>
    </w:div>
    <w:div w:id="320357637">
      <w:bodyDiv w:val="1"/>
      <w:marLeft w:val="0"/>
      <w:marRight w:val="0"/>
      <w:marTop w:val="0"/>
      <w:marBottom w:val="0"/>
      <w:divBdr>
        <w:top w:val="none" w:sz="0" w:space="0" w:color="auto"/>
        <w:left w:val="none" w:sz="0" w:space="0" w:color="auto"/>
        <w:bottom w:val="none" w:sz="0" w:space="0" w:color="auto"/>
        <w:right w:val="none" w:sz="0" w:space="0" w:color="auto"/>
      </w:divBdr>
    </w:div>
    <w:div w:id="374232155">
      <w:bodyDiv w:val="1"/>
      <w:marLeft w:val="0"/>
      <w:marRight w:val="0"/>
      <w:marTop w:val="0"/>
      <w:marBottom w:val="0"/>
      <w:divBdr>
        <w:top w:val="none" w:sz="0" w:space="0" w:color="auto"/>
        <w:left w:val="none" w:sz="0" w:space="0" w:color="auto"/>
        <w:bottom w:val="none" w:sz="0" w:space="0" w:color="auto"/>
        <w:right w:val="none" w:sz="0" w:space="0" w:color="auto"/>
      </w:divBdr>
    </w:div>
    <w:div w:id="377823322">
      <w:bodyDiv w:val="1"/>
      <w:marLeft w:val="0"/>
      <w:marRight w:val="0"/>
      <w:marTop w:val="0"/>
      <w:marBottom w:val="0"/>
      <w:divBdr>
        <w:top w:val="none" w:sz="0" w:space="0" w:color="auto"/>
        <w:left w:val="none" w:sz="0" w:space="0" w:color="auto"/>
        <w:bottom w:val="none" w:sz="0" w:space="0" w:color="auto"/>
        <w:right w:val="none" w:sz="0" w:space="0" w:color="auto"/>
      </w:divBdr>
    </w:div>
    <w:div w:id="380636122">
      <w:bodyDiv w:val="1"/>
      <w:marLeft w:val="0"/>
      <w:marRight w:val="0"/>
      <w:marTop w:val="0"/>
      <w:marBottom w:val="0"/>
      <w:divBdr>
        <w:top w:val="none" w:sz="0" w:space="0" w:color="auto"/>
        <w:left w:val="none" w:sz="0" w:space="0" w:color="auto"/>
        <w:bottom w:val="none" w:sz="0" w:space="0" w:color="auto"/>
        <w:right w:val="none" w:sz="0" w:space="0" w:color="auto"/>
      </w:divBdr>
    </w:div>
    <w:div w:id="391272555">
      <w:bodyDiv w:val="1"/>
      <w:marLeft w:val="0"/>
      <w:marRight w:val="0"/>
      <w:marTop w:val="0"/>
      <w:marBottom w:val="0"/>
      <w:divBdr>
        <w:top w:val="none" w:sz="0" w:space="0" w:color="auto"/>
        <w:left w:val="none" w:sz="0" w:space="0" w:color="auto"/>
        <w:bottom w:val="none" w:sz="0" w:space="0" w:color="auto"/>
        <w:right w:val="none" w:sz="0" w:space="0" w:color="auto"/>
      </w:divBdr>
    </w:div>
    <w:div w:id="397287680">
      <w:bodyDiv w:val="1"/>
      <w:marLeft w:val="0"/>
      <w:marRight w:val="0"/>
      <w:marTop w:val="0"/>
      <w:marBottom w:val="0"/>
      <w:divBdr>
        <w:top w:val="none" w:sz="0" w:space="0" w:color="auto"/>
        <w:left w:val="none" w:sz="0" w:space="0" w:color="auto"/>
        <w:bottom w:val="none" w:sz="0" w:space="0" w:color="auto"/>
        <w:right w:val="none" w:sz="0" w:space="0" w:color="auto"/>
      </w:divBdr>
    </w:div>
    <w:div w:id="399905827">
      <w:bodyDiv w:val="1"/>
      <w:marLeft w:val="0"/>
      <w:marRight w:val="0"/>
      <w:marTop w:val="0"/>
      <w:marBottom w:val="0"/>
      <w:divBdr>
        <w:top w:val="none" w:sz="0" w:space="0" w:color="auto"/>
        <w:left w:val="none" w:sz="0" w:space="0" w:color="auto"/>
        <w:bottom w:val="none" w:sz="0" w:space="0" w:color="auto"/>
        <w:right w:val="none" w:sz="0" w:space="0" w:color="auto"/>
      </w:divBdr>
    </w:div>
    <w:div w:id="404424849">
      <w:bodyDiv w:val="1"/>
      <w:marLeft w:val="0"/>
      <w:marRight w:val="0"/>
      <w:marTop w:val="0"/>
      <w:marBottom w:val="0"/>
      <w:divBdr>
        <w:top w:val="none" w:sz="0" w:space="0" w:color="auto"/>
        <w:left w:val="none" w:sz="0" w:space="0" w:color="auto"/>
        <w:bottom w:val="none" w:sz="0" w:space="0" w:color="auto"/>
        <w:right w:val="none" w:sz="0" w:space="0" w:color="auto"/>
      </w:divBdr>
    </w:div>
    <w:div w:id="406001516">
      <w:bodyDiv w:val="1"/>
      <w:marLeft w:val="0"/>
      <w:marRight w:val="0"/>
      <w:marTop w:val="0"/>
      <w:marBottom w:val="0"/>
      <w:divBdr>
        <w:top w:val="none" w:sz="0" w:space="0" w:color="auto"/>
        <w:left w:val="none" w:sz="0" w:space="0" w:color="auto"/>
        <w:bottom w:val="none" w:sz="0" w:space="0" w:color="auto"/>
        <w:right w:val="none" w:sz="0" w:space="0" w:color="auto"/>
      </w:divBdr>
    </w:div>
    <w:div w:id="410271868">
      <w:bodyDiv w:val="1"/>
      <w:marLeft w:val="0"/>
      <w:marRight w:val="0"/>
      <w:marTop w:val="0"/>
      <w:marBottom w:val="0"/>
      <w:divBdr>
        <w:top w:val="none" w:sz="0" w:space="0" w:color="auto"/>
        <w:left w:val="none" w:sz="0" w:space="0" w:color="auto"/>
        <w:bottom w:val="none" w:sz="0" w:space="0" w:color="auto"/>
        <w:right w:val="none" w:sz="0" w:space="0" w:color="auto"/>
      </w:divBdr>
    </w:div>
    <w:div w:id="413598798">
      <w:bodyDiv w:val="1"/>
      <w:marLeft w:val="0"/>
      <w:marRight w:val="0"/>
      <w:marTop w:val="0"/>
      <w:marBottom w:val="0"/>
      <w:divBdr>
        <w:top w:val="none" w:sz="0" w:space="0" w:color="auto"/>
        <w:left w:val="none" w:sz="0" w:space="0" w:color="auto"/>
        <w:bottom w:val="none" w:sz="0" w:space="0" w:color="auto"/>
        <w:right w:val="none" w:sz="0" w:space="0" w:color="auto"/>
      </w:divBdr>
    </w:div>
    <w:div w:id="438060947">
      <w:bodyDiv w:val="1"/>
      <w:marLeft w:val="0"/>
      <w:marRight w:val="0"/>
      <w:marTop w:val="0"/>
      <w:marBottom w:val="0"/>
      <w:divBdr>
        <w:top w:val="none" w:sz="0" w:space="0" w:color="auto"/>
        <w:left w:val="none" w:sz="0" w:space="0" w:color="auto"/>
        <w:bottom w:val="none" w:sz="0" w:space="0" w:color="auto"/>
        <w:right w:val="none" w:sz="0" w:space="0" w:color="auto"/>
      </w:divBdr>
    </w:div>
    <w:div w:id="441464608">
      <w:bodyDiv w:val="1"/>
      <w:marLeft w:val="0"/>
      <w:marRight w:val="0"/>
      <w:marTop w:val="0"/>
      <w:marBottom w:val="0"/>
      <w:divBdr>
        <w:top w:val="none" w:sz="0" w:space="0" w:color="auto"/>
        <w:left w:val="none" w:sz="0" w:space="0" w:color="auto"/>
        <w:bottom w:val="none" w:sz="0" w:space="0" w:color="auto"/>
        <w:right w:val="none" w:sz="0" w:space="0" w:color="auto"/>
      </w:divBdr>
    </w:div>
    <w:div w:id="448548140">
      <w:bodyDiv w:val="1"/>
      <w:marLeft w:val="0"/>
      <w:marRight w:val="0"/>
      <w:marTop w:val="0"/>
      <w:marBottom w:val="0"/>
      <w:divBdr>
        <w:top w:val="none" w:sz="0" w:space="0" w:color="auto"/>
        <w:left w:val="none" w:sz="0" w:space="0" w:color="auto"/>
        <w:bottom w:val="none" w:sz="0" w:space="0" w:color="auto"/>
        <w:right w:val="none" w:sz="0" w:space="0" w:color="auto"/>
      </w:divBdr>
    </w:div>
    <w:div w:id="459373447">
      <w:bodyDiv w:val="1"/>
      <w:marLeft w:val="0"/>
      <w:marRight w:val="0"/>
      <w:marTop w:val="0"/>
      <w:marBottom w:val="0"/>
      <w:divBdr>
        <w:top w:val="none" w:sz="0" w:space="0" w:color="auto"/>
        <w:left w:val="none" w:sz="0" w:space="0" w:color="auto"/>
        <w:bottom w:val="none" w:sz="0" w:space="0" w:color="auto"/>
        <w:right w:val="none" w:sz="0" w:space="0" w:color="auto"/>
      </w:divBdr>
    </w:div>
    <w:div w:id="461658260">
      <w:bodyDiv w:val="1"/>
      <w:marLeft w:val="0"/>
      <w:marRight w:val="0"/>
      <w:marTop w:val="0"/>
      <w:marBottom w:val="0"/>
      <w:divBdr>
        <w:top w:val="none" w:sz="0" w:space="0" w:color="auto"/>
        <w:left w:val="none" w:sz="0" w:space="0" w:color="auto"/>
        <w:bottom w:val="none" w:sz="0" w:space="0" w:color="auto"/>
        <w:right w:val="none" w:sz="0" w:space="0" w:color="auto"/>
      </w:divBdr>
    </w:div>
    <w:div w:id="465203474">
      <w:bodyDiv w:val="1"/>
      <w:marLeft w:val="0"/>
      <w:marRight w:val="0"/>
      <w:marTop w:val="0"/>
      <w:marBottom w:val="0"/>
      <w:divBdr>
        <w:top w:val="none" w:sz="0" w:space="0" w:color="auto"/>
        <w:left w:val="none" w:sz="0" w:space="0" w:color="auto"/>
        <w:bottom w:val="none" w:sz="0" w:space="0" w:color="auto"/>
        <w:right w:val="none" w:sz="0" w:space="0" w:color="auto"/>
      </w:divBdr>
    </w:div>
    <w:div w:id="496187479">
      <w:bodyDiv w:val="1"/>
      <w:marLeft w:val="0"/>
      <w:marRight w:val="0"/>
      <w:marTop w:val="0"/>
      <w:marBottom w:val="0"/>
      <w:divBdr>
        <w:top w:val="none" w:sz="0" w:space="0" w:color="auto"/>
        <w:left w:val="none" w:sz="0" w:space="0" w:color="auto"/>
        <w:bottom w:val="none" w:sz="0" w:space="0" w:color="auto"/>
        <w:right w:val="none" w:sz="0" w:space="0" w:color="auto"/>
      </w:divBdr>
    </w:div>
    <w:div w:id="502167359">
      <w:bodyDiv w:val="1"/>
      <w:marLeft w:val="0"/>
      <w:marRight w:val="0"/>
      <w:marTop w:val="0"/>
      <w:marBottom w:val="0"/>
      <w:divBdr>
        <w:top w:val="none" w:sz="0" w:space="0" w:color="auto"/>
        <w:left w:val="none" w:sz="0" w:space="0" w:color="auto"/>
        <w:bottom w:val="none" w:sz="0" w:space="0" w:color="auto"/>
        <w:right w:val="none" w:sz="0" w:space="0" w:color="auto"/>
      </w:divBdr>
    </w:div>
    <w:div w:id="542013570">
      <w:bodyDiv w:val="1"/>
      <w:marLeft w:val="0"/>
      <w:marRight w:val="0"/>
      <w:marTop w:val="0"/>
      <w:marBottom w:val="0"/>
      <w:divBdr>
        <w:top w:val="none" w:sz="0" w:space="0" w:color="auto"/>
        <w:left w:val="none" w:sz="0" w:space="0" w:color="auto"/>
        <w:bottom w:val="none" w:sz="0" w:space="0" w:color="auto"/>
        <w:right w:val="none" w:sz="0" w:space="0" w:color="auto"/>
      </w:divBdr>
    </w:div>
    <w:div w:id="549070656">
      <w:bodyDiv w:val="1"/>
      <w:marLeft w:val="0"/>
      <w:marRight w:val="0"/>
      <w:marTop w:val="0"/>
      <w:marBottom w:val="0"/>
      <w:divBdr>
        <w:top w:val="none" w:sz="0" w:space="0" w:color="auto"/>
        <w:left w:val="none" w:sz="0" w:space="0" w:color="auto"/>
        <w:bottom w:val="none" w:sz="0" w:space="0" w:color="auto"/>
        <w:right w:val="none" w:sz="0" w:space="0" w:color="auto"/>
      </w:divBdr>
    </w:div>
    <w:div w:id="554394023">
      <w:bodyDiv w:val="1"/>
      <w:marLeft w:val="0"/>
      <w:marRight w:val="0"/>
      <w:marTop w:val="0"/>
      <w:marBottom w:val="0"/>
      <w:divBdr>
        <w:top w:val="none" w:sz="0" w:space="0" w:color="auto"/>
        <w:left w:val="none" w:sz="0" w:space="0" w:color="auto"/>
        <w:bottom w:val="none" w:sz="0" w:space="0" w:color="auto"/>
        <w:right w:val="none" w:sz="0" w:space="0" w:color="auto"/>
      </w:divBdr>
    </w:div>
    <w:div w:id="554660966">
      <w:bodyDiv w:val="1"/>
      <w:marLeft w:val="0"/>
      <w:marRight w:val="0"/>
      <w:marTop w:val="0"/>
      <w:marBottom w:val="0"/>
      <w:divBdr>
        <w:top w:val="none" w:sz="0" w:space="0" w:color="auto"/>
        <w:left w:val="none" w:sz="0" w:space="0" w:color="auto"/>
        <w:bottom w:val="none" w:sz="0" w:space="0" w:color="auto"/>
        <w:right w:val="none" w:sz="0" w:space="0" w:color="auto"/>
      </w:divBdr>
    </w:div>
    <w:div w:id="561333820">
      <w:bodyDiv w:val="1"/>
      <w:marLeft w:val="0"/>
      <w:marRight w:val="0"/>
      <w:marTop w:val="0"/>
      <w:marBottom w:val="0"/>
      <w:divBdr>
        <w:top w:val="none" w:sz="0" w:space="0" w:color="auto"/>
        <w:left w:val="none" w:sz="0" w:space="0" w:color="auto"/>
        <w:bottom w:val="none" w:sz="0" w:space="0" w:color="auto"/>
        <w:right w:val="none" w:sz="0" w:space="0" w:color="auto"/>
      </w:divBdr>
    </w:div>
    <w:div w:id="568000627">
      <w:bodyDiv w:val="1"/>
      <w:marLeft w:val="0"/>
      <w:marRight w:val="0"/>
      <w:marTop w:val="0"/>
      <w:marBottom w:val="0"/>
      <w:divBdr>
        <w:top w:val="none" w:sz="0" w:space="0" w:color="auto"/>
        <w:left w:val="none" w:sz="0" w:space="0" w:color="auto"/>
        <w:bottom w:val="none" w:sz="0" w:space="0" w:color="auto"/>
        <w:right w:val="none" w:sz="0" w:space="0" w:color="auto"/>
      </w:divBdr>
    </w:div>
    <w:div w:id="578173778">
      <w:bodyDiv w:val="1"/>
      <w:marLeft w:val="0"/>
      <w:marRight w:val="0"/>
      <w:marTop w:val="0"/>
      <w:marBottom w:val="0"/>
      <w:divBdr>
        <w:top w:val="none" w:sz="0" w:space="0" w:color="auto"/>
        <w:left w:val="none" w:sz="0" w:space="0" w:color="auto"/>
        <w:bottom w:val="none" w:sz="0" w:space="0" w:color="auto"/>
        <w:right w:val="none" w:sz="0" w:space="0" w:color="auto"/>
      </w:divBdr>
    </w:div>
    <w:div w:id="590938576">
      <w:bodyDiv w:val="1"/>
      <w:marLeft w:val="0"/>
      <w:marRight w:val="0"/>
      <w:marTop w:val="0"/>
      <w:marBottom w:val="0"/>
      <w:divBdr>
        <w:top w:val="none" w:sz="0" w:space="0" w:color="auto"/>
        <w:left w:val="none" w:sz="0" w:space="0" w:color="auto"/>
        <w:bottom w:val="none" w:sz="0" w:space="0" w:color="auto"/>
        <w:right w:val="none" w:sz="0" w:space="0" w:color="auto"/>
      </w:divBdr>
    </w:div>
    <w:div w:id="595751214">
      <w:bodyDiv w:val="1"/>
      <w:marLeft w:val="0"/>
      <w:marRight w:val="0"/>
      <w:marTop w:val="0"/>
      <w:marBottom w:val="0"/>
      <w:divBdr>
        <w:top w:val="none" w:sz="0" w:space="0" w:color="auto"/>
        <w:left w:val="none" w:sz="0" w:space="0" w:color="auto"/>
        <w:bottom w:val="none" w:sz="0" w:space="0" w:color="auto"/>
        <w:right w:val="none" w:sz="0" w:space="0" w:color="auto"/>
      </w:divBdr>
    </w:div>
    <w:div w:id="599987625">
      <w:bodyDiv w:val="1"/>
      <w:marLeft w:val="0"/>
      <w:marRight w:val="0"/>
      <w:marTop w:val="0"/>
      <w:marBottom w:val="0"/>
      <w:divBdr>
        <w:top w:val="none" w:sz="0" w:space="0" w:color="auto"/>
        <w:left w:val="none" w:sz="0" w:space="0" w:color="auto"/>
        <w:bottom w:val="none" w:sz="0" w:space="0" w:color="auto"/>
        <w:right w:val="none" w:sz="0" w:space="0" w:color="auto"/>
      </w:divBdr>
    </w:div>
    <w:div w:id="607397063">
      <w:bodyDiv w:val="1"/>
      <w:marLeft w:val="0"/>
      <w:marRight w:val="0"/>
      <w:marTop w:val="0"/>
      <w:marBottom w:val="0"/>
      <w:divBdr>
        <w:top w:val="none" w:sz="0" w:space="0" w:color="auto"/>
        <w:left w:val="none" w:sz="0" w:space="0" w:color="auto"/>
        <w:bottom w:val="none" w:sz="0" w:space="0" w:color="auto"/>
        <w:right w:val="none" w:sz="0" w:space="0" w:color="auto"/>
      </w:divBdr>
    </w:div>
    <w:div w:id="617957390">
      <w:bodyDiv w:val="1"/>
      <w:marLeft w:val="0"/>
      <w:marRight w:val="0"/>
      <w:marTop w:val="0"/>
      <w:marBottom w:val="0"/>
      <w:divBdr>
        <w:top w:val="none" w:sz="0" w:space="0" w:color="auto"/>
        <w:left w:val="none" w:sz="0" w:space="0" w:color="auto"/>
        <w:bottom w:val="none" w:sz="0" w:space="0" w:color="auto"/>
        <w:right w:val="none" w:sz="0" w:space="0" w:color="auto"/>
      </w:divBdr>
    </w:div>
    <w:div w:id="636833896">
      <w:bodyDiv w:val="1"/>
      <w:marLeft w:val="0"/>
      <w:marRight w:val="0"/>
      <w:marTop w:val="0"/>
      <w:marBottom w:val="0"/>
      <w:divBdr>
        <w:top w:val="none" w:sz="0" w:space="0" w:color="auto"/>
        <w:left w:val="none" w:sz="0" w:space="0" w:color="auto"/>
        <w:bottom w:val="none" w:sz="0" w:space="0" w:color="auto"/>
        <w:right w:val="none" w:sz="0" w:space="0" w:color="auto"/>
      </w:divBdr>
    </w:div>
    <w:div w:id="640228938">
      <w:bodyDiv w:val="1"/>
      <w:marLeft w:val="0"/>
      <w:marRight w:val="0"/>
      <w:marTop w:val="0"/>
      <w:marBottom w:val="0"/>
      <w:divBdr>
        <w:top w:val="none" w:sz="0" w:space="0" w:color="auto"/>
        <w:left w:val="none" w:sz="0" w:space="0" w:color="auto"/>
        <w:bottom w:val="none" w:sz="0" w:space="0" w:color="auto"/>
        <w:right w:val="none" w:sz="0" w:space="0" w:color="auto"/>
      </w:divBdr>
    </w:div>
    <w:div w:id="641278840">
      <w:bodyDiv w:val="1"/>
      <w:marLeft w:val="0"/>
      <w:marRight w:val="0"/>
      <w:marTop w:val="0"/>
      <w:marBottom w:val="0"/>
      <w:divBdr>
        <w:top w:val="none" w:sz="0" w:space="0" w:color="auto"/>
        <w:left w:val="none" w:sz="0" w:space="0" w:color="auto"/>
        <w:bottom w:val="none" w:sz="0" w:space="0" w:color="auto"/>
        <w:right w:val="none" w:sz="0" w:space="0" w:color="auto"/>
      </w:divBdr>
    </w:div>
    <w:div w:id="643315371">
      <w:bodyDiv w:val="1"/>
      <w:marLeft w:val="0"/>
      <w:marRight w:val="0"/>
      <w:marTop w:val="0"/>
      <w:marBottom w:val="0"/>
      <w:divBdr>
        <w:top w:val="none" w:sz="0" w:space="0" w:color="auto"/>
        <w:left w:val="none" w:sz="0" w:space="0" w:color="auto"/>
        <w:bottom w:val="none" w:sz="0" w:space="0" w:color="auto"/>
        <w:right w:val="none" w:sz="0" w:space="0" w:color="auto"/>
      </w:divBdr>
    </w:div>
    <w:div w:id="664632385">
      <w:bodyDiv w:val="1"/>
      <w:marLeft w:val="0"/>
      <w:marRight w:val="0"/>
      <w:marTop w:val="0"/>
      <w:marBottom w:val="0"/>
      <w:divBdr>
        <w:top w:val="none" w:sz="0" w:space="0" w:color="auto"/>
        <w:left w:val="none" w:sz="0" w:space="0" w:color="auto"/>
        <w:bottom w:val="none" w:sz="0" w:space="0" w:color="auto"/>
        <w:right w:val="none" w:sz="0" w:space="0" w:color="auto"/>
      </w:divBdr>
    </w:div>
    <w:div w:id="687873649">
      <w:bodyDiv w:val="1"/>
      <w:marLeft w:val="0"/>
      <w:marRight w:val="0"/>
      <w:marTop w:val="0"/>
      <w:marBottom w:val="0"/>
      <w:divBdr>
        <w:top w:val="none" w:sz="0" w:space="0" w:color="auto"/>
        <w:left w:val="none" w:sz="0" w:space="0" w:color="auto"/>
        <w:bottom w:val="none" w:sz="0" w:space="0" w:color="auto"/>
        <w:right w:val="none" w:sz="0" w:space="0" w:color="auto"/>
      </w:divBdr>
    </w:div>
    <w:div w:id="713847114">
      <w:bodyDiv w:val="1"/>
      <w:marLeft w:val="0"/>
      <w:marRight w:val="0"/>
      <w:marTop w:val="0"/>
      <w:marBottom w:val="0"/>
      <w:divBdr>
        <w:top w:val="none" w:sz="0" w:space="0" w:color="auto"/>
        <w:left w:val="none" w:sz="0" w:space="0" w:color="auto"/>
        <w:bottom w:val="none" w:sz="0" w:space="0" w:color="auto"/>
        <w:right w:val="none" w:sz="0" w:space="0" w:color="auto"/>
      </w:divBdr>
    </w:div>
    <w:div w:id="716859102">
      <w:bodyDiv w:val="1"/>
      <w:marLeft w:val="0"/>
      <w:marRight w:val="0"/>
      <w:marTop w:val="0"/>
      <w:marBottom w:val="0"/>
      <w:divBdr>
        <w:top w:val="none" w:sz="0" w:space="0" w:color="auto"/>
        <w:left w:val="none" w:sz="0" w:space="0" w:color="auto"/>
        <w:bottom w:val="none" w:sz="0" w:space="0" w:color="auto"/>
        <w:right w:val="none" w:sz="0" w:space="0" w:color="auto"/>
      </w:divBdr>
    </w:div>
    <w:div w:id="717970697">
      <w:bodyDiv w:val="1"/>
      <w:marLeft w:val="0"/>
      <w:marRight w:val="0"/>
      <w:marTop w:val="0"/>
      <w:marBottom w:val="0"/>
      <w:divBdr>
        <w:top w:val="none" w:sz="0" w:space="0" w:color="auto"/>
        <w:left w:val="none" w:sz="0" w:space="0" w:color="auto"/>
        <w:bottom w:val="none" w:sz="0" w:space="0" w:color="auto"/>
        <w:right w:val="none" w:sz="0" w:space="0" w:color="auto"/>
      </w:divBdr>
    </w:div>
    <w:div w:id="735862022">
      <w:bodyDiv w:val="1"/>
      <w:marLeft w:val="0"/>
      <w:marRight w:val="0"/>
      <w:marTop w:val="0"/>
      <w:marBottom w:val="0"/>
      <w:divBdr>
        <w:top w:val="none" w:sz="0" w:space="0" w:color="auto"/>
        <w:left w:val="none" w:sz="0" w:space="0" w:color="auto"/>
        <w:bottom w:val="none" w:sz="0" w:space="0" w:color="auto"/>
        <w:right w:val="none" w:sz="0" w:space="0" w:color="auto"/>
      </w:divBdr>
    </w:div>
    <w:div w:id="736247490">
      <w:bodyDiv w:val="1"/>
      <w:marLeft w:val="0"/>
      <w:marRight w:val="0"/>
      <w:marTop w:val="0"/>
      <w:marBottom w:val="0"/>
      <w:divBdr>
        <w:top w:val="none" w:sz="0" w:space="0" w:color="auto"/>
        <w:left w:val="none" w:sz="0" w:space="0" w:color="auto"/>
        <w:bottom w:val="none" w:sz="0" w:space="0" w:color="auto"/>
        <w:right w:val="none" w:sz="0" w:space="0" w:color="auto"/>
      </w:divBdr>
    </w:div>
    <w:div w:id="755705959">
      <w:bodyDiv w:val="1"/>
      <w:marLeft w:val="0"/>
      <w:marRight w:val="0"/>
      <w:marTop w:val="0"/>
      <w:marBottom w:val="0"/>
      <w:divBdr>
        <w:top w:val="none" w:sz="0" w:space="0" w:color="auto"/>
        <w:left w:val="none" w:sz="0" w:space="0" w:color="auto"/>
        <w:bottom w:val="none" w:sz="0" w:space="0" w:color="auto"/>
        <w:right w:val="none" w:sz="0" w:space="0" w:color="auto"/>
      </w:divBdr>
    </w:div>
    <w:div w:id="760562173">
      <w:bodyDiv w:val="1"/>
      <w:marLeft w:val="0"/>
      <w:marRight w:val="0"/>
      <w:marTop w:val="0"/>
      <w:marBottom w:val="0"/>
      <w:divBdr>
        <w:top w:val="none" w:sz="0" w:space="0" w:color="auto"/>
        <w:left w:val="none" w:sz="0" w:space="0" w:color="auto"/>
        <w:bottom w:val="none" w:sz="0" w:space="0" w:color="auto"/>
        <w:right w:val="none" w:sz="0" w:space="0" w:color="auto"/>
      </w:divBdr>
    </w:div>
    <w:div w:id="764349589">
      <w:bodyDiv w:val="1"/>
      <w:marLeft w:val="0"/>
      <w:marRight w:val="0"/>
      <w:marTop w:val="0"/>
      <w:marBottom w:val="0"/>
      <w:divBdr>
        <w:top w:val="none" w:sz="0" w:space="0" w:color="auto"/>
        <w:left w:val="none" w:sz="0" w:space="0" w:color="auto"/>
        <w:bottom w:val="none" w:sz="0" w:space="0" w:color="auto"/>
        <w:right w:val="none" w:sz="0" w:space="0" w:color="auto"/>
      </w:divBdr>
    </w:div>
    <w:div w:id="782386225">
      <w:bodyDiv w:val="1"/>
      <w:marLeft w:val="0"/>
      <w:marRight w:val="0"/>
      <w:marTop w:val="0"/>
      <w:marBottom w:val="0"/>
      <w:divBdr>
        <w:top w:val="none" w:sz="0" w:space="0" w:color="auto"/>
        <w:left w:val="none" w:sz="0" w:space="0" w:color="auto"/>
        <w:bottom w:val="none" w:sz="0" w:space="0" w:color="auto"/>
        <w:right w:val="none" w:sz="0" w:space="0" w:color="auto"/>
      </w:divBdr>
    </w:div>
    <w:div w:id="785663965">
      <w:bodyDiv w:val="1"/>
      <w:marLeft w:val="0"/>
      <w:marRight w:val="0"/>
      <w:marTop w:val="0"/>
      <w:marBottom w:val="0"/>
      <w:divBdr>
        <w:top w:val="none" w:sz="0" w:space="0" w:color="auto"/>
        <w:left w:val="none" w:sz="0" w:space="0" w:color="auto"/>
        <w:bottom w:val="none" w:sz="0" w:space="0" w:color="auto"/>
        <w:right w:val="none" w:sz="0" w:space="0" w:color="auto"/>
      </w:divBdr>
      <w:divsChild>
        <w:div w:id="961763112">
          <w:marLeft w:val="0"/>
          <w:marRight w:val="0"/>
          <w:marTop w:val="0"/>
          <w:marBottom w:val="0"/>
          <w:divBdr>
            <w:top w:val="none" w:sz="0" w:space="0" w:color="auto"/>
            <w:left w:val="none" w:sz="0" w:space="0" w:color="auto"/>
            <w:bottom w:val="none" w:sz="0" w:space="0" w:color="auto"/>
            <w:right w:val="none" w:sz="0" w:space="0" w:color="auto"/>
          </w:divBdr>
          <w:divsChild>
            <w:div w:id="2104257191">
              <w:marLeft w:val="0"/>
              <w:marRight w:val="0"/>
              <w:marTop w:val="0"/>
              <w:marBottom w:val="0"/>
              <w:divBdr>
                <w:top w:val="none" w:sz="0" w:space="0" w:color="auto"/>
                <w:left w:val="none" w:sz="0" w:space="0" w:color="auto"/>
                <w:bottom w:val="none" w:sz="0" w:space="0" w:color="auto"/>
                <w:right w:val="none" w:sz="0" w:space="0" w:color="auto"/>
              </w:divBdr>
              <w:divsChild>
                <w:div w:id="998507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473812">
      <w:bodyDiv w:val="1"/>
      <w:marLeft w:val="0"/>
      <w:marRight w:val="0"/>
      <w:marTop w:val="0"/>
      <w:marBottom w:val="0"/>
      <w:divBdr>
        <w:top w:val="none" w:sz="0" w:space="0" w:color="auto"/>
        <w:left w:val="none" w:sz="0" w:space="0" w:color="auto"/>
        <w:bottom w:val="none" w:sz="0" w:space="0" w:color="auto"/>
        <w:right w:val="none" w:sz="0" w:space="0" w:color="auto"/>
      </w:divBdr>
    </w:div>
    <w:div w:id="795030374">
      <w:bodyDiv w:val="1"/>
      <w:marLeft w:val="0"/>
      <w:marRight w:val="0"/>
      <w:marTop w:val="0"/>
      <w:marBottom w:val="0"/>
      <w:divBdr>
        <w:top w:val="none" w:sz="0" w:space="0" w:color="auto"/>
        <w:left w:val="none" w:sz="0" w:space="0" w:color="auto"/>
        <w:bottom w:val="none" w:sz="0" w:space="0" w:color="auto"/>
        <w:right w:val="none" w:sz="0" w:space="0" w:color="auto"/>
      </w:divBdr>
    </w:div>
    <w:div w:id="827549537">
      <w:bodyDiv w:val="1"/>
      <w:marLeft w:val="0"/>
      <w:marRight w:val="0"/>
      <w:marTop w:val="0"/>
      <w:marBottom w:val="0"/>
      <w:divBdr>
        <w:top w:val="none" w:sz="0" w:space="0" w:color="auto"/>
        <w:left w:val="none" w:sz="0" w:space="0" w:color="auto"/>
        <w:bottom w:val="none" w:sz="0" w:space="0" w:color="auto"/>
        <w:right w:val="none" w:sz="0" w:space="0" w:color="auto"/>
      </w:divBdr>
    </w:div>
    <w:div w:id="848568191">
      <w:bodyDiv w:val="1"/>
      <w:marLeft w:val="0"/>
      <w:marRight w:val="0"/>
      <w:marTop w:val="0"/>
      <w:marBottom w:val="0"/>
      <w:divBdr>
        <w:top w:val="none" w:sz="0" w:space="0" w:color="auto"/>
        <w:left w:val="none" w:sz="0" w:space="0" w:color="auto"/>
        <w:bottom w:val="none" w:sz="0" w:space="0" w:color="auto"/>
        <w:right w:val="none" w:sz="0" w:space="0" w:color="auto"/>
      </w:divBdr>
    </w:div>
    <w:div w:id="855122795">
      <w:bodyDiv w:val="1"/>
      <w:marLeft w:val="0"/>
      <w:marRight w:val="0"/>
      <w:marTop w:val="0"/>
      <w:marBottom w:val="0"/>
      <w:divBdr>
        <w:top w:val="none" w:sz="0" w:space="0" w:color="auto"/>
        <w:left w:val="none" w:sz="0" w:space="0" w:color="auto"/>
        <w:bottom w:val="none" w:sz="0" w:space="0" w:color="auto"/>
        <w:right w:val="none" w:sz="0" w:space="0" w:color="auto"/>
      </w:divBdr>
    </w:div>
    <w:div w:id="871961126">
      <w:bodyDiv w:val="1"/>
      <w:marLeft w:val="0"/>
      <w:marRight w:val="0"/>
      <w:marTop w:val="0"/>
      <w:marBottom w:val="0"/>
      <w:divBdr>
        <w:top w:val="none" w:sz="0" w:space="0" w:color="auto"/>
        <w:left w:val="none" w:sz="0" w:space="0" w:color="auto"/>
        <w:bottom w:val="none" w:sz="0" w:space="0" w:color="auto"/>
        <w:right w:val="none" w:sz="0" w:space="0" w:color="auto"/>
      </w:divBdr>
    </w:div>
    <w:div w:id="904072838">
      <w:bodyDiv w:val="1"/>
      <w:marLeft w:val="0"/>
      <w:marRight w:val="0"/>
      <w:marTop w:val="0"/>
      <w:marBottom w:val="0"/>
      <w:divBdr>
        <w:top w:val="none" w:sz="0" w:space="0" w:color="auto"/>
        <w:left w:val="none" w:sz="0" w:space="0" w:color="auto"/>
        <w:bottom w:val="none" w:sz="0" w:space="0" w:color="auto"/>
        <w:right w:val="none" w:sz="0" w:space="0" w:color="auto"/>
      </w:divBdr>
    </w:div>
    <w:div w:id="919216425">
      <w:bodyDiv w:val="1"/>
      <w:marLeft w:val="0"/>
      <w:marRight w:val="0"/>
      <w:marTop w:val="0"/>
      <w:marBottom w:val="0"/>
      <w:divBdr>
        <w:top w:val="none" w:sz="0" w:space="0" w:color="auto"/>
        <w:left w:val="none" w:sz="0" w:space="0" w:color="auto"/>
        <w:bottom w:val="none" w:sz="0" w:space="0" w:color="auto"/>
        <w:right w:val="none" w:sz="0" w:space="0" w:color="auto"/>
      </w:divBdr>
    </w:div>
    <w:div w:id="943077636">
      <w:bodyDiv w:val="1"/>
      <w:marLeft w:val="0"/>
      <w:marRight w:val="0"/>
      <w:marTop w:val="0"/>
      <w:marBottom w:val="0"/>
      <w:divBdr>
        <w:top w:val="none" w:sz="0" w:space="0" w:color="auto"/>
        <w:left w:val="none" w:sz="0" w:space="0" w:color="auto"/>
        <w:bottom w:val="none" w:sz="0" w:space="0" w:color="auto"/>
        <w:right w:val="none" w:sz="0" w:space="0" w:color="auto"/>
      </w:divBdr>
    </w:div>
    <w:div w:id="953370448">
      <w:bodyDiv w:val="1"/>
      <w:marLeft w:val="0"/>
      <w:marRight w:val="0"/>
      <w:marTop w:val="0"/>
      <w:marBottom w:val="0"/>
      <w:divBdr>
        <w:top w:val="none" w:sz="0" w:space="0" w:color="auto"/>
        <w:left w:val="none" w:sz="0" w:space="0" w:color="auto"/>
        <w:bottom w:val="none" w:sz="0" w:space="0" w:color="auto"/>
        <w:right w:val="none" w:sz="0" w:space="0" w:color="auto"/>
      </w:divBdr>
    </w:div>
    <w:div w:id="958100130">
      <w:bodyDiv w:val="1"/>
      <w:marLeft w:val="0"/>
      <w:marRight w:val="0"/>
      <w:marTop w:val="0"/>
      <w:marBottom w:val="0"/>
      <w:divBdr>
        <w:top w:val="none" w:sz="0" w:space="0" w:color="auto"/>
        <w:left w:val="none" w:sz="0" w:space="0" w:color="auto"/>
        <w:bottom w:val="none" w:sz="0" w:space="0" w:color="auto"/>
        <w:right w:val="none" w:sz="0" w:space="0" w:color="auto"/>
      </w:divBdr>
      <w:divsChild>
        <w:div w:id="744569441">
          <w:marLeft w:val="0"/>
          <w:marRight w:val="0"/>
          <w:marTop w:val="0"/>
          <w:marBottom w:val="0"/>
          <w:divBdr>
            <w:top w:val="none" w:sz="0" w:space="0" w:color="auto"/>
            <w:left w:val="none" w:sz="0" w:space="0" w:color="auto"/>
            <w:bottom w:val="none" w:sz="0" w:space="0" w:color="auto"/>
            <w:right w:val="none" w:sz="0" w:space="0" w:color="auto"/>
          </w:divBdr>
        </w:div>
        <w:div w:id="826362033">
          <w:marLeft w:val="0"/>
          <w:marRight w:val="0"/>
          <w:marTop w:val="0"/>
          <w:marBottom w:val="0"/>
          <w:divBdr>
            <w:top w:val="none" w:sz="0" w:space="0" w:color="auto"/>
            <w:left w:val="none" w:sz="0" w:space="0" w:color="auto"/>
            <w:bottom w:val="none" w:sz="0" w:space="0" w:color="auto"/>
            <w:right w:val="none" w:sz="0" w:space="0" w:color="auto"/>
          </w:divBdr>
        </w:div>
        <w:div w:id="1013611270">
          <w:marLeft w:val="0"/>
          <w:marRight w:val="0"/>
          <w:marTop w:val="0"/>
          <w:marBottom w:val="0"/>
          <w:divBdr>
            <w:top w:val="none" w:sz="0" w:space="0" w:color="auto"/>
            <w:left w:val="none" w:sz="0" w:space="0" w:color="auto"/>
            <w:bottom w:val="none" w:sz="0" w:space="0" w:color="auto"/>
            <w:right w:val="none" w:sz="0" w:space="0" w:color="auto"/>
          </w:divBdr>
        </w:div>
        <w:div w:id="1634678285">
          <w:marLeft w:val="0"/>
          <w:marRight w:val="0"/>
          <w:marTop w:val="0"/>
          <w:marBottom w:val="0"/>
          <w:divBdr>
            <w:top w:val="none" w:sz="0" w:space="0" w:color="auto"/>
            <w:left w:val="none" w:sz="0" w:space="0" w:color="auto"/>
            <w:bottom w:val="none" w:sz="0" w:space="0" w:color="auto"/>
            <w:right w:val="none" w:sz="0" w:space="0" w:color="auto"/>
          </w:divBdr>
        </w:div>
      </w:divsChild>
    </w:div>
    <w:div w:id="960693574">
      <w:bodyDiv w:val="1"/>
      <w:marLeft w:val="0"/>
      <w:marRight w:val="0"/>
      <w:marTop w:val="0"/>
      <w:marBottom w:val="0"/>
      <w:divBdr>
        <w:top w:val="none" w:sz="0" w:space="0" w:color="auto"/>
        <w:left w:val="none" w:sz="0" w:space="0" w:color="auto"/>
        <w:bottom w:val="none" w:sz="0" w:space="0" w:color="auto"/>
        <w:right w:val="none" w:sz="0" w:space="0" w:color="auto"/>
      </w:divBdr>
    </w:div>
    <w:div w:id="976643062">
      <w:bodyDiv w:val="1"/>
      <w:marLeft w:val="0"/>
      <w:marRight w:val="0"/>
      <w:marTop w:val="0"/>
      <w:marBottom w:val="0"/>
      <w:divBdr>
        <w:top w:val="none" w:sz="0" w:space="0" w:color="auto"/>
        <w:left w:val="none" w:sz="0" w:space="0" w:color="auto"/>
        <w:bottom w:val="none" w:sz="0" w:space="0" w:color="auto"/>
        <w:right w:val="none" w:sz="0" w:space="0" w:color="auto"/>
      </w:divBdr>
    </w:div>
    <w:div w:id="977418719">
      <w:bodyDiv w:val="1"/>
      <w:marLeft w:val="0"/>
      <w:marRight w:val="0"/>
      <w:marTop w:val="0"/>
      <w:marBottom w:val="0"/>
      <w:divBdr>
        <w:top w:val="none" w:sz="0" w:space="0" w:color="auto"/>
        <w:left w:val="none" w:sz="0" w:space="0" w:color="auto"/>
        <w:bottom w:val="none" w:sz="0" w:space="0" w:color="auto"/>
        <w:right w:val="none" w:sz="0" w:space="0" w:color="auto"/>
      </w:divBdr>
    </w:div>
    <w:div w:id="1019235377">
      <w:bodyDiv w:val="1"/>
      <w:marLeft w:val="0"/>
      <w:marRight w:val="0"/>
      <w:marTop w:val="0"/>
      <w:marBottom w:val="0"/>
      <w:divBdr>
        <w:top w:val="none" w:sz="0" w:space="0" w:color="auto"/>
        <w:left w:val="none" w:sz="0" w:space="0" w:color="auto"/>
        <w:bottom w:val="none" w:sz="0" w:space="0" w:color="auto"/>
        <w:right w:val="none" w:sz="0" w:space="0" w:color="auto"/>
      </w:divBdr>
    </w:div>
    <w:div w:id="1044986685">
      <w:bodyDiv w:val="1"/>
      <w:marLeft w:val="0"/>
      <w:marRight w:val="0"/>
      <w:marTop w:val="0"/>
      <w:marBottom w:val="0"/>
      <w:divBdr>
        <w:top w:val="none" w:sz="0" w:space="0" w:color="auto"/>
        <w:left w:val="none" w:sz="0" w:space="0" w:color="auto"/>
        <w:bottom w:val="none" w:sz="0" w:space="0" w:color="auto"/>
        <w:right w:val="none" w:sz="0" w:space="0" w:color="auto"/>
      </w:divBdr>
    </w:div>
    <w:div w:id="1068000271">
      <w:bodyDiv w:val="1"/>
      <w:marLeft w:val="0"/>
      <w:marRight w:val="0"/>
      <w:marTop w:val="0"/>
      <w:marBottom w:val="0"/>
      <w:divBdr>
        <w:top w:val="none" w:sz="0" w:space="0" w:color="auto"/>
        <w:left w:val="none" w:sz="0" w:space="0" w:color="auto"/>
        <w:bottom w:val="none" w:sz="0" w:space="0" w:color="auto"/>
        <w:right w:val="none" w:sz="0" w:space="0" w:color="auto"/>
      </w:divBdr>
    </w:div>
    <w:div w:id="1084842373">
      <w:bodyDiv w:val="1"/>
      <w:marLeft w:val="0"/>
      <w:marRight w:val="0"/>
      <w:marTop w:val="0"/>
      <w:marBottom w:val="0"/>
      <w:divBdr>
        <w:top w:val="none" w:sz="0" w:space="0" w:color="auto"/>
        <w:left w:val="none" w:sz="0" w:space="0" w:color="auto"/>
        <w:bottom w:val="none" w:sz="0" w:space="0" w:color="auto"/>
        <w:right w:val="none" w:sz="0" w:space="0" w:color="auto"/>
      </w:divBdr>
    </w:div>
    <w:div w:id="1130317381">
      <w:bodyDiv w:val="1"/>
      <w:marLeft w:val="0"/>
      <w:marRight w:val="0"/>
      <w:marTop w:val="0"/>
      <w:marBottom w:val="0"/>
      <w:divBdr>
        <w:top w:val="none" w:sz="0" w:space="0" w:color="auto"/>
        <w:left w:val="none" w:sz="0" w:space="0" w:color="auto"/>
        <w:bottom w:val="none" w:sz="0" w:space="0" w:color="auto"/>
        <w:right w:val="none" w:sz="0" w:space="0" w:color="auto"/>
      </w:divBdr>
    </w:div>
    <w:div w:id="1134177952">
      <w:bodyDiv w:val="1"/>
      <w:marLeft w:val="0"/>
      <w:marRight w:val="0"/>
      <w:marTop w:val="0"/>
      <w:marBottom w:val="0"/>
      <w:divBdr>
        <w:top w:val="none" w:sz="0" w:space="0" w:color="auto"/>
        <w:left w:val="none" w:sz="0" w:space="0" w:color="auto"/>
        <w:bottom w:val="none" w:sz="0" w:space="0" w:color="auto"/>
        <w:right w:val="none" w:sz="0" w:space="0" w:color="auto"/>
      </w:divBdr>
    </w:div>
    <w:div w:id="1137534090">
      <w:bodyDiv w:val="1"/>
      <w:marLeft w:val="0"/>
      <w:marRight w:val="0"/>
      <w:marTop w:val="0"/>
      <w:marBottom w:val="0"/>
      <w:divBdr>
        <w:top w:val="none" w:sz="0" w:space="0" w:color="auto"/>
        <w:left w:val="none" w:sz="0" w:space="0" w:color="auto"/>
        <w:bottom w:val="none" w:sz="0" w:space="0" w:color="auto"/>
        <w:right w:val="none" w:sz="0" w:space="0" w:color="auto"/>
      </w:divBdr>
    </w:div>
    <w:div w:id="1143276582">
      <w:bodyDiv w:val="1"/>
      <w:marLeft w:val="0"/>
      <w:marRight w:val="0"/>
      <w:marTop w:val="0"/>
      <w:marBottom w:val="0"/>
      <w:divBdr>
        <w:top w:val="none" w:sz="0" w:space="0" w:color="auto"/>
        <w:left w:val="none" w:sz="0" w:space="0" w:color="auto"/>
        <w:bottom w:val="none" w:sz="0" w:space="0" w:color="auto"/>
        <w:right w:val="none" w:sz="0" w:space="0" w:color="auto"/>
      </w:divBdr>
    </w:div>
    <w:div w:id="1152452957">
      <w:bodyDiv w:val="1"/>
      <w:marLeft w:val="0"/>
      <w:marRight w:val="0"/>
      <w:marTop w:val="0"/>
      <w:marBottom w:val="0"/>
      <w:divBdr>
        <w:top w:val="none" w:sz="0" w:space="0" w:color="auto"/>
        <w:left w:val="none" w:sz="0" w:space="0" w:color="auto"/>
        <w:bottom w:val="none" w:sz="0" w:space="0" w:color="auto"/>
        <w:right w:val="none" w:sz="0" w:space="0" w:color="auto"/>
      </w:divBdr>
    </w:div>
    <w:div w:id="1158574902">
      <w:bodyDiv w:val="1"/>
      <w:marLeft w:val="0"/>
      <w:marRight w:val="0"/>
      <w:marTop w:val="0"/>
      <w:marBottom w:val="0"/>
      <w:divBdr>
        <w:top w:val="none" w:sz="0" w:space="0" w:color="auto"/>
        <w:left w:val="none" w:sz="0" w:space="0" w:color="auto"/>
        <w:bottom w:val="none" w:sz="0" w:space="0" w:color="auto"/>
        <w:right w:val="none" w:sz="0" w:space="0" w:color="auto"/>
      </w:divBdr>
    </w:div>
    <w:div w:id="1174995312">
      <w:bodyDiv w:val="1"/>
      <w:marLeft w:val="0"/>
      <w:marRight w:val="0"/>
      <w:marTop w:val="0"/>
      <w:marBottom w:val="0"/>
      <w:divBdr>
        <w:top w:val="none" w:sz="0" w:space="0" w:color="auto"/>
        <w:left w:val="none" w:sz="0" w:space="0" w:color="auto"/>
        <w:bottom w:val="none" w:sz="0" w:space="0" w:color="auto"/>
        <w:right w:val="none" w:sz="0" w:space="0" w:color="auto"/>
      </w:divBdr>
    </w:div>
    <w:div w:id="1185558537">
      <w:bodyDiv w:val="1"/>
      <w:marLeft w:val="0"/>
      <w:marRight w:val="0"/>
      <w:marTop w:val="0"/>
      <w:marBottom w:val="0"/>
      <w:divBdr>
        <w:top w:val="none" w:sz="0" w:space="0" w:color="auto"/>
        <w:left w:val="none" w:sz="0" w:space="0" w:color="auto"/>
        <w:bottom w:val="none" w:sz="0" w:space="0" w:color="auto"/>
        <w:right w:val="none" w:sz="0" w:space="0" w:color="auto"/>
      </w:divBdr>
    </w:div>
    <w:div w:id="1224371300">
      <w:bodyDiv w:val="1"/>
      <w:marLeft w:val="0"/>
      <w:marRight w:val="0"/>
      <w:marTop w:val="0"/>
      <w:marBottom w:val="0"/>
      <w:divBdr>
        <w:top w:val="none" w:sz="0" w:space="0" w:color="auto"/>
        <w:left w:val="none" w:sz="0" w:space="0" w:color="auto"/>
        <w:bottom w:val="none" w:sz="0" w:space="0" w:color="auto"/>
        <w:right w:val="none" w:sz="0" w:space="0" w:color="auto"/>
      </w:divBdr>
    </w:div>
    <w:div w:id="1225604153">
      <w:bodyDiv w:val="1"/>
      <w:marLeft w:val="0"/>
      <w:marRight w:val="0"/>
      <w:marTop w:val="0"/>
      <w:marBottom w:val="0"/>
      <w:divBdr>
        <w:top w:val="none" w:sz="0" w:space="0" w:color="auto"/>
        <w:left w:val="none" w:sz="0" w:space="0" w:color="auto"/>
        <w:bottom w:val="none" w:sz="0" w:space="0" w:color="auto"/>
        <w:right w:val="none" w:sz="0" w:space="0" w:color="auto"/>
      </w:divBdr>
    </w:div>
    <w:div w:id="1238129704">
      <w:bodyDiv w:val="1"/>
      <w:marLeft w:val="0"/>
      <w:marRight w:val="0"/>
      <w:marTop w:val="0"/>
      <w:marBottom w:val="0"/>
      <w:divBdr>
        <w:top w:val="none" w:sz="0" w:space="0" w:color="auto"/>
        <w:left w:val="none" w:sz="0" w:space="0" w:color="auto"/>
        <w:bottom w:val="none" w:sz="0" w:space="0" w:color="auto"/>
        <w:right w:val="none" w:sz="0" w:space="0" w:color="auto"/>
      </w:divBdr>
    </w:div>
    <w:div w:id="1242250851">
      <w:bodyDiv w:val="1"/>
      <w:marLeft w:val="0"/>
      <w:marRight w:val="0"/>
      <w:marTop w:val="0"/>
      <w:marBottom w:val="0"/>
      <w:divBdr>
        <w:top w:val="none" w:sz="0" w:space="0" w:color="auto"/>
        <w:left w:val="none" w:sz="0" w:space="0" w:color="auto"/>
        <w:bottom w:val="none" w:sz="0" w:space="0" w:color="auto"/>
        <w:right w:val="none" w:sz="0" w:space="0" w:color="auto"/>
      </w:divBdr>
      <w:divsChild>
        <w:div w:id="2079672720">
          <w:marLeft w:val="0"/>
          <w:marRight w:val="0"/>
          <w:marTop w:val="0"/>
          <w:marBottom w:val="0"/>
          <w:divBdr>
            <w:top w:val="none" w:sz="0" w:space="0" w:color="auto"/>
            <w:left w:val="none" w:sz="0" w:space="0" w:color="auto"/>
            <w:bottom w:val="none" w:sz="0" w:space="0" w:color="auto"/>
            <w:right w:val="none" w:sz="0" w:space="0" w:color="auto"/>
          </w:divBdr>
        </w:div>
      </w:divsChild>
    </w:div>
    <w:div w:id="1262182441">
      <w:bodyDiv w:val="1"/>
      <w:marLeft w:val="0"/>
      <w:marRight w:val="0"/>
      <w:marTop w:val="0"/>
      <w:marBottom w:val="0"/>
      <w:divBdr>
        <w:top w:val="none" w:sz="0" w:space="0" w:color="auto"/>
        <w:left w:val="none" w:sz="0" w:space="0" w:color="auto"/>
        <w:bottom w:val="none" w:sz="0" w:space="0" w:color="auto"/>
        <w:right w:val="none" w:sz="0" w:space="0" w:color="auto"/>
      </w:divBdr>
      <w:divsChild>
        <w:div w:id="246572978">
          <w:marLeft w:val="0"/>
          <w:marRight w:val="0"/>
          <w:marTop w:val="0"/>
          <w:marBottom w:val="0"/>
          <w:divBdr>
            <w:top w:val="none" w:sz="0" w:space="0" w:color="auto"/>
            <w:left w:val="none" w:sz="0" w:space="0" w:color="auto"/>
            <w:bottom w:val="none" w:sz="0" w:space="0" w:color="auto"/>
            <w:right w:val="none" w:sz="0" w:space="0" w:color="auto"/>
          </w:divBdr>
        </w:div>
        <w:div w:id="471404528">
          <w:marLeft w:val="0"/>
          <w:marRight w:val="0"/>
          <w:marTop w:val="0"/>
          <w:marBottom w:val="0"/>
          <w:divBdr>
            <w:top w:val="none" w:sz="0" w:space="0" w:color="auto"/>
            <w:left w:val="none" w:sz="0" w:space="0" w:color="auto"/>
            <w:bottom w:val="none" w:sz="0" w:space="0" w:color="auto"/>
            <w:right w:val="none" w:sz="0" w:space="0" w:color="auto"/>
          </w:divBdr>
        </w:div>
        <w:div w:id="1785076151">
          <w:marLeft w:val="0"/>
          <w:marRight w:val="0"/>
          <w:marTop w:val="0"/>
          <w:marBottom w:val="0"/>
          <w:divBdr>
            <w:top w:val="none" w:sz="0" w:space="0" w:color="auto"/>
            <w:left w:val="none" w:sz="0" w:space="0" w:color="auto"/>
            <w:bottom w:val="none" w:sz="0" w:space="0" w:color="auto"/>
            <w:right w:val="none" w:sz="0" w:space="0" w:color="auto"/>
          </w:divBdr>
        </w:div>
        <w:div w:id="1896159423">
          <w:marLeft w:val="0"/>
          <w:marRight w:val="0"/>
          <w:marTop w:val="0"/>
          <w:marBottom w:val="0"/>
          <w:divBdr>
            <w:top w:val="none" w:sz="0" w:space="0" w:color="auto"/>
            <w:left w:val="none" w:sz="0" w:space="0" w:color="auto"/>
            <w:bottom w:val="none" w:sz="0" w:space="0" w:color="auto"/>
            <w:right w:val="none" w:sz="0" w:space="0" w:color="auto"/>
          </w:divBdr>
        </w:div>
      </w:divsChild>
    </w:div>
    <w:div w:id="1265262112">
      <w:bodyDiv w:val="1"/>
      <w:marLeft w:val="0"/>
      <w:marRight w:val="0"/>
      <w:marTop w:val="0"/>
      <w:marBottom w:val="0"/>
      <w:divBdr>
        <w:top w:val="none" w:sz="0" w:space="0" w:color="auto"/>
        <w:left w:val="none" w:sz="0" w:space="0" w:color="auto"/>
        <w:bottom w:val="none" w:sz="0" w:space="0" w:color="auto"/>
        <w:right w:val="none" w:sz="0" w:space="0" w:color="auto"/>
      </w:divBdr>
    </w:div>
    <w:div w:id="1285119854">
      <w:bodyDiv w:val="1"/>
      <w:marLeft w:val="0"/>
      <w:marRight w:val="0"/>
      <w:marTop w:val="0"/>
      <w:marBottom w:val="0"/>
      <w:divBdr>
        <w:top w:val="none" w:sz="0" w:space="0" w:color="auto"/>
        <w:left w:val="none" w:sz="0" w:space="0" w:color="auto"/>
        <w:bottom w:val="none" w:sz="0" w:space="0" w:color="auto"/>
        <w:right w:val="none" w:sz="0" w:space="0" w:color="auto"/>
      </w:divBdr>
    </w:div>
    <w:div w:id="1318463121">
      <w:bodyDiv w:val="1"/>
      <w:marLeft w:val="0"/>
      <w:marRight w:val="0"/>
      <w:marTop w:val="0"/>
      <w:marBottom w:val="0"/>
      <w:divBdr>
        <w:top w:val="none" w:sz="0" w:space="0" w:color="auto"/>
        <w:left w:val="none" w:sz="0" w:space="0" w:color="auto"/>
        <w:bottom w:val="none" w:sz="0" w:space="0" w:color="auto"/>
        <w:right w:val="none" w:sz="0" w:space="0" w:color="auto"/>
      </w:divBdr>
    </w:div>
    <w:div w:id="1320695571">
      <w:bodyDiv w:val="1"/>
      <w:marLeft w:val="0"/>
      <w:marRight w:val="0"/>
      <w:marTop w:val="0"/>
      <w:marBottom w:val="0"/>
      <w:divBdr>
        <w:top w:val="none" w:sz="0" w:space="0" w:color="auto"/>
        <w:left w:val="none" w:sz="0" w:space="0" w:color="auto"/>
        <w:bottom w:val="none" w:sz="0" w:space="0" w:color="auto"/>
        <w:right w:val="none" w:sz="0" w:space="0" w:color="auto"/>
      </w:divBdr>
    </w:div>
    <w:div w:id="1335955609">
      <w:bodyDiv w:val="1"/>
      <w:marLeft w:val="0"/>
      <w:marRight w:val="0"/>
      <w:marTop w:val="0"/>
      <w:marBottom w:val="0"/>
      <w:divBdr>
        <w:top w:val="none" w:sz="0" w:space="0" w:color="auto"/>
        <w:left w:val="none" w:sz="0" w:space="0" w:color="auto"/>
        <w:bottom w:val="none" w:sz="0" w:space="0" w:color="auto"/>
        <w:right w:val="none" w:sz="0" w:space="0" w:color="auto"/>
      </w:divBdr>
    </w:div>
    <w:div w:id="1344209668">
      <w:bodyDiv w:val="1"/>
      <w:marLeft w:val="0"/>
      <w:marRight w:val="0"/>
      <w:marTop w:val="0"/>
      <w:marBottom w:val="0"/>
      <w:divBdr>
        <w:top w:val="none" w:sz="0" w:space="0" w:color="auto"/>
        <w:left w:val="none" w:sz="0" w:space="0" w:color="auto"/>
        <w:bottom w:val="none" w:sz="0" w:space="0" w:color="auto"/>
        <w:right w:val="none" w:sz="0" w:space="0" w:color="auto"/>
      </w:divBdr>
    </w:div>
    <w:div w:id="1345088180">
      <w:bodyDiv w:val="1"/>
      <w:marLeft w:val="0"/>
      <w:marRight w:val="0"/>
      <w:marTop w:val="0"/>
      <w:marBottom w:val="0"/>
      <w:divBdr>
        <w:top w:val="none" w:sz="0" w:space="0" w:color="auto"/>
        <w:left w:val="none" w:sz="0" w:space="0" w:color="auto"/>
        <w:bottom w:val="none" w:sz="0" w:space="0" w:color="auto"/>
        <w:right w:val="none" w:sz="0" w:space="0" w:color="auto"/>
      </w:divBdr>
    </w:div>
    <w:div w:id="1347168379">
      <w:bodyDiv w:val="1"/>
      <w:marLeft w:val="0"/>
      <w:marRight w:val="0"/>
      <w:marTop w:val="0"/>
      <w:marBottom w:val="0"/>
      <w:divBdr>
        <w:top w:val="none" w:sz="0" w:space="0" w:color="auto"/>
        <w:left w:val="none" w:sz="0" w:space="0" w:color="auto"/>
        <w:bottom w:val="none" w:sz="0" w:space="0" w:color="auto"/>
        <w:right w:val="none" w:sz="0" w:space="0" w:color="auto"/>
      </w:divBdr>
    </w:div>
    <w:div w:id="1379548179">
      <w:bodyDiv w:val="1"/>
      <w:marLeft w:val="0"/>
      <w:marRight w:val="0"/>
      <w:marTop w:val="0"/>
      <w:marBottom w:val="0"/>
      <w:divBdr>
        <w:top w:val="none" w:sz="0" w:space="0" w:color="auto"/>
        <w:left w:val="none" w:sz="0" w:space="0" w:color="auto"/>
        <w:bottom w:val="none" w:sz="0" w:space="0" w:color="auto"/>
        <w:right w:val="none" w:sz="0" w:space="0" w:color="auto"/>
      </w:divBdr>
    </w:div>
    <w:div w:id="1400400967">
      <w:bodyDiv w:val="1"/>
      <w:marLeft w:val="0"/>
      <w:marRight w:val="0"/>
      <w:marTop w:val="0"/>
      <w:marBottom w:val="0"/>
      <w:divBdr>
        <w:top w:val="none" w:sz="0" w:space="0" w:color="auto"/>
        <w:left w:val="none" w:sz="0" w:space="0" w:color="auto"/>
        <w:bottom w:val="none" w:sz="0" w:space="0" w:color="auto"/>
        <w:right w:val="none" w:sz="0" w:space="0" w:color="auto"/>
      </w:divBdr>
    </w:div>
    <w:div w:id="1411467119">
      <w:bodyDiv w:val="1"/>
      <w:marLeft w:val="0"/>
      <w:marRight w:val="0"/>
      <w:marTop w:val="0"/>
      <w:marBottom w:val="0"/>
      <w:divBdr>
        <w:top w:val="none" w:sz="0" w:space="0" w:color="auto"/>
        <w:left w:val="none" w:sz="0" w:space="0" w:color="auto"/>
        <w:bottom w:val="none" w:sz="0" w:space="0" w:color="auto"/>
        <w:right w:val="none" w:sz="0" w:space="0" w:color="auto"/>
      </w:divBdr>
    </w:div>
    <w:div w:id="1483696935">
      <w:bodyDiv w:val="1"/>
      <w:marLeft w:val="0"/>
      <w:marRight w:val="0"/>
      <w:marTop w:val="0"/>
      <w:marBottom w:val="0"/>
      <w:divBdr>
        <w:top w:val="none" w:sz="0" w:space="0" w:color="auto"/>
        <w:left w:val="none" w:sz="0" w:space="0" w:color="auto"/>
        <w:bottom w:val="none" w:sz="0" w:space="0" w:color="auto"/>
        <w:right w:val="none" w:sz="0" w:space="0" w:color="auto"/>
      </w:divBdr>
    </w:div>
    <w:div w:id="1491873181">
      <w:bodyDiv w:val="1"/>
      <w:marLeft w:val="0"/>
      <w:marRight w:val="0"/>
      <w:marTop w:val="0"/>
      <w:marBottom w:val="0"/>
      <w:divBdr>
        <w:top w:val="none" w:sz="0" w:space="0" w:color="auto"/>
        <w:left w:val="none" w:sz="0" w:space="0" w:color="auto"/>
        <w:bottom w:val="none" w:sz="0" w:space="0" w:color="auto"/>
        <w:right w:val="none" w:sz="0" w:space="0" w:color="auto"/>
      </w:divBdr>
    </w:div>
    <w:div w:id="1493447524">
      <w:bodyDiv w:val="1"/>
      <w:marLeft w:val="0"/>
      <w:marRight w:val="0"/>
      <w:marTop w:val="0"/>
      <w:marBottom w:val="0"/>
      <w:divBdr>
        <w:top w:val="none" w:sz="0" w:space="0" w:color="auto"/>
        <w:left w:val="none" w:sz="0" w:space="0" w:color="auto"/>
        <w:bottom w:val="none" w:sz="0" w:space="0" w:color="auto"/>
        <w:right w:val="none" w:sz="0" w:space="0" w:color="auto"/>
      </w:divBdr>
    </w:div>
    <w:div w:id="1494950816">
      <w:bodyDiv w:val="1"/>
      <w:marLeft w:val="0"/>
      <w:marRight w:val="0"/>
      <w:marTop w:val="0"/>
      <w:marBottom w:val="0"/>
      <w:divBdr>
        <w:top w:val="none" w:sz="0" w:space="0" w:color="auto"/>
        <w:left w:val="none" w:sz="0" w:space="0" w:color="auto"/>
        <w:bottom w:val="none" w:sz="0" w:space="0" w:color="auto"/>
        <w:right w:val="none" w:sz="0" w:space="0" w:color="auto"/>
      </w:divBdr>
    </w:div>
    <w:div w:id="1499466485">
      <w:bodyDiv w:val="1"/>
      <w:marLeft w:val="0"/>
      <w:marRight w:val="0"/>
      <w:marTop w:val="0"/>
      <w:marBottom w:val="0"/>
      <w:divBdr>
        <w:top w:val="none" w:sz="0" w:space="0" w:color="auto"/>
        <w:left w:val="none" w:sz="0" w:space="0" w:color="auto"/>
        <w:bottom w:val="none" w:sz="0" w:space="0" w:color="auto"/>
        <w:right w:val="none" w:sz="0" w:space="0" w:color="auto"/>
      </w:divBdr>
    </w:div>
    <w:div w:id="1500080869">
      <w:bodyDiv w:val="1"/>
      <w:marLeft w:val="0"/>
      <w:marRight w:val="0"/>
      <w:marTop w:val="0"/>
      <w:marBottom w:val="0"/>
      <w:divBdr>
        <w:top w:val="none" w:sz="0" w:space="0" w:color="auto"/>
        <w:left w:val="none" w:sz="0" w:space="0" w:color="auto"/>
        <w:bottom w:val="none" w:sz="0" w:space="0" w:color="auto"/>
        <w:right w:val="none" w:sz="0" w:space="0" w:color="auto"/>
      </w:divBdr>
    </w:div>
    <w:div w:id="1525288410">
      <w:bodyDiv w:val="1"/>
      <w:marLeft w:val="0"/>
      <w:marRight w:val="0"/>
      <w:marTop w:val="0"/>
      <w:marBottom w:val="0"/>
      <w:divBdr>
        <w:top w:val="none" w:sz="0" w:space="0" w:color="auto"/>
        <w:left w:val="none" w:sz="0" w:space="0" w:color="auto"/>
        <w:bottom w:val="none" w:sz="0" w:space="0" w:color="auto"/>
        <w:right w:val="none" w:sz="0" w:space="0" w:color="auto"/>
      </w:divBdr>
    </w:div>
    <w:div w:id="1536189284">
      <w:bodyDiv w:val="1"/>
      <w:marLeft w:val="0"/>
      <w:marRight w:val="0"/>
      <w:marTop w:val="0"/>
      <w:marBottom w:val="0"/>
      <w:divBdr>
        <w:top w:val="none" w:sz="0" w:space="0" w:color="auto"/>
        <w:left w:val="none" w:sz="0" w:space="0" w:color="auto"/>
        <w:bottom w:val="none" w:sz="0" w:space="0" w:color="auto"/>
        <w:right w:val="none" w:sz="0" w:space="0" w:color="auto"/>
      </w:divBdr>
    </w:div>
    <w:div w:id="1537885665">
      <w:bodyDiv w:val="1"/>
      <w:marLeft w:val="0"/>
      <w:marRight w:val="0"/>
      <w:marTop w:val="0"/>
      <w:marBottom w:val="0"/>
      <w:divBdr>
        <w:top w:val="none" w:sz="0" w:space="0" w:color="auto"/>
        <w:left w:val="none" w:sz="0" w:space="0" w:color="auto"/>
        <w:bottom w:val="none" w:sz="0" w:space="0" w:color="auto"/>
        <w:right w:val="none" w:sz="0" w:space="0" w:color="auto"/>
      </w:divBdr>
    </w:div>
    <w:div w:id="1561478467">
      <w:bodyDiv w:val="1"/>
      <w:marLeft w:val="0"/>
      <w:marRight w:val="0"/>
      <w:marTop w:val="0"/>
      <w:marBottom w:val="0"/>
      <w:divBdr>
        <w:top w:val="none" w:sz="0" w:space="0" w:color="auto"/>
        <w:left w:val="none" w:sz="0" w:space="0" w:color="auto"/>
        <w:bottom w:val="none" w:sz="0" w:space="0" w:color="auto"/>
        <w:right w:val="none" w:sz="0" w:space="0" w:color="auto"/>
      </w:divBdr>
    </w:div>
    <w:div w:id="1603806763">
      <w:bodyDiv w:val="1"/>
      <w:marLeft w:val="0"/>
      <w:marRight w:val="0"/>
      <w:marTop w:val="0"/>
      <w:marBottom w:val="0"/>
      <w:divBdr>
        <w:top w:val="none" w:sz="0" w:space="0" w:color="auto"/>
        <w:left w:val="none" w:sz="0" w:space="0" w:color="auto"/>
        <w:bottom w:val="none" w:sz="0" w:space="0" w:color="auto"/>
        <w:right w:val="none" w:sz="0" w:space="0" w:color="auto"/>
      </w:divBdr>
    </w:div>
    <w:div w:id="1616717803">
      <w:bodyDiv w:val="1"/>
      <w:marLeft w:val="0"/>
      <w:marRight w:val="0"/>
      <w:marTop w:val="0"/>
      <w:marBottom w:val="0"/>
      <w:divBdr>
        <w:top w:val="none" w:sz="0" w:space="0" w:color="auto"/>
        <w:left w:val="none" w:sz="0" w:space="0" w:color="auto"/>
        <w:bottom w:val="none" w:sz="0" w:space="0" w:color="auto"/>
        <w:right w:val="none" w:sz="0" w:space="0" w:color="auto"/>
      </w:divBdr>
    </w:div>
    <w:div w:id="1624530613">
      <w:bodyDiv w:val="1"/>
      <w:marLeft w:val="0"/>
      <w:marRight w:val="0"/>
      <w:marTop w:val="0"/>
      <w:marBottom w:val="0"/>
      <w:divBdr>
        <w:top w:val="none" w:sz="0" w:space="0" w:color="auto"/>
        <w:left w:val="none" w:sz="0" w:space="0" w:color="auto"/>
        <w:bottom w:val="none" w:sz="0" w:space="0" w:color="auto"/>
        <w:right w:val="none" w:sz="0" w:space="0" w:color="auto"/>
      </w:divBdr>
    </w:div>
    <w:div w:id="1643922326">
      <w:bodyDiv w:val="1"/>
      <w:marLeft w:val="0"/>
      <w:marRight w:val="0"/>
      <w:marTop w:val="0"/>
      <w:marBottom w:val="0"/>
      <w:divBdr>
        <w:top w:val="none" w:sz="0" w:space="0" w:color="auto"/>
        <w:left w:val="none" w:sz="0" w:space="0" w:color="auto"/>
        <w:bottom w:val="none" w:sz="0" w:space="0" w:color="auto"/>
        <w:right w:val="none" w:sz="0" w:space="0" w:color="auto"/>
      </w:divBdr>
    </w:div>
    <w:div w:id="1675841027">
      <w:bodyDiv w:val="1"/>
      <w:marLeft w:val="0"/>
      <w:marRight w:val="0"/>
      <w:marTop w:val="0"/>
      <w:marBottom w:val="0"/>
      <w:divBdr>
        <w:top w:val="none" w:sz="0" w:space="0" w:color="auto"/>
        <w:left w:val="none" w:sz="0" w:space="0" w:color="auto"/>
        <w:bottom w:val="none" w:sz="0" w:space="0" w:color="auto"/>
        <w:right w:val="none" w:sz="0" w:space="0" w:color="auto"/>
      </w:divBdr>
    </w:div>
    <w:div w:id="1681005641">
      <w:bodyDiv w:val="1"/>
      <w:marLeft w:val="0"/>
      <w:marRight w:val="0"/>
      <w:marTop w:val="0"/>
      <w:marBottom w:val="0"/>
      <w:divBdr>
        <w:top w:val="none" w:sz="0" w:space="0" w:color="auto"/>
        <w:left w:val="none" w:sz="0" w:space="0" w:color="auto"/>
        <w:bottom w:val="none" w:sz="0" w:space="0" w:color="auto"/>
        <w:right w:val="none" w:sz="0" w:space="0" w:color="auto"/>
      </w:divBdr>
    </w:div>
    <w:div w:id="1696273812">
      <w:bodyDiv w:val="1"/>
      <w:marLeft w:val="0"/>
      <w:marRight w:val="0"/>
      <w:marTop w:val="0"/>
      <w:marBottom w:val="0"/>
      <w:divBdr>
        <w:top w:val="none" w:sz="0" w:space="0" w:color="auto"/>
        <w:left w:val="none" w:sz="0" w:space="0" w:color="auto"/>
        <w:bottom w:val="none" w:sz="0" w:space="0" w:color="auto"/>
        <w:right w:val="none" w:sz="0" w:space="0" w:color="auto"/>
      </w:divBdr>
    </w:div>
    <w:div w:id="1715108336">
      <w:bodyDiv w:val="1"/>
      <w:marLeft w:val="0"/>
      <w:marRight w:val="0"/>
      <w:marTop w:val="0"/>
      <w:marBottom w:val="0"/>
      <w:divBdr>
        <w:top w:val="none" w:sz="0" w:space="0" w:color="auto"/>
        <w:left w:val="none" w:sz="0" w:space="0" w:color="auto"/>
        <w:bottom w:val="none" w:sz="0" w:space="0" w:color="auto"/>
        <w:right w:val="none" w:sz="0" w:space="0" w:color="auto"/>
      </w:divBdr>
      <w:divsChild>
        <w:div w:id="289894987">
          <w:marLeft w:val="0"/>
          <w:marRight w:val="0"/>
          <w:marTop w:val="0"/>
          <w:marBottom w:val="0"/>
          <w:divBdr>
            <w:top w:val="none" w:sz="0" w:space="0" w:color="auto"/>
            <w:left w:val="none" w:sz="0" w:space="0" w:color="auto"/>
            <w:bottom w:val="none" w:sz="0" w:space="0" w:color="auto"/>
            <w:right w:val="none" w:sz="0" w:space="0" w:color="auto"/>
          </w:divBdr>
        </w:div>
        <w:div w:id="958754660">
          <w:marLeft w:val="0"/>
          <w:marRight w:val="0"/>
          <w:marTop w:val="0"/>
          <w:marBottom w:val="0"/>
          <w:divBdr>
            <w:top w:val="none" w:sz="0" w:space="0" w:color="auto"/>
            <w:left w:val="none" w:sz="0" w:space="0" w:color="auto"/>
            <w:bottom w:val="none" w:sz="0" w:space="0" w:color="auto"/>
            <w:right w:val="none" w:sz="0" w:space="0" w:color="auto"/>
          </w:divBdr>
        </w:div>
        <w:div w:id="1039404183">
          <w:marLeft w:val="0"/>
          <w:marRight w:val="0"/>
          <w:marTop w:val="0"/>
          <w:marBottom w:val="0"/>
          <w:divBdr>
            <w:top w:val="none" w:sz="0" w:space="0" w:color="auto"/>
            <w:left w:val="none" w:sz="0" w:space="0" w:color="auto"/>
            <w:bottom w:val="none" w:sz="0" w:space="0" w:color="auto"/>
            <w:right w:val="none" w:sz="0" w:space="0" w:color="auto"/>
          </w:divBdr>
        </w:div>
        <w:div w:id="1248534031">
          <w:marLeft w:val="0"/>
          <w:marRight w:val="0"/>
          <w:marTop w:val="0"/>
          <w:marBottom w:val="0"/>
          <w:divBdr>
            <w:top w:val="none" w:sz="0" w:space="0" w:color="auto"/>
            <w:left w:val="none" w:sz="0" w:space="0" w:color="auto"/>
            <w:bottom w:val="none" w:sz="0" w:space="0" w:color="auto"/>
            <w:right w:val="none" w:sz="0" w:space="0" w:color="auto"/>
          </w:divBdr>
        </w:div>
      </w:divsChild>
    </w:div>
    <w:div w:id="1718702937">
      <w:bodyDiv w:val="1"/>
      <w:marLeft w:val="0"/>
      <w:marRight w:val="0"/>
      <w:marTop w:val="0"/>
      <w:marBottom w:val="0"/>
      <w:divBdr>
        <w:top w:val="none" w:sz="0" w:space="0" w:color="auto"/>
        <w:left w:val="none" w:sz="0" w:space="0" w:color="auto"/>
        <w:bottom w:val="none" w:sz="0" w:space="0" w:color="auto"/>
        <w:right w:val="none" w:sz="0" w:space="0" w:color="auto"/>
      </w:divBdr>
    </w:div>
    <w:div w:id="1727290203">
      <w:bodyDiv w:val="1"/>
      <w:marLeft w:val="0"/>
      <w:marRight w:val="0"/>
      <w:marTop w:val="0"/>
      <w:marBottom w:val="0"/>
      <w:divBdr>
        <w:top w:val="none" w:sz="0" w:space="0" w:color="auto"/>
        <w:left w:val="none" w:sz="0" w:space="0" w:color="auto"/>
        <w:bottom w:val="none" w:sz="0" w:space="0" w:color="auto"/>
        <w:right w:val="none" w:sz="0" w:space="0" w:color="auto"/>
      </w:divBdr>
    </w:div>
    <w:div w:id="1738479137">
      <w:bodyDiv w:val="1"/>
      <w:marLeft w:val="0"/>
      <w:marRight w:val="0"/>
      <w:marTop w:val="0"/>
      <w:marBottom w:val="0"/>
      <w:divBdr>
        <w:top w:val="none" w:sz="0" w:space="0" w:color="auto"/>
        <w:left w:val="none" w:sz="0" w:space="0" w:color="auto"/>
        <w:bottom w:val="none" w:sz="0" w:space="0" w:color="auto"/>
        <w:right w:val="none" w:sz="0" w:space="0" w:color="auto"/>
      </w:divBdr>
    </w:div>
    <w:div w:id="1738744161">
      <w:bodyDiv w:val="1"/>
      <w:marLeft w:val="0"/>
      <w:marRight w:val="0"/>
      <w:marTop w:val="0"/>
      <w:marBottom w:val="0"/>
      <w:divBdr>
        <w:top w:val="none" w:sz="0" w:space="0" w:color="auto"/>
        <w:left w:val="none" w:sz="0" w:space="0" w:color="auto"/>
        <w:bottom w:val="none" w:sz="0" w:space="0" w:color="auto"/>
        <w:right w:val="none" w:sz="0" w:space="0" w:color="auto"/>
      </w:divBdr>
    </w:div>
    <w:div w:id="1767112851">
      <w:bodyDiv w:val="1"/>
      <w:marLeft w:val="0"/>
      <w:marRight w:val="0"/>
      <w:marTop w:val="0"/>
      <w:marBottom w:val="0"/>
      <w:divBdr>
        <w:top w:val="none" w:sz="0" w:space="0" w:color="auto"/>
        <w:left w:val="none" w:sz="0" w:space="0" w:color="auto"/>
        <w:bottom w:val="none" w:sz="0" w:space="0" w:color="auto"/>
        <w:right w:val="none" w:sz="0" w:space="0" w:color="auto"/>
      </w:divBdr>
    </w:div>
    <w:div w:id="1782068838">
      <w:bodyDiv w:val="1"/>
      <w:marLeft w:val="0"/>
      <w:marRight w:val="0"/>
      <w:marTop w:val="0"/>
      <w:marBottom w:val="0"/>
      <w:divBdr>
        <w:top w:val="none" w:sz="0" w:space="0" w:color="auto"/>
        <w:left w:val="none" w:sz="0" w:space="0" w:color="auto"/>
        <w:bottom w:val="none" w:sz="0" w:space="0" w:color="auto"/>
        <w:right w:val="none" w:sz="0" w:space="0" w:color="auto"/>
      </w:divBdr>
    </w:div>
    <w:div w:id="1807821659">
      <w:bodyDiv w:val="1"/>
      <w:marLeft w:val="0"/>
      <w:marRight w:val="0"/>
      <w:marTop w:val="0"/>
      <w:marBottom w:val="0"/>
      <w:divBdr>
        <w:top w:val="none" w:sz="0" w:space="0" w:color="auto"/>
        <w:left w:val="none" w:sz="0" w:space="0" w:color="auto"/>
        <w:bottom w:val="none" w:sz="0" w:space="0" w:color="auto"/>
        <w:right w:val="none" w:sz="0" w:space="0" w:color="auto"/>
      </w:divBdr>
    </w:div>
    <w:div w:id="1830443155">
      <w:bodyDiv w:val="1"/>
      <w:marLeft w:val="0"/>
      <w:marRight w:val="0"/>
      <w:marTop w:val="0"/>
      <w:marBottom w:val="0"/>
      <w:divBdr>
        <w:top w:val="none" w:sz="0" w:space="0" w:color="auto"/>
        <w:left w:val="none" w:sz="0" w:space="0" w:color="auto"/>
        <w:bottom w:val="none" w:sz="0" w:space="0" w:color="auto"/>
        <w:right w:val="none" w:sz="0" w:space="0" w:color="auto"/>
      </w:divBdr>
    </w:div>
    <w:div w:id="1834906828">
      <w:bodyDiv w:val="1"/>
      <w:marLeft w:val="0"/>
      <w:marRight w:val="0"/>
      <w:marTop w:val="0"/>
      <w:marBottom w:val="0"/>
      <w:divBdr>
        <w:top w:val="none" w:sz="0" w:space="0" w:color="auto"/>
        <w:left w:val="none" w:sz="0" w:space="0" w:color="auto"/>
        <w:bottom w:val="none" w:sz="0" w:space="0" w:color="auto"/>
        <w:right w:val="none" w:sz="0" w:space="0" w:color="auto"/>
      </w:divBdr>
    </w:div>
    <w:div w:id="1844971460">
      <w:bodyDiv w:val="1"/>
      <w:marLeft w:val="0"/>
      <w:marRight w:val="0"/>
      <w:marTop w:val="0"/>
      <w:marBottom w:val="0"/>
      <w:divBdr>
        <w:top w:val="none" w:sz="0" w:space="0" w:color="auto"/>
        <w:left w:val="none" w:sz="0" w:space="0" w:color="auto"/>
        <w:bottom w:val="none" w:sz="0" w:space="0" w:color="auto"/>
        <w:right w:val="none" w:sz="0" w:space="0" w:color="auto"/>
      </w:divBdr>
    </w:div>
    <w:div w:id="1848254860">
      <w:bodyDiv w:val="1"/>
      <w:marLeft w:val="0"/>
      <w:marRight w:val="0"/>
      <w:marTop w:val="0"/>
      <w:marBottom w:val="0"/>
      <w:divBdr>
        <w:top w:val="none" w:sz="0" w:space="0" w:color="auto"/>
        <w:left w:val="none" w:sz="0" w:space="0" w:color="auto"/>
        <w:bottom w:val="none" w:sz="0" w:space="0" w:color="auto"/>
        <w:right w:val="none" w:sz="0" w:space="0" w:color="auto"/>
      </w:divBdr>
    </w:div>
    <w:div w:id="1849322285">
      <w:bodyDiv w:val="1"/>
      <w:marLeft w:val="0"/>
      <w:marRight w:val="0"/>
      <w:marTop w:val="0"/>
      <w:marBottom w:val="0"/>
      <w:divBdr>
        <w:top w:val="none" w:sz="0" w:space="0" w:color="auto"/>
        <w:left w:val="none" w:sz="0" w:space="0" w:color="auto"/>
        <w:bottom w:val="none" w:sz="0" w:space="0" w:color="auto"/>
        <w:right w:val="none" w:sz="0" w:space="0" w:color="auto"/>
      </w:divBdr>
    </w:div>
    <w:div w:id="1852179154">
      <w:bodyDiv w:val="1"/>
      <w:marLeft w:val="0"/>
      <w:marRight w:val="0"/>
      <w:marTop w:val="0"/>
      <w:marBottom w:val="0"/>
      <w:divBdr>
        <w:top w:val="none" w:sz="0" w:space="0" w:color="auto"/>
        <w:left w:val="none" w:sz="0" w:space="0" w:color="auto"/>
        <w:bottom w:val="none" w:sz="0" w:space="0" w:color="auto"/>
        <w:right w:val="none" w:sz="0" w:space="0" w:color="auto"/>
      </w:divBdr>
    </w:div>
    <w:div w:id="1900170058">
      <w:bodyDiv w:val="1"/>
      <w:marLeft w:val="0"/>
      <w:marRight w:val="0"/>
      <w:marTop w:val="0"/>
      <w:marBottom w:val="0"/>
      <w:divBdr>
        <w:top w:val="none" w:sz="0" w:space="0" w:color="auto"/>
        <w:left w:val="none" w:sz="0" w:space="0" w:color="auto"/>
        <w:bottom w:val="none" w:sz="0" w:space="0" w:color="auto"/>
        <w:right w:val="none" w:sz="0" w:space="0" w:color="auto"/>
      </w:divBdr>
    </w:div>
    <w:div w:id="1911843086">
      <w:bodyDiv w:val="1"/>
      <w:marLeft w:val="0"/>
      <w:marRight w:val="0"/>
      <w:marTop w:val="0"/>
      <w:marBottom w:val="0"/>
      <w:divBdr>
        <w:top w:val="none" w:sz="0" w:space="0" w:color="auto"/>
        <w:left w:val="none" w:sz="0" w:space="0" w:color="auto"/>
        <w:bottom w:val="none" w:sz="0" w:space="0" w:color="auto"/>
        <w:right w:val="none" w:sz="0" w:space="0" w:color="auto"/>
      </w:divBdr>
    </w:div>
    <w:div w:id="1932883868">
      <w:bodyDiv w:val="1"/>
      <w:marLeft w:val="0"/>
      <w:marRight w:val="0"/>
      <w:marTop w:val="0"/>
      <w:marBottom w:val="0"/>
      <w:divBdr>
        <w:top w:val="none" w:sz="0" w:space="0" w:color="auto"/>
        <w:left w:val="none" w:sz="0" w:space="0" w:color="auto"/>
        <w:bottom w:val="none" w:sz="0" w:space="0" w:color="auto"/>
        <w:right w:val="none" w:sz="0" w:space="0" w:color="auto"/>
      </w:divBdr>
    </w:div>
    <w:div w:id="1938714696">
      <w:bodyDiv w:val="1"/>
      <w:marLeft w:val="0"/>
      <w:marRight w:val="0"/>
      <w:marTop w:val="0"/>
      <w:marBottom w:val="0"/>
      <w:divBdr>
        <w:top w:val="none" w:sz="0" w:space="0" w:color="auto"/>
        <w:left w:val="none" w:sz="0" w:space="0" w:color="auto"/>
        <w:bottom w:val="none" w:sz="0" w:space="0" w:color="auto"/>
        <w:right w:val="none" w:sz="0" w:space="0" w:color="auto"/>
      </w:divBdr>
    </w:div>
    <w:div w:id="1948345749">
      <w:bodyDiv w:val="1"/>
      <w:marLeft w:val="0"/>
      <w:marRight w:val="0"/>
      <w:marTop w:val="0"/>
      <w:marBottom w:val="0"/>
      <w:divBdr>
        <w:top w:val="none" w:sz="0" w:space="0" w:color="auto"/>
        <w:left w:val="none" w:sz="0" w:space="0" w:color="auto"/>
        <w:bottom w:val="none" w:sz="0" w:space="0" w:color="auto"/>
        <w:right w:val="none" w:sz="0" w:space="0" w:color="auto"/>
      </w:divBdr>
    </w:div>
    <w:div w:id="1949853880">
      <w:bodyDiv w:val="1"/>
      <w:marLeft w:val="0"/>
      <w:marRight w:val="0"/>
      <w:marTop w:val="0"/>
      <w:marBottom w:val="0"/>
      <w:divBdr>
        <w:top w:val="none" w:sz="0" w:space="0" w:color="auto"/>
        <w:left w:val="none" w:sz="0" w:space="0" w:color="auto"/>
        <w:bottom w:val="none" w:sz="0" w:space="0" w:color="auto"/>
        <w:right w:val="none" w:sz="0" w:space="0" w:color="auto"/>
      </w:divBdr>
    </w:div>
    <w:div w:id="1951276309">
      <w:bodyDiv w:val="1"/>
      <w:marLeft w:val="0"/>
      <w:marRight w:val="0"/>
      <w:marTop w:val="0"/>
      <w:marBottom w:val="0"/>
      <w:divBdr>
        <w:top w:val="none" w:sz="0" w:space="0" w:color="auto"/>
        <w:left w:val="none" w:sz="0" w:space="0" w:color="auto"/>
        <w:bottom w:val="none" w:sz="0" w:space="0" w:color="auto"/>
        <w:right w:val="none" w:sz="0" w:space="0" w:color="auto"/>
      </w:divBdr>
    </w:div>
    <w:div w:id="1963800667">
      <w:bodyDiv w:val="1"/>
      <w:marLeft w:val="0"/>
      <w:marRight w:val="0"/>
      <w:marTop w:val="0"/>
      <w:marBottom w:val="0"/>
      <w:divBdr>
        <w:top w:val="none" w:sz="0" w:space="0" w:color="auto"/>
        <w:left w:val="none" w:sz="0" w:space="0" w:color="auto"/>
        <w:bottom w:val="none" w:sz="0" w:space="0" w:color="auto"/>
        <w:right w:val="none" w:sz="0" w:space="0" w:color="auto"/>
      </w:divBdr>
    </w:div>
    <w:div w:id="1972007197">
      <w:bodyDiv w:val="1"/>
      <w:marLeft w:val="0"/>
      <w:marRight w:val="0"/>
      <w:marTop w:val="0"/>
      <w:marBottom w:val="0"/>
      <w:divBdr>
        <w:top w:val="none" w:sz="0" w:space="0" w:color="auto"/>
        <w:left w:val="none" w:sz="0" w:space="0" w:color="auto"/>
        <w:bottom w:val="none" w:sz="0" w:space="0" w:color="auto"/>
        <w:right w:val="none" w:sz="0" w:space="0" w:color="auto"/>
      </w:divBdr>
    </w:div>
    <w:div w:id="1983273497">
      <w:bodyDiv w:val="1"/>
      <w:marLeft w:val="0"/>
      <w:marRight w:val="0"/>
      <w:marTop w:val="0"/>
      <w:marBottom w:val="0"/>
      <w:divBdr>
        <w:top w:val="none" w:sz="0" w:space="0" w:color="auto"/>
        <w:left w:val="none" w:sz="0" w:space="0" w:color="auto"/>
        <w:bottom w:val="none" w:sz="0" w:space="0" w:color="auto"/>
        <w:right w:val="none" w:sz="0" w:space="0" w:color="auto"/>
      </w:divBdr>
    </w:div>
    <w:div w:id="1983805019">
      <w:bodyDiv w:val="1"/>
      <w:marLeft w:val="0"/>
      <w:marRight w:val="0"/>
      <w:marTop w:val="0"/>
      <w:marBottom w:val="0"/>
      <w:divBdr>
        <w:top w:val="none" w:sz="0" w:space="0" w:color="auto"/>
        <w:left w:val="none" w:sz="0" w:space="0" w:color="auto"/>
        <w:bottom w:val="none" w:sz="0" w:space="0" w:color="auto"/>
        <w:right w:val="none" w:sz="0" w:space="0" w:color="auto"/>
      </w:divBdr>
    </w:div>
    <w:div w:id="2006744938">
      <w:bodyDiv w:val="1"/>
      <w:marLeft w:val="0"/>
      <w:marRight w:val="0"/>
      <w:marTop w:val="0"/>
      <w:marBottom w:val="0"/>
      <w:divBdr>
        <w:top w:val="none" w:sz="0" w:space="0" w:color="auto"/>
        <w:left w:val="none" w:sz="0" w:space="0" w:color="auto"/>
        <w:bottom w:val="none" w:sz="0" w:space="0" w:color="auto"/>
        <w:right w:val="none" w:sz="0" w:space="0" w:color="auto"/>
      </w:divBdr>
    </w:div>
    <w:div w:id="2029402145">
      <w:bodyDiv w:val="1"/>
      <w:marLeft w:val="0"/>
      <w:marRight w:val="0"/>
      <w:marTop w:val="0"/>
      <w:marBottom w:val="0"/>
      <w:divBdr>
        <w:top w:val="none" w:sz="0" w:space="0" w:color="auto"/>
        <w:left w:val="none" w:sz="0" w:space="0" w:color="auto"/>
        <w:bottom w:val="none" w:sz="0" w:space="0" w:color="auto"/>
        <w:right w:val="none" w:sz="0" w:space="0" w:color="auto"/>
      </w:divBdr>
    </w:div>
    <w:div w:id="2033916325">
      <w:bodyDiv w:val="1"/>
      <w:marLeft w:val="0"/>
      <w:marRight w:val="0"/>
      <w:marTop w:val="0"/>
      <w:marBottom w:val="0"/>
      <w:divBdr>
        <w:top w:val="none" w:sz="0" w:space="0" w:color="auto"/>
        <w:left w:val="none" w:sz="0" w:space="0" w:color="auto"/>
        <w:bottom w:val="none" w:sz="0" w:space="0" w:color="auto"/>
        <w:right w:val="none" w:sz="0" w:space="0" w:color="auto"/>
      </w:divBdr>
    </w:div>
    <w:div w:id="2045012947">
      <w:bodyDiv w:val="1"/>
      <w:marLeft w:val="0"/>
      <w:marRight w:val="0"/>
      <w:marTop w:val="0"/>
      <w:marBottom w:val="0"/>
      <w:divBdr>
        <w:top w:val="none" w:sz="0" w:space="0" w:color="auto"/>
        <w:left w:val="none" w:sz="0" w:space="0" w:color="auto"/>
        <w:bottom w:val="none" w:sz="0" w:space="0" w:color="auto"/>
        <w:right w:val="none" w:sz="0" w:space="0" w:color="auto"/>
      </w:divBdr>
    </w:div>
    <w:div w:id="2053653245">
      <w:bodyDiv w:val="1"/>
      <w:marLeft w:val="0"/>
      <w:marRight w:val="0"/>
      <w:marTop w:val="0"/>
      <w:marBottom w:val="0"/>
      <w:divBdr>
        <w:top w:val="none" w:sz="0" w:space="0" w:color="auto"/>
        <w:left w:val="none" w:sz="0" w:space="0" w:color="auto"/>
        <w:bottom w:val="none" w:sz="0" w:space="0" w:color="auto"/>
        <w:right w:val="none" w:sz="0" w:space="0" w:color="auto"/>
      </w:divBdr>
    </w:div>
    <w:div w:id="2059158063">
      <w:bodyDiv w:val="1"/>
      <w:marLeft w:val="0"/>
      <w:marRight w:val="0"/>
      <w:marTop w:val="0"/>
      <w:marBottom w:val="0"/>
      <w:divBdr>
        <w:top w:val="none" w:sz="0" w:space="0" w:color="auto"/>
        <w:left w:val="none" w:sz="0" w:space="0" w:color="auto"/>
        <w:bottom w:val="none" w:sz="0" w:space="0" w:color="auto"/>
        <w:right w:val="none" w:sz="0" w:space="0" w:color="auto"/>
      </w:divBdr>
    </w:div>
    <w:div w:id="2059359604">
      <w:bodyDiv w:val="1"/>
      <w:marLeft w:val="0"/>
      <w:marRight w:val="0"/>
      <w:marTop w:val="0"/>
      <w:marBottom w:val="0"/>
      <w:divBdr>
        <w:top w:val="none" w:sz="0" w:space="0" w:color="auto"/>
        <w:left w:val="none" w:sz="0" w:space="0" w:color="auto"/>
        <w:bottom w:val="none" w:sz="0" w:space="0" w:color="auto"/>
        <w:right w:val="none" w:sz="0" w:space="0" w:color="auto"/>
      </w:divBdr>
    </w:div>
    <w:div w:id="2099668821">
      <w:bodyDiv w:val="1"/>
      <w:marLeft w:val="0"/>
      <w:marRight w:val="0"/>
      <w:marTop w:val="0"/>
      <w:marBottom w:val="0"/>
      <w:divBdr>
        <w:top w:val="none" w:sz="0" w:space="0" w:color="auto"/>
        <w:left w:val="none" w:sz="0" w:space="0" w:color="auto"/>
        <w:bottom w:val="none" w:sz="0" w:space="0" w:color="auto"/>
        <w:right w:val="none" w:sz="0" w:space="0" w:color="auto"/>
      </w:divBdr>
    </w:div>
    <w:div w:id="21279669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settings" Target="settings.xml"/><Relationship Id="rId12" Type="http://schemas.openxmlformats.org/officeDocument/2006/relationships/hyperlink" Target="mailto:petros@seas.harvard.edu" TargetMode="External"/><Relationship Id="rId17" Type="http://schemas.openxmlformats.org/officeDocument/2006/relationships/image" Target="media/image5.png"/><Relationship Id="rId25"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hyperlink" Target="https://github.com/cselab/sponge" TargetMode="Externa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cgrigoro@berkeley.edu" TargetMode="External"/><Relationship Id="rId24" Type="http://schemas.openxmlformats.org/officeDocument/2006/relationships/image" Target="media/image11.png"/><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A903C8D61E843E4D9DF578FA60DF1506" ma:contentTypeVersion="11" ma:contentTypeDescription="Create a new document." ma:contentTypeScope="" ma:versionID="6d685b447f118704fec3115e6ac20ae4">
  <xsd:schema xmlns:xsd="http://www.w3.org/2001/XMLSchema" xmlns:xs="http://www.w3.org/2001/XMLSchema" xmlns:p="http://schemas.microsoft.com/office/2006/metadata/properties" xmlns:ns3="50c290ea-29cd-45df-9437-02d90b7b4aac" xmlns:ns4="91744bfb-75cd-42c7-b4ee-8bbcd6bad11d" targetNamespace="http://schemas.microsoft.com/office/2006/metadata/properties" ma:root="true" ma:fieldsID="654b3e5fed2bbdef8a5e41c98cad6de5" ns3:_="" ns4:_="">
    <xsd:import namespace="50c290ea-29cd-45df-9437-02d90b7b4aac"/>
    <xsd:import namespace="91744bfb-75cd-42c7-b4ee-8bbcd6bad11d"/>
    <xsd:element name="properties">
      <xsd:complexType>
        <xsd:sequence>
          <xsd:element name="documentManagement">
            <xsd:complexType>
              <xsd:all>
                <xsd:element ref="ns3:MediaServiceMetadata" minOccurs="0"/>
                <xsd:element ref="ns3:MediaServiceFastMetadata" minOccurs="0"/>
                <xsd:element ref="ns3:MediaServiceDateTaken" minOccurs="0"/>
                <xsd:element ref="ns4:SharedWithUsers" minOccurs="0"/>
                <xsd:element ref="ns4:SharedWithDetails" minOccurs="0"/>
                <xsd:element ref="ns4:SharingHintHash" minOccurs="0"/>
                <xsd:element ref="ns3:MediaServiceAutoKeyPoints" minOccurs="0"/>
                <xsd:element ref="ns3:MediaServiceKeyPoints" minOccurs="0"/>
                <xsd:element ref="ns3:MediaServiceAutoTags"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0c290ea-29cd-45df-9437-02d90b7b4aa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1744bfb-75cd-42c7-b4ee-8bbcd6bad11d"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SharingHintHash" ma:index="13"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D707CE9-56F7-4726-808F-43344647483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2A0C90D9-1779-47F1-AAD3-7F428680B983}">
  <ds:schemaRefs>
    <ds:schemaRef ds:uri="http://schemas.openxmlformats.org/officeDocument/2006/bibliography"/>
  </ds:schemaRefs>
</ds:datastoreItem>
</file>

<file path=customXml/itemProps3.xml><?xml version="1.0" encoding="utf-8"?>
<ds:datastoreItem xmlns:ds="http://schemas.openxmlformats.org/officeDocument/2006/customXml" ds:itemID="{D6618E52-4B0C-45E8-947C-1BCF05C8E346}">
  <ds:schemaRefs>
    <ds:schemaRef ds:uri="http://schemas.microsoft.com/sharepoint/v3/contenttype/forms"/>
  </ds:schemaRefs>
</ds:datastoreItem>
</file>

<file path=customXml/itemProps4.xml><?xml version="1.0" encoding="utf-8"?>
<ds:datastoreItem xmlns:ds="http://schemas.openxmlformats.org/officeDocument/2006/customXml" ds:itemID="{393D793B-73C2-432E-A274-1D6E9FD3755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0c290ea-29cd-45df-9437-02d90b7b4aac"/>
    <ds:schemaRef ds:uri="91744bfb-75cd-42c7-b4ee-8bbcd6bad1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18</Pages>
  <Words>5357</Words>
  <Characters>30979</Characters>
  <Application>Microsoft Office Word</Application>
  <DocSecurity>0</DocSecurity>
  <Lines>653</Lines>
  <Paragraphs>299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bhanson</dc:creator>
  <cp:keywords/>
  <cp:lastModifiedBy>Yasmeen Magana</cp:lastModifiedBy>
  <cp:revision>10</cp:revision>
  <cp:lastPrinted>2025-09-30T03:43:00Z</cp:lastPrinted>
  <dcterms:created xsi:type="dcterms:W3CDTF">2025-09-19T01:55:00Z</dcterms:created>
  <dcterms:modified xsi:type="dcterms:W3CDTF">2025-09-30T03:44:00Z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0x010100A903C8D61E843E4D9DF578FA60DF1506</vt:lpwstr>
  </property>
  <property fmtid="{D5CDD505-2E9C-101B-9397-08002B2CF9AE}" pid="3" name="ZOTERO_PREF_1">
    <vt:lpwstr>&lt;data data-version="3" zotero-version="7.0.24"&gt;&lt;session id="JXr7zsMN"/&gt;&lt;style id="http://www.zotero.org/styles/nature-communications" hasBibliography="1" bibliographyStyleHasBeenSet="1"/&gt;&lt;prefs&gt;&lt;pref name="fieldType" value="Field"/&gt;&lt;/prefs&gt;&lt;/data&gt;</vt:lpwstr>
  </property>
</Properties>
</file>