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AB" w:rsidRPr="000A020C" w:rsidRDefault="001361AB">
      <w:pPr>
        <w:pStyle w:val="Balk1"/>
        <w:rPr>
          <w:color w:val="000000" w:themeColor="text1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1361AB" w:rsidTr="003520A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B" w:rsidRDefault="000A020C">
            <w:r>
              <w:t>Characteristic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B" w:rsidRDefault="000A020C">
            <w:r>
              <w:t>Value</w:t>
            </w:r>
          </w:p>
        </w:tc>
      </w:tr>
      <w:tr w:rsidR="001361AB" w:rsidTr="003520A1">
        <w:tc>
          <w:tcPr>
            <w:tcW w:w="4320" w:type="dxa"/>
            <w:tcBorders>
              <w:top w:val="single" w:sz="4" w:space="0" w:color="auto"/>
            </w:tcBorders>
          </w:tcPr>
          <w:p w:rsidR="001361AB" w:rsidRDefault="000A020C">
            <w:r>
              <w:t>Total number of patients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1361AB" w:rsidRDefault="000A020C">
            <w:r>
              <w:t>40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Gender</w:t>
            </w:r>
          </w:p>
        </w:tc>
        <w:tc>
          <w:tcPr>
            <w:tcW w:w="4320" w:type="dxa"/>
          </w:tcPr>
          <w:p w:rsidR="001361AB" w:rsidRDefault="001361AB"/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Female</w:t>
            </w:r>
          </w:p>
        </w:tc>
        <w:tc>
          <w:tcPr>
            <w:tcW w:w="4320" w:type="dxa"/>
          </w:tcPr>
          <w:p w:rsidR="001361AB" w:rsidRDefault="000A020C">
            <w:r>
              <w:t>20 (50.0%)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Male</w:t>
            </w:r>
          </w:p>
        </w:tc>
        <w:tc>
          <w:tcPr>
            <w:tcW w:w="4320" w:type="dxa"/>
          </w:tcPr>
          <w:p w:rsidR="001361AB" w:rsidRDefault="000A020C">
            <w:r>
              <w:t>20 (50.0%)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Age (years)</w:t>
            </w:r>
          </w:p>
        </w:tc>
        <w:tc>
          <w:tcPr>
            <w:tcW w:w="4320" w:type="dxa"/>
          </w:tcPr>
          <w:p w:rsidR="001361AB" w:rsidRDefault="000A020C">
            <w:r>
              <w:t>43.9 ± 16.5 (range: 18–75)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Presence of symptoms</w:t>
            </w:r>
          </w:p>
        </w:tc>
        <w:tc>
          <w:tcPr>
            <w:tcW w:w="4320" w:type="dxa"/>
          </w:tcPr>
          <w:p w:rsidR="001361AB" w:rsidRDefault="001361AB"/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Yes</w:t>
            </w:r>
          </w:p>
        </w:tc>
        <w:tc>
          <w:tcPr>
            <w:tcW w:w="4320" w:type="dxa"/>
          </w:tcPr>
          <w:p w:rsidR="001361AB" w:rsidRDefault="000A020C">
            <w:r>
              <w:t>27 (67.5%)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No</w:t>
            </w:r>
          </w:p>
        </w:tc>
        <w:tc>
          <w:tcPr>
            <w:tcW w:w="4320" w:type="dxa"/>
          </w:tcPr>
          <w:p w:rsidR="001361AB" w:rsidRDefault="000A020C">
            <w:r>
              <w:t>13 (32.5%)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Diagnostic modality</w:t>
            </w:r>
          </w:p>
        </w:tc>
        <w:tc>
          <w:tcPr>
            <w:tcW w:w="4320" w:type="dxa"/>
          </w:tcPr>
          <w:p w:rsidR="001361AB" w:rsidRDefault="001361AB"/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Computed Tomography (CT)</w:t>
            </w:r>
          </w:p>
        </w:tc>
        <w:tc>
          <w:tcPr>
            <w:tcW w:w="4320" w:type="dxa"/>
          </w:tcPr>
          <w:p w:rsidR="001361AB" w:rsidRDefault="000A020C">
            <w:r>
              <w:t>36 (90.0%)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Magnetic Resonance Imaging (MRI)</w:t>
            </w:r>
          </w:p>
        </w:tc>
        <w:tc>
          <w:tcPr>
            <w:tcW w:w="4320" w:type="dxa"/>
          </w:tcPr>
          <w:p w:rsidR="001361AB" w:rsidRDefault="000A020C">
            <w:r>
              <w:t>4 (10.0%)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Type of intussusception</w:t>
            </w:r>
          </w:p>
        </w:tc>
        <w:tc>
          <w:tcPr>
            <w:tcW w:w="4320" w:type="dxa"/>
          </w:tcPr>
          <w:p w:rsidR="001361AB" w:rsidRDefault="001361AB"/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Ileo-</w:t>
            </w:r>
            <w:proofErr w:type="spellStart"/>
            <w:r>
              <w:t>ileal</w:t>
            </w:r>
            <w:proofErr w:type="spellEnd"/>
          </w:p>
        </w:tc>
        <w:tc>
          <w:tcPr>
            <w:tcW w:w="4320" w:type="dxa"/>
          </w:tcPr>
          <w:p w:rsidR="001361AB" w:rsidRDefault="000A020C">
            <w:r>
              <w:t>23 (57.5%)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Colo-colic</w:t>
            </w:r>
          </w:p>
        </w:tc>
        <w:tc>
          <w:tcPr>
            <w:tcW w:w="4320" w:type="dxa"/>
          </w:tcPr>
          <w:p w:rsidR="001361AB" w:rsidRDefault="000A020C">
            <w:r>
              <w:t>11 (27.5%)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 xml:space="preserve">– </w:t>
            </w:r>
            <w:proofErr w:type="spellStart"/>
            <w:r>
              <w:t>Jejuno</w:t>
            </w:r>
            <w:proofErr w:type="spellEnd"/>
            <w:r>
              <w:t>-jejunal</w:t>
            </w:r>
          </w:p>
        </w:tc>
        <w:tc>
          <w:tcPr>
            <w:tcW w:w="4320" w:type="dxa"/>
          </w:tcPr>
          <w:p w:rsidR="001361AB" w:rsidRDefault="000A020C">
            <w:r>
              <w:t>3 (7.5%)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Ileo-colic</w:t>
            </w:r>
          </w:p>
        </w:tc>
        <w:tc>
          <w:tcPr>
            <w:tcW w:w="4320" w:type="dxa"/>
          </w:tcPr>
          <w:p w:rsidR="001361AB" w:rsidRDefault="000A020C">
            <w:r>
              <w:t>3 (7.5%)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Presence of ileus</w:t>
            </w:r>
          </w:p>
        </w:tc>
        <w:tc>
          <w:tcPr>
            <w:tcW w:w="4320" w:type="dxa"/>
          </w:tcPr>
          <w:p w:rsidR="001361AB" w:rsidRDefault="001361AB"/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Yes</w:t>
            </w:r>
          </w:p>
        </w:tc>
        <w:tc>
          <w:tcPr>
            <w:tcW w:w="4320" w:type="dxa"/>
          </w:tcPr>
          <w:p w:rsidR="001361AB" w:rsidRDefault="000A020C">
            <w:r>
              <w:t>13 (32.5%)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– No</w:t>
            </w:r>
          </w:p>
        </w:tc>
        <w:tc>
          <w:tcPr>
            <w:tcW w:w="4320" w:type="dxa"/>
          </w:tcPr>
          <w:p w:rsidR="001361AB" w:rsidRDefault="000A020C">
            <w:r>
              <w:t>27 (67.5%)</w:t>
            </w:r>
          </w:p>
        </w:tc>
      </w:tr>
      <w:tr w:rsidR="001361AB" w:rsidTr="003520A1">
        <w:tc>
          <w:tcPr>
            <w:tcW w:w="4320" w:type="dxa"/>
          </w:tcPr>
          <w:p w:rsidR="001361AB" w:rsidRDefault="000A020C">
            <w:r>
              <w:t>Bowel diameter (mm)</w:t>
            </w:r>
          </w:p>
        </w:tc>
        <w:tc>
          <w:tcPr>
            <w:tcW w:w="4320" w:type="dxa"/>
          </w:tcPr>
          <w:p w:rsidR="001361AB" w:rsidRDefault="000A020C">
            <w:r>
              <w:t>41.8 ± 13.0 (range: 20–70)</w:t>
            </w:r>
          </w:p>
        </w:tc>
      </w:tr>
    </w:tbl>
    <w:p w:rsidR="001361AB" w:rsidRDefault="000A020C">
      <w:r>
        <w:t>Note: Continuous variables are presented as mean ± standard deviation (minimum–maximum); categorical variables are prese</w:t>
      </w:r>
      <w:r w:rsidR="00BF5CC7">
        <w:t>nted as counts and percentages.</w:t>
      </w:r>
    </w:p>
    <w:p w:rsidR="00392D90" w:rsidRPr="00B2128B" w:rsidRDefault="000A020C" w:rsidP="00B2128B">
      <w:r>
        <w:br w:type="page"/>
      </w:r>
      <w:bookmarkStart w:id="0" w:name="_GoBack"/>
      <w:bookmarkEnd w:id="0"/>
    </w:p>
    <w:p w:rsidR="00F60FFD" w:rsidRDefault="00F60FFD"/>
    <w:p w:rsidR="00F60FFD" w:rsidRDefault="00F60FFD"/>
    <w:p w:rsidR="00F60FFD" w:rsidRDefault="00F60FFD"/>
    <w:p w:rsidR="00392D90" w:rsidRDefault="00392D90"/>
    <w:p w:rsidR="00392D90" w:rsidRDefault="00392D90"/>
    <w:sectPr w:rsidR="00392D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20C"/>
    <w:rsid w:val="001361AB"/>
    <w:rsid w:val="0015074B"/>
    <w:rsid w:val="0029639D"/>
    <w:rsid w:val="00326F90"/>
    <w:rsid w:val="003520A1"/>
    <w:rsid w:val="00392D90"/>
    <w:rsid w:val="003C2F0A"/>
    <w:rsid w:val="003C7B2F"/>
    <w:rsid w:val="00603F7A"/>
    <w:rsid w:val="006D624A"/>
    <w:rsid w:val="00AA1D8D"/>
    <w:rsid w:val="00B2128B"/>
    <w:rsid w:val="00B47730"/>
    <w:rsid w:val="00BF5CC7"/>
    <w:rsid w:val="00CB0664"/>
    <w:rsid w:val="00D27645"/>
    <w:rsid w:val="00F60F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A8F69"/>
  <w14:defaultImageDpi w14:val="300"/>
  <w15:docId w15:val="{D60C1E00-9D50-A041-9341-0F14AD46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40E1E-AB08-1F40-8653-51DBCFFF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Kullanıcısı</cp:lastModifiedBy>
  <cp:revision>7</cp:revision>
  <dcterms:created xsi:type="dcterms:W3CDTF">2013-12-23T23:15:00Z</dcterms:created>
  <dcterms:modified xsi:type="dcterms:W3CDTF">2025-07-15T11:59:00Z</dcterms:modified>
  <cp:category/>
</cp:coreProperties>
</file>