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5D67D" w14:textId="77777777" w:rsidR="00D25BFA" w:rsidRPr="00D25BFA" w:rsidRDefault="00D25BFA" w:rsidP="00D25BFA">
      <w:pPr>
        <w:pStyle w:val="Heading1"/>
        <w:spacing w:line="360" w:lineRule="auto"/>
        <w:rPr>
          <w:color w:val="auto"/>
        </w:rPr>
      </w:pPr>
      <w:r w:rsidRPr="00D25BFA">
        <w:rPr>
          <w:color w:val="auto"/>
        </w:rPr>
        <w:t>Supplementary materials</w:t>
      </w:r>
    </w:p>
    <w:p w14:paraId="36B22E29" w14:textId="77777777" w:rsidR="00D25BFA" w:rsidRDefault="00D25BFA" w:rsidP="00D25BFA">
      <w:pPr>
        <w:autoSpaceDE w:val="0"/>
        <w:autoSpaceDN w:val="0"/>
        <w:spacing w:line="360" w:lineRule="auto"/>
        <w:jc w:val="both"/>
        <w:rPr>
          <w:rFonts w:ascii="Times New Roman" w:eastAsia="Times New Roman" w:hAnsi="Times New Roman" w:cs="Times New Roman"/>
          <w:color w:val="000000" w:themeColor="text1"/>
        </w:rPr>
      </w:pPr>
      <w:r w:rsidRPr="412FB1CC">
        <w:rPr>
          <w:rFonts w:ascii="Times New Roman" w:eastAsia="Times New Roman" w:hAnsi="Times New Roman" w:cs="Times New Roman"/>
          <w:b/>
          <w:bCs/>
          <w:color w:val="000000" w:themeColor="text1"/>
        </w:rPr>
        <w:t>Supplementary Figure 1: Spatial distribution</w:t>
      </w:r>
      <w:r>
        <w:rPr>
          <w:rFonts w:ascii="Times New Roman" w:eastAsia="Times New Roman" w:hAnsi="Times New Roman" w:cs="Times New Roman"/>
          <w:b/>
          <w:bCs/>
          <w:color w:val="000000" w:themeColor="text1"/>
        </w:rPr>
        <w:t xml:space="preserve"> </w:t>
      </w:r>
      <w:r w:rsidRPr="412FB1CC">
        <w:rPr>
          <w:rFonts w:ascii="Times New Roman" w:eastAsia="Times New Roman" w:hAnsi="Times New Roman" w:cs="Times New Roman"/>
          <w:b/>
          <w:bCs/>
          <w:color w:val="000000" w:themeColor="text1"/>
        </w:rPr>
        <w:t>of occurrence data across Africa, illustrating the manual 5-fold horizontal spatial blocking strategy used for cross-validation in the diversity model. Each colored dot represents an occurrence record. The distinct colors correspond to the five different spatial folds (Fold 1 to Fold 5) used in the cross-validation process.</w:t>
      </w:r>
    </w:p>
    <w:p w14:paraId="6CA1AFF0" w14:textId="77777777" w:rsidR="00D25BFA" w:rsidRDefault="00D25BFA" w:rsidP="00D25BFA">
      <w:pPr>
        <w:autoSpaceDE w:val="0"/>
        <w:autoSpaceDN w:val="0"/>
        <w:spacing w:line="360" w:lineRule="auto"/>
        <w:jc w:val="both"/>
        <w:rPr>
          <w:rFonts w:ascii="Times New Roman" w:eastAsia="Times New Roman" w:hAnsi="Times New Roman" w:cs="Times New Roman"/>
          <w:color w:val="000000" w:themeColor="text1"/>
        </w:rPr>
      </w:pPr>
    </w:p>
    <w:p w14:paraId="11E76A40" w14:textId="77777777" w:rsidR="00D25BFA" w:rsidRDefault="00D25BFA" w:rsidP="00D25BFA">
      <w:pPr>
        <w:autoSpaceDE w:val="0"/>
        <w:autoSpaceDN w:val="0"/>
        <w:spacing w:line="360" w:lineRule="auto"/>
        <w:jc w:val="both"/>
        <w:rPr>
          <w:rFonts w:ascii="Times New Roman" w:eastAsia="Times New Roman" w:hAnsi="Times New Roman" w:cs="Times New Roman"/>
          <w:color w:val="000000" w:themeColor="text1"/>
        </w:rPr>
      </w:pPr>
      <w:r>
        <w:rPr>
          <w:noProof/>
        </w:rPr>
        <w:drawing>
          <wp:inline distT="0" distB="0" distL="0" distR="0" wp14:anchorId="10BBA3CC" wp14:editId="0987831C">
            <wp:extent cx="2990850" cy="2619375"/>
            <wp:effectExtent l="0" t="0" r="0" b="0"/>
            <wp:docPr id="1493904754" name="drawing"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04754" name=""/>
                    <pic:cNvPicPr/>
                  </pic:nvPicPr>
                  <pic:blipFill>
                    <a:blip r:embed="rId4">
                      <a:extLst>
                        <a:ext uri="{28A0092B-C50C-407E-A947-70E740481C1C}">
                          <a14:useLocalDpi xmlns:a14="http://schemas.microsoft.com/office/drawing/2010/main" val="0"/>
                        </a:ext>
                      </a:extLst>
                    </a:blip>
                    <a:stretch>
                      <a:fillRect/>
                    </a:stretch>
                  </pic:blipFill>
                  <pic:spPr>
                    <a:xfrm>
                      <a:off x="0" y="0"/>
                      <a:ext cx="2990850" cy="2619375"/>
                    </a:xfrm>
                    <a:prstGeom prst="rect">
                      <a:avLst/>
                    </a:prstGeom>
                  </pic:spPr>
                </pic:pic>
              </a:graphicData>
            </a:graphic>
          </wp:inline>
        </w:drawing>
      </w:r>
    </w:p>
    <w:p w14:paraId="75E3C7A1" w14:textId="77777777" w:rsidR="00D25BFA" w:rsidRDefault="00D25BFA" w:rsidP="00D25BFA">
      <w:pPr>
        <w:autoSpaceDE w:val="0"/>
        <w:autoSpaceDN w:val="0"/>
        <w:spacing w:line="360" w:lineRule="auto"/>
        <w:ind w:left="640"/>
        <w:rPr>
          <w:rFonts w:ascii="Times New Roman" w:eastAsia="Times New Roman" w:hAnsi="Times New Roman" w:cs="Times New Roman"/>
          <w:color w:val="000000" w:themeColor="text1"/>
        </w:rPr>
      </w:pPr>
    </w:p>
    <w:p w14:paraId="3E6E5609" w14:textId="77777777" w:rsidR="00D25BFA" w:rsidRDefault="00D25BFA" w:rsidP="00D25BFA">
      <w:pPr>
        <w:spacing w:line="360" w:lineRule="auto"/>
        <w:rPr>
          <w:rFonts w:ascii="Times New Roman" w:eastAsia="Times New Roman" w:hAnsi="Times New Roman" w:cs="Times New Roman"/>
          <w:color w:val="000000" w:themeColor="text1"/>
        </w:rPr>
      </w:pPr>
      <w:r w:rsidRPr="412FB1CC">
        <w:rPr>
          <w:rFonts w:ascii="Times New Roman" w:eastAsia="Times New Roman" w:hAnsi="Times New Roman" w:cs="Times New Roman"/>
          <w:b/>
          <w:bCs/>
          <w:color w:val="000000" w:themeColor="text1"/>
        </w:rPr>
        <w:t>Supplementary Figure 2: Map showing the potential landcover-derived diversity biomes across the African continent and their spatial extents. This classification is based on pre-anthropogenic landcover conditions and includes seven major biomes: forest, savanna, grassland, shrubland, wetland, waterbodies, and desert. The map serves as a baseline reference for estimating biodiversity intactness under natural ecological conditions. Country boundaries are overlaid for spatial orientation.</w:t>
      </w:r>
    </w:p>
    <w:p w14:paraId="29E77C80" w14:textId="77777777" w:rsidR="00D25BFA" w:rsidRDefault="00D25BFA" w:rsidP="00D25BFA">
      <w:pPr>
        <w:autoSpaceDE w:val="0"/>
        <w:autoSpaceDN w:val="0"/>
        <w:spacing w:line="360" w:lineRule="auto"/>
        <w:rPr>
          <w:rFonts w:ascii="Times New Roman" w:eastAsia="Times New Roman" w:hAnsi="Times New Roman" w:cs="Times New Roman"/>
          <w:color w:val="000000" w:themeColor="text1"/>
        </w:rPr>
      </w:pPr>
      <w:r>
        <w:rPr>
          <w:noProof/>
        </w:rPr>
        <w:lastRenderedPageBreak/>
        <w:drawing>
          <wp:inline distT="0" distB="0" distL="0" distR="0" wp14:anchorId="2EBD6CEA" wp14:editId="34081923">
            <wp:extent cx="5142175" cy="3905698"/>
            <wp:effectExtent l="0" t="0" r="1905" b="0"/>
            <wp:docPr id="1723934602" name="drawing"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934602" name=""/>
                    <pic:cNvPicPr/>
                  </pic:nvPicPr>
                  <pic:blipFill>
                    <a:blip r:embed="rId5">
                      <a:extLst>
                        <a:ext uri="{28A0092B-C50C-407E-A947-70E740481C1C}">
                          <a14:useLocalDpi xmlns:a14="http://schemas.microsoft.com/office/drawing/2010/main" val="0"/>
                        </a:ext>
                      </a:extLst>
                    </a:blip>
                    <a:stretch>
                      <a:fillRect/>
                    </a:stretch>
                  </pic:blipFill>
                  <pic:spPr>
                    <a:xfrm>
                      <a:off x="0" y="0"/>
                      <a:ext cx="5146676" cy="3909116"/>
                    </a:xfrm>
                    <a:prstGeom prst="rect">
                      <a:avLst/>
                    </a:prstGeom>
                  </pic:spPr>
                </pic:pic>
              </a:graphicData>
            </a:graphic>
          </wp:inline>
        </w:drawing>
      </w:r>
    </w:p>
    <w:p w14:paraId="309FFD30" w14:textId="77777777" w:rsidR="00D25BFA" w:rsidRDefault="00D25BFA" w:rsidP="00D25BFA">
      <w:pPr>
        <w:autoSpaceDE w:val="0"/>
        <w:autoSpaceDN w:val="0"/>
        <w:spacing w:line="360" w:lineRule="auto"/>
        <w:rPr>
          <w:rFonts w:ascii="Times New Roman" w:eastAsia="Times New Roman" w:hAnsi="Times New Roman" w:cs="Times New Roman"/>
          <w:b/>
          <w:bCs/>
          <w:color w:val="000000" w:themeColor="text1"/>
        </w:rPr>
      </w:pPr>
      <w:r w:rsidRPr="412FB1CC">
        <w:rPr>
          <w:rFonts w:ascii="Times New Roman" w:eastAsia="Times New Roman" w:hAnsi="Times New Roman" w:cs="Times New Roman"/>
          <w:b/>
          <w:bCs/>
          <w:color w:val="000000" w:themeColor="text1"/>
        </w:rPr>
        <w:t xml:space="preserve">Supplementary Figure </w:t>
      </w:r>
      <w:r>
        <w:rPr>
          <w:rFonts w:ascii="Times New Roman" w:eastAsia="Times New Roman" w:hAnsi="Times New Roman" w:cs="Times New Roman"/>
          <w:b/>
          <w:bCs/>
          <w:color w:val="000000" w:themeColor="text1"/>
        </w:rPr>
        <w:t>3</w:t>
      </w:r>
      <w:r w:rsidRPr="412FB1CC">
        <w:rPr>
          <w:rFonts w:ascii="Times New Roman" w:eastAsia="Times New Roman" w:hAnsi="Times New Roman" w:cs="Times New Roman"/>
          <w:b/>
          <w:bCs/>
          <w:color w:val="000000" w:themeColor="text1"/>
        </w:rPr>
        <w:t xml:space="preserve">: The figure displays occurrence data for </w:t>
      </w:r>
      <w:r w:rsidRPr="412FB1CC">
        <w:rPr>
          <w:rFonts w:ascii="Times New Roman" w:eastAsia="Times New Roman" w:hAnsi="Times New Roman" w:cs="Times New Roman"/>
          <w:b/>
          <w:bCs/>
          <w:i/>
          <w:iCs/>
          <w:color w:val="000000" w:themeColor="text1"/>
        </w:rPr>
        <w:t>Coleoptera (11</w:t>
      </w:r>
      <w:r>
        <w:rPr>
          <w:rFonts w:ascii="Times New Roman" w:eastAsia="Times New Roman" w:hAnsi="Times New Roman" w:cs="Times New Roman"/>
          <w:b/>
          <w:bCs/>
          <w:i/>
          <w:iCs/>
          <w:color w:val="000000" w:themeColor="text1"/>
        </w:rPr>
        <w:t>.</w:t>
      </w:r>
      <w:r w:rsidRPr="412FB1CC">
        <w:rPr>
          <w:rFonts w:ascii="Times New Roman" w:eastAsia="Times New Roman" w:hAnsi="Times New Roman" w:cs="Times New Roman"/>
          <w:b/>
          <w:bCs/>
          <w:i/>
          <w:iCs/>
          <w:color w:val="000000" w:themeColor="text1"/>
        </w:rPr>
        <w:t>522)</w:t>
      </w:r>
      <w:r w:rsidRPr="412FB1CC">
        <w:rPr>
          <w:rFonts w:ascii="Times New Roman" w:eastAsia="Times New Roman" w:hAnsi="Times New Roman" w:cs="Times New Roman"/>
          <w:b/>
          <w:bCs/>
          <w:color w:val="000000" w:themeColor="text1"/>
        </w:rPr>
        <w:t xml:space="preserve">, </w:t>
      </w:r>
      <w:r w:rsidRPr="412FB1CC">
        <w:rPr>
          <w:rFonts w:ascii="Times New Roman" w:eastAsia="Times New Roman" w:hAnsi="Times New Roman" w:cs="Times New Roman"/>
          <w:b/>
          <w:bCs/>
          <w:i/>
          <w:iCs/>
          <w:color w:val="000000" w:themeColor="text1"/>
        </w:rPr>
        <w:t>Lepidoptera (9</w:t>
      </w:r>
      <w:r>
        <w:rPr>
          <w:rFonts w:ascii="Times New Roman" w:eastAsia="Times New Roman" w:hAnsi="Times New Roman" w:cs="Times New Roman"/>
          <w:b/>
          <w:bCs/>
          <w:i/>
          <w:iCs/>
          <w:color w:val="000000" w:themeColor="text1"/>
        </w:rPr>
        <w:t>.</w:t>
      </w:r>
      <w:r w:rsidRPr="412FB1CC">
        <w:rPr>
          <w:rFonts w:ascii="Times New Roman" w:eastAsia="Times New Roman" w:hAnsi="Times New Roman" w:cs="Times New Roman"/>
          <w:b/>
          <w:bCs/>
          <w:i/>
          <w:iCs/>
          <w:color w:val="000000" w:themeColor="text1"/>
        </w:rPr>
        <w:t>723)</w:t>
      </w:r>
      <w:r w:rsidRPr="412FB1CC">
        <w:rPr>
          <w:rFonts w:ascii="Times New Roman" w:eastAsia="Times New Roman" w:hAnsi="Times New Roman" w:cs="Times New Roman"/>
          <w:b/>
          <w:bCs/>
          <w:color w:val="000000" w:themeColor="text1"/>
        </w:rPr>
        <w:t xml:space="preserve"> and </w:t>
      </w:r>
      <w:r w:rsidRPr="412FB1CC">
        <w:rPr>
          <w:rFonts w:ascii="Times New Roman" w:eastAsia="Times New Roman" w:hAnsi="Times New Roman" w:cs="Times New Roman"/>
          <w:b/>
          <w:bCs/>
          <w:i/>
          <w:iCs/>
          <w:color w:val="000000" w:themeColor="text1"/>
        </w:rPr>
        <w:t>Odonata (6</w:t>
      </w:r>
      <w:r>
        <w:rPr>
          <w:rFonts w:ascii="Times New Roman" w:eastAsia="Times New Roman" w:hAnsi="Times New Roman" w:cs="Times New Roman"/>
          <w:b/>
          <w:bCs/>
          <w:i/>
          <w:iCs/>
          <w:color w:val="000000" w:themeColor="text1"/>
        </w:rPr>
        <w:t>.</w:t>
      </w:r>
      <w:r w:rsidRPr="412FB1CC">
        <w:rPr>
          <w:rFonts w:ascii="Times New Roman" w:eastAsia="Times New Roman" w:hAnsi="Times New Roman" w:cs="Times New Roman"/>
          <w:b/>
          <w:bCs/>
          <w:i/>
          <w:iCs/>
          <w:color w:val="000000" w:themeColor="text1"/>
        </w:rPr>
        <w:t>065)</w:t>
      </w:r>
      <w:r w:rsidRPr="412FB1CC">
        <w:rPr>
          <w:rFonts w:ascii="Times New Roman" w:eastAsia="Times New Roman" w:hAnsi="Times New Roman" w:cs="Times New Roman"/>
          <w:b/>
          <w:bCs/>
          <w:color w:val="000000" w:themeColor="text1"/>
        </w:rPr>
        <w:t xml:space="preserve"> across Africa. </w:t>
      </w:r>
      <w:r>
        <w:rPr>
          <w:rFonts w:ascii="Times New Roman" w:eastAsia="Times New Roman" w:hAnsi="Times New Roman" w:cs="Times New Roman"/>
          <w:b/>
          <w:bCs/>
          <w:color w:val="000000" w:themeColor="text1"/>
        </w:rPr>
        <w:t>After spatial thinning, t</w:t>
      </w:r>
      <w:r w:rsidRPr="412FB1CC">
        <w:rPr>
          <w:rFonts w:ascii="Times New Roman" w:eastAsia="Times New Roman" w:hAnsi="Times New Roman" w:cs="Times New Roman"/>
          <w:b/>
          <w:bCs/>
          <w:color w:val="000000" w:themeColor="text1"/>
        </w:rPr>
        <w:t xml:space="preserve">hese points serve as the foundation for modeling species distribution divert, the </w:t>
      </w:r>
      <w:r w:rsidRPr="412FB1CC">
        <w:rPr>
          <w:rFonts w:ascii="Times New Roman" w:eastAsia="Times New Roman" w:hAnsi="Times New Roman" w:cs="Times New Roman"/>
          <w:b/>
          <w:bCs/>
          <w:i/>
          <w:iCs/>
          <w:color w:val="000000" w:themeColor="text1"/>
        </w:rPr>
        <w:t>D</w:t>
      </w:r>
      <w:r w:rsidRPr="412FB1CC">
        <w:rPr>
          <w:rFonts w:ascii="Times New Roman" w:eastAsia="Times New Roman" w:hAnsi="Times New Roman" w:cs="Times New Roman"/>
          <w:b/>
          <w:bCs/>
          <w:color w:val="000000" w:themeColor="text1"/>
        </w:rPr>
        <w:t xml:space="preserve"> variable. The left map shows the distribution of butterflies, the middle map shows the distribution of dragonflies,</w:t>
      </w:r>
      <w:r>
        <w:rPr>
          <w:rFonts w:ascii="Times New Roman" w:eastAsia="Times New Roman" w:hAnsi="Times New Roman" w:cs="Times New Roman"/>
          <w:b/>
          <w:bCs/>
          <w:color w:val="000000" w:themeColor="text1"/>
        </w:rPr>
        <w:t xml:space="preserve"> </w:t>
      </w:r>
      <w:r w:rsidRPr="412FB1CC">
        <w:rPr>
          <w:rFonts w:ascii="Times New Roman" w:eastAsia="Times New Roman" w:hAnsi="Times New Roman" w:cs="Times New Roman"/>
          <w:b/>
          <w:bCs/>
          <w:color w:val="000000" w:themeColor="text1"/>
        </w:rPr>
        <w:t>while the right map shows beetles, whose points are often concentrated near aquatic habitats</w:t>
      </w:r>
    </w:p>
    <w:p w14:paraId="04C0E73E" w14:textId="77777777" w:rsidR="00D25BFA" w:rsidRDefault="00D25BFA" w:rsidP="00D25BFA">
      <w:pPr>
        <w:autoSpaceDE w:val="0"/>
        <w:autoSpaceDN w:val="0"/>
        <w:spacing w:line="360" w:lineRule="auto"/>
        <w:rPr>
          <w:rFonts w:ascii="Times New Roman" w:eastAsia="Times New Roman" w:hAnsi="Times New Roman" w:cs="Times New Roman"/>
          <w:color w:val="000000" w:themeColor="text1"/>
        </w:rPr>
      </w:pPr>
      <w:r>
        <w:rPr>
          <w:noProof/>
        </w:rPr>
        <w:drawing>
          <wp:inline distT="0" distB="0" distL="0" distR="0" wp14:anchorId="35B91C2C" wp14:editId="197A9044">
            <wp:extent cx="5724525" cy="2647950"/>
            <wp:effectExtent l="0" t="0" r="0" b="0"/>
            <wp:docPr id="1528776516" name="drawing"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76516" name=""/>
                    <pic:cNvPicPr/>
                  </pic:nvPicPr>
                  <pic:blipFill>
                    <a:blip r:embed="rId6">
                      <a:extLst>
                        <a:ext uri="{28A0092B-C50C-407E-A947-70E740481C1C}">
                          <a14:useLocalDpi xmlns:a14="http://schemas.microsoft.com/office/drawing/2010/main" val="0"/>
                        </a:ext>
                      </a:extLst>
                    </a:blip>
                    <a:stretch>
                      <a:fillRect/>
                    </a:stretch>
                  </pic:blipFill>
                  <pic:spPr>
                    <a:xfrm>
                      <a:off x="0" y="0"/>
                      <a:ext cx="5724525" cy="2647950"/>
                    </a:xfrm>
                    <a:prstGeom prst="rect">
                      <a:avLst/>
                    </a:prstGeom>
                  </pic:spPr>
                </pic:pic>
              </a:graphicData>
            </a:graphic>
          </wp:inline>
        </w:drawing>
      </w:r>
    </w:p>
    <w:p w14:paraId="7773EFF7" w14:textId="77777777" w:rsidR="00D25BFA" w:rsidRDefault="00D25BFA" w:rsidP="00D25BFA">
      <w:pPr>
        <w:autoSpaceDE w:val="0"/>
        <w:autoSpaceDN w:val="0"/>
        <w:spacing w:line="360" w:lineRule="auto"/>
        <w:rPr>
          <w:rFonts w:ascii="Times New Roman" w:eastAsia="Times New Roman" w:hAnsi="Times New Roman" w:cs="Times New Roman"/>
          <w:color w:val="000000" w:themeColor="text1"/>
          <w:sz w:val="28"/>
          <w:szCs w:val="28"/>
        </w:rPr>
      </w:pPr>
      <w:r w:rsidRPr="412FB1CC">
        <w:rPr>
          <w:rFonts w:ascii="Times New Roman" w:eastAsia="Times New Roman" w:hAnsi="Times New Roman" w:cs="Times New Roman"/>
          <w:b/>
          <w:bCs/>
          <w:color w:val="000000" w:themeColor="text1"/>
          <w:sz w:val="28"/>
          <w:szCs w:val="28"/>
        </w:rPr>
        <w:t>Supplementary Notes 1: Derivation of the</w:t>
      </w:r>
      <w:r>
        <w:rPr>
          <w:rFonts w:ascii="Times New Roman" w:eastAsia="Times New Roman" w:hAnsi="Times New Roman" w:cs="Times New Roman"/>
          <w:b/>
          <w:bCs/>
          <w:color w:val="000000" w:themeColor="text1"/>
          <w:sz w:val="28"/>
          <w:szCs w:val="28"/>
        </w:rPr>
        <w:t xml:space="preserve"> </w:t>
      </w:r>
      <w:r w:rsidRPr="412FB1CC">
        <w:rPr>
          <w:rFonts w:ascii="Times New Roman" w:eastAsia="Times New Roman" w:hAnsi="Times New Roman" w:cs="Times New Roman"/>
          <w:b/>
          <w:bCs/>
          <w:color w:val="000000" w:themeColor="text1"/>
          <w:sz w:val="28"/>
          <w:szCs w:val="28"/>
        </w:rPr>
        <w:t>Biodiversity Intactness Indicator.</w:t>
      </w:r>
    </w:p>
    <w:p w14:paraId="35C9CAA5" w14:textId="77777777" w:rsidR="00D25BFA" w:rsidRDefault="00D25BFA" w:rsidP="00D25BFA">
      <w:pPr>
        <w:autoSpaceDE w:val="0"/>
        <w:autoSpaceDN w:val="0"/>
        <w:spacing w:line="360" w:lineRule="auto"/>
        <w:rPr>
          <w:rFonts w:ascii="Times New Roman" w:eastAsia="Times New Roman" w:hAnsi="Times New Roman" w:cs="Times New Roman"/>
          <w:color w:val="000000" w:themeColor="text1"/>
        </w:rPr>
      </w:pPr>
      <w:r w:rsidRPr="412FB1CC">
        <w:rPr>
          <w:rFonts w:ascii="Times New Roman" w:eastAsia="Times New Roman" w:hAnsi="Times New Roman" w:cs="Times New Roman"/>
          <w:color w:val="000000" w:themeColor="text1"/>
        </w:rPr>
        <w:lastRenderedPageBreak/>
        <w:t>This section provides details on how the biodiversity intactness indicator was derived. The newly developed biodiversity intactness indicator conceptually integrates model-derived current insect diversity with potential insect diversity baselines, mediated by anthropogenic modifications. Potential insect diversity was estimated from global habitat classifications, while current diversity was derived by rescaling predicted habitat suitability scores from the Random Forest model. Anthropogenic modification was represented by the normalized human footprint index (0</w:t>
      </w:r>
      <w:r>
        <w:rPr>
          <w:rFonts w:ascii="Times New Roman" w:eastAsia="Times New Roman" w:hAnsi="Times New Roman" w:cs="Times New Roman"/>
          <w:color w:val="000000" w:themeColor="text1"/>
        </w:rPr>
        <w:t xml:space="preserve"> - </w:t>
      </w:r>
      <w:r w:rsidRPr="412FB1CC">
        <w:rPr>
          <w:rFonts w:ascii="Times New Roman" w:eastAsia="Times New Roman" w:hAnsi="Times New Roman" w:cs="Times New Roman"/>
          <w:color w:val="000000" w:themeColor="text1"/>
        </w:rPr>
        <w:t>1), incorporating road density, built infrastructure, agriculture, and light pollution. The resulting biodiversity intactness values range from 0 (fully degraded) to 1 (intact). Outputs were harmonized to a 250 m resolution for computation and subsequently aggregated to 1-km per pixel for visualization and statistical</w:t>
      </w:r>
      <w:r>
        <w:rPr>
          <w:rFonts w:ascii="Times New Roman" w:eastAsia="Times New Roman" w:hAnsi="Times New Roman" w:cs="Times New Roman"/>
          <w:color w:val="000000" w:themeColor="text1"/>
        </w:rPr>
        <w:t xml:space="preserve"> </w:t>
      </w:r>
      <w:r w:rsidRPr="412FB1CC">
        <w:rPr>
          <w:rFonts w:ascii="Times New Roman" w:eastAsia="Times New Roman" w:hAnsi="Times New Roman" w:cs="Times New Roman"/>
          <w:color w:val="000000" w:themeColor="text1"/>
        </w:rPr>
        <w:t>analyses.</w:t>
      </w:r>
    </w:p>
    <w:p w14:paraId="196FF5C8" w14:textId="77777777" w:rsidR="00D25BFA" w:rsidRDefault="00D25BFA" w:rsidP="00D25BFA">
      <w:pPr>
        <w:autoSpaceDE w:val="0"/>
        <w:autoSpaceDN w:val="0"/>
        <w:spacing w:line="360" w:lineRule="auto"/>
        <w:rPr>
          <w:rFonts w:ascii="Times New Roman" w:eastAsia="Times New Roman" w:hAnsi="Times New Roman" w:cs="Times New Roman"/>
          <w:color w:val="000000" w:themeColor="text1"/>
          <w:sz w:val="28"/>
          <w:szCs w:val="28"/>
        </w:rPr>
      </w:pPr>
      <w:r w:rsidRPr="412FB1CC">
        <w:rPr>
          <w:rFonts w:ascii="Times New Roman" w:eastAsia="Times New Roman" w:hAnsi="Times New Roman" w:cs="Times New Roman"/>
          <w:b/>
          <w:bCs/>
          <w:color w:val="000000" w:themeColor="text1"/>
          <w:sz w:val="28"/>
          <w:szCs w:val="28"/>
        </w:rPr>
        <w:t>Supplementary Notes 2: Computation of potential (</w:t>
      </w:r>
      <w:r w:rsidRPr="412FB1CC">
        <w:rPr>
          <w:rFonts w:ascii="Times New Roman" w:eastAsia="Times New Roman" w:hAnsi="Times New Roman" w:cs="Times New Roman"/>
          <w:b/>
          <w:bCs/>
          <w:i/>
          <w:iCs/>
          <w:color w:val="000000" w:themeColor="text1"/>
          <w:sz w:val="28"/>
          <w:szCs w:val="28"/>
        </w:rPr>
        <w:t>P)</w:t>
      </w:r>
      <w:r w:rsidRPr="412FB1CC">
        <w:rPr>
          <w:rFonts w:ascii="Times New Roman" w:eastAsia="Times New Roman" w:hAnsi="Times New Roman" w:cs="Times New Roman"/>
          <w:b/>
          <w:bCs/>
          <w:color w:val="000000" w:themeColor="text1"/>
          <w:sz w:val="28"/>
          <w:szCs w:val="28"/>
        </w:rPr>
        <w:t xml:space="preserve"> insect diversity scores</w:t>
      </w:r>
    </w:p>
    <w:p w14:paraId="7734CB53" w14:textId="77777777" w:rsidR="00D25BFA" w:rsidRDefault="00D25BFA" w:rsidP="00D25BFA">
      <w:pPr>
        <w:autoSpaceDE w:val="0"/>
        <w:autoSpaceDN w:val="0"/>
        <w:spacing w:line="360" w:lineRule="auto"/>
        <w:rPr>
          <w:rFonts w:ascii="Times New Roman" w:eastAsia="Times New Roman" w:hAnsi="Times New Roman" w:cs="Times New Roman"/>
          <w:color w:val="000000" w:themeColor="text1"/>
        </w:rPr>
      </w:pPr>
      <w:r w:rsidRPr="412FB1CC">
        <w:rPr>
          <w:rFonts w:ascii="Times New Roman" w:eastAsia="Times New Roman" w:hAnsi="Times New Roman" w:cs="Times New Roman"/>
          <w:color w:val="000000" w:themeColor="text1"/>
        </w:rPr>
        <w:t>To capture uncertainty in baseline assumptions, we implemented both “high” and “low” P scoring schemes within the ranges supported by the literature. This approach enables sensitivity testing of the Insect Biodiversity Intactness (IBI) indicator to variation in potential diversity baselines.</w:t>
      </w:r>
    </w:p>
    <w:p w14:paraId="3F692EE8" w14:textId="77777777" w:rsidR="00D25BFA" w:rsidRDefault="00D25BFA" w:rsidP="00D25BFA">
      <w:pPr>
        <w:autoSpaceDE w:val="0"/>
        <w:autoSpaceDN w:val="0"/>
        <w:spacing w:line="360" w:lineRule="auto"/>
        <w:rPr>
          <w:rFonts w:ascii="Times New Roman" w:eastAsia="Times New Roman" w:hAnsi="Times New Roman" w:cs="Times New Roman"/>
          <w:color w:val="000000" w:themeColor="text1"/>
        </w:rPr>
      </w:pPr>
      <w:r w:rsidRPr="412FB1CC">
        <w:rPr>
          <w:rFonts w:ascii="Times New Roman" w:eastAsia="Times New Roman" w:hAnsi="Times New Roman" w:cs="Times New Roman"/>
          <w:b/>
          <w:bCs/>
          <w:color w:val="000000" w:themeColor="text1"/>
        </w:rPr>
        <w:t xml:space="preserve">Table S1. Habitat-specific potential insect diversity (P) scores </w:t>
      </w:r>
      <w:proofErr w:type="gramStart"/>
      <w:r w:rsidRPr="412FB1CC">
        <w:rPr>
          <w:rFonts w:ascii="Times New Roman" w:eastAsia="Times New Roman" w:hAnsi="Times New Roman" w:cs="Times New Roman"/>
          <w:b/>
          <w:bCs/>
          <w:color w:val="000000" w:themeColor="text1"/>
        </w:rPr>
        <w:t>used</w:t>
      </w:r>
      <w:proofErr w:type="gramEnd"/>
      <w:r w:rsidRPr="412FB1CC">
        <w:rPr>
          <w:rFonts w:ascii="Times New Roman" w:eastAsia="Times New Roman" w:hAnsi="Times New Roman" w:cs="Times New Roman"/>
          <w:b/>
          <w:bCs/>
          <w:color w:val="000000" w:themeColor="text1"/>
        </w:rPr>
        <w:t xml:space="preserve"> in intactness calculations.</w:t>
      </w:r>
    </w:p>
    <w:tbl>
      <w:tblPr>
        <w:tblW w:w="7695" w:type="dxa"/>
        <w:tblInd w:w="65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10"/>
        <w:gridCol w:w="1245"/>
        <w:gridCol w:w="1245"/>
        <w:gridCol w:w="2895"/>
      </w:tblGrid>
      <w:tr w:rsidR="00D25BFA" w14:paraId="6F98E62E" w14:textId="77777777" w:rsidTr="002D77F2">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394895" w14:textId="77777777" w:rsidR="00D25BFA" w:rsidRPr="00A973F3" w:rsidRDefault="00D25BFA" w:rsidP="002D77F2">
            <w:pPr>
              <w:spacing w:after="0" w:line="360" w:lineRule="auto"/>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rPr>
              <w:t>Habitat type</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A24ED9" w14:textId="77777777" w:rsidR="00D25BFA" w:rsidRPr="00A973F3" w:rsidRDefault="00D25BFA" w:rsidP="002D77F2">
            <w:pPr>
              <w:spacing w:after="0" w:line="360" w:lineRule="auto"/>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rPr>
              <w:t>P (low)</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B7C90D" w14:textId="77777777" w:rsidR="00D25BFA" w:rsidRPr="00A973F3" w:rsidRDefault="00D25BFA" w:rsidP="002D77F2">
            <w:pPr>
              <w:spacing w:after="0" w:line="360" w:lineRule="auto"/>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rPr>
              <w:t>P (high)</w:t>
            </w:r>
          </w:p>
        </w:tc>
        <w:tc>
          <w:tcPr>
            <w:tcW w:w="28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3A8D8FB" w14:textId="77777777" w:rsidR="00D25BFA" w:rsidRPr="00A973F3" w:rsidRDefault="00D25BFA" w:rsidP="002D77F2">
            <w:pPr>
              <w:spacing w:after="0" w:line="360" w:lineRule="auto"/>
              <w:rPr>
                <w:rFonts w:ascii="Aptos Narrow" w:eastAsia="Aptos Narrow" w:hAnsi="Aptos Narrow" w:cs="Aptos Narrow"/>
                <w:color w:val="000000" w:themeColor="text1"/>
                <w:sz w:val="22"/>
                <w:szCs w:val="22"/>
              </w:rPr>
            </w:pPr>
            <w:r w:rsidRPr="00A973F3">
              <w:rPr>
                <w:rFonts w:ascii="Aptos Narrow" w:eastAsia="Aptos Narrow" w:hAnsi="Aptos Narrow" w:cs="Aptos Narrow"/>
                <w:color w:val="000000" w:themeColor="text1"/>
                <w:sz w:val="22"/>
                <w:szCs w:val="22"/>
              </w:rPr>
              <w:t xml:space="preserve">Literature basis     </w:t>
            </w:r>
          </w:p>
        </w:tc>
      </w:tr>
      <w:tr w:rsidR="00D25BFA" w14:paraId="1A708E58" w14:textId="77777777" w:rsidTr="002D77F2">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C35A1C" w14:textId="77777777" w:rsidR="00D25BFA" w:rsidRPr="00A973F3" w:rsidRDefault="00D25BFA" w:rsidP="002D77F2">
            <w:pPr>
              <w:spacing w:after="0" w:line="360" w:lineRule="auto"/>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lang w:val="nb-NO"/>
              </w:rPr>
              <w:t>Forest</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C64D77C" w14:textId="77777777" w:rsidR="00D25BFA" w:rsidRPr="00A973F3" w:rsidRDefault="00D25BFA" w:rsidP="002D77F2">
            <w:pPr>
              <w:spacing w:after="0" w:line="360" w:lineRule="auto"/>
              <w:jc w:val="right"/>
              <w:rPr>
                <w:rFonts w:ascii="Aptos Narrow" w:eastAsia="Aptos Narrow" w:hAnsi="Aptos Narrow" w:cs="Aptos Narrow"/>
                <w:color w:val="000000" w:themeColor="text1"/>
                <w:sz w:val="22"/>
                <w:szCs w:val="22"/>
              </w:rPr>
            </w:pPr>
            <w:r w:rsidRPr="00A973F3">
              <w:rPr>
                <w:rFonts w:ascii="Aptos Narrow" w:eastAsia="Aptos Narrow" w:hAnsi="Aptos Narrow" w:cs="Aptos Narrow"/>
                <w:color w:val="000000" w:themeColor="text1"/>
                <w:sz w:val="22"/>
                <w:szCs w:val="22"/>
              </w:rPr>
              <w:t>1</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AB9ECA" w14:textId="77777777" w:rsidR="00D25BFA" w:rsidRPr="00A973F3" w:rsidRDefault="00D25BFA" w:rsidP="002D77F2">
            <w:pPr>
              <w:spacing w:after="0" w:line="360" w:lineRule="auto"/>
              <w:jc w:val="right"/>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rPr>
              <w:t>1</w:t>
            </w:r>
          </w:p>
        </w:tc>
        <w:tc>
          <w:tcPr>
            <w:tcW w:w="28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9F79735" w14:textId="77777777" w:rsidR="00D25BFA" w:rsidRPr="00A973F3" w:rsidRDefault="00D25BFA" w:rsidP="002D77F2">
            <w:pPr>
              <w:spacing w:after="0" w:line="360" w:lineRule="auto"/>
              <w:rPr>
                <w:rFonts w:ascii="Aptos Narrow" w:eastAsia="Aptos Narrow" w:hAnsi="Aptos Narrow" w:cs="Aptos Narrow"/>
                <w:color w:val="000000" w:themeColor="text1"/>
                <w:sz w:val="22"/>
                <w:szCs w:val="22"/>
              </w:rPr>
            </w:pPr>
            <w:r w:rsidRPr="00A973F3">
              <w:rPr>
                <w:rFonts w:ascii="Aptos Narrow" w:eastAsia="Aptos Narrow" w:hAnsi="Aptos Narrow" w:cs="Aptos Narrow"/>
                <w:color w:val="000000" w:themeColor="text1"/>
                <w:sz w:val="22"/>
                <w:szCs w:val="22"/>
              </w:rPr>
              <w:t xml:space="preserve">Newbold et al. 2015; </w:t>
            </w:r>
          </w:p>
        </w:tc>
      </w:tr>
      <w:tr w:rsidR="00D25BFA" w14:paraId="674E7FE1" w14:textId="77777777" w:rsidTr="002D77F2">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118162" w14:textId="77777777" w:rsidR="00D25BFA" w:rsidRPr="00A973F3" w:rsidRDefault="00D25BFA" w:rsidP="002D77F2">
            <w:pPr>
              <w:spacing w:after="0" w:line="360" w:lineRule="auto"/>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lang w:val="nb-NO"/>
              </w:rPr>
              <w:t>Savanna</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9D8E61" w14:textId="77777777" w:rsidR="00D25BFA" w:rsidRPr="00A973F3" w:rsidRDefault="00D25BFA" w:rsidP="002D77F2">
            <w:pPr>
              <w:spacing w:after="0" w:line="360" w:lineRule="auto"/>
              <w:jc w:val="right"/>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rPr>
              <w:t>0.7</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6BE9CB" w14:textId="77777777" w:rsidR="00D25BFA" w:rsidRPr="00A973F3" w:rsidRDefault="00D25BFA" w:rsidP="002D77F2">
            <w:pPr>
              <w:spacing w:after="0" w:line="360" w:lineRule="auto"/>
              <w:jc w:val="right"/>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rPr>
              <w:t>0.8</w:t>
            </w:r>
          </w:p>
        </w:tc>
        <w:tc>
          <w:tcPr>
            <w:tcW w:w="28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F4E051" w14:textId="77777777" w:rsidR="00D25BFA" w:rsidRPr="00A973F3" w:rsidRDefault="00D25BFA" w:rsidP="002D77F2">
            <w:pPr>
              <w:spacing w:after="0" w:line="360" w:lineRule="auto"/>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rPr>
              <w:t>Habel et al. 2021</w:t>
            </w:r>
          </w:p>
        </w:tc>
      </w:tr>
      <w:tr w:rsidR="00D25BFA" w14:paraId="5E2AFBBB" w14:textId="77777777" w:rsidTr="002D77F2">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8CCFA0" w14:textId="77777777" w:rsidR="00D25BFA" w:rsidRPr="00A973F3" w:rsidRDefault="00D25BFA" w:rsidP="002D77F2">
            <w:pPr>
              <w:spacing w:after="0" w:line="360" w:lineRule="auto"/>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lang w:val="nb-NO"/>
              </w:rPr>
              <w:t>Grassland</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0614C0" w14:textId="77777777" w:rsidR="00D25BFA" w:rsidRPr="00A973F3" w:rsidRDefault="00D25BFA" w:rsidP="002D77F2">
            <w:pPr>
              <w:spacing w:after="0" w:line="360" w:lineRule="auto"/>
              <w:jc w:val="right"/>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rPr>
              <w:t>0.6</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56EB9C" w14:textId="77777777" w:rsidR="00D25BFA" w:rsidRPr="00A973F3" w:rsidRDefault="00D25BFA" w:rsidP="002D77F2">
            <w:pPr>
              <w:spacing w:after="0" w:line="360" w:lineRule="auto"/>
              <w:jc w:val="right"/>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rPr>
              <w:t>0.7</w:t>
            </w:r>
          </w:p>
        </w:tc>
        <w:tc>
          <w:tcPr>
            <w:tcW w:w="28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997BB1" w14:textId="77777777" w:rsidR="00D25BFA" w:rsidRPr="00A973F3" w:rsidRDefault="00D25BFA" w:rsidP="002D77F2">
            <w:pPr>
              <w:spacing w:after="0" w:line="360" w:lineRule="auto"/>
              <w:rPr>
                <w:rFonts w:ascii="Times New Roman" w:eastAsia="Times New Roman" w:hAnsi="Times New Roman" w:cs="Times New Roman"/>
                <w:color w:val="000000" w:themeColor="text1"/>
              </w:rPr>
            </w:pPr>
            <w:proofErr w:type="spellStart"/>
            <w:r w:rsidRPr="00A973F3">
              <w:rPr>
                <w:rFonts w:ascii="Times New Roman" w:eastAsia="Times New Roman" w:hAnsi="Times New Roman" w:cs="Times New Roman"/>
                <w:color w:val="000000" w:themeColor="text1"/>
              </w:rPr>
              <w:t>Deguines</w:t>
            </w:r>
            <w:proofErr w:type="spellEnd"/>
            <w:r w:rsidRPr="00A973F3">
              <w:rPr>
                <w:rFonts w:ascii="Times New Roman" w:eastAsia="Times New Roman" w:hAnsi="Times New Roman" w:cs="Times New Roman"/>
                <w:color w:val="000000" w:themeColor="text1"/>
              </w:rPr>
              <w:t xml:space="preserve"> et al. 2014</w:t>
            </w:r>
          </w:p>
        </w:tc>
      </w:tr>
      <w:tr w:rsidR="00D25BFA" w14:paraId="595C986F" w14:textId="77777777" w:rsidTr="002D77F2">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082B3F" w14:textId="77777777" w:rsidR="00D25BFA" w:rsidRPr="00A973F3" w:rsidRDefault="00D25BFA" w:rsidP="002D77F2">
            <w:pPr>
              <w:spacing w:after="0" w:line="360" w:lineRule="auto"/>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lang w:val="nb-NO"/>
              </w:rPr>
              <w:t>Shrubland</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6FE274" w14:textId="77777777" w:rsidR="00D25BFA" w:rsidRPr="00A973F3" w:rsidRDefault="00D25BFA" w:rsidP="002D77F2">
            <w:pPr>
              <w:spacing w:after="0" w:line="360" w:lineRule="auto"/>
              <w:jc w:val="right"/>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rPr>
              <w:t>0.5</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4F82CA" w14:textId="77777777" w:rsidR="00D25BFA" w:rsidRPr="00A973F3" w:rsidRDefault="00D25BFA" w:rsidP="002D77F2">
            <w:pPr>
              <w:spacing w:after="0" w:line="360" w:lineRule="auto"/>
              <w:jc w:val="right"/>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rPr>
              <w:t>0.6</w:t>
            </w:r>
          </w:p>
        </w:tc>
        <w:tc>
          <w:tcPr>
            <w:tcW w:w="28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594297" w14:textId="77777777" w:rsidR="00D25BFA" w:rsidRPr="00A973F3" w:rsidRDefault="00D25BFA" w:rsidP="002D77F2">
            <w:pPr>
              <w:spacing w:after="0" w:line="360" w:lineRule="auto"/>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rPr>
              <w:t>Habel et al. 2021</w:t>
            </w:r>
          </w:p>
        </w:tc>
      </w:tr>
      <w:tr w:rsidR="00D25BFA" w14:paraId="672D602A" w14:textId="77777777" w:rsidTr="002D77F2">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50C4A6" w14:textId="77777777" w:rsidR="00D25BFA" w:rsidRPr="00A973F3" w:rsidRDefault="00D25BFA" w:rsidP="002D77F2">
            <w:pPr>
              <w:spacing w:after="0" w:line="360" w:lineRule="auto"/>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lang w:val="nb-NO"/>
              </w:rPr>
              <w:t>Wetland</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94E47A" w14:textId="77777777" w:rsidR="00D25BFA" w:rsidRPr="00A973F3" w:rsidRDefault="00D25BFA" w:rsidP="002D77F2">
            <w:pPr>
              <w:spacing w:after="0" w:line="360" w:lineRule="auto"/>
              <w:jc w:val="right"/>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lang w:val="nb-NO"/>
              </w:rPr>
              <w:t>0.8</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0E03CB" w14:textId="77777777" w:rsidR="00D25BFA" w:rsidRPr="00A973F3" w:rsidRDefault="00D25BFA" w:rsidP="002D77F2">
            <w:pPr>
              <w:spacing w:after="0" w:line="360" w:lineRule="auto"/>
              <w:jc w:val="right"/>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lang w:val="nb-NO"/>
              </w:rPr>
              <w:t>0.9</w:t>
            </w:r>
          </w:p>
        </w:tc>
        <w:tc>
          <w:tcPr>
            <w:tcW w:w="28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0B47D08" w14:textId="77777777" w:rsidR="00D25BFA" w:rsidRPr="00A973F3" w:rsidRDefault="00D25BFA" w:rsidP="002D77F2">
            <w:pPr>
              <w:spacing w:after="0" w:line="360" w:lineRule="auto"/>
              <w:rPr>
                <w:rFonts w:ascii="Aptos Narrow" w:eastAsia="Aptos Narrow" w:hAnsi="Aptos Narrow" w:cs="Aptos Narrow"/>
                <w:color w:val="000000" w:themeColor="text1"/>
                <w:sz w:val="22"/>
                <w:szCs w:val="22"/>
              </w:rPr>
            </w:pPr>
            <w:r w:rsidRPr="00A973F3">
              <w:rPr>
                <w:rFonts w:ascii="Aptos Narrow" w:eastAsia="Aptos Narrow" w:hAnsi="Aptos Narrow" w:cs="Aptos Narrow"/>
                <w:color w:val="000000" w:themeColor="text1"/>
                <w:sz w:val="22"/>
                <w:szCs w:val="22"/>
              </w:rPr>
              <w:t>Newbold et al. 2015</w:t>
            </w:r>
          </w:p>
        </w:tc>
      </w:tr>
      <w:tr w:rsidR="00D25BFA" w14:paraId="58B0F5C6" w14:textId="77777777" w:rsidTr="002D77F2">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CF174E" w14:textId="77777777" w:rsidR="00D25BFA" w:rsidRPr="00A973F3" w:rsidRDefault="00D25BFA" w:rsidP="002D77F2">
            <w:pPr>
              <w:spacing w:after="0" w:line="360" w:lineRule="auto"/>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lang w:val="nb-NO"/>
              </w:rPr>
              <w:t>Waterbodies</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BDE253" w14:textId="77777777" w:rsidR="00D25BFA" w:rsidRPr="00A973F3" w:rsidRDefault="00D25BFA" w:rsidP="002D77F2">
            <w:pPr>
              <w:spacing w:after="0" w:line="360" w:lineRule="auto"/>
              <w:jc w:val="right"/>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rPr>
              <w:t>0.4</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A085F0" w14:textId="77777777" w:rsidR="00D25BFA" w:rsidRPr="00A973F3" w:rsidRDefault="00D25BFA" w:rsidP="002D77F2">
            <w:pPr>
              <w:spacing w:after="0" w:line="360" w:lineRule="auto"/>
              <w:jc w:val="right"/>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rPr>
              <w:t>0.5</w:t>
            </w:r>
          </w:p>
        </w:tc>
        <w:tc>
          <w:tcPr>
            <w:tcW w:w="28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3EFE5D" w14:textId="77777777" w:rsidR="00D25BFA" w:rsidRPr="00A973F3" w:rsidRDefault="00D25BFA" w:rsidP="002D77F2">
            <w:pPr>
              <w:spacing w:after="0" w:line="360" w:lineRule="auto"/>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rPr>
              <w:t>Purvis et al. 2018</w:t>
            </w:r>
          </w:p>
        </w:tc>
      </w:tr>
      <w:tr w:rsidR="00D25BFA" w14:paraId="2DB0C169" w14:textId="77777777" w:rsidTr="002D77F2">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7D18B6B" w14:textId="77777777" w:rsidR="00D25BFA" w:rsidRPr="00A973F3" w:rsidRDefault="00D25BFA" w:rsidP="002D77F2">
            <w:pPr>
              <w:spacing w:after="0" w:line="360" w:lineRule="auto"/>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lang w:val="nb-NO"/>
              </w:rPr>
              <w:t>Desert</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CDE3D38" w14:textId="77777777" w:rsidR="00D25BFA" w:rsidRPr="00A973F3" w:rsidRDefault="00D25BFA" w:rsidP="002D77F2">
            <w:pPr>
              <w:spacing w:after="0" w:line="360" w:lineRule="auto"/>
              <w:jc w:val="right"/>
              <w:rPr>
                <w:rFonts w:ascii="Aptos Narrow" w:eastAsia="Aptos Narrow" w:hAnsi="Aptos Narrow" w:cs="Aptos Narrow"/>
                <w:color w:val="000000" w:themeColor="text1"/>
                <w:sz w:val="22"/>
                <w:szCs w:val="22"/>
              </w:rPr>
            </w:pPr>
            <w:r w:rsidRPr="00A973F3">
              <w:rPr>
                <w:rFonts w:ascii="Aptos Narrow" w:eastAsia="Aptos Narrow" w:hAnsi="Aptos Narrow" w:cs="Aptos Narrow"/>
                <w:color w:val="000000" w:themeColor="text1"/>
                <w:sz w:val="22"/>
                <w:szCs w:val="22"/>
              </w:rPr>
              <w:t>0.2</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4DF73C5" w14:textId="77777777" w:rsidR="00D25BFA" w:rsidRPr="00A973F3" w:rsidRDefault="00D25BFA" w:rsidP="002D77F2">
            <w:pPr>
              <w:spacing w:after="0" w:line="360" w:lineRule="auto"/>
              <w:jc w:val="right"/>
              <w:rPr>
                <w:rFonts w:ascii="Times New Roman" w:eastAsia="Times New Roman" w:hAnsi="Times New Roman" w:cs="Times New Roman"/>
                <w:color w:val="000000" w:themeColor="text1"/>
              </w:rPr>
            </w:pPr>
            <w:r w:rsidRPr="00A973F3">
              <w:rPr>
                <w:rFonts w:ascii="Times New Roman" w:eastAsia="Times New Roman" w:hAnsi="Times New Roman" w:cs="Times New Roman"/>
                <w:color w:val="000000" w:themeColor="text1"/>
              </w:rPr>
              <w:t>0.3</w:t>
            </w:r>
          </w:p>
        </w:tc>
        <w:tc>
          <w:tcPr>
            <w:tcW w:w="28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B693206" w14:textId="77777777" w:rsidR="00D25BFA" w:rsidRPr="00A973F3" w:rsidRDefault="00D25BFA" w:rsidP="002D77F2">
            <w:pPr>
              <w:spacing w:after="0" w:line="360" w:lineRule="auto"/>
              <w:rPr>
                <w:rFonts w:ascii="Aptos Narrow" w:eastAsia="Aptos Narrow" w:hAnsi="Aptos Narrow" w:cs="Aptos Narrow"/>
                <w:color w:val="000000" w:themeColor="text1"/>
                <w:sz w:val="22"/>
                <w:szCs w:val="22"/>
              </w:rPr>
            </w:pPr>
            <w:r w:rsidRPr="00A973F3">
              <w:rPr>
                <w:rFonts w:ascii="Aptos Narrow" w:eastAsia="Aptos Narrow" w:hAnsi="Aptos Narrow" w:cs="Aptos Narrow"/>
                <w:color w:val="000000" w:themeColor="text1"/>
                <w:sz w:val="22"/>
                <w:szCs w:val="22"/>
              </w:rPr>
              <w:t xml:space="preserve">Habel et al. 2021 </w:t>
            </w:r>
          </w:p>
        </w:tc>
      </w:tr>
    </w:tbl>
    <w:p w14:paraId="70F89995" w14:textId="77777777" w:rsidR="00D25BFA" w:rsidRDefault="00D25BFA" w:rsidP="00D25BFA">
      <w:pPr>
        <w:autoSpaceDE w:val="0"/>
        <w:autoSpaceDN w:val="0"/>
        <w:spacing w:line="360" w:lineRule="auto"/>
        <w:ind w:left="640"/>
        <w:rPr>
          <w:rFonts w:ascii="Times New Roman" w:eastAsia="Times New Roman" w:hAnsi="Times New Roman" w:cs="Times New Roman"/>
          <w:color w:val="000000" w:themeColor="text1"/>
        </w:rPr>
      </w:pPr>
    </w:p>
    <w:p w14:paraId="0C28CB10" w14:textId="77777777" w:rsidR="00D25BFA" w:rsidRPr="00995FAC" w:rsidRDefault="00D25BFA" w:rsidP="00D25BFA">
      <w:pPr>
        <w:autoSpaceDE w:val="0"/>
        <w:autoSpaceDN w:val="0"/>
        <w:spacing w:line="360" w:lineRule="auto"/>
        <w:rPr>
          <w:rFonts w:ascii="Times New Roman" w:eastAsia="Times New Roman" w:hAnsi="Times New Roman" w:cs="Times New Roman"/>
          <w:color w:val="000000" w:themeColor="text1"/>
          <w:sz w:val="28"/>
          <w:szCs w:val="28"/>
        </w:rPr>
      </w:pPr>
      <w:r w:rsidRPr="412FB1CC">
        <w:rPr>
          <w:rFonts w:ascii="Times New Roman" w:eastAsia="Times New Roman" w:hAnsi="Times New Roman" w:cs="Times New Roman"/>
          <w:b/>
          <w:bCs/>
          <w:color w:val="000000" w:themeColor="text1"/>
          <w:sz w:val="28"/>
          <w:szCs w:val="28"/>
        </w:rPr>
        <w:t xml:space="preserve">Supplementary Notes </w:t>
      </w:r>
      <w:r>
        <w:rPr>
          <w:rFonts w:ascii="Times New Roman" w:eastAsia="Times New Roman" w:hAnsi="Times New Roman" w:cs="Times New Roman"/>
          <w:b/>
          <w:bCs/>
          <w:color w:val="000000" w:themeColor="text1"/>
          <w:sz w:val="28"/>
          <w:szCs w:val="28"/>
        </w:rPr>
        <w:t>3</w:t>
      </w:r>
      <w:r w:rsidRPr="412FB1CC">
        <w:rPr>
          <w:rFonts w:ascii="Times New Roman" w:eastAsia="Times New Roman" w:hAnsi="Times New Roman" w:cs="Times New Roman"/>
          <w:b/>
          <w:bCs/>
          <w:color w:val="000000" w:themeColor="text1"/>
          <w:sz w:val="28"/>
          <w:szCs w:val="28"/>
        </w:rPr>
        <w:t xml:space="preserve">: </w:t>
      </w:r>
      <w:r w:rsidRPr="00F4699D">
        <w:rPr>
          <w:rFonts w:ascii="Times New Roman" w:eastAsia="Times New Roman" w:hAnsi="Times New Roman" w:cs="Times New Roman"/>
          <w:b/>
          <w:bCs/>
          <w:color w:val="000000" w:themeColor="text1"/>
          <w:sz w:val="28"/>
          <w:szCs w:val="28"/>
        </w:rPr>
        <w:t xml:space="preserve">Random </w:t>
      </w:r>
      <w:r>
        <w:rPr>
          <w:rFonts w:ascii="Times New Roman" w:eastAsia="Times New Roman" w:hAnsi="Times New Roman" w:cs="Times New Roman"/>
          <w:b/>
          <w:bCs/>
          <w:color w:val="000000" w:themeColor="text1"/>
          <w:sz w:val="28"/>
          <w:szCs w:val="28"/>
        </w:rPr>
        <w:t>f</w:t>
      </w:r>
      <w:r w:rsidRPr="00F4699D">
        <w:rPr>
          <w:rFonts w:ascii="Times New Roman" w:eastAsia="Times New Roman" w:hAnsi="Times New Roman" w:cs="Times New Roman"/>
          <w:b/>
          <w:bCs/>
          <w:color w:val="000000" w:themeColor="text1"/>
          <w:sz w:val="28"/>
          <w:szCs w:val="28"/>
        </w:rPr>
        <w:t xml:space="preserve">orest </w:t>
      </w:r>
      <w:r>
        <w:rPr>
          <w:rFonts w:ascii="Times New Roman" w:eastAsia="Times New Roman" w:hAnsi="Times New Roman" w:cs="Times New Roman"/>
          <w:b/>
          <w:bCs/>
          <w:color w:val="000000" w:themeColor="text1"/>
          <w:sz w:val="28"/>
          <w:szCs w:val="28"/>
        </w:rPr>
        <w:t>m</w:t>
      </w:r>
      <w:r w:rsidRPr="00F4699D">
        <w:rPr>
          <w:rFonts w:ascii="Times New Roman" w:eastAsia="Times New Roman" w:hAnsi="Times New Roman" w:cs="Times New Roman"/>
          <w:b/>
          <w:bCs/>
          <w:color w:val="000000" w:themeColor="text1"/>
          <w:sz w:val="28"/>
          <w:szCs w:val="28"/>
        </w:rPr>
        <w:t xml:space="preserve">odelling </w:t>
      </w:r>
      <w:r>
        <w:rPr>
          <w:rFonts w:ascii="Times New Roman" w:eastAsia="Times New Roman" w:hAnsi="Times New Roman" w:cs="Times New Roman"/>
          <w:b/>
          <w:bCs/>
          <w:color w:val="000000" w:themeColor="text1"/>
          <w:sz w:val="28"/>
          <w:szCs w:val="28"/>
        </w:rPr>
        <w:t>workflow</w:t>
      </w:r>
    </w:p>
    <w:p w14:paraId="1402E7E0" w14:textId="77777777" w:rsidR="00D25BFA" w:rsidRPr="00DC5371" w:rsidRDefault="00D25BFA" w:rsidP="00D25BFA">
      <w:pPr>
        <w:autoSpaceDE w:val="0"/>
        <w:autoSpaceDN w:val="0"/>
        <w:spacing w:line="360" w:lineRule="auto"/>
        <w:rPr>
          <w:rFonts w:ascii="Times New Roman" w:eastAsia="Times New Roman" w:hAnsi="Times New Roman" w:cs="Times New Roman"/>
          <w:color w:val="000000" w:themeColor="text1"/>
        </w:rPr>
      </w:pPr>
      <w:r w:rsidRPr="005D3AA2">
        <w:rPr>
          <w:rFonts w:ascii="Times New Roman" w:eastAsia="Times New Roman" w:hAnsi="Times New Roman" w:cs="Times New Roman"/>
          <w:color w:val="000000" w:themeColor="text1"/>
        </w:rPr>
        <w:t xml:space="preserve">Details of the RF workflow included the integration of environmental predictor layers with georeferenced insect occurrence records. Multiple bootstrap samples were drawn from the </w:t>
      </w:r>
      <w:r w:rsidRPr="005D3AA2">
        <w:rPr>
          <w:rFonts w:ascii="Times New Roman" w:eastAsia="Times New Roman" w:hAnsi="Times New Roman" w:cs="Times New Roman"/>
          <w:color w:val="000000" w:themeColor="text1"/>
        </w:rPr>
        <w:lastRenderedPageBreak/>
        <w:t>training dataset, and an independent decision tree was fitted to each sample. Within each tree, a random subset of predictors was considered at each node split to reduce inter-tree correlation and improve generalization.</w:t>
      </w:r>
    </w:p>
    <w:p w14:paraId="4E8645A8" w14:textId="77777777" w:rsidR="00D25BFA" w:rsidRPr="00DC5371" w:rsidRDefault="00D25BFA" w:rsidP="00D25BFA">
      <w:pPr>
        <w:autoSpaceDE w:val="0"/>
        <w:autoSpaceDN w:val="0"/>
        <w:spacing w:line="360" w:lineRule="auto"/>
        <w:rPr>
          <w:rFonts w:ascii="Times New Roman" w:eastAsia="Times New Roman" w:hAnsi="Times New Roman" w:cs="Times New Roman"/>
          <w:color w:val="000000" w:themeColor="text1"/>
        </w:rPr>
      </w:pPr>
      <w:r w:rsidRPr="005D3AA2">
        <w:rPr>
          <w:rFonts w:ascii="Times New Roman" w:eastAsia="Times New Roman" w:hAnsi="Times New Roman" w:cs="Times New Roman"/>
          <w:color w:val="000000" w:themeColor="text1"/>
        </w:rPr>
        <w:t>For classification, the final prediction was obtained by majority voting across all trees, while probability estimation was based on the proportion of trees predicting presence. These outputs were interpreted as habitat suitability scores. The RF algorithm was configured with 500 trees</w:t>
      </w:r>
      <w:r w:rsidRPr="00DC5371">
        <w:rPr>
          <w:rFonts w:ascii="Times New Roman" w:eastAsia="Times New Roman" w:hAnsi="Times New Roman" w:cs="Times New Roman"/>
          <w:color w:val="000000" w:themeColor="text1"/>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n</m:t>
            </m:r>
          </m:e>
          <m:sub>
            <m:r>
              <w:rPr>
                <w:rFonts w:ascii="Cambria Math" w:eastAsia="Times New Roman" w:hAnsi="Cambria Math" w:cs="Times New Roman"/>
              </w:rPr>
              <m:t>estimators</m:t>
            </m:r>
          </m:sub>
        </m:sSub>
        <m:r>
          <w:rPr>
            <w:rFonts w:ascii="Cambria Math" w:eastAsia="Times New Roman" w:hAnsi="Cambria Math" w:cs="Times New Roman"/>
          </w:rPr>
          <m:t>=500</m:t>
        </m:r>
      </m:oMath>
      <w:r w:rsidRPr="005D3AA2">
        <w:rPr>
          <w:rFonts w:ascii="Times New Roman" w:eastAsia="Times New Roman" w:hAnsi="Times New Roman" w:cs="Times New Roman"/>
          <w:color w:val="000000" w:themeColor="text1"/>
        </w:rPr>
        <w:t>, a minimum split size of 2 samples, and a maximum tree depth of 20. Hyperparameter tuning was performed using randomized grid search with five-fold cross-validation on the training data, optimizing the Area Under the Curve (AUC).</w:t>
      </w:r>
    </w:p>
    <w:p w14:paraId="102B0A3D" w14:textId="77777777" w:rsidR="00D25BFA" w:rsidRPr="00DC5371" w:rsidRDefault="00D25BFA" w:rsidP="00D25BFA">
      <w:pPr>
        <w:autoSpaceDE w:val="0"/>
        <w:autoSpaceDN w:val="0"/>
        <w:spacing w:line="360" w:lineRule="auto"/>
        <w:rPr>
          <w:rFonts w:ascii="Times New Roman" w:eastAsia="Times New Roman" w:hAnsi="Times New Roman" w:cs="Times New Roman"/>
          <w:color w:val="000000" w:themeColor="text1"/>
        </w:rPr>
      </w:pPr>
      <w:r w:rsidRPr="005D3AA2">
        <w:rPr>
          <w:rFonts w:ascii="Times New Roman" w:eastAsia="Times New Roman" w:hAnsi="Times New Roman" w:cs="Times New Roman"/>
          <w:color w:val="000000" w:themeColor="text1"/>
        </w:rPr>
        <w:t>Formally, the RF prediction for classification is expressed as:</w:t>
      </w:r>
    </w:p>
    <w:p w14:paraId="5E346F38" w14:textId="77777777" w:rsidR="00D25BFA" w:rsidRPr="00DC5371" w:rsidRDefault="00D25BFA" w:rsidP="00D25BFA">
      <w:pPr>
        <w:spacing w:line="360" w:lineRule="auto"/>
        <w:ind w:left="1360" w:hanging="720"/>
        <w:rPr>
          <w:rFonts w:ascii="Times New Roman" w:eastAsia="Times New Roman" w:hAnsi="Times New Roman" w:cs="Times New Roman"/>
        </w:rPr>
      </w:pPr>
      <m:oMath>
        <m:acc>
          <m:accPr>
            <m:ctrlPr>
              <w:rPr>
                <w:rFonts w:ascii="Cambria Math" w:eastAsia="Times New Roman" w:hAnsi="Cambria Math" w:cs="Times New Roman"/>
                <w:i/>
              </w:rPr>
            </m:ctrlPr>
          </m:accPr>
          <m:e>
            <m:r>
              <w:rPr>
                <w:rFonts w:ascii="Cambria Math" w:eastAsia="Times New Roman" w:hAnsi="Cambria Math" w:cs="Times New Roman"/>
              </w:rPr>
              <m:t>y</m:t>
            </m:r>
          </m:e>
        </m:acc>
        <m:r>
          <w:rPr>
            <w:rFonts w:ascii="Cambria Math" w:eastAsia="Times New Roman" w:hAnsi="Cambria Math" w:cs="Times New Roman"/>
          </w:rPr>
          <m:t xml:space="preserve">=majority vote </m:t>
        </m:r>
        <m:d>
          <m:dPr>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1</m:t>
                </m:r>
              </m:sub>
            </m:sSub>
            <m:d>
              <m:dPr>
                <m:ctrlPr>
                  <w:rPr>
                    <w:rFonts w:ascii="Cambria Math" w:eastAsia="Times New Roman" w:hAnsi="Cambria Math" w:cs="Times New Roman"/>
                    <w:i/>
                  </w:rPr>
                </m:ctrlPr>
              </m:dPr>
              <m:e>
                <m:r>
                  <w:rPr>
                    <w:rFonts w:ascii="Cambria Math" w:eastAsia="Times New Roman" w:hAnsi="Cambria Math" w:cs="Times New Roman"/>
                  </w:rPr>
                  <m:t>x</m:t>
                </m:r>
              </m:e>
            </m:d>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2</m:t>
                </m:r>
              </m:sub>
            </m:sSub>
            <m:d>
              <m:dPr>
                <m:ctrlPr>
                  <w:rPr>
                    <w:rFonts w:ascii="Cambria Math" w:eastAsia="Times New Roman" w:hAnsi="Cambria Math" w:cs="Times New Roman"/>
                    <w:i/>
                  </w:rPr>
                </m:ctrlPr>
              </m:dPr>
              <m:e>
                <m:r>
                  <w:rPr>
                    <w:rFonts w:ascii="Cambria Math" w:eastAsia="Times New Roman" w:hAnsi="Cambria Math" w:cs="Times New Roman"/>
                  </w:rPr>
                  <m:t>x</m:t>
                </m:r>
              </m:e>
            </m:d>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T</m:t>
                </m:r>
              </m:sub>
            </m:sSub>
            <m:r>
              <w:rPr>
                <w:rFonts w:ascii="Cambria Math" w:eastAsia="Times New Roman" w:hAnsi="Cambria Math" w:cs="Times New Roman"/>
              </w:rPr>
              <m:t>(x)</m:t>
            </m:r>
          </m:e>
        </m:d>
      </m:oMath>
      <w:r w:rsidRPr="00DC537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DC5371">
        <w:rPr>
          <w:rFonts w:ascii="Times New Roman" w:eastAsia="Times New Roman" w:hAnsi="Times New Roman" w:cs="Times New Roman"/>
        </w:rPr>
        <w:t xml:space="preserve">    (</w:t>
      </w:r>
      <w:r>
        <w:rPr>
          <w:rFonts w:ascii="Times New Roman" w:eastAsia="Times New Roman" w:hAnsi="Times New Roman" w:cs="Times New Roman"/>
        </w:rPr>
        <w:t>3</w:t>
      </w:r>
      <w:r w:rsidRPr="00DC5371">
        <w:rPr>
          <w:rFonts w:ascii="Times New Roman" w:eastAsia="Times New Roman" w:hAnsi="Times New Roman" w:cs="Times New Roman"/>
        </w:rPr>
        <w:t>)</w:t>
      </w:r>
    </w:p>
    <w:p w14:paraId="1C9BA5DE" w14:textId="77777777" w:rsidR="00D25BFA" w:rsidRPr="00DC5371" w:rsidRDefault="00D25BFA" w:rsidP="00D25BFA">
      <w:pPr>
        <w:autoSpaceDE w:val="0"/>
        <w:autoSpaceDN w:val="0"/>
        <w:spacing w:line="360" w:lineRule="auto"/>
        <w:rPr>
          <w:rFonts w:ascii="Times New Roman" w:eastAsia="Times New Roman" w:hAnsi="Times New Roman" w:cs="Times New Roman"/>
          <w:color w:val="000000" w:themeColor="text1"/>
        </w:rPr>
      </w:pPr>
      <w:r w:rsidRPr="00DC5371">
        <w:rPr>
          <w:rFonts w:ascii="Times New Roman" w:eastAsia="Times New Roman" w:hAnsi="Times New Roman" w:cs="Times New Roman"/>
          <w:color w:val="000000" w:themeColor="text1"/>
        </w:rPr>
        <w:t>W</w:t>
      </w:r>
      <w:r w:rsidRPr="005D3AA2">
        <w:rPr>
          <w:rFonts w:ascii="Times New Roman" w:eastAsia="Times New Roman" w:hAnsi="Times New Roman" w:cs="Times New Roman"/>
          <w:color w:val="000000" w:themeColor="text1"/>
        </w:rPr>
        <w:t>here</w:t>
      </w:r>
      <w:r w:rsidRPr="00DC5371">
        <w:rPr>
          <w:rFonts w:ascii="Times New Roman" w:eastAsia="Times New Roman" w:hAnsi="Times New Roman" w:cs="Times New Roman"/>
          <w:color w:val="000000" w:themeColor="text1"/>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t</m:t>
            </m:r>
          </m:sub>
        </m:sSub>
        <m:d>
          <m:dPr>
            <m:ctrlPr>
              <w:rPr>
                <w:rFonts w:ascii="Cambria Math" w:eastAsia="Times New Roman" w:hAnsi="Cambria Math" w:cs="Times New Roman"/>
                <w:i/>
              </w:rPr>
            </m:ctrlPr>
          </m:dPr>
          <m:e>
            <m:r>
              <w:rPr>
                <w:rFonts w:ascii="Cambria Math" w:eastAsia="Times New Roman" w:hAnsi="Cambria Math" w:cs="Times New Roman"/>
              </w:rPr>
              <m:t>x</m:t>
            </m:r>
          </m:e>
        </m:d>
      </m:oMath>
      <w:r w:rsidRPr="00DC5371">
        <w:rPr>
          <w:rFonts w:ascii="Times New Roman" w:eastAsia="Times New Roman" w:hAnsi="Times New Roman" w:cs="Times New Roman"/>
        </w:rPr>
        <w:t xml:space="preserve">) </w:t>
      </w:r>
      <w:r w:rsidRPr="005D3AA2">
        <w:rPr>
          <w:rFonts w:ascii="Times New Roman" w:eastAsia="Times New Roman" w:hAnsi="Times New Roman" w:cs="Times New Roman"/>
          <w:color w:val="000000" w:themeColor="text1"/>
        </w:rPr>
        <w:t xml:space="preserve">is the prediction from the </w:t>
      </w:r>
      <m:oMath>
        <m:r>
          <w:rPr>
            <w:rFonts w:ascii="Cambria Math" w:eastAsia="Times New Roman" w:hAnsi="Cambria Math" w:cs="Times New Roman"/>
          </w:rPr>
          <m:t>t</m:t>
        </m:r>
      </m:oMath>
      <w:r w:rsidRPr="00DC5371">
        <w:rPr>
          <w:rFonts w:ascii="Times New Roman" w:eastAsia="Times New Roman" w:hAnsi="Times New Roman" w:cs="Times New Roman"/>
        </w:rPr>
        <w:t>-th</w:t>
      </w:r>
      <w:r w:rsidRPr="005D3AA2">
        <w:rPr>
          <w:rFonts w:ascii="Times New Roman" w:eastAsia="Times New Roman" w:hAnsi="Times New Roman" w:cs="Times New Roman"/>
          <w:color w:val="000000" w:themeColor="text1"/>
        </w:rPr>
        <w:t xml:space="preserve"> decision tree and,</w:t>
      </w:r>
      <w:r w:rsidRPr="00DC5371">
        <w:rPr>
          <w:rFonts w:ascii="Times New Roman" w:eastAsia="Times New Roman" w:hAnsi="Times New Roman" w:cs="Times New Roman"/>
        </w:rPr>
        <w:t xml:space="preserve"> </w:t>
      </w:r>
      <m:oMath>
        <m:r>
          <w:rPr>
            <w:rFonts w:ascii="Cambria Math" w:eastAsia="Times New Roman" w:hAnsi="Cambria Math" w:cs="Times New Roman"/>
          </w:rPr>
          <m:t>T</m:t>
        </m:r>
      </m:oMath>
      <w:r w:rsidRPr="005D3AA2">
        <w:rPr>
          <w:rFonts w:ascii="Times New Roman" w:eastAsia="Times New Roman" w:hAnsi="Times New Roman" w:cs="Times New Roman"/>
          <w:color w:val="000000" w:themeColor="text1"/>
        </w:rPr>
        <w:t xml:space="preserve"> is the total number of trees.</w:t>
      </w:r>
    </w:p>
    <w:p w14:paraId="1A36E60E" w14:textId="77777777" w:rsidR="00D25BFA" w:rsidRPr="00DC5371" w:rsidRDefault="00D25BFA" w:rsidP="00D25BFA">
      <w:pPr>
        <w:autoSpaceDE w:val="0"/>
        <w:autoSpaceDN w:val="0"/>
        <w:spacing w:line="360" w:lineRule="auto"/>
        <w:rPr>
          <w:rFonts w:ascii="Times New Roman" w:eastAsia="Times New Roman" w:hAnsi="Times New Roman" w:cs="Times New Roman"/>
          <w:color w:val="000000" w:themeColor="text1"/>
        </w:rPr>
      </w:pPr>
      <w:r w:rsidRPr="005D3AA2">
        <w:rPr>
          <w:rFonts w:ascii="Times New Roman" w:eastAsia="Times New Roman" w:hAnsi="Times New Roman" w:cs="Times New Roman"/>
          <w:color w:val="000000" w:themeColor="text1"/>
        </w:rPr>
        <w:t>When estimating the probability of presence, the RF output is calculated as:</w:t>
      </w:r>
    </w:p>
    <w:p w14:paraId="47246799" w14:textId="77777777" w:rsidR="00D25BFA" w:rsidRDefault="00D25BFA" w:rsidP="00D25BFA">
      <w:pPr>
        <w:spacing w:line="360" w:lineRule="auto"/>
        <w:ind w:left="640"/>
        <w:rPr>
          <w:rFonts w:ascii="Times New Roman" w:eastAsia="Times New Roman" w:hAnsi="Times New Roman" w:cs="Times New Roman"/>
        </w:rPr>
      </w:pPr>
      <m:oMath>
        <m:r>
          <w:rPr>
            <w:rFonts w:ascii="Cambria Math" w:eastAsia="Times New Roman" w:hAnsi="Cambria Math" w:cs="Times New Roman"/>
          </w:rPr>
          <m:t>P</m:t>
        </m:r>
        <m:d>
          <m:dPr>
            <m:endChr m:val="|"/>
            <m:ctrlPr>
              <w:rPr>
                <w:rFonts w:ascii="Cambria Math" w:eastAsia="Times New Roman" w:hAnsi="Cambria Math" w:cs="Times New Roman"/>
                <w:i/>
              </w:rPr>
            </m:ctrlPr>
          </m:dPr>
          <m:e>
            <m:r>
              <w:rPr>
                <w:rFonts w:ascii="Cambria Math" w:eastAsia="Times New Roman" w:hAnsi="Cambria Math" w:cs="Times New Roman"/>
              </w:rPr>
              <m:t xml:space="preserve">presence </m:t>
            </m:r>
          </m:e>
        </m:d>
        <m:r>
          <w:rPr>
            <w:rFonts w:ascii="Cambria Math" w:eastAsia="Times New Roman" w:hAnsi="Cambria Math" w:cs="Times New Roman"/>
          </w:rPr>
          <m:t xml:space="preserve"> x)=</m:t>
        </m:r>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T</m:t>
            </m:r>
          </m:den>
        </m:f>
        <m:nary>
          <m:naryPr>
            <m:chr m:val="∑"/>
            <m:limLoc m:val="undOvr"/>
            <m:grow m:val="1"/>
            <m:ctrlPr>
              <w:rPr>
                <w:rFonts w:ascii="Cambria Math" w:eastAsia="Times New Roman" w:hAnsi="Cambria Math" w:cs="Times New Roman"/>
                <w:i/>
              </w:rPr>
            </m:ctrlPr>
          </m:naryPr>
          <m:sub>
            <m:r>
              <w:rPr>
                <w:rFonts w:ascii="Cambria Math" w:eastAsia="Times New Roman" w:hAnsi="Cambria Math" w:cs="Times New Roman"/>
              </w:rPr>
              <m:t>t=1</m:t>
            </m:r>
          </m:sub>
          <m:sup>
            <m:r>
              <w:rPr>
                <w:rFonts w:ascii="Cambria Math" w:eastAsia="Times New Roman" w:hAnsi="Cambria Math" w:cs="Times New Roman"/>
              </w:rPr>
              <m:t>T</m:t>
            </m:r>
          </m:sup>
          <m:e>
            <m:r>
              <w:rPr>
                <w:rFonts w:ascii="Cambria Math" w:eastAsia="Times New Roman" w:hAnsi="Cambria Math" w:cs="Times New Roman"/>
              </w:rPr>
              <m:t>I</m:t>
            </m:r>
          </m:e>
        </m:nary>
        <m:d>
          <m:dPr>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t</m:t>
                </m:r>
              </m:sub>
            </m:sSub>
            <m:d>
              <m:dPr>
                <m:ctrlPr>
                  <w:rPr>
                    <w:rFonts w:ascii="Cambria Math" w:eastAsia="Times New Roman" w:hAnsi="Cambria Math" w:cs="Times New Roman"/>
                    <w:i/>
                  </w:rPr>
                </m:ctrlPr>
              </m:dPr>
              <m:e>
                <m:r>
                  <w:rPr>
                    <w:rFonts w:ascii="Cambria Math" w:eastAsia="Times New Roman" w:hAnsi="Cambria Math" w:cs="Times New Roman"/>
                  </w:rPr>
                  <m:t>x</m:t>
                </m:r>
              </m:e>
            </m:d>
          </m:e>
        </m:d>
        <m:r>
          <w:rPr>
            <w:rFonts w:ascii="Cambria Math" w:eastAsia="Times New Roman" w:hAnsi="Cambria Math" w:cs="Times New Roman"/>
          </w:rPr>
          <m:t>=presence</m:t>
        </m:r>
      </m:oMath>
      <w:r w:rsidRPr="00DC5371">
        <w:rPr>
          <w:rFonts w:ascii="Times New Roman" w:eastAsia="Times New Roman" w:hAnsi="Times New Roman" w:cs="Times New Roman"/>
        </w:rPr>
        <w:t xml:space="preserve">                                            (</w:t>
      </w:r>
      <w:r>
        <w:rPr>
          <w:rFonts w:ascii="Times New Roman" w:eastAsia="Times New Roman" w:hAnsi="Times New Roman" w:cs="Times New Roman"/>
        </w:rPr>
        <w:t>4</w:t>
      </w:r>
      <w:r w:rsidRPr="00DC5371">
        <w:rPr>
          <w:rFonts w:ascii="Times New Roman" w:eastAsia="Times New Roman" w:hAnsi="Times New Roman" w:cs="Times New Roman"/>
        </w:rPr>
        <w:t>)</w:t>
      </w:r>
    </w:p>
    <w:p w14:paraId="5AA7417B" w14:textId="77777777" w:rsidR="00D25BFA" w:rsidRDefault="00D25BFA" w:rsidP="00D25BFA">
      <w:pPr>
        <w:spacing w:line="360" w:lineRule="auto"/>
        <w:rPr>
          <w:rFonts w:ascii="Times New Roman" w:eastAsia="Times New Roman" w:hAnsi="Times New Roman" w:cs="Times New Roman"/>
          <w:color w:val="000000" w:themeColor="text1"/>
        </w:rPr>
      </w:pPr>
      <w:r w:rsidRPr="005D3AA2">
        <w:rPr>
          <w:rFonts w:ascii="Times New Roman" w:eastAsia="Times New Roman" w:hAnsi="Times New Roman" w:cs="Times New Roman"/>
          <w:color w:val="000000" w:themeColor="text1"/>
        </w:rPr>
        <w:t xml:space="preserve">where </w:t>
      </w:r>
      <m:oMath>
        <m:r>
          <w:rPr>
            <w:rFonts w:ascii="Cambria Math" w:eastAsia="Times New Roman" w:hAnsi="Cambria Math" w:cs="Times New Roman"/>
          </w:rPr>
          <m:t>I</m:t>
        </m:r>
        <m:d>
          <m:dPr>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t</m:t>
                </m:r>
              </m:sub>
            </m:sSub>
            <m:d>
              <m:dPr>
                <m:ctrlPr>
                  <w:rPr>
                    <w:rFonts w:ascii="Cambria Math" w:eastAsia="Times New Roman" w:hAnsi="Cambria Math" w:cs="Times New Roman"/>
                    <w:i/>
                  </w:rPr>
                </m:ctrlPr>
              </m:dPr>
              <m:e>
                <m:r>
                  <w:rPr>
                    <w:rFonts w:ascii="Cambria Math" w:eastAsia="Times New Roman" w:hAnsi="Cambria Math" w:cs="Times New Roman"/>
                  </w:rPr>
                  <m:t>x</m:t>
                </m:r>
              </m:e>
            </m:d>
          </m:e>
        </m:d>
      </m:oMath>
      <w:r w:rsidRPr="005D3AA2">
        <w:rPr>
          <w:rFonts w:ascii="Times New Roman" w:eastAsia="Times New Roman" w:hAnsi="Times New Roman" w:cs="Times New Roman"/>
          <w:color w:val="000000" w:themeColor="text1"/>
        </w:rPr>
        <w:t xml:space="preserve"> is the indicator function</w:t>
      </w:r>
    </w:p>
    <w:p w14:paraId="5D87F0E9" w14:textId="77777777" w:rsidR="00D25BFA" w:rsidRDefault="00D25BFA" w:rsidP="00D25BFA">
      <w:pPr>
        <w:spacing w:line="360" w:lineRule="auto"/>
        <w:rPr>
          <w:rFonts w:ascii="Times New Roman" w:eastAsia="Times New Roman" w:hAnsi="Times New Roman" w:cs="Times New Roman"/>
          <w:color w:val="000000" w:themeColor="text1"/>
        </w:rPr>
      </w:pPr>
    </w:p>
    <w:p w14:paraId="433203B2" w14:textId="77777777" w:rsidR="00D25BFA" w:rsidRDefault="00D25BFA" w:rsidP="00D25BFA">
      <w:pPr>
        <w:autoSpaceDE w:val="0"/>
        <w:autoSpaceDN w:val="0"/>
        <w:spacing w:line="360" w:lineRule="auto"/>
        <w:rPr>
          <w:rFonts w:ascii="Aptos" w:eastAsia="Aptos" w:hAnsi="Aptos" w:cs="Aptos"/>
          <w:color w:val="000000" w:themeColor="text1"/>
        </w:rPr>
      </w:pPr>
      <w:r w:rsidRPr="412FB1CC">
        <w:rPr>
          <w:rFonts w:ascii="Aptos" w:eastAsia="Aptos" w:hAnsi="Aptos" w:cs="Aptos"/>
          <w:b/>
          <w:bCs/>
          <w:color w:val="000000" w:themeColor="text1"/>
        </w:rPr>
        <w:t>Supplementary Table S2: Characteristics of the 12 representative protected areas used for stratified sampling across Africa’s major climatic zones</w:t>
      </w:r>
    </w:p>
    <w:tbl>
      <w:tblPr>
        <w:tblW w:w="0" w:type="auto"/>
        <w:tblInd w:w="2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64"/>
        <w:gridCol w:w="1890"/>
        <w:gridCol w:w="1456"/>
        <w:gridCol w:w="1694"/>
        <w:gridCol w:w="1750"/>
      </w:tblGrid>
      <w:tr w:rsidR="00D25BFA" w14:paraId="403907B6" w14:textId="77777777" w:rsidTr="002D77F2">
        <w:trPr>
          <w:trHeight w:val="293"/>
        </w:trPr>
        <w:tc>
          <w:tcPr>
            <w:tcW w:w="1764"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vAlign w:val="bottom"/>
          </w:tcPr>
          <w:p w14:paraId="70C49077"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Protected Area</w:t>
            </w:r>
          </w:p>
        </w:tc>
        <w:tc>
          <w:tcPr>
            <w:tcW w:w="1890"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vAlign w:val="bottom"/>
          </w:tcPr>
          <w:p w14:paraId="3FE7060A"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Country / Region</w:t>
            </w:r>
          </w:p>
        </w:tc>
        <w:tc>
          <w:tcPr>
            <w:tcW w:w="1456"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vAlign w:val="bottom"/>
          </w:tcPr>
          <w:p w14:paraId="1CDF7B30"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Ecozone / Biome</w:t>
            </w:r>
          </w:p>
        </w:tc>
        <w:tc>
          <w:tcPr>
            <w:tcW w:w="1694"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vAlign w:val="bottom"/>
          </w:tcPr>
          <w:p w14:paraId="448593D7"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Altitude Range</w:t>
            </w:r>
          </w:p>
        </w:tc>
        <w:tc>
          <w:tcPr>
            <w:tcW w:w="1750"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vAlign w:val="bottom"/>
          </w:tcPr>
          <w:p w14:paraId="538569CF"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Avg Annual Rainfall</w:t>
            </w:r>
          </w:p>
        </w:tc>
      </w:tr>
      <w:tr w:rsidR="00D25BFA" w14:paraId="64D754CA" w14:textId="77777777" w:rsidTr="002D77F2">
        <w:trPr>
          <w:trHeight w:val="293"/>
        </w:trPr>
        <w:tc>
          <w:tcPr>
            <w:tcW w:w="176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6E99EF7"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Kakamega Forest Reserve</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B845F5F"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Kenya (E. Africa)</w:t>
            </w:r>
          </w:p>
        </w:tc>
        <w:tc>
          <w:tcPr>
            <w:tcW w:w="145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04B79BC"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humid</w:t>
            </w:r>
          </w:p>
        </w:tc>
        <w:tc>
          <w:tcPr>
            <w:tcW w:w="169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A89D9F1"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~1,520 m</w:t>
            </w:r>
          </w:p>
        </w:tc>
        <w:tc>
          <w:tcPr>
            <w:tcW w:w="17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57AD8AD"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~1,200–1,700 mm</w:t>
            </w:r>
          </w:p>
        </w:tc>
      </w:tr>
      <w:tr w:rsidR="00D25BFA" w14:paraId="0E209500" w14:textId="77777777" w:rsidTr="002D77F2">
        <w:trPr>
          <w:trHeight w:val="293"/>
        </w:trPr>
        <w:tc>
          <w:tcPr>
            <w:tcW w:w="176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3DCB176"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Dja Faunal Reserve</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490BACF"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Cameroon (W. Africa)</w:t>
            </w:r>
          </w:p>
        </w:tc>
        <w:tc>
          <w:tcPr>
            <w:tcW w:w="145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F5B60DB"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humid</w:t>
            </w:r>
          </w:p>
        </w:tc>
        <w:tc>
          <w:tcPr>
            <w:tcW w:w="169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F9F7A3D"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Lowland</w:t>
            </w:r>
          </w:p>
        </w:tc>
        <w:tc>
          <w:tcPr>
            <w:tcW w:w="17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4215759"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High rainfall</w:t>
            </w:r>
          </w:p>
        </w:tc>
      </w:tr>
      <w:tr w:rsidR="00D25BFA" w14:paraId="345BEFDF" w14:textId="77777777" w:rsidTr="002D77F2">
        <w:trPr>
          <w:trHeight w:val="293"/>
        </w:trPr>
        <w:tc>
          <w:tcPr>
            <w:tcW w:w="176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300E629"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Cross River National Park</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48A7F79"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Nigeria (W. Africa)</w:t>
            </w:r>
          </w:p>
        </w:tc>
        <w:tc>
          <w:tcPr>
            <w:tcW w:w="145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04910DB"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humid</w:t>
            </w:r>
          </w:p>
        </w:tc>
        <w:tc>
          <w:tcPr>
            <w:tcW w:w="169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E18A1D6"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Up to ~1,700 m</w:t>
            </w:r>
          </w:p>
        </w:tc>
        <w:tc>
          <w:tcPr>
            <w:tcW w:w="17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2056762"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~2,000–3,000 mm</w:t>
            </w:r>
          </w:p>
        </w:tc>
      </w:tr>
      <w:tr w:rsidR="00D25BFA" w14:paraId="362CEDDC" w14:textId="77777777" w:rsidTr="002D77F2">
        <w:trPr>
          <w:trHeight w:val="293"/>
        </w:trPr>
        <w:tc>
          <w:tcPr>
            <w:tcW w:w="176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60E0C9D" w14:textId="77777777" w:rsidR="00D25BFA" w:rsidRDefault="00D25BFA" w:rsidP="002D77F2">
            <w:pPr>
              <w:spacing w:after="0" w:line="360" w:lineRule="auto"/>
              <w:rPr>
                <w:rFonts w:ascii="Aptos Narrow" w:eastAsia="Aptos Narrow" w:hAnsi="Aptos Narrow" w:cs="Aptos Narrow"/>
                <w:color w:val="000000" w:themeColor="text1"/>
                <w:sz w:val="22"/>
                <w:szCs w:val="22"/>
              </w:rPr>
            </w:pPr>
            <w:proofErr w:type="spellStart"/>
            <w:r w:rsidRPr="412FB1CC">
              <w:rPr>
                <w:rFonts w:ascii="Aptos Narrow" w:eastAsia="Aptos Narrow" w:hAnsi="Aptos Narrow" w:cs="Aptos Narrow"/>
                <w:color w:val="000000" w:themeColor="text1"/>
                <w:sz w:val="22"/>
                <w:szCs w:val="22"/>
              </w:rPr>
              <w:t>Budongo</w:t>
            </w:r>
            <w:proofErr w:type="spellEnd"/>
            <w:r w:rsidRPr="412FB1CC">
              <w:rPr>
                <w:rFonts w:ascii="Aptos Narrow" w:eastAsia="Aptos Narrow" w:hAnsi="Aptos Narrow" w:cs="Aptos Narrow"/>
                <w:color w:val="000000" w:themeColor="text1"/>
                <w:sz w:val="22"/>
                <w:szCs w:val="22"/>
              </w:rPr>
              <w:t xml:space="preserve"> Forest Reserve</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406AB45"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Uganda (E. Africa)</w:t>
            </w:r>
          </w:p>
        </w:tc>
        <w:tc>
          <w:tcPr>
            <w:tcW w:w="145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EE52D71"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humid</w:t>
            </w:r>
          </w:p>
        </w:tc>
        <w:tc>
          <w:tcPr>
            <w:tcW w:w="169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90D0472"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~700–1,270 m</w:t>
            </w:r>
          </w:p>
        </w:tc>
        <w:tc>
          <w:tcPr>
            <w:tcW w:w="17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3704C52"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~1,200–2,200 mm</w:t>
            </w:r>
          </w:p>
        </w:tc>
      </w:tr>
      <w:tr w:rsidR="00D25BFA" w14:paraId="58254EAC" w14:textId="77777777" w:rsidTr="002D77F2">
        <w:trPr>
          <w:trHeight w:val="293"/>
        </w:trPr>
        <w:tc>
          <w:tcPr>
            <w:tcW w:w="176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4ADE55D"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lastRenderedPageBreak/>
              <w:t>Udzungwa Mountains NP</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E4515D3"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Tanzania (E. Africa)</w:t>
            </w:r>
          </w:p>
        </w:tc>
        <w:tc>
          <w:tcPr>
            <w:tcW w:w="145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B630F00"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sub-humid</w:t>
            </w:r>
          </w:p>
        </w:tc>
        <w:tc>
          <w:tcPr>
            <w:tcW w:w="169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2435A8D"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~250–2,576 m</w:t>
            </w:r>
          </w:p>
        </w:tc>
        <w:tc>
          <w:tcPr>
            <w:tcW w:w="17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CF5AE1C"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~600–2,000 mm</w:t>
            </w:r>
          </w:p>
        </w:tc>
      </w:tr>
      <w:tr w:rsidR="00D25BFA" w14:paraId="7D5AC4B7" w14:textId="77777777" w:rsidTr="002D77F2">
        <w:trPr>
          <w:trHeight w:val="293"/>
        </w:trPr>
        <w:tc>
          <w:tcPr>
            <w:tcW w:w="176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A4808E8" w14:textId="77777777" w:rsidR="00D25BFA" w:rsidRDefault="00D25BFA" w:rsidP="002D77F2">
            <w:pPr>
              <w:spacing w:after="0" w:line="360" w:lineRule="auto"/>
              <w:rPr>
                <w:rFonts w:ascii="Aptos Narrow" w:eastAsia="Aptos Narrow" w:hAnsi="Aptos Narrow" w:cs="Aptos Narrow"/>
                <w:color w:val="000000" w:themeColor="text1"/>
                <w:sz w:val="22"/>
                <w:szCs w:val="22"/>
              </w:rPr>
            </w:pPr>
            <w:proofErr w:type="spellStart"/>
            <w:r w:rsidRPr="412FB1CC">
              <w:rPr>
                <w:rFonts w:ascii="Aptos Narrow" w:eastAsia="Aptos Narrow" w:hAnsi="Aptos Narrow" w:cs="Aptos Narrow"/>
                <w:color w:val="000000" w:themeColor="text1"/>
                <w:sz w:val="22"/>
                <w:szCs w:val="22"/>
              </w:rPr>
              <w:t>Ruaha</w:t>
            </w:r>
            <w:proofErr w:type="spellEnd"/>
            <w:r w:rsidRPr="412FB1CC">
              <w:rPr>
                <w:rFonts w:ascii="Aptos Narrow" w:eastAsia="Aptos Narrow" w:hAnsi="Aptos Narrow" w:cs="Aptos Narrow"/>
                <w:color w:val="000000" w:themeColor="text1"/>
                <w:sz w:val="22"/>
                <w:szCs w:val="22"/>
              </w:rPr>
              <w:t xml:space="preserve"> National Park</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88A7FC1"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Tanzania (E. Africa)</w:t>
            </w:r>
          </w:p>
        </w:tc>
        <w:tc>
          <w:tcPr>
            <w:tcW w:w="145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453CFED"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sub-humid</w:t>
            </w:r>
          </w:p>
        </w:tc>
        <w:tc>
          <w:tcPr>
            <w:tcW w:w="169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E5C9581"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Moderate</w:t>
            </w:r>
          </w:p>
        </w:tc>
        <w:tc>
          <w:tcPr>
            <w:tcW w:w="17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0E070F9"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Seasonal</w:t>
            </w:r>
          </w:p>
        </w:tc>
      </w:tr>
      <w:tr w:rsidR="00D25BFA" w14:paraId="4A759BEC" w14:textId="77777777" w:rsidTr="002D77F2">
        <w:trPr>
          <w:trHeight w:val="293"/>
        </w:trPr>
        <w:tc>
          <w:tcPr>
            <w:tcW w:w="176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E398C88"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Amboseli National Park</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0D0EE30"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Kenya (E. Africa)</w:t>
            </w:r>
          </w:p>
        </w:tc>
        <w:tc>
          <w:tcPr>
            <w:tcW w:w="145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A4E646F"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Semi-arid</w:t>
            </w:r>
          </w:p>
        </w:tc>
        <w:tc>
          <w:tcPr>
            <w:tcW w:w="169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C6FA440"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~1,180 m</w:t>
            </w:r>
          </w:p>
        </w:tc>
        <w:tc>
          <w:tcPr>
            <w:tcW w:w="17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1FD38B6"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~350–400 mm</w:t>
            </w:r>
          </w:p>
        </w:tc>
      </w:tr>
      <w:tr w:rsidR="00D25BFA" w14:paraId="37F41950" w14:textId="77777777" w:rsidTr="002D77F2">
        <w:trPr>
          <w:trHeight w:val="293"/>
        </w:trPr>
        <w:tc>
          <w:tcPr>
            <w:tcW w:w="176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CEB859A"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Tsavo East &amp; West National Parks</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27128C2"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Kenya (E. Africa)</w:t>
            </w:r>
          </w:p>
        </w:tc>
        <w:tc>
          <w:tcPr>
            <w:tcW w:w="145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A355CB7"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Semi-arid</w:t>
            </w:r>
          </w:p>
        </w:tc>
        <w:tc>
          <w:tcPr>
            <w:tcW w:w="169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C32A1D7"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~300–1,200 m</w:t>
            </w:r>
          </w:p>
        </w:tc>
        <w:tc>
          <w:tcPr>
            <w:tcW w:w="17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D7761EA"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~300–700 mm</w:t>
            </w:r>
          </w:p>
        </w:tc>
      </w:tr>
      <w:tr w:rsidR="00D25BFA" w14:paraId="399B7241" w14:textId="77777777" w:rsidTr="002D77F2">
        <w:trPr>
          <w:trHeight w:val="293"/>
        </w:trPr>
        <w:tc>
          <w:tcPr>
            <w:tcW w:w="176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A7BDA98"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Kgalagadi Transfrontier Park</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C7DCC76"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Botswana / South Africa</w:t>
            </w:r>
          </w:p>
        </w:tc>
        <w:tc>
          <w:tcPr>
            <w:tcW w:w="145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119C381"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Semi-arid</w:t>
            </w:r>
          </w:p>
        </w:tc>
        <w:tc>
          <w:tcPr>
            <w:tcW w:w="169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46DF06C"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~900–1,200 m</w:t>
            </w:r>
          </w:p>
        </w:tc>
        <w:tc>
          <w:tcPr>
            <w:tcW w:w="17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8AD40CA"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~200–450 mm</w:t>
            </w:r>
          </w:p>
        </w:tc>
      </w:tr>
      <w:tr w:rsidR="00D25BFA" w14:paraId="0C914C0C" w14:textId="77777777" w:rsidTr="002D77F2">
        <w:trPr>
          <w:trHeight w:val="293"/>
        </w:trPr>
        <w:tc>
          <w:tcPr>
            <w:tcW w:w="176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B7AFE88"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Etosha National Park</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88375DB"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Namibia (S. Africa)</w:t>
            </w:r>
          </w:p>
        </w:tc>
        <w:tc>
          <w:tcPr>
            <w:tcW w:w="145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64D3337"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Arid</w:t>
            </w:r>
          </w:p>
        </w:tc>
        <w:tc>
          <w:tcPr>
            <w:tcW w:w="169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AB2AAF6"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~1,000–1,300 m</w:t>
            </w:r>
          </w:p>
        </w:tc>
        <w:tc>
          <w:tcPr>
            <w:tcW w:w="17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3555B02"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~350–500 mm</w:t>
            </w:r>
          </w:p>
        </w:tc>
      </w:tr>
      <w:tr w:rsidR="00D25BFA" w14:paraId="7E2D41BD" w14:textId="77777777" w:rsidTr="002D77F2">
        <w:trPr>
          <w:trHeight w:val="293"/>
        </w:trPr>
        <w:tc>
          <w:tcPr>
            <w:tcW w:w="176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D1F268D"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Namib-</w:t>
            </w:r>
            <w:proofErr w:type="spellStart"/>
            <w:r w:rsidRPr="412FB1CC">
              <w:rPr>
                <w:rFonts w:ascii="Aptos Narrow" w:eastAsia="Aptos Narrow" w:hAnsi="Aptos Narrow" w:cs="Aptos Narrow"/>
                <w:color w:val="000000" w:themeColor="text1"/>
                <w:sz w:val="22"/>
                <w:szCs w:val="22"/>
              </w:rPr>
              <w:t>Naukluft</w:t>
            </w:r>
            <w:proofErr w:type="spellEnd"/>
            <w:r w:rsidRPr="412FB1CC">
              <w:rPr>
                <w:rFonts w:ascii="Aptos Narrow" w:eastAsia="Aptos Narrow" w:hAnsi="Aptos Narrow" w:cs="Aptos Narrow"/>
                <w:color w:val="000000" w:themeColor="text1"/>
                <w:sz w:val="22"/>
                <w:szCs w:val="22"/>
              </w:rPr>
              <w:t xml:space="preserve"> National Park</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F16BFEB"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Namibia (S. Africa)</w:t>
            </w:r>
          </w:p>
        </w:tc>
        <w:tc>
          <w:tcPr>
            <w:tcW w:w="145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6CD8C43"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Arid</w:t>
            </w:r>
          </w:p>
        </w:tc>
        <w:tc>
          <w:tcPr>
            <w:tcW w:w="169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68AC3C7"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Sea level – ~2,000 m</w:t>
            </w:r>
          </w:p>
        </w:tc>
        <w:tc>
          <w:tcPr>
            <w:tcW w:w="17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485702D"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~20–100 mm</w:t>
            </w:r>
          </w:p>
        </w:tc>
      </w:tr>
    </w:tbl>
    <w:p w14:paraId="293FF63C" w14:textId="77777777" w:rsidR="00D25BFA" w:rsidRDefault="00D25BFA" w:rsidP="00D25BFA">
      <w:pPr>
        <w:autoSpaceDE w:val="0"/>
        <w:autoSpaceDN w:val="0"/>
        <w:spacing w:line="360" w:lineRule="auto"/>
        <w:rPr>
          <w:rFonts w:ascii="Aptos" w:eastAsia="Aptos" w:hAnsi="Aptos" w:cs="Aptos"/>
          <w:b/>
          <w:bCs/>
          <w:color w:val="000000" w:themeColor="text1"/>
        </w:rPr>
      </w:pPr>
    </w:p>
    <w:p w14:paraId="15D617F8" w14:textId="77777777" w:rsidR="00D25BFA" w:rsidRDefault="00D25BFA" w:rsidP="00D25BFA">
      <w:pPr>
        <w:autoSpaceDE w:val="0"/>
        <w:autoSpaceDN w:val="0"/>
        <w:spacing w:line="360" w:lineRule="auto"/>
        <w:rPr>
          <w:rFonts w:ascii="Aptos" w:eastAsia="Aptos" w:hAnsi="Aptos" w:cs="Aptos"/>
          <w:b/>
          <w:bCs/>
          <w:color w:val="000000" w:themeColor="text1"/>
        </w:rPr>
      </w:pPr>
      <w:r w:rsidRPr="412FB1CC">
        <w:rPr>
          <w:rFonts w:ascii="Aptos" w:eastAsia="Aptos" w:hAnsi="Aptos" w:cs="Aptos"/>
          <w:b/>
          <w:bCs/>
          <w:color w:val="000000" w:themeColor="text1"/>
        </w:rPr>
        <w:t>Table S3: Selected agroforestry</w:t>
      </w:r>
      <w:r>
        <w:rPr>
          <w:rFonts w:ascii="Aptos" w:eastAsia="Aptos" w:hAnsi="Aptos" w:cs="Aptos"/>
          <w:b/>
          <w:bCs/>
          <w:color w:val="000000" w:themeColor="text1"/>
        </w:rPr>
        <w:t xml:space="preserve"> </w:t>
      </w:r>
      <w:r w:rsidRPr="412FB1CC">
        <w:rPr>
          <w:rFonts w:ascii="Aptos" w:eastAsia="Aptos" w:hAnsi="Aptos" w:cs="Aptos"/>
          <w:b/>
          <w:bCs/>
          <w:color w:val="000000" w:themeColor="text1"/>
        </w:rPr>
        <w:t>landscapes for biodiversity intactness assessment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83"/>
        <w:gridCol w:w="2740"/>
        <w:gridCol w:w="1370"/>
        <w:gridCol w:w="3134"/>
      </w:tblGrid>
      <w:tr w:rsidR="00D25BFA" w14:paraId="3DA9D1F5" w14:textId="77777777" w:rsidTr="002D77F2">
        <w:trPr>
          <w:trHeight w:val="268"/>
        </w:trPr>
        <w:tc>
          <w:tcPr>
            <w:tcW w:w="1383"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vAlign w:val="bottom"/>
          </w:tcPr>
          <w:p w14:paraId="51623319"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Climate Zone</w:t>
            </w:r>
          </w:p>
        </w:tc>
        <w:tc>
          <w:tcPr>
            <w:tcW w:w="2740"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vAlign w:val="bottom"/>
          </w:tcPr>
          <w:p w14:paraId="3F4F3427"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Site (Country)</w:t>
            </w:r>
          </w:p>
        </w:tc>
        <w:tc>
          <w:tcPr>
            <w:tcW w:w="1370"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vAlign w:val="bottom"/>
          </w:tcPr>
          <w:p w14:paraId="5C908F7D"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Approx. Area of Agroforestry Zone (km</w:t>
            </w:r>
            <w:proofErr w:type="gramStart"/>
            <w:r w:rsidRPr="412FB1CC">
              <w:rPr>
                <w:rFonts w:ascii="Aptos Narrow" w:eastAsia="Aptos Narrow" w:hAnsi="Aptos Narrow" w:cs="Aptos Narrow"/>
                <w:color w:val="000000" w:themeColor="text1"/>
                <w:sz w:val="22"/>
                <w:szCs w:val="22"/>
              </w:rPr>
              <w:t>²)*</w:t>
            </w:r>
            <w:proofErr w:type="gramEnd"/>
          </w:p>
        </w:tc>
        <w:tc>
          <w:tcPr>
            <w:tcW w:w="3134"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vAlign w:val="bottom"/>
          </w:tcPr>
          <w:p w14:paraId="30DD87A7"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Dominant Agroforestry System</w:t>
            </w:r>
          </w:p>
        </w:tc>
      </w:tr>
      <w:tr w:rsidR="00D25BFA" w14:paraId="60C35542" w14:textId="77777777" w:rsidTr="002D77F2">
        <w:trPr>
          <w:trHeight w:val="268"/>
        </w:trPr>
        <w:tc>
          <w:tcPr>
            <w:tcW w:w="1383"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6E87800"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Humid</w:t>
            </w:r>
          </w:p>
        </w:tc>
        <w:tc>
          <w:tcPr>
            <w:tcW w:w="274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F50633B"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 xml:space="preserve">Dja Reserve – </w:t>
            </w:r>
            <w:proofErr w:type="spellStart"/>
            <w:r w:rsidRPr="412FB1CC">
              <w:rPr>
                <w:rFonts w:ascii="Aptos Narrow" w:eastAsia="Aptos Narrow" w:hAnsi="Aptos Narrow" w:cs="Aptos Narrow"/>
                <w:color w:val="000000" w:themeColor="text1"/>
                <w:sz w:val="22"/>
                <w:szCs w:val="22"/>
              </w:rPr>
              <w:t>Ombessa</w:t>
            </w:r>
            <w:proofErr w:type="spellEnd"/>
            <w:r w:rsidRPr="412FB1CC">
              <w:rPr>
                <w:rFonts w:ascii="Aptos Narrow" w:eastAsia="Aptos Narrow" w:hAnsi="Aptos Narrow" w:cs="Aptos Narrow"/>
                <w:color w:val="000000" w:themeColor="text1"/>
                <w:sz w:val="22"/>
                <w:szCs w:val="22"/>
              </w:rPr>
              <w:t xml:space="preserve"> / Mbam-</w:t>
            </w:r>
            <w:proofErr w:type="spellStart"/>
            <w:r w:rsidRPr="412FB1CC">
              <w:rPr>
                <w:rFonts w:ascii="Aptos Narrow" w:eastAsia="Aptos Narrow" w:hAnsi="Aptos Narrow" w:cs="Aptos Narrow"/>
                <w:color w:val="000000" w:themeColor="text1"/>
                <w:sz w:val="22"/>
                <w:szCs w:val="22"/>
              </w:rPr>
              <w:t>Inoubou</w:t>
            </w:r>
            <w:proofErr w:type="spellEnd"/>
            <w:r w:rsidRPr="412FB1CC">
              <w:rPr>
                <w:rFonts w:ascii="Aptos Narrow" w:eastAsia="Aptos Narrow" w:hAnsi="Aptos Narrow" w:cs="Aptos Narrow"/>
                <w:color w:val="000000" w:themeColor="text1"/>
                <w:sz w:val="22"/>
                <w:szCs w:val="22"/>
              </w:rPr>
              <w:t xml:space="preserve"> landscape (Cameroon)</w:t>
            </w:r>
          </w:p>
        </w:tc>
        <w:tc>
          <w:tcPr>
            <w:tcW w:w="13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9FB9000"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~1,500</w:t>
            </w:r>
          </w:p>
        </w:tc>
        <w:tc>
          <w:tcPr>
            <w:tcW w:w="313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2D00100"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Shade cocoa agroforestry, multi-strata tree–crop systems</w:t>
            </w:r>
          </w:p>
        </w:tc>
      </w:tr>
      <w:tr w:rsidR="00D25BFA" w14:paraId="7DB179CD" w14:textId="77777777" w:rsidTr="002D77F2">
        <w:trPr>
          <w:trHeight w:val="268"/>
        </w:trPr>
        <w:tc>
          <w:tcPr>
            <w:tcW w:w="1383"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0AAB345"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Humid</w:t>
            </w:r>
          </w:p>
        </w:tc>
        <w:tc>
          <w:tcPr>
            <w:tcW w:w="274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FAC464A"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Kakamega Forest fringe (Kenya)</w:t>
            </w:r>
          </w:p>
        </w:tc>
        <w:tc>
          <w:tcPr>
            <w:tcW w:w="13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F11781F"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~800</w:t>
            </w:r>
          </w:p>
        </w:tc>
        <w:tc>
          <w:tcPr>
            <w:tcW w:w="313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C3A2531"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Smallholder agroforestry: boundary trees, fruit/coffee with shade, Eucalyptus woodlots</w:t>
            </w:r>
          </w:p>
        </w:tc>
      </w:tr>
      <w:tr w:rsidR="00D25BFA" w14:paraId="3F4FD707" w14:textId="77777777" w:rsidTr="002D77F2">
        <w:trPr>
          <w:trHeight w:val="268"/>
        </w:trPr>
        <w:tc>
          <w:tcPr>
            <w:tcW w:w="1383"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C9AA5BC"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Humid</w:t>
            </w:r>
          </w:p>
        </w:tc>
        <w:tc>
          <w:tcPr>
            <w:tcW w:w="274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3D4E54D"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Cross River State – cocoa belt (Nigeria)</w:t>
            </w:r>
          </w:p>
        </w:tc>
        <w:tc>
          <w:tcPr>
            <w:tcW w:w="13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96DAA2A"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~2,000</w:t>
            </w:r>
          </w:p>
        </w:tc>
        <w:tc>
          <w:tcPr>
            <w:tcW w:w="313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F25FC61"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Shade cocoa agroforests, smallholder tree-rich farms</w:t>
            </w:r>
          </w:p>
        </w:tc>
      </w:tr>
      <w:tr w:rsidR="00D25BFA" w14:paraId="794D158D" w14:textId="77777777" w:rsidTr="002D77F2">
        <w:trPr>
          <w:trHeight w:val="268"/>
        </w:trPr>
        <w:tc>
          <w:tcPr>
            <w:tcW w:w="1383"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4F8ED73"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Sub-humid</w:t>
            </w:r>
          </w:p>
        </w:tc>
        <w:tc>
          <w:tcPr>
            <w:tcW w:w="274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CBA40AD" w14:textId="77777777" w:rsidR="00D25BFA" w:rsidRDefault="00D25BFA" w:rsidP="002D77F2">
            <w:pPr>
              <w:spacing w:after="0" w:line="360" w:lineRule="auto"/>
              <w:rPr>
                <w:rFonts w:ascii="Aptos Narrow" w:eastAsia="Aptos Narrow" w:hAnsi="Aptos Narrow" w:cs="Aptos Narrow"/>
                <w:color w:val="000000" w:themeColor="text1"/>
                <w:sz w:val="22"/>
                <w:szCs w:val="22"/>
              </w:rPr>
            </w:pPr>
            <w:proofErr w:type="spellStart"/>
            <w:r w:rsidRPr="412FB1CC">
              <w:rPr>
                <w:rFonts w:ascii="Aptos Narrow" w:eastAsia="Aptos Narrow" w:hAnsi="Aptos Narrow" w:cs="Aptos Narrow"/>
                <w:color w:val="000000" w:themeColor="text1"/>
                <w:sz w:val="22"/>
                <w:szCs w:val="22"/>
              </w:rPr>
              <w:t>Budongo</w:t>
            </w:r>
            <w:proofErr w:type="spellEnd"/>
            <w:r w:rsidRPr="412FB1CC">
              <w:rPr>
                <w:rFonts w:ascii="Aptos Narrow" w:eastAsia="Aptos Narrow" w:hAnsi="Aptos Narrow" w:cs="Aptos Narrow"/>
                <w:color w:val="000000" w:themeColor="text1"/>
                <w:sz w:val="22"/>
                <w:szCs w:val="22"/>
              </w:rPr>
              <w:t xml:space="preserve"> Forest fringe (Uganda)</w:t>
            </w:r>
          </w:p>
        </w:tc>
        <w:tc>
          <w:tcPr>
            <w:tcW w:w="13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04FF5E7"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~1,000</w:t>
            </w:r>
          </w:p>
        </w:tc>
        <w:tc>
          <w:tcPr>
            <w:tcW w:w="313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6997C93"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Farm–forest interface agroforestry: woodlots, boundary trees, perennial crops</w:t>
            </w:r>
          </w:p>
        </w:tc>
      </w:tr>
      <w:tr w:rsidR="00D25BFA" w14:paraId="56C6E2A4" w14:textId="77777777" w:rsidTr="002D77F2">
        <w:trPr>
          <w:trHeight w:val="268"/>
        </w:trPr>
        <w:tc>
          <w:tcPr>
            <w:tcW w:w="1383"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D40AFB2"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lastRenderedPageBreak/>
              <w:t>Sub-humid</w:t>
            </w:r>
          </w:p>
        </w:tc>
        <w:tc>
          <w:tcPr>
            <w:tcW w:w="274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5A101AD"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Udzungwa Mountains buffer (Tanzania)</w:t>
            </w:r>
          </w:p>
        </w:tc>
        <w:tc>
          <w:tcPr>
            <w:tcW w:w="13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CCA24AA"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~1,500</w:t>
            </w:r>
          </w:p>
        </w:tc>
        <w:tc>
          <w:tcPr>
            <w:tcW w:w="313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1ED46EE" w14:textId="77777777" w:rsidR="00D25BFA" w:rsidRDefault="00D25BFA" w:rsidP="002D77F2">
            <w:pPr>
              <w:spacing w:after="0" w:line="360" w:lineRule="auto"/>
              <w:rPr>
                <w:rFonts w:ascii="Aptos Narrow" w:eastAsia="Aptos Narrow" w:hAnsi="Aptos Narrow" w:cs="Aptos Narrow"/>
                <w:color w:val="000000" w:themeColor="text1"/>
                <w:sz w:val="22"/>
                <w:szCs w:val="22"/>
              </w:rPr>
            </w:pPr>
            <w:proofErr w:type="spellStart"/>
            <w:r w:rsidRPr="412FB1CC">
              <w:rPr>
                <w:rFonts w:ascii="Aptos Narrow" w:eastAsia="Aptos Narrow" w:hAnsi="Aptos Narrow" w:cs="Aptos Narrow"/>
                <w:color w:val="000000" w:themeColor="text1"/>
                <w:sz w:val="22"/>
                <w:szCs w:val="22"/>
              </w:rPr>
              <w:t>Multistrata</w:t>
            </w:r>
            <w:proofErr w:type="spellEnd"/>
            <w:r w:rsidRPr="412FB1CC">
              <w:rPr>
                <w:rFonts w:ascii="Aptos Narrow" w:eastAsia="Aptos Narrow" w:hAnsi="Aptos Narrow" w:cs="Aptos Narrow"/>
                <w:color w:val="000000" w:themeColor="text1"/>
                <w:sz w:val="22"/>
                <w:szCs w:val="22"/>
              </w:rPr>
              <w:t xml:space="preserve"> agroforests, tree–crop mosaics, woodlots</w:t>
            </w:r>
          </w:p>
        </w:tc>
      </w:tr>
      <w:tr w:rsidR="00D25BFA" w14:paraId="6F5432D7" w14:textId="77777777" w:rsidTr="002D77F2">
        <w:trPr>
          <w:trHeight w:val="268"/>
        </w:trPr>
        <w:tc>
          <w:tcPr>
            <w:tcW w:w="1383"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6F180AD"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Sub-humid</w:t>
            </w:r>
          </w:p>
        </w:tc>
        <w:tc>
          <w:tcPr>
            <w:tcW w:w="274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9E2312F" w14:textId="77777777" w:rsidR="00D25BFA" w:rsidRDefault="00D25BFA" w:rsidP="002D77F2">
            <w:pPr>
              <w:spacing w:after="0" w:line="360" w:lineRule="auto"/>
              <w:rPr>
                <w:rFonts w:ascii="Aptos Narrow" w:eastAsia="Aptos Narrow" w:hAnsi="Aptos Narrow" w:cs="Aptos Narrow"/>
                <w:color w:val="000000" w:themeColor="text1"/>
                <w:sz w:val="22"/>
                <w:szCs w:val="22"/>
              </w:rPr>
            </w:pPr>
            <w:proofErr w:type="spellStart"/>
            <w:r w:rsidRPr="412FB1CC">
              <w:rPr>
                <w:rFonts w:ascii="Aptos Narrow" w:eastAsia="Aptos Narrow" w:hAnsi="Aptos Narrow" w:cs="Aptos Narrow"/>
                <w:color w:val="000000" w:themeColor="text1"/>
                <w:sz w:val="22"/>
                <w:szCs w:val="22"/>
              </w:rPr>
              <w:t>Atewa</w:t>
            </w:r>
            <w:proofErr w:type="spellEnd"/>
            <w:r w:rsidRPr="412FB1CC">
              <w:rPr>
                <w:rFonts w:ascii="Aptos Narrow" w:eastAsia="Aptos Narrow" w:hAnsi="Aptos Narrow" w:cs="Aptos Narrow"/>
                <w:color w:val="000000" w:themeColor="text1"/>
                <w:sz w:val="22"/>
                <w:szCs w:val="22"/>
              </w:rPr>
              <w:t xml:space="preserve"> Range / Cocoa Belt (Ghana)</w:t>
            </w:r>
          </w:p>
        </w:tc>
        <w:tc>
          <w:tcPr>
            <w:tcW w:w="13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585A4BB"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~3,000</w:t>
            </w:r>
          </w:p>
        </w:tc>
        <w:tc>
          <w:tcPr>
            <w:tcW w:w="313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30D4671" w14:textId="77777777" w:rsidR="00D25BFA" w:rsidRDefault="00D25BFA" w:rsidP="002D77F2">
            <w:pPr>
              <w:spacing w:after="0" w:line="360" w:lineRule="auto"/>
              <w:rPr>
                <w:rFonts w:ascii="Aptos Narrow" w:eastAsia="Aptos Narrow" w:hAnsi="Aptos Narrow" w:cs="Aptos Narrow"/>
                <w:color w:val="000000" w:themeColor="text1"/>
                <w:sz w:val="22"/>
                <w:szCs w:val="22"/>
              </w:rPr>
            </w:pPr>
            <w:r w:rsidRPr="412FB1CC">
              <w:rPr>
                <w:rFonts w:ascii="Aptos Narrow" w:eastAsia="Aptos Narrow" w:hAnsi="Aptos Narrow" w:cs="Aptos Narrow"/>
                <w:color w:val="000000" w:themeColor="text1"/>
                <w:sz w:val="22"/>
                <w:szCs w:val="22"/>
              </w:rPr>
              <w:t>Shade cocoa, fallow agroforests, planted shade trees</w:t>
            </w:r>
          </w:p>
        </w:tc>
      </w:tr>
    </w:tbl>
    <w:p w14:paraId="0C2F617D" w14:textId="77777777" w:rsidR="00D25BFA" w:rsidRPr="004714D5" w:rsidRDefault="00D25BFA" w:rsidP="00D25BFA">
      <w:pPr>
        <w:autoSpaceDE w:val="0"/>
        <w:autoSpaceDN w:val="0"/>
        <w:spacing w:line="360" w:lineRule="auto"/>
        <w:ind w:left="640"/>
        <w:rPr>
          <w:rFonts w:ascii="Times New Roman" w:eastAsia="Times New Roman" w:hAnsi="Times New Roman" w:cs="Times New Roman"/>
          <w:b/>
          <w:bCs/>
          <w:color w:val="000000"/>
        </w:rPr>
      </w:pPr>
    </w:p>
    <w:p w14:paraId="444A23ED" w14:textId="77777777" w:rsidR="00A25563" w:rsidRDefault="00A25563"/>
    <w:sectPr w:rsidR="00A25563" w:rsidSect="00D25BFA">
      <w:footerReference w:type="default" r:id="rId7"/>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97279"/>
      <w:docPartObj>
        <w:docPartGallery w:val="Page Numbers (Bottom of Page)"/>
        <w:docPartUnique/>
      </w:docPartObj>
    </w:sdtPr>
    <w:sdtEndPr>
      <w:rPr>
        <w:noProof/>
      </w:rPr>
    </w:sdtEndPr>
    <w:sdtContent>
      <w:p w14:paraId="0DFD30BC" w14:textId="77777777" w:rsidR="00D25BFA" w:rsidRDefault="00D25B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436055" w14:textId="77777777" w:rsidR="00D25BFA" w:rsidRDefault="00D25BF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FA"/>
    <w:rsid w:val="000109D4"/>
    <w:rsid w:val="000E35D7"/>
    <w:rsid w:val="003963A6"/>
    <w:rsid w:val="008509FC"/>
    <w:rsid w:val="00A20404"/>
    <w:rsid w:val="00A25563"/>
    <w:rsid w:val="00A8451A"/>
    <w:rsid w:val="00BB229D"/>
    <w:rsid w:val="00D25BFA"/>
    <w:rsid w:val="00DB403D"/>
    <w:rsid w:val="00DD461B"/>
    <w:rsid w:val="00F02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90DD"/>
  <w15:chartTrackingRefBased/>
  <w15:docId w15:val="{31CFA772-4F73-485C-9E82-B1AC38B0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FA"/>
  </w:style>
  <w:style w:type="paragraph" w:styleId="Heading1">
    <w:name w:val="heading 1"/>
    <w:basedOn w:val="Normal"/>
    <w:next w:val="Normal"/>
    <w:link w:val="Heading1Char"/>
    <w:uiPriority w:val="9"/>
    <w:qFormat/>
    <w:rsid w:val="00D25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BFA"/>
    <w:rPr>
      <w:rFonts w:eastAsiaTheme="majorEastAsia" w:cstheme="majorBidi"/>
      <w:color w:val="272727" w:themeColor="text1" w:themeTint="D8"/>
    </w:rPr>
  </w:style>
  <w:style w:type="paragraph" w:styleId="Title">
    <w:name w:val="Title"/>
    <w:basedOn w:val="Normal"/>
    <w:next w:val="Normal"/>
    <w:link w:val="TitleChar"/>
    <w:uiPriority w:val="10"/>
    <w:qFormat/>
    <w:rsid w:val="00D25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BFA"/>
    <w:pPr>
      <w:spacing w:before="160"/>
      <w:jc w:val="center"/>
    </w:pPr>
    <w:rPr>
      <w:i/>
      <w:iCs/>
      <w:color w:val="404040" w:themeColor="text1" w:themeTint="BF"/>
    </w:rPr>
  </w:style>
  <w:style w:type="character" w:customStyle="1" w:styleId="QuoteChar">
    <w:name w:val="Quote Char"/>
    <w:basedOn w:val="DefaultParagraphFont"/>
    <w:link w:val="Quote"/>
    <w:uiPriority w:val="29"/>
    <w:rsid w:val="00D25BFA"/>
    <w:rPr>
      <w:i/>
      <w:iCs/>
      <w:color w:val="404040" w:themeColor="text1" w:themeTint="BF"/>
    </w:rPr>
  </w:style>
  <w:style w:type="paragraph" w:styleId="ListParagraph">
    <w:name w:val="List Paragraph"/>
    <w:basedOn w:val="Normal"/>
    <w:uiPriority w:val="34"/>
    <w:qFormat/>
    <w:rsid w:val="00D25BFA"/>
    <w:pPr>
      <w:ind w:left="720"/>
      <w:contextualSpacing/>
    </w:pPr>
  </w:style>
  <w:style w:type="character" w:styleId="IntenseEmphasis">
    <w:name w:val="Intense Emphasis"/>
    <w:basedOn w:val="DefaultParagraphFont"/>
    <w:uiPriority w:val="21"/>
    <w:qFormat/>
    <w:rsid w:val="00D25BFA"/>
    <w:rPr>
      <w:i/>
      <w:iCs/>
      <w:color w:val="0F4761" w:themeColor="accent1" w:themeShade="BF"/>
    </w:rPr>
  </w:style>
  <w:style w:type="paragraph" w:styleId="IntenseQuote">
    <w:name w:val="Intense Quote"/>
    <w:basedOn w:val="Normal"/>
    <w:next w:val="Normal"/>
    <w:link w:val="IntenseQuoteChar"/>
    <w:uiPriority w:val="30"/>
    <w:qFormat/>
    <w:rsid w:val="00D25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BFA"/>
    <w:rPr>
      <w:i/>
      <w:iCs/>
      <w:color w:val="0F4761" w:themeColor="accent1" w:themeShade="BF"/>
    </w:rPr>
  </w:style>
  <w:style w:type="character" w:styleId="IntenseReference">
    <w:name w:val="Intense Reference"/>
    <w:basedOn w:val="DefaultParagraphFont"/>
    <w:uiPriority w:val="32"/>
    <w:qFormat/>
    <w:rsid w:val="00D25BFA"/>
    <w:rPr>
      <w:b/>
      <w:bCs/>
      <w:smallCaps/>
      <w:color w:val="0F4761" w:themeColor="accent1" w:themeShade="BF"/>
      <w:spacing w:val="5"/>
    </w:rPr>
  </w:style>
  <w:style w:type="paragraph" w:styleId="Footer">
    <w:name w:val="footer"/>
    <w:basedOn w:val="Normal"/>
    <w:link w:val="FooterChar"/>
    <w:uiPriority w:val="99"/>
    <w:unhideWhenUsed/>
    <w:rsid w:val="00D25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989</Words>
  <Characters>5641</Characters>
  <Application>Microsoft Office Word</Application>
  <DocSecurity>0</DocSecurity>
  <Lines>47</Lines>
  <Paragraphs>13</Paragraphs>
  <ScaleCrop>false</ScaleCrop>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Landmann, Tobias</dc:creator>
  <cp:keywords/>
  <dc:description/>
  <cp:lastModifiedBy>Landmann, Tobias</cp:lastModifiedBy>
  <cp:revision>1</cp:revision>
  <dcterms:created xsi:type="dcterms:W3CDTF">2025-09-30T16:55:00Z</dcterms:created>
  <dcterms:modified xsi:type="dcterms:W3CDTF">2025-09-30T16:57:00Z</dcterms:modified>
</cp:coreProperties>
</file>