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50DFD" w14:textId="77777777" w:rsidR="00AA0C3F" w:rsidRPr="00AA0C3F" w:rsidRDefault="00AA0C3F" w:rsidP="00AA0C3F">
      <w:pPr>
        <w:spacing w:line="360" w:lineRule="auto"/>
        <w:jc w:val="center"/>
        <w:rPr>
          <w:b/>
          <w:bCs/>
          <w:sz w:val="24"/>
          <w:szCs w:val="28"/>
        </w:rPr>
      </w:pPr>
      <w:r w:rsidRPr="00AA0C3F">
        <w:rPr>
          <w:b/>
          <w:bCs/>
          <w:sz w:val="24"/>
          <w:szCs w:val="28"/>
        </w:rPr>
        <w:t>Supplement</w:t>
      </w:r>
    </w:p>
    <w:p w14:paraId="14C6939B" w14:textId="77777777" w:rsidR="00AA0C3F" w:rsidRPr="00AA0C3F" w:rsidRDefault="00AA0C3F" w:rsidP="00AA0C3F">
      <w:pPr>
        <w:spacing w:line="360" w:lineRule="auto"/>
        <w:rPr>
          <w:sz w:val="24"/>
          <w:szCs w:val="28"/>
        </w:rPr>
      </w:pPr>
      <w:r w:rsidRPr="00AA0C3F">
        <w:rPr>
          <w:sz w:val="24"/>
          <w:szCs w:val="28"/>
        </w:rPr>
        <w:t>Details of extracted features</w:t>
      </w:r>
    </w:p>
    <w:p w14:paraId="21195BFB" w14:textId="5676C4E0" w:rsidR="00AA0C3F" w:rsidRPr="00AA0C3F" w:rsidRDefault="00AA0C3F" w:rsidP="00AA0C3F">
      <w:pPr>
        <w:spacing w:line="360" w:lineRule="auto"/>
        <w:ind w:firstLine="420"/>
        <w:rPr>
          <w:sz w:val="24"/>
          <w:szCs w:val="28"/>
        </w:rPr>
      </w:pPr>
      <w:r w:rsidRPr="00AA0C3F">
        <w:rPr>
          <w:sz w:val="24"/>
          <w:szCs w:val="28"/>
        </w:rPr>
        <w:t>The first-order intensity features were calculated according to the intensity distribution of each ROIs, including variance, skewness and kurtosis. Texture features measured tissue heterogeneity by quantitatively describing the spatial distribution of intensities within the ROI. Nine texture features from the Gray-Level Co-occurrence Matrix (GLCM), thirteen texture features from the Gray-Level Run-Length Matrix (GLRLM), thirteen texture features from the Gray-Level Size ZoneMatrix (GLSZM), and five texture features from the Neighborhood Gray-Tone DifferenceMatrix (NGTDM). All texture features were calculated using 3D analysis (26 neighborhoods). For each texture matrix, only one comprehensive texture matrix was calculated by simultaneously considering the ad</w:t>
      </w:r>
      <w:r w:rsidRPr="00AA0C3F">
        <w:rPr>
          <w:rFonts w:hint="eastAsia"/>
          <w:sz w:val="24"/>
          <w:szCs w:val="28"/>
        </w:rPr>
        <w:t xml:space="preserve">jacent attributes of voxels in 13 directions of 3D space. At the same time, considering discretization length differences, the 6 voxels at a distance of 1 voxel, the 12 voxels at a distance of </w:t>
      </w:r>
      <w:r w:rsidRPr="00AA0C3F">
        <w:rPr>
          <w:rFonts w:hint="eastAsia"/>
          <w:sz w:val="24"/>
          <w:szCs w:val="28"/>
        </w:rPr>
        <w:t>√</w:t>
      </w:r>
      <w:r w:rsidRPr="00AA0C3F">
        <w:rPr>
          <w:rFonts w:hint="eastAsia"/>
          <w:sz w:val="24"/>
          <w:szCs w:val="28"/>
        </w:rPr>
        <w:t xml:space="preserve">2  voxels, and the 8 voxels at a distance of </w:t>
      </w:r>
      <w:r w:rsidRPr="00AA0C3F">
        <w:rPr>
          <w:rFonts w:hint="eastAsia"/>
          <w:sz w:val="24"/>
          <w:szCs w:val="28"/>
        </w:rPr>
        <w:t>√</w:t>
      </w:r>
      <w:r w:rsidRPr="00AA0C3F">
        <w:rPr>
          <w:rFonts w:hint="eastAsia"/>
          <w:sz w:val="24"/>
          <w:szCs w:val="28"/>
        </w:rPr>
        <w:t xml:space="preserve">3 voxels around </w:t>
      </w:r>
      <w:r w:rsidRPr="00AA0C3F">
        <w:rPr>
          <w:sz w:val="24"/>
          <w:szCs w:val="28"/>
        </w:rPr>
        <w:t>center voxels were treated differently in the calculation of the matrices.</w:t>
      </w:r>
    </w:p>
    <w:p w14:paraId="73C0957E" w14:textId="66955B43" w:rsidR="00492B70" w:rsidRPr="00AA0C3F" w:rsidRDefault="00AA0C3F" w:rsidP="00AA0C3F">
      <w:pPr>
        <w:spacing w:line="360" w:lineRule="auto"/>
        <w:rPr>
          <w:sz w:val="24"/>
          <w:szCs w:val="28"/>
        </w:rPr>
      </w:pPr>
      <w:r w:rsidRPr="00AA0C3F">
        <w:rPr>
          <w:sz w:val="24"/>
          <w:szCs w:val="28"/>
        </w:rPr>
        <w:t>The calculation of the texture matrices were dependent on the quantization range of the gray level since they quantify the relationship between levels of gray. A reasonable gray level quantization level could shorten the calculation time of the feature matrix and improve the signal-to-noise ratio of the texture outcome. According to the previous texture analysis research, we selected the number of gray levels (ie. dynamic range) to be 32 and 64. Wavelet band-pass filtering could highlight detailed information in images at different spatial frequencies. When we performed wavelet band-pass filtering, we first performed wavelet decomposition on the images in ROI into eight directions (LLL, LLH, LHL, LHH, HLL, HLH, HHL and HHH), and then defined a coefficient R, indicating the ratio of the weight applied to band-pass sub-bands (LHL, LHH, LLH, HLL, HHL and HLH) compared to the weight applied to low- and high-frequency sub-bands (LLL and HHH). By adjusting R, and then performing the inverse wavelet transform, the transformed ROI image could be obtained, which emphasized the detailed information at different spatial frequencies. According to previous research, we extracted wavelet features at 5 spatial frequencies, the values of R were 1/2, 2/3, 1 (without wavelet filtering), 3/2 and 2, respectively. After selecting the quantization range of gray level and wavelet band-pass filter weight (R), we extracted the same number of first-order intensity features and texture features for the processed image.</w:t>
      </w:r>
    </w:p>
    <w:sectPr w:rsidR="00492B70" w:rsidRPr="00AA0C3F" w:rsidSect="00CB5525">
      <w:pgSz w:w="11906" w:h="16838" w:code="9"/>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841F1" w14:textId="77777777" w:rsidR="002C337C" w:rsidRDefault="002C337C" w:rsidP="00AA0C3F">
      <w:r>
        <w:separator/>
      </w:r>
    </w:p>
  </w:endnote>
  <w:endnote w:type="continuationSeparator" w:id="0">
    <w:p w14:paraId="471972F6" w14:textId="77777777" w:rsidR="002C337C" w:rsidRDefault="002C337C" w:rsidP="00AA0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96DC3" w14:textId="77777777" w:rsidR="002C337C" w:rsidRDefault="002C337C" w:rsidP="00AA0C3F">
      <w:r>
        <w:separator/>
      </w:r>
    </w:p>
  </w:footnote>
  <w:footnote w:type="continuationSeparator" w:id="0">
    <w:p w14:paraId="52118678" w14:textId="77777777" w:rsidR="002C337C" w:rsidRDefault="002C337C" w:rsidP="00AA0C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EJNMMI&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3368D2"/>
    <w:rsid w:val="002C337C"/>
    <w:rsid w:val="002D5FED"/>
    <w:rsid w:val="003368D2"/>
    <w:rsid w:val="004843BC"/>
    <w:rsid w:val="00492B70"/>
    <w:rsid w:val="00590A3B"/>
    <w:rsid w:val="00683A31"/>
    <w:rsid w:val="00AA0C3F"/>
    <w:rsid w:val="00CB5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00F384"/>
  <w15:chartTrackingRefBased/>
  <w15:docId w15:val="{5F8D49FD-2912-45A6-AA4B-E346342FD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83A31"/>
    <w:pPr>
      <w:keepNext/>
      <w:keepLines/>
      <w:spacing w:before="240" w:after="120" w:line="360"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3A31"/>
    <w:rPr>
      <w:b/>
      <w:bCs/>
      <w:kern w:val="44"/>
      <w:sz w:val="44"/>
      <w:szCs w:val="44"/>
    </w:rPr>
  </w:style>
  <w:style w:type="table" w:customStyle="1" w:styleId="a3">
    <w:name w:val="三线表"/>
    <w:basedOn w:val="a1"/>
    <w:uiPriority w:val="99"/>
    <w:rsid w:val="002D5FED"/>
    <w:tblPr>
      <w:tblBorders>
        <w:top w:val="single" w:sz="12" w:space="0" w:color="auto"/>
        <w:bottom w:val="single" w:sz="12" w:space="0" w:color="auto"/>
      </w:tblBorders>
    </w:tblPr>
    <w:tblStylePr w:type="firstRow">
      <w:tblPr/>
      <w:tcPr>
        <w:tcBorders>
          <w:bottom w:val="single" w:sz="4" w:space="0" w:color="auto"/>
        </w:tcBorders>
      </w:tcPr>
    </w:tblStylePr>
  </w:style>
  <w:style w:type="paragraph" w:styleId="a4">
    <w:name w:val="header"/>
    <w:basedOn w:val="a"/>
    <w:link w:val="a5"/>
    <w:uiPriority w:val="99"/>
    <w:unhideWhenUsed/>
    <w:rsid w:val="00AA0C3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A0C3F"/>
    <w:rPr>
      <w:sz w:val="18"/>
      <w:szCs w:val="18"/>
    </w:rPr>
  </w:style>
  <w:style w:type="paragraph" w:styleId="a6">
    <w:name w:val="footer"/>
    <w:basedOn w:val="a"/>
    <w:link w:val="a7"/>
    <w:uiPriority w:val="99"/>
    <w:unhideWhenUsed/>
    <w:rsid w:val="00AA0C3F"/>
    <w:pPr>
      <w:tabs>
        <w:tab w:val="center" w:pos="4153"/>
        <w:tab w:val="right" w:pos="8306"/>
      </w:tabs>
      <w:snapToGrid w:val="0"/>
      <w:jc w:val="left"/>
    </w:pPr>
    <w:rPr>
      <w:sz w:val="18"/>
      <w:szCs w:val="18"/>
    </w:rPr>
  </w:style>
  <w:style w:type="character" w:customStyle="1" w:styleId="a7">
    <w:name w:val="页脚 字符"/>
    <w:basedOn w:val="a0"/>
    <w:link w:val="a6"/>
    <w:uiPriority w:val="99"/>
    <w:rsid w:val="00AA0C3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396</Words>
  <Characters>2262</Characters>
  <Application>Microsoft Office Word</Application>
  <DocSecurity>0</DocSecurity>
  <Lines>18</Lines>
  <Paragraphs>5</Paragraphs>
  <ScaleCrop>false</ScaleCrop>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敏</dc:creator>
  <cp:keywords/>
  <dc:description/>
  <cp:lastModifiedBy>敏</cp:lastModifiedBy>
  <cp:revision>2</cp:revision>
  <dcterms:created xsi:type="dcterms:W3CDTF">2021-08-01T09:41:00Z</dcterms:created>
  <dcterms:modified xsi:type="dcterms:W3CDTF">2021-08-01T09:43:00Z</dcterms:modified>
</cp:coreProperties>
</file>