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A1E" w:rsidRDefault="00F75A1E" w:rsidP="00F75A1E">
      <w:pPr>
        <w:rPr>
          <w:b/>
          <w:sz w:val="32"/>
          <w:szCs w:val="32"/>
        </w:rPr>
      </w:pPr>
      <w:r w:rsidRPr="0063409A">
        <w:rPr>
          <w:b/>
          <w:sz w:val="32"/>
          <w:szCs w:val="32"/>
        </w:rPr>
        <w:t>Supplementary</w:t>
      </w:r>
      <w:r w:rsidRPr="0063409A">
        <w:rPr>
          <w:b/>
          <w:spacing w:val="-42"/>
          <w:sz w:val="32"/>
          <w:szCs w:val="32"/>
        </w:rPr>
        <w:t xml:space="preserve"> </w:t>
      </w:r>
      <w:r w:rsidRPr="0063409A">
        <w:rPr>
          <w:b/>
          <w:sz w:val="32"/>
          <w:szCs w:val="32"/>
        </w:rPr>
        <w:t>Materials</w:t>
      </w:r>
    </w:p>
    <w:p w:rsidR="00F75A1E" w:rsidRDefault="00F75A1E" w:rsidP="00F75A1E">
      <w:pPr>
        <w:rPr>
          <w:rFonts w:eastAsia="Times New Roman" w:cs="Times New Roman"/>
          <w:color w:val="000000"/>
        </w:rPr>
      </w:pPr>
    </w:p>
    <w:p w:rsidR="00F75A1E" w:rsidRDefault="00F75A1E" w:rsidP="00F75A1E">
      <w:pPr>
        <w:spacing w:line="480" w:lineRule="auto"/>
        <w:rPr>
          <w:rFonts w:eastAsia="Times New Roman" w:cs="Times New Roman"/>
          <w:color w:val="000000"/>
        </w:rPr>
      </w:pPr>
      <w:r>
        <w:rPr>
          <w:noProof/>
          <w:lang w:val="en-US"/>
        </w:rPr>
        <w:drawing>
          <wp:inline distT="0" distB="0" distL="0" distR="0" wp14:anchorId="530B5B47" wp14:editId="75B986EF">
            <wp:extent cx="4572000" cy="2743200"/>
            <wp:effectExtent l="0" t="0" r="0" b="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F75A1E" w:rsidRDefault="00F75A1E" w:rsidP="00F75A1E">
      <w:pPr>
        <w:spacing w:line="480" w:lineRule="auto"/>
        <w:rPr>
          <w:rFonts w:eastAsia="Times New Roman" w:cs="Times New Roman"/>
          <w:color w:val="000000"/>
        </w:rPr>
      </w:pPr>
      <w:r w:rsidRPr="0063409A">
        <w:rPr>
          <w:b/>
        </w:rPr>
        <w:t>Fig S1</w:t>
      </w:r>
      <w:r>
        <w:t xml:space="preserve">: </w:t>
      </w:r>
      <w:r w:rsidRPr="00F4034F">
        <w:t xml:space="preserve">Standard Calibration Curve of </w:t>
      </w:r>
      <w:r>
        <w:t>DOX</w:t>
      </w:r>
      <w:r w:rsidRPr="00F4034F">
        <w:t xml:space="preserve"> for free </w:t>
      </w:r>
      <w:r>
        <w:t xml:space="preserve">DOX </w:t>
      </w:r>
      <w:r w:rsidRPr="00F4034F">
        <w:t>concentration (0</w:t>
      </w:r>
      <w:r>
        <w:t xml:space="preserve"> </w:t>
      </w:r>
      <w:r>
        <w:rPr>
          <w:rFonts w:ascii="Trebuchet MS" w:hAnsi="Trebuchet MS"/>
        </w:rPr>
        <w:t>µ</w:t>
      </w:r>
      <w:r>
        <w:t>M–</w:t>
      </w:r>
      <w:r w:rsidRPr="00F4034F">
        <w:t>5</w:t>
      </w:r>
      <w:r>
        <w:t xml:space="preserve">0 </w:t>
      </w:r>
      <w:r>
        <w:rPr>
          <w:rFonts w:ascii="Trebuchet MS" w:hAnsi="Trebuchet MS"/>
        </w:rPr>
        <w:t>µ</w:t>
      </w:r>
      <w:r>
        <w:t xml:space="preserve">M) using by </w:t>
      </w:r>
      <w:r w:rsidRPr="00CE5F53">
        <w:t xml:space="preserve">using </w:t>
      </w:r>
      <w:r>
        <w:t xml:space="preserve">a </w:t>
      </w:r>
      <w:r>
        <w:rPr>
          <w:noProof/>
        </w:rPr>
        <w:t>f</w:t>
      </w:r>
      <w:r w:rsidRPr="00983EAE">
        <w:rPr>
          <w:noProof/>
        </w:rPr>
        <w:t>l</w:t>
      </w:r>
      <w:r>
        <w:rPr>
          <w:noProof/>
        </w:rPr>
        <w:t>uo</w:t>
      </w:r>
      <w:r w:rsidRPr="00983EAE">
        <w:rPr>
          <w:noProof/>
        </w:rPr>
        <w:t>rescence</w:t>
      </w:r>
      <w:r>
        <w:t xml:space="preserve"> spectrophotometer (Glomax Explorer GM3500, Promega Corporation Australia) at 475 </w:t>
      </w:r>
      <w:r w:rsidRPr="004334F4">
        <w:t xml:space="preserve">nm </w:t>
      </w:r>
      <w:r>
        <w:t xml:space="preserve">(excitation wavelength) and 550 nm (emission wavelength).  </w:t>
      </w:r>
    </w:p>
    <w:p w:rsidR="00F75A1E" w:rsidRDefault="00F75A1E" w:rsidP="00F75A1E">
      <w:pPr>
        <w:spacing w:line="480" w:lineRule="auto"/>
        <w:rPr>
          <w:rFonts w:eastAsia="Times New Roman" w:cs="Times New Roman"/>
          <w:color w:val="000000"/>
        </w:rPr>
      </w:pPr>
    </w:p>
    <w:p w:rsidR="00F75A1E" w:rsidRDefault="00F75A1E" w:rsidP="00F75A1E">
      <w:pPr>
        <w:spacing w:line="480" w:lineRule="auto"/>
        <w:rPr>
          <w:rFonts w:cs="Times New Roman"/>
        </w:rPr>
      </w:pPr>
      <w:r>
        <w:rPr>
          <w:noProof/>
          <w:lang w:val="en-US"/>
        </w:rPr>
        <w:drawing>
          <wp:inline distT="0" distB="0" distL="0" distR="0" wp14:anchorId="697A7E5A" wp14:editId="1B4E2288">
            <wp:extent cx="4554415" cy="2711798"/>
            <wp:effectExtent l="0" t="0" r="17780" b="1270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75A1E" w:rsidRPr="0063409A" w:rsidRDefault="00F75A1E" w:rsidP="00F75A1E">
      <w:pPr>
        <w:spacing w:line="480" w:lineRule="auto"/>
        <w:rPr>
          <w:rFonts w:cs="Times New Roman"/>
        </w:rPr>
      </w:pPr>
      <w:r w:rsidRPr="0063409A">
        <w:rPr>
          <w:b/>
        </w:rPr>
        <w:lastRenderedPageBreak/>
        <w:t>Fig S</w:t>
      </w:r>
      <w:r>
        <w:rPr>
          <w:b/>
        </w:rPr>
        <w:t>2</w:t>
      </w:r>
      <w:r w:rsidRPr="0063409A">
        <w:rPr>
          <w:b/>
        </w:rPr>
        <w:t>:</w:t>
      </w:r>
      <w:r>
        <w:t xml:space="preserve">  </w:t>
      </w:r>
      <w:r w:rsidRPr="00F4034F">
        <w:t xml:space="preserve">Standard Calibration Curve of </w:t>
      </w:r>
      <w:r>
        <w:t>DOX</w:t>
      </w:r>
      <w:r w:rsidRPr="00F4034F">
        <w:t xml:space="preserve"> for free </w:t>
      </w:r>
      <w:r>
        <w:t xml:space="preserve">DOX </w:t>
      </w:r>
      <w:r w:rsidRPr="00F4034F">
        <w:t>concentration (0</w:t>
      </w:r>
      <w:r>
        <w:t xml:space="preserve"> </w:t>
      </w:r>
      <w:r>
        <w:rPr>
          <w:rFonts w:ascii="Trebuchet MS" w:hAnsi="Trebuchet MS"/>
        </w:rPr>
        <w:t>µ</w:t>
      </w:r>
      <w:r>
        <w:t>g–</w:t>
      </w:r>
      <w:r w:rsidRPr="00F4034F">
        <w:t>5</w:t>
      </w:r>
      <w:r>
        <w:t xml:space="preserve">.8 </w:t>
      </w:r>
      <w:r>
        <w:rPr>
          <w:rFonts w:ascii="Trebuchet MS" w:hAnsi="Trebuchet MS"/>
        </w:rPr>
        <w:t>µ</w:t>
      </w:r>
      <w:r>
        <w:t xml:space="preserve">g) using fluorescence spectrophotometer (PerkinElmer, USA. 2030 manager software attached with a 2030 multilabel reader victor X5). </w:t>
      </w:r>
      <w:r>
        <w:rPr>
          <w:rFonts w:cs="Times New Roman"/>
          <w:szCs w:val="24"/>
        </w:rPr>
        <w:t>A</w:t>
      </w:r>
      <w:r w:rsidRPr="007B1017">
        <w:rPr>
          <w:rFonts w:cs="Times New Roman"/>
          <w:szCs w:val="24"/>
        </w:rPr>
        <w:t xml:space="preserve">bsorbance was </w:t>
      </w:r>
      <w:r>
        <w:rPr>
          <w:rFonts w:cs="Times New Roman"/>
          <w:szCs w:val="24"/>
        </w:rPr>
        <w:t>recorded</w:t>
      </w:r>
      <w:r w:rsidRPr="007B1017">
        <w:rPr>
          <w:rFonts w:cs="Times New Roman"/>
          <w:szCs w:val="24"/>
        </w:rPr>
        <w:t xml:space="preserve"> at 475 nm</w:t>
      </w:r>
      <w:r>
        <w:rPr>
          <w:rFonts w:cs="Times New Roman"/>
          <w:szCs w:val="24"/>
        </w:rPr>
        <w:t xml:space="preserve"> (excitation wavelength) and 535</w:t>
      </w:r>
      <w:r w:rsidRPr="007B1017">
        <w:rPr>
          <w:rFonts w:cs="Times New Roman"/>
          <w:szCs w:val="24"/>
        </w:rPr>
        <w:t xml:space="preserve"> nm (emission wavelength)</w:t>
      </w:r>
      <w:r>
        <w:rPr>
          <w:rFonts w:cs="Times New Roman"/>
          <w:szCs w:val="24"/>
        </w:rPr>
        <w:t>.</w:t>
      </w:r>
    </w:p>
    <w:p w:rsidR="00F75A1E" w:rsidRDefault="00F75A1E" w:rsidP="00F75A1E">
      <w:r w:rsidRPr="0063409A">
        <w:rPr>
          <w:noProof/>
          <w:lang w:val="en-US"/>
        </w:rPr>
        <w:drawing>
          <wp:inline distT="0" distB="0" distL="0" distR="0" wp14:anchorId="1F8F7B19" wp14:editId="5E7230B1">
            <wp:extent cx="5943600" cy="3638550"/>
            <wp:effectExtent l="0" t="0" r="0" b="0"/>
            <wp:docPr id="12" name="Picture 12" descr="E:\Farah Study Material\Monash PhD\Manuscript 4\animal bearing tumor iv pi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Farah Study Material\Monash PhD\Manuscript 4\animal bearing tumor iv pic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A1E" w:rsidRDefault="00F75A1E" w:rsidP="00F75A1E">
      <w:r w:rsidRPr="0063409A">
        <w:rPr>
          <w:b/>
        </w:rPr>
        <w:t>Fig S</w:t>
      </w:r>
      <w:r>
        <w:rPr>
          <w:b/>
        </w:rPr>
        <w:t>3</w:t>
      </w:r>
      <w:r w:rsidRPr="0063409A">
        <w:rPr>
          <w:b/>
        </w:rPr>
        <w:t>:</w:t>
      </w:r>
      <w:r>
        <w:t xml:space="preserve">  Visu</w:t>
      </w:r>
      <w:r w:rsidRPr="006F5DD1">
        <w:t>al images</w:t>
      </w:r>
      <w:r>
        <w:t xml:space="preserve"> of </w:t>
      </w:r>
      <w:r w:rsidRPr="006F5DD1">
        <w:t>tumour-bearing mice</w:t>
      </w:r>
      <w:r>
        <w:t xml:space="preserve"> </w:t>
      </w:r>
      <w:r w:rsidRPr="006F5DD1">
        <w:t xml:space="preserve">images illustrating the different </w:t>
      </w:r>
      <w:r>
        <w:t xml:space="preserve">anti-tumour effects between the </w:t>
      </w:r>
      <w:r w:rsidRPr="006F5DD1">
        <w:t>group</w:t>
      </w:r>
      <w:r>
        <w:t>s I/V t</w:t>
      </w:r>
      <w:r w:rsidRPr="006F5DD1">
        <w:t xml:space="preserve">reated with DOX-NaCNs </w:t>
      </w:r>
      <w:r>
        <w:t xml:space="preserve">when </w:t>
      </w:r>
      <w:r w:rsidRPr="006F5DD1">
        <w:t>compared with the free DOX, NaCNs</w:t>
      </w:r>
      <w:r>
        <w:t xml:space="preserve"> and</w:t>
      </w:r>
      <w:r w:rsidRPr="006F5DD1">
        <w:t xml:space="preserve"> saline-treated groups over the </w:t>
      </w:r>
      <w:r>
        <w:t xml:space="preserve">28 days </w:t>
      </w:r>
      <w:r w:rsidRPr="006F5DD1">
        <w:t>treatment period.</w:t>
      </w:r>
    </w:p>
    <w:p w:rsidR="00F75A1E" w:rsidRDefault="00F75A1E" w:rsidP="00F75A1E"/>
    <w:p w:rsidR="00F75A1E" w:rsidRDefault="00F75A1E" w:rsidP="00F75A1E">
      <w:r w:rsidRPr="0063409A">
        <w:rPr>
          <w:noProof/>
          <w:lang w:val="en-US"/>
        </w:rPr>
        <w:lastRenderedPageBreak/>
        <w:drawing>
          <wp:inline distT="0" distB="0" distL="0" distR="0" wp14:anchorId="5DC2E27F" wp14:editId="18780711">
            <wp:extent cx="5943600" cy="3962400"/>
            <wp:effectExtent l="0" t="0" r="0" b="0"/>
            <wp:docPr id="13" name="Picture 13" descr="E:\Farah Study Material\Monash PhD\Manuscript 4\animal bearing tumor  picx or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Farah Study Material\Monash PhD\Manuscript 4\animal bearing tumor  picx oral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A1E" w:rsidRDefault="00F75A1E" w:rsidP="00F75A1E">
      <w:r w:rsidRPr="0063409A">
        <w:rPr>
          <w:b/>
        </w:rPr>
        <w:t>Fig S</w:t>
      </w:r>
      <w:r>
        <w:rPr>
          <w:b/>
        </w:rPr>
        <w:t>4</w:t>
      </w:r>
      <w:r w:rsidRPr="0063409A">
        <w:rPr>
          <w:b/>
        </w:rPr>
        <w:t>:</w:t>
      </w:r>
      <w:r>
        <w:t xml:space="preserve">  Visu</w:t>
      </w:r>
      <w:r w:rsidRPr="006F5DD1">
        <w:t>al images</w:t>
      </w:r>
      <w:r>
        <w:t xml:space="preserve"> of </w:t>
      </w:r>
      <w:r w:rsidRPr="006F5DD1">
        <w:t>tumour-bearing mice</w:t>
      </w:r>
      <w:r>
        <w:t xml:space="preserve"> </w:t>
      </w:r>
      <w:r w:rsidRPr="006F5DD1">
        <w:t xml:space="preserve">images illustrating the different </w:t>
      </w:r>
      <w:r>
        <w:t xml:space="preserve">anti-tumour effects between the </w:t>
      </w:r>
      <w:r w:rsidRPr="006F5DD1">
        <w:t>group</w:t>
      </w:r>
      <w:r>
        <w:t>s orally t</w:t>
      </w:r>
      <w:r w:rsidRPr="006F5DD1">
        <w:t xml:space="preserve">reated with DOX-NaCNs </w:t>
      </w:r>
      <w:r>
        <w:t xml:space="preserve">when </w:t>
      </w:r>
      <w:r w:rsidRPr="006F5DD1">
        <w:t>compared with the free DOX, NaCNs</w:t>
      </w:r>
      <w:r>
        <w:t xml:space="preserve"> and</w:t>
      </w:r>
      <w:r w:rsidRPr="006F5DD1">
        <w:t xml:space="preserve"> saline-treated groups over the </w:t>
      </w:r>
      <w:r>
        <w:t xml:space="preserve">28 days </w:t>
      </w:r>
      <w:r w:rsidRPr="006F5DD1">
        <w:t>treatment period.</w:t>
      </w:r>
    </w:p>
    <w:p w:rsidR="00F75A1E" w:rsidRDefault="00F75A1E" w:rsidP="00F75A1E"/>
    <w:p w:rsidR="00F75A1E" w:rsidRDefault="00F75A1E" w:rsidP="00F75A1E"/>
    <w:p w:rsidR="00390883" w:rsidRDefault="00F75A1E">
      <w:bookmarkStart w:id="0" w:name="_GoBack"/>
      <w:bookmarkEnd w:id="0"/>
    </w:p>
    <w:sectPr w:rsidR="00390883" w:rsidSect="005E49AA">
      <w:footerReference w:type="default" r:id="rId8"/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954170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E49AA" w:rsidRDefault="00F75A1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E49AA" w:rsidRDefault="00F75A1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A1E"/>
    <w:rsid w:val="001A6D85"/>
    <w:rsid w:val="006E330B"/>
    <w:rsid w:val="00B1111D"/>
    <w:rsid w:val="00C253AF"/>
    <w:rsid w:val="00DF5E56"/>
    <w:rsid w:val="00F7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8091C8-6AF1-4BCB-A698-75C236096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5A1E"/>
    <w:pPr>
      <w:spacing w:line="360" w:lineRule="auto"/>
      <w:jc w:val="both"/>
    </w:pPr>
    <w:rPr>
      <w:rFonts w:ascii="Times New Roman" w:hAnsi="Times New Roman"/>
      <w:sz w:val="24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75A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A1E"/>
    <w:rPr>
      <w:rFonts w:ascii="Times New Roman" w:hAnsi="Times New Roman"/>
      <w:sz w:val="24"/>
      <w:lang w:val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Farah%20Study%20Material\Monash%20PhD\manuscript%203%20-%20Copy\Callibration%20Curve-drugs-lates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Farah%20Study%20Material\Monash%20PhD\Manuscript%204\Callibration%20curve%20in%20ug-DOX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'Modified Cas DLE and DLC'!$E$1</c:f>
              <c:strCache>
                <c:ptCount val="1"/>
                <c:pt idx="0">
                  <c:v>AVG FL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'Modified Cas DLE and DLC'!$A$2:$A$7</c:f>
              <c:numCache>
                <c:formatCode>General</c:formatCode>
                <c:ptCount val="6"/>
                <c:pt idx="0">
                  <c:v>50</c:v>
                </c:pt>
                <c:pt idx="1">
                  <c:v>40</c:v>
                </c:pt>
                <c:pt idx="2">
                  <c:v>30</c:v>
                </c:pt>
                <c:pt idx="3">
                  <c:v>20</c:v>
                </c:pt>
                <c:pt idx="4">
                  <c:v>10</c:v>
                </c:pt>
                <c:pt idx="5">
                  <c:v>0</c:v>
                </c:pt>
              </c:numCache>
            </c:numRef>
          </c:xVal>
          <c:yVal>
            <c:numRef>
              <c:f>'Modified Cas DLE and DLC'!$E$2:$E$7</c:f>
              <c:numCache>
                <c:formatCode>General</c:formatCode>
                <c:ptCount val="6"/>
                <c:pt idx="0">
                  <c:v>754.33333333333337</c:v>
                </c:pt>
                <c:pt idx="1">
                  <c:v>604.33333333333337</c:v>
                </c:pt>
                <c:pt idx="2">
                  <c:v>479.66666666666669</c:v>
                </c:pt>
                <c:pt idx="3">
                  <c:v>357.33333333333331</c:v>
                </c:pt>
                <c:pt idx="4">
                  <c:v>265</c:v>
                </c:pt>
                <c:pt idx="5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A26-4812-AA1C-6B3AA3E9AB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44579520"/>
        <c:axId val="-44593120"/>
      </c:scatterChart>
      <c:valAx>
        <c:axId val="-445795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Concentration (</a:t>
                </a:r>
                <a:r>
                  <a:rPr lang="en-US">
                    <a:latin typeface="Trebuchet MS" panose="020B0603020202020204" pitchFamily="34" charset="0"/>
                  </a:rPr>
                  <a:t>µM)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4593120"/>
        <c:crosses val="autoZero"/>
        <c:crossBetween val="midCat"/>
      </c:valAx>
      <c:valAx>
        <c:axId val="-445931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Fluorescence Intensity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457952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Sheet1!$E$25</c:f>
              <c:strCache>
                <c:ptCount val="1"/>
                <c:pt idx="0">
                  <c:v>Average Absorbtion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2.5896762904636922E-4"/>
                  <c:y val="-1.4305555555555556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Sheet1!$A$26:$A$31</c:f>
              <c:numCache>
                <c:formatCode>General</c:formatCode>
                <c:ptCount val="6"/>
                <c:pt idx="0">
                  <c:v>5.8</c:v>
                </c:pt>
                <c:pt idx="1">
                  <c:v>4.6399999999999997</c:v>
                </c:pt>
                <c:pt idx="2">
                  <c:v>3.48</c:v>
                </c:pt>
                <c:pt idx="3">
                  <c:v>2.3199999999999998</c:v>
                </c:pt>
                <c:pt idx="4">
                  <c:v>1.1599999999999999</c:v>
                </c:pt>
                <c:pt idx="5">
                  <c:v>0</c:v>
                </c:pt>
              </c:numCache>
            </c:numRef>
          </c:xVal>
          <c:yVal>
            <c:numRef>
              <c:f>Sheet1!$E$26:$E$31</c:f>
              <c:numCache>
                <c:formatCode>General</c:formatCode>
                <c:ptCount val="6"/>
                <c:pt idx="0">
                  <c:v>51310.333333333336</c:v>
                </c:pt>
                <c:pt idx="1">
                  <c:v>45092.333333333336</c:v>
                </c:pt>
                <c:pt idx="2">
                  <c:v>33333.333333333336</c:v>
                </c:pt>
                <c:pt idx="3">
                  <c:v>22183</c:v>
                </c:pt>
                <c:pt idx="4">
                  <c:v>10048.333333333334</c:v>
                </c:pt>
                <c:pt idx="5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E83-44BC-A830-70783D5DF9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44586592"/>
        <c:axId val="-44592032"/>
      </c:scatterChart>
      <c:valAx>
        <c:axId val="-445865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latin typeface="+mn-lt"/>
                  </a:rPr>
                  <a:t>Concenteration (µg)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4592032"/>
        <c:crosses val="autoZero"/>
        <c:crossBetween val="midCat"/>
      </c:valAx>
      <c:valAx>
        <c:axId val="-445920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Fluorescence Intensity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458659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2021-08-11T11:29:00Z</dcterms:created>
  <dcterms:modified xsi:type="dcterms:W3CDTF">2021-08-11T11:29:00Z</dcterms:modified>
</cp:coreProperties>
</file>