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3BB81" w14:textId="77777777" w:rsidR="006B4FFB" w:rsidRPr="00F972B8" w:rsidRDefault="006B4FFB" w:rsidP="006B4FF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Appendices</w:t>
      </w:r>
    </w:p>
    <w:p w14:paraId="375D1C22" w14:textId="77777777" w:rsidR="006B4FFB" w:rsidRPr="00F972B8" w:rsidRDefault="006B4FFB" w:rsidP="006B4FFB">
      <w:pPr>
        <w:rPr>
          <w:rFonts w:ascii="Times New Roman" w:eastAsia="Times New Roman" w:hAnsi="Times New Roman" w:cs="Times New Roman"/>
          <w:b/>
          <w:bCs/>
          <w:lang w:eastAsia="en-GB"/>
        </w:rPr>
      </w:pPr>
      <w:r w:rsidRPr="00F972B8">
        <w:rPr>
          <w:rFonts w:ascii="Times New Roman" w:eastAsia="Times New Roman" w:hAnsi="Times New Roman" w:cs="Times New Roman"/>
          <w:b/>
          <w:bCs/>
          <w:lang w:eastAsia="en-GB"/>
        </w:rPr>
        <w:t>Appendix A</w:t>
      </w:r>
      <w:r>
        <w:rPr>
          <w:rFonts w:ascii="Times New Roman" w:eastAsia="Times New Roman" w:hAnsi="Times New Roman" w:cs="Times New Roman"/>
          <w:b/>
          <w:bCs/>
          <w:lang w:eastAsia="en-GB"/>
        </w:rPr>
        <w:t xml:space="preserve"> – Structural Equation Model</w:t>
      </w:r>
    </w:p>
    <w:p w14:paraId="0A0D046B" w14:textId="77777777" w:rsidR="006B4FFB" w:rsidRDefault="006B4FFB" w:rsidP="006B4FFB">
      <w:pPr>
        <w:spacing w:line="360" w:lineRule="auto"/>
        <w:outlineLvl w:val="2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306F3BF6" w14:textId="77777777" w:rsidR="006B4FFB" w:rsidRDefault="006B4FFB" w:rsidP="006B4FFB">
      <w:pPr>
        <w:spacing w:line="360" w:lineRule="auto"/>
        <w:outlineLvl w:val="2"/>
        <w:rPr>
          <w:rFonts w:ascii="Times New Roman" w:eastAsia="Times New Roman" w:hAnsi="Times New Roman" w:cs="Times New Roman"/>
          <w:color w:val="000000"/>
          <w:lang w:eastAsia="en-GB"/>
        </w:rPr>
        <w:sectPr w:rsidR="006B4FFB" w:rsidSect="006B4FFB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noProof/>
          <w:color w:val="000000"/>
          <w:lang w:eastAsia="en-GB"/>
        </w:rPr>
        <w:drawing>
          <wp:inline distT="0" distB="0" distL="0" distR="0" wp14:anchorId="4CCB9257" wp14:editId="38B9FE87">
            <wp:extent cx="5486400" cy="4660900"/>
            <wp:effectExtent l="0" t="0" r="0" b="0"/>
            <wp:docPr id="1327673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673775" name="Picture 132767377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6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23F6" w14:textId="77777777" w:rsidR="006B4FFB" w:rsidRPr="00FD414D" w:rsidRDefault="006B4FFB" w:rsidP="006B4FFB">
      <w:pPr>
        <w:spacing w:line="360" w:lineRule="auto"/>
        <w:outlineLvl w:val="2"/>
        <w:rPr>
          <w:rFonts w:ascii="Times New Roman" w:hAnsi="Times New Roman" w:cs="Times New Roman"/>
          <w:color w:val="000000"/>
        </w:rPr>
      </w:pPr>
      <w:r w:rsidRPr="00FD414D">
        <w:rPr>
          <w:rFonts w:ascii="Times New Roman" w:hAnsi="Times New Roman" w:cs="Times New Roman"/>
          <w:b/>
          <w:bCs/>
          <w:color w:val="000000"/>
        </w:rPr>
        <w:lastRenderedPageBreak/>
        <w:t>Appendix B:</w:t>
      </w:r>
      <w:r>
        <w:rPr>
          <w:rFonts w:ascii="Times New Roman" w:hAnsi="Times New Roman" w:cs="Times New Roman"/>
          <w:color w:val="000000"/>
        </w:rPr>
        <w:t xml:space="preserve"> </w:t>
      </w:r>
      <w:r w:rsidRPr="00657C03">
        <w:rPr>
          <w:rFonts w:ascii="Times New Roman" w:hAnsi="Times New Roman" w:cs="Times New Roman"/>
          <w:color w:val="000000"/>
        </w:rPr>
        <w:t>Table 7. Moderation Results</w:t>
      </w:r>
    </w:p>
    <w:tbl>
      <w:tblPr>
        <w:tblStyle w:val="TableGrid"/>
        <w:tblpPr w:leftFromText="180" w:rightFromText="180" w:vertAnchor="page" w:tblpY="1831"/>
        <w:tblW w:w="0" w:type="auto"/>
        <w:tblLook w:val="04A0" w:firstRow="1" w:lastRow="0" w:firstColumn="1" w:lastColumn="0" w:noHBand="0" w:noVBand="1"/>
      </w:tblPr>
      <w:tblGrid>
        <w:gridCol w:w="618"/>
        <w:gridCol w:w="1407"/>
        <w:gridCol w:w="1174"/>
        <w:gridCol w:w="766"/>
        <w:gridCol w:w="566"/>
        <w:gridCol w:w="566"/>
        <w:gridCol w:w="666"/>
        <w:gridCol w:w="816"/>
        <w:gridCol w:w="816"/>
        <w:gridCol w:w="816"/>
        <w:gridCol w:w="1139"/>
      </w:tblGrid>
      <w:tr w:rsidR="006B4FFB" w:rsidRPr="00657C03" w14:paraId="3FF41CD5" w14:textId="77777777" w:rsidTr="002E2271">
        <w:tc>
          <w:tcPr>
            <w:tcW w:w="1413" w:type="dxa"/>
            <w:shd w:val="clear" w:color="auto" w:fill="BFBFBF" w:themeFill="background1" w:themeFillShade="BF"/>
            <w:hideMark/>
          </w:tcPr>
          <w:p w14:paraId="07DC54CF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X → Y</w:t>
            </w:r>
          </w:p>
        </w:tc>
        <w:tc>
          <w:tcPr>
            <w:tcW w:w="1776" w:type="dxa"/>
            <w:shd w:val="clear" w:color="auto" w:fill="BFBFBF" w:themeFill="background1" w:themeFillShade="BF"/>
            <w:hideMark/>
          </w:tcPr>
          <w:p w14:paraId="2AAE44C5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Moderator (W)</w:t>
            </w:r>
          </w:p>
        </w:tc>
        <w:tc>
          <w:tcPr>
            <w:tcW w:w="1363" w:type="dxa"/>
            <w:shd w:val="clear" w:color="auto" w:fill="BFBFBF" w:themeFill="background1" w:themeFillShade="BF"/>
            <w:hideMark/>
          </w:tcPr>
          <w:p w14:paraId="7A90FC8D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Interaction (X×W) b</w:t>
            </w:r>
          </w:p>
        </w:tc>
        <w:tc>
          <w:tcPr>
            <w:tcW w:w="876" w:type="dxa"/>
            <w:shd w:val="clear" w:color="auto" w:fill="BFBFBF" w:themeFill="background1" w:themeFillShade="BF"/>
            <w:hideMark/>
          </w:tcPr>
          <w:p w14:paraId="273595E6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SE</w:t>
            </w:r>
          </w:p>
        </w:tc>
        <w:tc>
          <w:tcPr>
            <w:tcW w:w="662" w:type="dxa"/>
            <w:shd w:val="clear" w:color="auto" w:fill="BFBFBF" w:themeFill="background1" w:themeFillShade="BF"/>
            <w:hideMark/>
          </w:tcPr>
          <w:p w14:paraId="4DC468F4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t</w:t>
            </w:r>
          </w:p>
        </w:tc>
        <w:tc>
          <w:tcPr>
            <w:tcW w:w="708" w:type="dxa"/>
            <w:shd w:val="clear" w:color="auto" w:fill="BFBFBF" w:themeFill="background1" w:themeFillShade="BF"/>
            <w:hideMark/>
          </w:tcPr>
          <w:p w14:paraId="02FB2EAA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p</w:t>
            </w:r>
          </w:p>
        </w:tc>
        <w:tc>
          <w:tcPr>
            <w:tcW w:w="756" w:type="dxa"/>
            <w:shd w:val="clear" w:color="auto" w:fill="BFBFBF" w:themeFill="background1" w:themeFillShade="BF"/>
            <w:hideMark/>
          </w:tcPr>
          <w:p w14:paraId="7939D0F3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ΔR²</w:t>
            </w:r>
          </w:p>
        </w:tc>
        <w:tc>
          <w:tcPr>
            <w:tcW w:w="1797" w:type="dxa"/>
            <w:shd w:val="clear" w:color="auto" w:fill="BFBFBF" w:themeFill="background1" w:themeFillShade="BF"/>
            <w:hideMark/>
          </w:tcPr>
          <w:p w14:paraId="3A11E607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Simple slope @ Low W (b, p)</w:t>
            </w:r>
          </w:p>
        </w:tc>
        <w:tc>
          <w:tcPr>
            <w:tcW w:w="1843" w:type="dxa"/>
            <w:shd w:val="clear" w:color="auto" w:fill="BFBFBF" w:themeFill="background1" w:themeFillShade="BF"/>
            <w:hideMark/>
          </w:tcPr>
          <w:p w14:paraId="5BB26CBD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@ Mean W (b, p)</w:t>
            </w:r>
          </w:p>
        </w:tc>
        <w:tc>
          <w:tcPr>
            <w:tcW w:w="1160" w:type="dxa"/>
            <w:shd w:val="clear" w:color="auto" w:fill="BFBFBF" w:themeFill="background1" w:themeFillShade="BF"/>
            <w:hideMark/>
          </w:tcPr>
          <w:p w14:paraId="67027276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@ High W (b, p)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63EE16F8" w14:textId="77777777" w:rsidR="006B4FFB" w:rsidRPr="00657C03" w:rsidRDefault="006B4FFB" w:rsidP="002E22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 w:bidi="ar-SA"/>
              </w:rPr>
              <w:t>Johnson–Neyman region</w:t>
            </w:r>
          </w:p>
        </w:tc>
      </w:tr>
      <w:tr w:rsidR="006B4FFB" w:rsidRPr="00657C03" w14:paraId="25769BEB" w14:textId="77777777" w:rsidTr="002E2271">
        <w:tc>
          <w:tcPr>
            <w:tcW w:w="1413" w:type="dxa"/>
            <w:hideMark/>
          </w:tcPr>
          <w:p w14:paraId="1302F112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SMP → CB</w:t>
            </w:r>
          </w:p>
        </w:tc>
        <w:tc>
          <w:tcPr>
            <w:tcW w:w="1776" w:type="dxa"/>
            <w:hideMark/>
          </w:tcPr>
          <w:p w14:paraId="72E70345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Consumer Characteristics (MV_CC)</w:t>
            </w:r>
          </w:p>
        </w:tc>
        <w:tc>
          <w:tcPr>
            <w:tcW w:w="1363" w:type="dxa"/>
            <w:hideMark/>
          </w:tcPr>
          <w:p w14:paraId="23757610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0.0677</w:t>
            </w:r>
          </w:p>
        </w:tc>
        <w:tc>
          <w:tcPr>
            <w:tcW w:w="876" w:type="dxa"/>
            <w:hideMark/>
          </w:tcPr>
          <w:p w14:paraId="6C3F115C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0.0446</w:t>
            </w:r>
          </w:p>
        </w:tc>
        <w:tc>
          <w:tcPr>
            <w:tcW w:w="662" w:type="dxa"/>
            <w:hideMark/>
          </w:tcPr>
          <w:p w14:paraId="4A89F68D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1.52</w:t>
            </w:r>
          </w:p>
        </w:tc>
        <w:tc>
          <w:tcPr>
            <w:tcW w:w="708" w:type="dxa"/>
            <w:hideMark/>
          </w:tcPr>
          <w:p w14:paraId="29C44A14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.130</w:t>
            </w:r>
          </w:p>
        </w:tc>
        <w:tc>
          <w:tcPr>
            <w:tcW w:w="756" w:type="dxa"/>
            <w:hideMark/>
          </w:tcPr>
          <w:p w14:paraId="6A5AA659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.0036</w:t>
            </w:r>
          </w:p>
        </w:tc>
        <w:tc>
          <w:tcPr>
            <w:tcW w:w="1797" w:type="dxa"/>
            <w:hideMark/>
          </w:tcPr>
          <w:p w14:paraId="32AC904E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—</w:t>
            </w:r>
          </w:p>
        </w:tc>
        <w:tc>
          <w:tcPr>
            <w:tcW w:w="1843" w:type="dxa"/>
            <w:hideMark/>
          </w:tcPr>
          <w:p w14:paraId="2128D05D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—</w:t>
            </w:r>
          </w:p>
        </w:tc>
        <w:tc>
          <w:tcPr>
            <w:tcW w:w="1160" w:type="dxa"/>
            <w:hideMark/>
          </w:tcPr>
          <w:p w14:paraId="35CE32F6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—</w:t>
            </w:r>
          </w:p>
        </w:tc>
        <w:tc>
          <w:tcPr>
            <w:tcW w:w="0" w:type="auto"/>
            <w:hideMark/>
          </w:tcPr>
          <w:p w14:paraId="4285E387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n/a (interaction NS)</w:t>
            </w:r>
          </w:p>
        </w:tc>
      </w:tr>
      <w:tr w:rsidR="006B4FFB" w:rsidRPr="00657C03" w14:paraId="2B2706A3" w14:textId="77777777" w:rsidTr="002E2271">
        <w:tc>
          <w:tcPr>
            <w:tcW w:w="1413" w:type="dxa"/>
            <w:hideMark/>
          </w:tcPr>
          <w:p w14:paraId="52485319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SMP → CB</w:t>
            </w:r>
          </w:p>
        </w:tc>
        <w:tc>
          <w:tcPr>
            <w:tcW w:w="1776" w:type="dxa"/>
            <w:hideMark/>
          </w:tcPr>
          <w:p w14:paraId="3BA8BFEC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Brand Characteristics (MV2_BC)</w:t>
            </w:r>
          </w:p>
        </w:tc>
        <w:tc>
          <w:tcPr>
            <w:tcW w:w="1363" w:type="dxa"/>
            <w:hideMark/>
          </w:tcPr>
          <w:p w14:paraId="53D79268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0.0329</w:t>
            </w:r>
          </w:p>
        </w:tc>
        <w:tc>
          <w:tcPr>
            <w:tcW w:w="876" w:type="dxa"/>
            <w:hideMark/>
          </w:tcPr>
          <w:p w14:paraId="1018792D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0.0379</w:t>
            </w:r>
          </w:p>
        </w:tc>
        <w:tc>
          <w:tcPr>
            <w:tcW w:w="662" w:type="dxa"/>
            <w:hideMark/>
          </w:tcPr>
          <w:p w14:paraId="15ED5B36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0.87</w:t>
            </w:r>
          </w:p>
        </w:tc>
        <w:tc>
          <w:tcPr>
            <w:tcW w:w="708" w:type="dxa"/>
            <w:hideMark/>
          </w:tcPr>
          <w:p w14:paraId="4DD0F25F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.386</w:t>
            </w:r>
          </w:p>
        </w:tc>
        <w:tc>
          <w:tcPr>
            <w:tcW w:w="756" w:type="dxa"/>
            <w:hideMark/>
          </w:tcPr>
          <w:p w14:paraId="63EEF27D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.0012</w:t>
            </w:r>
          </w:p>
        </w:tc>
        <w:tc>
          <w:tcPr>
            <w:tcW w:w="1797" w:type="dxa"/>
            <w:hideMark/>
          </w:tcPr>
          <w:p w14:paraId="60D9864A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—</w:t>
            </w:r>
          </w:p>
        </w:tc>
        <w:tc>
          <w:tcPr>
            <w:tcW w:w="1843" w:type="dxa"/>
            <w:hideMark/>
          </w:tcPr>
          <w:p w14:paraId="1401BFC5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—</w:t>
            </w:r>
          </w:p>
        </w:tc>
        <w:tc>
          <w:tcPr>
            <w:tcW w:w="1160" w:type="dxa"/>
            <w:hideMark/>
          </w:tcPr>
          <w:p w14:paraId="222697D9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—</w:t>
            </w:r>
          </w:p>
        </w:tc>
        <w:tc>
          <w:tcPr>
            <w:tcW w:w="0" w:type="auto"/>
            <w:hideMark/>
          </w:tcPr>
          <w:p w14:paraId="3D9C2AE9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n/a (interaction NS)</w:t>
            </w:r>
          </w:p>
        </w:tc>
      </w:tr>
      <w:tr w:rsidR="006B4FFB" w:rsidRPr="00657C03" w14:paraId="4BA3A829" w14:textId="77777777" w:rsidTr="002E2271">
        <w:tc>
          <w:tcPr>
            <w:tcW w:w="1413" w:type="dxa"/>
            <w:hideMark/>
          </w:tcPr>
          <w:p w14:paraId="13365477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SMP → CB</w:t>
            </w:r>
          </w:p>
        </w:tc>
        <w:tc>
          <w:tcPr>
            <w:tcW w:w="1776" w:type="dxa"/>
            <w:hideMark/>
          </w:tcPr>
          <w:p w14:paraId="26530404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SM Platform Characteristics (MV3_SMPC)</w:t>
            </w:r>
          </w:p>
        </w:tc>
        <w:tc>
          <w:tcPr>
            <w:tcW w:w="1363" w:type="dxa"/>
            <w:hideMark/>
          </w:tcPr>
          <w:p w14:paraId="59CDDC6D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0.0889</w:t>
            </w:r>
          </w:p>
        </w:tc>
        <w:tc>
          <w:tcPr>
            <w:tcW w:w="876" w:type="dxa"/>
            <w:hideMark/>
          </w:tcPr>
          <w:p w14:paraId="498E2CAC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0.0398</w:t>
            </w:r>
          </w:p>
        </w:tc>
        <w:tc>
          <w:tcPr>
            <w:tcW w:w="662" w:type="dxa"/>
            <w:hideMark/>
          </w:tcPr>
          <w:p w14:paraId="6E548B9D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2.23</w:t>
            </w:r>
          </w:p>
        </w:tc>
        <w:tc>
          <w:tcPr>
            <w:tcW w:w="708" w:type="dxa"/>
            <w:hideMark/>
          </w:tcPr>
          <w:p w14:paraId="3C7CEAAA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.026</w:t>
            </w:r>
          </w:p>
        </w:tc>
        <w:tc>
          <w:tcPr>
            <w:tcW w:w="756" w:type="dxa"/>
            <w:hideMark/>
          </w:tcPr>
          <w:p w14:paraId="1F435380" w14:textId="77777777" w:rsidR="006B4FFB" w:rsidRPr="00657C03" w:rsidRDefault="006B4FFB" w:rsidP="002E2271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.0082</w:t>
            </w:r>
          </w:p>
        </w:tc>
        <w:tc>
          <w:tcPr>
            <w:tcW w:w="1797" w:type="dxa"/>
            <w:hideMark/>
          </w:tcPr>
          <w:p w14:paraId="74E723DF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0.3212, p &lt; .001</w:t>
            </w:r>
          </w:p>
        </w:tc>
        <w:tc>
          <w:tcPr>
            <w:tcW w:w="1843" w:type="dxa"/>
            <w:hideMark/>
          </w:tcPr>
          <w:p w14:paraId="62582210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0.4101, p &lt; .001</w:t>
            </w:r>
          </w:p>
        </w:tc>
        <w:tc>
          <w:tcPr>
            <w:tcW w:w="1160" w:type="dxa"/>
            <w:hideMark/>
          </w:tcPr>
          <w:p w14:paraId="6A1FA9FC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0.4991, p &lt; .001</w:t>
            </w:r>
          </w:p>
        </w:tc>
        <w:tc>
          <w:tcPr>
            <w:tcW w:w="0" w:type="auto"/>
            <w:hideMark/>
          </w:tcPr>
          <w:p w14:paraId="5BC91125" w14:textId="77777777" w:rsidR="006B4FFB" w:rsidRPr="00657C03" w:rsidRDefault="006B4FFB" w:rsidP="002E2271">
            <w:pPr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</w:pPr>
            <w:r w:rsidRPr="00657C03">
              <w:rPr>
                <w:rFonts w:ascii="Times New Roman" w:eastAsia="Times New Roman" w:hAnsi="Times New Roman" w:cs="Times New Roman"/>
                <w:color w:val="000000"/>
                <w:lang w:eastAsia="en-GB" w:bidi="ar-SA"/>
              </w:rPr>
              <w:t>No cutoff; significant throughout</w:t>
            </w:r>
          </w:p>
        </w:tc>
      </w:tr>
    </w:tbl>
    <w:p w14:paraId="60770010" w14:textId="77777777" w:rsidR="006B4FFB" w:rsidRPr="00802970" w:rsidRDefault="006B4FFB" w:rsidP="006B4FFB">
      <w:pPr>
        <w:tabs>
          <w:tab w:val="left" w:pos="3683"/>
        </w:tabs>
        <w:jc w:val="both"/>
        <w:rPr>
          <w:rFonts w:ascii="Times New Roman" w:eastAsia="Times New Roman" w:hAnsi="Times New Roman" w:cs="Times New Roman"/>
          <w:sz w:val="22"/>
          <w:szCs w:val="22"/>
          <w:lang w:eastAsia="en-GB"/>
        </w:rPr>
      </w:pPr>
      <w:r w:rsidRPr="00802970">
        <w:rPr>
          <w:rStyle w:val="Strong"/>
          <w:rFonts w:ascii="Times New Roman" w:hAnsi="Times New Roman" w:cs="Times New Roman"/>
          <w:color w:val="000000"/>
          <w:sz w:val="22"/>
          <w:szCs w:val="22"/>
        </w:rPr>
        <w:t>Notes.</w:t>
      </w:r>
      <w:r w:rsidRPr="00802970">
        <w:rPr>
          <w:rStyle w:val="apple-converted-space"/>
          <w:rFonts w:ascii="Times New Roman" w:hAnsi="Times New Roman" w:cs="Times New Roman"/>
          <w:color w:val="000000"/>
          <w:sz w:val="22"/>
          <w:szCs w:val="22"/>
        </w:rPr>
        <w:t> </w:t>
      </w:r>
      <w:r w:rsidRPr="00802970">
        <w:rPr>
          <w:rFonts w:ascii="Times New Roman" w:hAnsi="Times New Roman" w:cs="Times New Roman"/>
          <w:color w:val="000000"/>
          <w:sz w:val="22"/>
          <w:szCs w:val="22"/>
        </w:rPr>
        <w:t>All predictors and moderators were mean-centered. ΔR² = incremental variance explained by adding the interaction term. “Low,” “Mean,” and “High” refer to the 16th, 50th, and 84th percentiles of the moderator distribution.</w:t>
      </w:r>
    </w:p>
    <w:p w14:paraId="504A577A" w14:textId="77777777" w:rsidR="006B4FFB" w:rsidRPr="00802970" w:rsidRDefault="006B4FFB" w:rsidP="006B4FFB">
      <w:pPr>
        <w:rPr>
          <w:rFonts w:ascii="Times New Roman" w:eastAsia="Times New Roman" w:hAnsi="Times New Roman" w:cs="Times New Roman"/>
          <w:lang w:eastAsia="en-GB"/>
        </w:rPr>
      </w:pPr>
    </w:p>
    <w:p w14:paraId="4F0AD237" w14:textId="77777777" w:rsidR="006B4FFB" w:rsidRPr="00802970" w:rsidRDefault="006B4FFB" w:rsidP="006B4FFB">
      <w:pPr>
        <w:rPr>
          <w:rFonts w:ascii="Times New Roman" w:eastAsia="Times New Roman" w:hAnsi="Times New Roman" w:cs="Times New Roman"/>
          <w:lang w:eastAsia="en-GB"/>
        </w:rPr>
      </w:pPr>
    </w:p>
    <w:p w14:paraId="6D2F5B39" w14:textId="77777777" w:rsidR="006B4FFB" w:rsidRPr="00802970" w:rsidRDefault="006B4FFB" w:rsidP="006B4FFB">
      <w:pPr>
        <w:rPr>
          <w:rFonts w:ascii="Times New Roman" w:eastAsia="Times New Roman" w:hAnsi="Times New Roman" w:cs="Times New Roman"/>
          <w:lang w:eastAsia="en-GB"/>
        </w:rPr>
      </w:pPr>
    </w:p>
    <w:p w14:paraId="088BE20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FFB"/>
    <w:rsid w:val="00353929"/>
    <w:rsid w:val="003C2EF4"/>
    <w:rsid w:val="00446799"/>
    <w:rsid w:val="006A7E07"/>
    <w:rsid w:val="006B4FFB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7CFA6"/>
  <w15:chartTrackingRefBased/>
  <w15:docId w15:val="{98AD2F9F-B72F-4B36-A8DB-1A0238101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FFB"/>
    <w:pPr>
      <w:spacing w:after="0" w:line="240" w:lineRule="auto"/>
    </w:pPr>
    <w:rPr>
      <w:rFonts w:cs="Arial Unicode MS"/>
      <w:kern w:val="0"/>
      <w:lang w:bidi="si-L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4FF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FF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FF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4FF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4FF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4FF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4FF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FF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FF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F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F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F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4F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4F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4F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4F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F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F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4F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4F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FF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4F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4FFB"/>
    <w:pPr>
      <w:spacing w:before="160" w:after="160" w:line="278" w:lineRule="auto"/>
      <w:jc w:val="center"/>
    </w:pPr>
    <w:rPr>
      <w:rFonts w:cstheme="minorBidi"/>
      <w:i/>
      <w:iCs/>
      <w:color w:val="404040" w:themeColor="text1" w:themeTint="BF"/>
      <w:kern w:val="2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4F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4FFB"/>
    <w:pPr>
      <w:spacing w:after="160" w:line="278" w:lineRule="auto"/>
      <w:ind w:left="720"/>
      <w:contextualSpacing/>
    </w:pPr>
    <w:rPr>
      <w:rFonts w:cstheme="minorBidi"/>
      <w:kern w:val="2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4F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F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0F4761" w:themeColor="accent1" w:themeShade="BF"/>
      <w:kern w:val="2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F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4FFB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6B4FFB"/>
  </w:style>
  <w:style w:type="table" w:styleId="TableGrid">
    <w:name w:val="Table Grid"/>
    <w:basedOn w:val="TableNormal"/>
    <w:uiPriority w:val="39"/>
    <w:rsid w:val="006B4FFB"/>
    <w:pPr>
      <w:spacing w:after="0" w:line="240" w:lineRule="auto"/>
    </w:pPr>
    <w:rPr>
      <w:kern w:val="0"/>
      <w:lang w:bidi="si-LK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B4F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700</Characters>
  <Application>Microsoft Office Word</Application>
  <DocSecurity>0</DocSecurity>
  <Lines>5</Lines>
  <Paragraphs>1</Paragraphs>
  <ScaleCrop>false</ScaleCrop>
  <Company>Springer Nature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2025-10-01T06:31:00Z</dcterms:created>
  <dcterms:modified xsi:type="dcterms:W3CDTF">2025-10-01T06:31:00Z</dcterms:modified>
</cp:coreProperties>
</file>