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68EE" w14:textId="5D96F62F" w:rsidR="00965594" w:rsidRDefault="00DE66FB">
      <w:pPr>
        <w:rPr>
          <w:rFonts w:asciiTheme="majorBidi" w:hAnsiTheme="majorBidi" w:cstheme="majorBidi"/>
          <w:b/>
          <w:bCs/>
        </w:rPr>
      </w:pPr>
      <w:r w:rsidRPr="00DC3455">
        <w:rPr>
          <w:rFonts w:asciiTheme="majorBidi" w:hAnsiTheme="majorBidi" w:cstheme="majorBidi"/>
          <w:b/>
          <w:bCs/>
        </w:rPr>
        <w:t xml:space="preserve">Table </w:t>
      </w:r>
      <w:r w:rsidR="00181C42">
        <w:rPr>
          <w:rFonts w:asciiTheme="majorBidi" w:hAnsiTheme="majorBidi" w:cstheme="majorBidi"/>
          <w:b/>
          <w:bCs/>
        </w:rPr>
        <w:t>S.1</w:t>
      </w:r>
      <w:r w:rsidRPr="00DC3455">
        <w:rPr>
          <w:rFonts w:asciiTheme="majorBidi" w:hAnsiTheme="majorBidi" w:cstheme="majorBidi"/>
          <w:b/>
          <w:bCs/>
        </w:rPr>
        <w:t xml:space="preserve">. </w:t>
      </w:r>
      <w:proofErr w:type="spellStart"/>
      <w:r w:rsidRPr="00DC3455">
        <w:rPr>
          <w:rFonts w:asciiTheme="majorBidi" w:hAnsiTheme="majorBidi" w:cstheme="majorBidi"/>
          <w:b/>
          <w:bCs/>
        </w:rPr>
        <w:t>Analytical</w:t>
      </w:r>
      <w:proofErr w:type="spellEnd"/>
      <w:r w:rsidRPr="00DC3455">
        <w:rPr>
          <w:rFonts w:asciiTheme="majorBidi" w:hAnsiTheme="majorBidi" w:cstheme="majorBidi"/>
          <w:b/>
          <w:bCs/>
        </w:rPr>
        <w:t xml:space="preserve"> </w:t>
      </w:r>
      <w:proofErr w:type="spellStart"/>
      <w:r w:rsidRPr="00DC3455">
        <w:rPr>
          <w:rFonts w:asciiTheme="majorBidi" w:hAnsiTheme="majorBidi" w:cstheme="majorBidi"/>
          <w:b/>
          <w:bCs/>
        </w:rPr>
        <w:t>procedures</w:t>
      </w:r>
      <w:proofErr w:type="spellEnd"/>
      <w:r w:rsidRPr="00DC3455">
        <w:rPr>
          <w:rFonts w:asciiTheme="majorBidi" w:hAnsiTheme="majorBidi" w:cstheme="majorBidi"/>
          <w:b/>
          <w:bCs/>
        </w:rPr>
        <w:t xml:space="preserve"> </w:t>
      </w:r>
      <w:proofErr w:type="spellStart"/>
      <w:r w:rsidRPr="00DC3455">
        <w:rPr>
          <w:rFonts w:asciiTheme="majorBidi" w:hAnsiTheme="majorBidi" w:cstheme="majorBidi"/>
          <w:b/>
          <w:bCs/>
        </w:rPr>
        <w:t>applied</w:t>
      </w:r>
      <w:proofErr w:type="spellEnd"/>
      <w:r w:rsidRPr="00DC3455">
        <w:rPr>
          <w:rFonts w:asciiTheme="majorBidi" w:hAnsiTheme="majorBidi" w:cstheme="majorBidi"/>
          <w:b/>
          <w:bCs/>
        </w:rPr>
        <w:t xml:space="preserve"> for </w:t>
      </w:r>
      <w:proofErr w:type="spellStart"/>
      <w:r w:rsidRPr="00DC3455">
        <w:rPr>
          <w:rFonts w:asciiTheme="majorBidi" w:hAnsiTheme="majorBidi" w:cstheme="majorBidi"/>
          <w:b/>
          <w:bCs/>
        </w:rPr>
        <w:t>mechanistic</w:t>
      </w:r>
      <w:proofErr w:type="spellEnd"/>
      <w:r w:rsidRPr="00DC3455">
        <w:rPr>
          <w:rFonts w:asciiTheme="majorBidi" w:hAnsiTheme="majorBidi" w:cstheme="majorBidi"/>
          <w:b/>
          <w:bCs/>
        </w:rPr>
        <w:t xml:space="preserve"> insights </w:t>
      </w:r>
      <w:proofErr w:type="spellStart"/>
      <w:r w:rsidRPr="00DC3455">
        <w:rPr>
          <w:rFonts w:asciiTheme="majorBidi" w:hAnsiTheme="majorBidi" w:cstheme="majorBidi"/>
          <w:b/>
          <w:bCs/>
        </w:rPr>
        <w:t>into</w:t>
      </w:r>
      <w:proofErr w:type="spellEnd"/>
      <w:r w:rsidRPr="00DC3455">
        <w:rPr>
          <w:rFonts w:asciiTheme="majorBidi" w:hAnsiTheme="majorBidi" w:cstheme="majorBidi"/>
          <w:b/>
          <w:bCs/>
        </w:rPr>
        <w:t xml:space="preserve"> BSF </w:t>
      </w:r>
      <w:proofErr w:type="spellStart"/>
      <w:r w:rsidRPr="00DC3455">
        <w:rPr>
          <w:rFonts w:asciiTheme="majorBidi" w:hAnsiTheme="majorBidi" w:cstheme="majorBidi"/>
          <w:b/>
          <w:bCs/>
        </w:rPr>
        <w:t>processing</w:t>
      </w:r>
      <w:proofErr w:type="spellEnd"/>
      <w:r w:rsidRPr="00DC3455">
        <w:rPr>
          <w:rFonts w:asciiTheme="majorBidi" w:hAnsiTheme="majorBidi" w:cstheme="majorBidi"/>
          <w:b/>
          <w:bCs/>
        </w:rPr>
        <w:t xml:space="preserve"> and BJ cultivation.</w:t>
      </w:r>
    </w:p>
    <w:tbl>
      <w:tblPr>
        <w:tblW w:w="0" w:type="auto"/>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387"/>
        <w:gridCol w:w="4577"/>
        <w:gridCol w:w="3960"/>
        <w:gridCol w:w="2080"/>
      </w:tblGrid>
      <w:tr w:rsidR="00DE66FB" w:rsidRPr="00DC3455" w14:paraId="46973A86" w14:textId="77777777" w:rsidTr="00317B41">
        <w:trPr>
          <w:tblHeader/>
          <w:tblCellSpacing w:w="15" w:type="dxa"/>
        </w:trPr>
        <w:tc>
          <w:tcPr>
            <w:tcW w:w="0" w:type="auto"/>
            <w:vAlign w:val="center"/>
            <w:hideMark/>
          </w:tcPr>
          <w:p w14:paraId="46982E34" w14:textId="77777777" w:rsidR="00DE66FB" w:rsidRPr="00DC3455" w:rsidRDefault="00DE66FB" w:rsidP="00317B41">
            <w:pPr>
              <w:tabs>
                <w:tab w:val="left" w:pos="1320"/>
              </w:tabs>
              <w:spacing w:line="360" w:lineRule="auto"/>
              <w:jc w:val="both"/>
              <w:rPr>
                <w:rFonts w:asciiTheme="majorBidi" w:hAnsiTheme="majorBidi" w:cstheme="majorBidi"/>
                <w:b/>
                <w:bCs/>
              </w:rPr>
            </w:pPr>
            <w:r w:rsidRPr="00DC3455">
              <w:rPr>
                <w:rFonts w:asciiTheme="majorBidi" w:hAnsiTheme="majorBidi" w:cstheme="majorBidi"/>
                <w:b/>
                <w:bCs/>
              </w:rPr>
              <w:t xml:space="preserve">Process / </w:t>
            </w:r>
            <w:proofErr w:type="spellStart"/>
            <w:r w:rsidRPr="00DC3455">
              <w:rPr>
                <w:rFonts w:asciiTheme="majorBidi" w:hAnsiTheme="majorBidi" w:cstheme="majorBidi"/>
                <w:b/>
                <w:bCs/>
              </w:rPr>
              <w:t>Parameter</w:t>
            </w:r>
            <w:proofErr w:type="spellEnd"/>
          </w:p>
        </w:tc>
        <w:tc>
          <w:tcPr>
            <w:tcW w:w="0" w:type="auto"/>
            <w:vAlign w:val="center"/>
            <w:hideMark/>
          </w:tcPr>
          <w:p w14:paraId="57316CF0" w14:textId="77777777" w:rsidR="00DE66FB" w:rsidRPr="00DC3455" w:rsidRDefault="00DE66FB" w:rsidP="00317B41">
            <w:pPr>
              <w:tabs>
                <w:tab w:val="left" w:pos="1320"/>
              </w:tabs>
              <w:spacing w:line="360" w:lineRule="auto"/>
              <w:jc w:val="both"/>
              <w:rPr>
                <w:rFonts w:asciiTheme="majorBidi" w:hAnsiTheme="majorBidi" w:cstheme="majorBidi"/>
                <w:b/>
                <w:bCs/>
              </w:rPr>
            </w:pPr>
            <w:proofErr w:type="spellStart"/>
            <w:r w:rsidRPr="00DC3455">
              <w:rPr>
                <w:rFonts w:asciiTheme="majorBidi" w:hAnsiTheme="majorBidi" w:cstheme="majorBidi"/>
                <w:b/>
                <w:bCs/>
              </w:rPr>
              <w:t>Methodology</w:t>
            </w:r>
            <w:proofErr w:type="spellEnd"/>
          </w:p>
        </w:tc>
        <w:tc>
          <w:tcPr>
            <w:tcW w:w="0" w:type="auto"/>
            <w:vAlign w:val="center"/>
            <w:hideMark/>
          </w:tcPr>
          <w:p w14:paraId="1E2D0A2E" w14:textId="77777777" w:rsidR="00DE66FB" w:rsidRPr="00DC3455" w:rsidRDefault="00DE66FB" w:rsidP="00317B41">
            <w:pPr>
              <w:tabs>
                <w:tab w:val="left" w:pos="1320"/>
              </w:tabs>
              <w:spacing w:line="360" w:lineRule="auto"/>
              <w:jc w:val="both"/>
              <w:rPr>
                <w:rFonts w:asciiTheme="majorBidi" w:hAnsiTheme="majorBidi" w:cstheme="majorBidi"/>
                <w:b/>
                <w:bCs/>
              </w:rPr>
            </w:pPr>
            <w:r w:rsidRPr="00DC3455">
              <w:rPr>
                <w:rFonts w:asciiTheme="majorBidi" w:hAnsiTheme="majorBidi" w:cstheme="majorBidi"/>
                <w:b/>
                <w:bCs/>
              </w:rPr>
              <w:t xml:space="preserve">Instrument / </w:t>
            </w:r>
            <w:proofErr w:type="spellStart"/>
            <w:r w:rsidRPr="00DC3455">
              <w:rPr>
                <w:rFonts w:asciiTheme="majorBidi" w:hAnsiTheme="majorBidi" w:cstheme="majorBidi"/>
                <w:b/>
                <w:bCs/>
              </w:rPr>
              <w:t>Reagent</w:t>
            </w:r>
            <w:proofErr w:type="spellEnd"/>
          </w:p>
        </w:tc>
        <w:tc>
          <w:tcPr>
            <w:tcW w:w="0" w:type="auto"/>
            <w:vAlign w:val="center"/>
            <w:hideMark/>
          </w:tcPr>
          <w:p w14:paraId="40EC5C21" w14:textId="77777777" w:rsidR="00DE66FB" w:rsidRPr="00DC3455" w:rsidRDefault="00DE66FB" w:rsidP="00317B41">
            <w:pPr>
              <w:tabs>
                <w:tab w:val="left" w:pos="1320"/>
              </w:tabs>
              <w:spacing w:line="360" w:lineRule="auto"/>
              <w:jc w:val="both"/>
              <w:rPr>
                <w:rFonts w:asciiTheme="majorBidi" w:hAnsiTheme="majorBidi" w:cstheme="majorBidi"/>
                <w:b/>
                <w:bCs/>
              </w:rPr>
            </w:pPr>
            <w:r w:rsidRPr="00DC3455">
              <w:rPr>
                <w:rFonts w:asciiTheme="majorBidi" w:hAnsiTheme="majorBidi" w:cstheme="majorBidi"/>
                <w:b/>
                <w:bCs/>
              </w:rPr>
              <w:t>Reference(s)</w:t>
            </w:r>
          </w:p>
        </w:tc>
      </w:tr>
      <w:tr w:rsidR="00DE66FB" w:rsidRPr="00DC3455" w14:paraId="33D9CA64" w14:textId="77777777" w:rsidTr="00317B41">
        <w:trPr>
          <w:tblCellSpacing w:w="15" w:type="dxa"/>
        </w:trPr>
        <w:tc>
          <w:tcPr>
            <w:tcW w:w="0" w:type="auto"/>
            <w:gridSpan w:val="4"/>
            <w:vAlign w:val="center"/>
            <w:hideMark/>
          </w:tcPr>
          <w:p w14:paraId="32AD0D08" w14:textId="77777777" w:rsidR="00DE66FB" w:rsidRPr="00DC3455" w:rsidRDefault="00DE66FB" w:rsidP="00317B41">
            <w:pPr>
              <w:tabs>
                <w:tab w:val="left" w:pos="1320"/>
              </w:tabs>
              <w:spacing w:line="360" w:lineRule="auto"/>
              <w:jc w:val="center"/>
              <w:rPr>
                <w:rFonts w:asciiTheme="majorBidi" w:hAnsiTheme="majorBidi" w:cstheme="majorBidi"/>
              </w:rPr>
            </w:pPr>
            <w:r w:rsidRPr="00DC3455">
              <w:rPr>
                <w:rFonts w:asciiTheme="majorBidi" w:hAnsiTheme="majorBidi" w:cstheme="majorBidi"/>
                <w:b/>
                <w:bCs/>
              </w:rPr>
              <w:t xml:space="preserve">Stage I – BSF </w:t>
            </w:r>
            <w:proofErr w:type="spellStart"/>
            <w:r w:rsidRPr="00DC3455">
              <w:rPr>
                <w:rFonts w:asciiTheme="majorBidi" w:hAnsiTheme="majorBidi" w:cstheme="majorBidi"/>
                <w:b/>
                <w:bCs/>
              </w:rPr>
              <w:t>Processing</w:t>
            </w:r>
            <w:proofErr w:type="spellEnd"/>
          </w:p>
        </w:tc>
      </w:tr>
      <w:tr w:rsidR="00DE66FB" w:rsidRPr="00966833" w14:paraId="2510F536" w14:textId="77777777" w:rsidTr="00317B41">
        <w:trPr>
          <w:tblCellSpacing w:w="15" w:type="dxa"/>
        </w:trPr>
        <w:tc>
          <w:tcPr>
            <w:tcW w:w="0" w:type="auto"/>
            <w:vAlign w:val="center"/>
            <w:hideMark/>
          </w:tcPr>
          <w:p w14:paraId="45363A0A"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Larval</w:t>
            </w:r>
            <w:proofErr w:type="spellEnd"/>
            <w:r w:rsidRPr="00DC3455">
              <w:rPr>
                <w:rFonts w:asciiTheme="majorBidi" w:hAnsiTheme="majorBidi" w:cstheme="majorBidi"/>
              </w:rPr>
              <w:t xml:space="preserve"> ingestion &amp; </w:t>
            </w:r>
            <w:proofErr w:type="spellStart"/>
            <w:r w:rsidRPr="00DC3455">
              <w:rPr>
                <w:rFonts w:asciiTheme="majorBidi" w:hAnsiTheme="majorBidi" w:cstheme="majorBidi"/>
              </w:rPr>
              <w:t>metal</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partitioning</w:t>
            </w:r>
            <w:proofErr w:type="spellEnd"/>
          </w:p>
        </w:tc>
        <w:tc>
          <w:tcPr>
            <w:tcW w:w="0" w:type="auto"/>
            <w:vAlign w:val="center"/>
            <w:hideMark/>
          </w:tcPr>
          <w:p w14:paraId="4C5D780F" w14:textId="77777777" w:rsidR="00DE66FB"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Rearing</w:t>
            </w:r>
            <w:proofErr w:type="spellEnd"/>
            <w:r w:rsidRPr="00DC3455">
              <w:rPr>
                <w:rFonts w:asciiTheme="majorBidi" w:hAnsiTheme="majorBidi" w:cstheme="majorBidi"/>
              </w:rPr>
              <w:t xml:space="preserve"> 14 d (200 </w:t>
            </w:r>
            <w:proofErr w:type="spellStart"/>
            <w:r w:rsidRPr="00DC3455">
              <w:rPr>
                <w:rFonts w:asciiTheme="majorBidi" w:hAnsiTheme="majorBidi" w:cstheme="majorBidi"/>
              </w:rPr>
              <w:t>larvae</w:t>
            </w:r>
            <w:proofErr w:type="spellEnd"/>
            <w:r w:rsidRPr="00DC3455">
              <w:rPr>
                <w:rFonts w:asciiTheme="majorBidi" w:hAnsiTheme="majorBidi" w:cstheme="majorBidi"/>
              </w:rPr>
              <w:t xml:space="preserve"> kg⁻¹ </w:t>
            </w:r>
            <w:proofErr w:type="spellStart"/>
            <w:r w:rsidRPr="00DC3455">
              <w:rPr>
                <w:rFonts w:asciiTheme="majorBidi" w:hAnsiTheme="majorBidi" w:cstheme="majorBidi"/>
              </w:rPr>
              <w:t>soil</w:t>
            </w:r>
            <w:proofErr w:type="spellEnd"/>
            <w:r w:rsidRPr="00DC3455">
              <w:rPr>
                <w:rFonts w:asciiTheme="majorBidi" w:hAnsiTheme="majorBidi" w:cstheme="majorBidi"/>
              </w:rPr>
              <w:t xml:space="preserve">), </w:t>
            </w:r>
          </w:p>
          <w:p w14:paraId="38D3BCE7" w14:textId="77777777" w:rsidR="00DE66FB" w:rsidRDefault="00DE66FB" w:rsidP="00317B41">
            <w:pPr>
              <w:tabs>
                <w:tab w:val="left" w:pos="1320"/>
              </w:tabs>
              <w:spacing w:line="360" w:lineRule="auto"/>
              <w:jc w:val="both"/>
              <w:rPr>
                <w:rFonts w:asciiTheme="majorBidi" w:hAnsiTheme="majorBidi" w:cstheme="majorBidi"/>
              </w:rPr>
            </w:pPr>
            <w:proofErr w:type="spellStart"/>
            <w:proofErr w:type="gramStart"/>
            <w:r w:rsidRPr="00DC3455">
              <w:rPr>
                <w:rFonts w:asciiTheme="majorBidi" w:hAnsiTheme="majorBidi" w:cstheme="majorBidi"/>
              </w:rPr>
              <w:t>separation</w:t>
            </w:r>
            <w:proofErr w:type="spellEnd"/>
            <w:proofErr w:type="gramEnd"/>
            <w:r w:rsidRPr="00DC3455">
              <w:rPr>
                <w:rFonts w:asciiTheme="majorBidi" w:hAnsiTheme="majorBidi" w:cstheme="majorBidi"/>
              </w:rPr>
              <w:t xml:space="preserve"> of </w:t>
            </w:r>
            <w:proofErr w:type="spellStart"/>
            <w:r w:rsidRPr="00DC3455">
              <w:rPr>
                <w:rFonts w:asciiTheme="majorBidi" w:hAnsiTheme="majorBidi" w:cstheme="majorBidi"/>
              </w:rPr>
              <w:t>larvae</w:t>
            </w:r>
            <w:proofErr w:type="spellEnd"/>
            <w:r w:rsidRPr="00DC3455">
              <w:rPr>
                <w:rFonts w:asciiTheme="majorBidi" w:hAnsiTheme="majorBidi" w:cstheme="majorBidi"/>
              </w:rPr>
              <w:t>/</w:t>
            </w:r>
            <w:proofErr w:type="spellStart"/>
            <w:r w:rsidRPr="00DC3455">
              <w:rPr>
                <w:rFonts w:asciiTheme="majorBidi" w:hAnsiTheme="majorBidi" w:cstheme="majorBidi"/>
              </w:rPr>
              <w:t>frass</w:t>
            </w:r>
            <w:proofErr w:type="spellEnd"/>
            <w:r w:rsidRPr="00DC3455">
              <w:rPr>
                <w:rFonts w:asciiTheme="majorBidi" w:hAnsiTheme="majorBidi" w:cstheme="majorBidi"/>
              </w:rPr>
              <w:t>/</w:t>
            </w:r>
            <w:proofErr w:type="spellStart"/>
            <w:r w:rsidRPr="00DC3455">
              <w:rPr>
                <w:rFonts w:asciiTheme="majorBidi" w:hAnsiTheme="majorBidi" w:cstheme="majorBidi"/>
              </w:rPr>
              <w:t>residual</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substrate</w:t>
            </w:r>
            <w:proofErr w:type="spellEnd"/>
            <w:r w:rsidRPr="00DC3455">
              <w:rPr>
                <w:rFonts w:asciiTheme="majorBidi" w:hAnsiTheme="majorBidi" w:cstheme="majorBidi"/>
              </w:rPr>
              <w:t xml:space="preserve">, </w:t>
            </w:r>
          </w:p>
          <w:p w14:paraId="2E02C183" w14:textId="77777777" w:rsidR="00DE66FB"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drying</w:t>
            </w:r>
            <w:proofErr w:type="gramEnd"/>
            <w:r w:rsidRPr="00DC3455">
              <w:rPr>
                <w:rFonts w:asciiTheme="majorBidi" w:hAnsiTheme="majorBidi" w:cstheme="majorBidi"/>
              </w:rPr>
              <w:t xml:space="preserve"> (60 °C, 48 h),</w:t>
            </w:r>
          </w:p>
          <w:p w14:paraId="3AC67F07"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 </w:t>
            </w:r>
            <w:proofErr w:type="spellStart"/>
            <w:proofErr w:type="gramStart"/>
            <w:r w:rsidRPr="00DC3455">
              <w:rPr>
                <w:rFonts w:asciiTheme="majorBidi" w:hAnsiTheme="majorBidi" w:cstheme="majorBidi"/>
              </w:rPr>
              <w:t>acid</w:t>
            </w:r>
            <w:proofErr w:type="spellEnd"/>
            <w:proofErr w:type="gramEnd"/>
            <w:r w:rsidRPr="00DC3455">
              <w:rPr>
                <w:rFonts w:asciiTheme="majorBidi" w:hAnsiTheme="majorBidi" w:cstheme="majorBidi"/>
              </w:rPr>
              <w:t xml:space="preserve"> digestion (HNO₃/H₂O₂, </w:t>
            </w:r>
            <w:proofErr w:type="gramStart"/>
            <w:r w:rsidRPr="00DC3455">
              <w:rPr>
                <w:rFonts w:asciiTheme="majorBidi" w:hAnsiTheme="majorBidi" w:cstheme="majorBidi"/>
              </w:rPr>
              <w:t>4:</w:t>
            </w:r>
            <w:proofErr w:type="gramEnd"/>
            <w:r w:rsidRPr="00DC3455">
              <w:rPr>
                <w:rFonts w:asciiTheme="majorBidi" w:hAnsiTheme="majorBidi" w:cstheme="majorBidi"/>
              </w:rPr>
              <w:t xml:space="preserve">1 v/v), </w:t>
            </w:r>
          </w:p>
          <w:p w14:paraId="6C041179"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ICP–MS quantification</w:t>
            </w:r>
          </w:p>
        </w:tc>
        <w:tc>
          <w:tcPr>
            <w:tcW w:w="0" w:type="auto"/>
            <w:vAlign w:val="center"/>
            <w:hideMark/>
          </w:tcPr>
          <w:p w14:paraId="731F384E"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ICP–MS (Agilent 7900)</w:t>
            </w:r>
          </w:p>
        </w:tc>
        <w:tc>
          <w:tcPr>
            <w:tcW w:w="0" w:type="auto"/>
            <w:vAlign w:val="center"/>
            <w:hideMark/>
          </w:tcPr>
          <w:p w14:paraId="5193903A" w14:textId="65BBACEE" w:rsidR="00DE66FB" w:rsidRPr="00DC3455" w:rsidRDefault="00470EB5" w:rsidP="00317B41">
            <w:pPr>
              <w:tabs>
                <w:tab w:val="left" w:pos="1320"/>
              </w:tabs>
              <w:spacing w:line="360" w:lineRule="auto"/>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ZOTERO_ITEM CSL_CITATION {"citationID":"aqCJRIi1","properties":{"formattedCitation":"(Jiu {\\i{}et al.}, 2023)","plainCitation":"(Jiu et al., 2023)","noteIndex":0},"citationItems":[{"id":61,"uris":["http://zotero.org/users/local/KzBknP8P/items/9MT5WKAQ"],"itemData":{"id":61,"type":"article-journal","container-title":"International Journal of Coal Geology","DOI":"10.1016/j.coal.2023.104184","ISSN":"01665162","journalAbbreviation":"International Journal of Coal Geology","language":"en","page":"104184","source":"DOI.org (Crossref)","title":"Distribution of Li, Ga, Nb, and REEs in coal as determined by LA-ICP-MS imaging: A case study from Jungar coalfield, Ordos Basin, China","title-short":"Distribution of Li, Ga, Nb, and REEs in coal as determined by LA-ICP-MS imaging","volume":"267","author":[{"family":"Jiu","given":"Bo"},{"family":"Huang","given":"Wenhui"},{"family":"Spiro","given":"Baruch"},{"family":"Hao","given":"Ruilin"},{"family":"Mu","given":"Nana"},{"family":"Wen","given":"Long"},{"family":"Hao","given":"Huidi"}],"issued":{"date-parts":[["2023",2]]}}}],"schema":"https://github.com/citation-style-language/schema/raw/master/csl-citation.json"} </w:instrText>
            </w:r>
            <w:r>
              <w:rPr>
                <w:rFonts w:asciiTheme="majorBidi" w:hAnsiTheme="majorBidi" w:cstheme="majorBidi"/>
              </w:rPr>
              <w:fldChar w:fldCharType="separate"/>
            </w:r>
            <w:r w:rsidRPr="00470EB5">
              <w:rPr>
                <w:rFonts w:ascii="Times New Roman" w:hAnsi="Times New Roman" w:cs="Times New Roman"/>
                <w:kern w:val="0"/>
              </w:rPr>
              <w:t xml:space="preserve">(Jiu </w:t>
            </w:r>
            <w:r w:rsidRPr="00470EB5">
              <w:rPr>
                <w:rFonts w:ascii="Times New Roman" w:hAnsi="Times New Roman" w:cs="Times New Roman"/>
                <w:i/>
                <w:iCs/>
                <w:kern w:val="0"/>
              </w:rPr>
              <w:t>et al.</w:t>
            </w:r>
            <w:r w:rsidRPr="00470EB5">
              <w:rPr>
                <w:rFonts w:ascii="Times New Roman" w:hAnsi="Times New Roman" w:cs="Times New Roman"/>
                <w:kern w:val="0"/>
              </w:rPr>
              <w:t>, 2023)</w:t>
            </w:r>
            <w:r>
              <w:rPr>
                <w:rFonts w:asciiTheme="majorBidi" w:hAnsiTheme="majorBidi" w:cstheme="majorBidi"/>
              </w:rPr>
              <w:fldChar w:fldCharType="end"/>
            </w:r>
          </w:p>
        </w:tc>
      </w:tr>
      <w:tr w:rsidR="00DE66FB" w:rsidRPr="00966833" w14:paraId="3A72CEA1" w14:textId="77777777" w:rsidTr="00317B41">
        <w:trPr>
          <w:tblCellSpacing w:w="15" w:type="dxa"/>
        </w:trPr>
        <w:tc>
          <w:tcPr>
            <w:tcW w:w="0" w:type="auto"/>
            <w:vAlign w:val="center"/>
            <w:hideMark/>
          </w:tcPr>
          <w:p w14:paraId="169BE0ED"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Subcellular</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fractionation</w:t>
            </w:r>
            <w:proofErr w:type="spellEnd"/>
          </w:p>
        </w:tc>
        <w:tc>
          <w:tcPr>
            <w:tcW w:w="0" w:type="auto"/>
            <w:vAlign w:val="center"/>
            <w:hideMark/>
          </w:tcPr>
          <w:p w14:paraId="7510A26F" w14:textId="77777777" w:rsidR="00DE66FB"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Differential</w:t>
            </w:r>
            <w:proofErr w:type="spellEnd"/>
            <w:r w:rsidRPr="00DC3455">
              <w:rPr>
                <w:rFonts w:asciiTheme="majorBidi" w:hAnsiTheme="majorBidi" w:cstheme="majorBidi"/>
              </w:rPr>
              <w:t xml:space="preserve"> </w:t>
            </w:r>
            <w:proofErr w:type="gramStart"/>
            <w:r w:rsidRPr="00DC3455">
              <w:rPr>
                <w:rFonts w:asciiTheme="majorBidi" w:hAnsiTheme="majorBidi" w:cstheme="majorBidi"/>
              </w:rPr>
              <w:t>centrifugation:</w:t>
            </w:r>
            <w:proofErr w:type="gramEnd"/>
            <w:r w:rsidRPr="00DC3455">
              <w:rPr>
                <w:rFonts w:asciiTheme="majorBidi" w:hAnsiTheme="majorBidi" w:cstheme="majorBidi"/>
              </w:rPr>
              <w:t xml:space="preserve"> </w:t>
            </w:r>
          </w:p>
          <w:p w14:paraId="1A348153"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1,000 × g (</w:t>
            </w:r>
            <w:proofErr w:type="spellStart"/>
            <w:r w:rsidRPr="00DC3455">
              <w:rPr>
                <w:rFonts w:asciiTheme="majorBidi" w:hAnsiTheme="majorBidi" w:cstheme="majorBidi"/>
              </w:rPr>
              <w:t>cell</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wall</w:t>
            </w:r>
            <w:proofErr w:type="spellEnd"/>
            <w:r w:rsidRPr="00DC3455">
              <w:rPr>
                <w:rFonts w:asciiTheme="majorBidi" w:hAnsiTheme="majorBidi" w:cstheme="majorBidi"/>
              </w:rPr>
              <w:t xml:space="preserve">), </w:t>
            </w:r>
          </w:p>
          <w:p w14:paraId="6B521083"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12,000 × g (</w:t>
            </w:r>
            <w:proofErr w:type="spellStart"/>
            <w:r w:rsidRPr="00DC3455">
              <w:rPr>
                <w:rFonts w:asciiTheme="majorBidi" w:hAnsiTheme="majorBidi" w:cstheme="majorBidi"/>
              </w:rPr>
              <w:t>mitochondria</w:t>
            </w:r>
            <w:proofErr w:type="spellEnd"/>
            <w:r w:rsidRPr="00DC3455">
              <w:rPr>
                <w:rFonts w:asciiTheme="majorBidi" w:hAnsiTheme="majorBidi" w:cstheme="majorBidi"/>
              </w:rPr>
              <w:t>),</w:t>
            </w:r>
          </w:p>
          <w:p w14:paraId="465056BE"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 100,000 × g (microsomal/soluble)</w:t>
            </w:r>
          </w:p>
        </w:tc>
        <w:tc>
          <w:tcPr>
            <w:tcW w:w="0" w:type="auto"/>
            <w:vAlign w:val="center"/>
            <w:hideMark/>
          </w:tcPr>
          <w:p w14:paraId="131C9942" w14:textId="77777777" w:rsidR="00DE66FB" w:rsidRPr="00DC3455"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Ultracentrifuge;</w:t>
            </w:r>
            <w:proofErr w:type="gramEnd"/>
            <w:r w:rsidRPr="00DC3455">
              <w:rPr>
                <w:rFonts w:asciiTheme="majorBidi" w:hAnsiTheme="majorBidi" w:cstheme="majorBidi"/>
              </w:rPr>
              <w:t xml:space="preserve"> ICP–MS</w:t>
            </w:r>
          </w:p>
        </w:tc>
        <w:tc>
          <w:tcPr>
            <w:tcW w:w="0" w:type="auto"/>
            <w:vAlign w:val="center"/>
            <w:hideMark/>
          </w:tcPr>
          <w:p w14:paraId="12E6C727" w14:textId="7B7E778E" w:rsidR="00DE66FB" w:rsidRPr="00DC3455" w:rsidRDefault="004F6EC6" w:rsidP="00317B41">
            <w:pPr>
              <w:tabs>
                <w:tab w:val="left" w:pos="1320"/>
              </w:tabs>
              <w:spacing w:line="360" w:lineRule="auto"/>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ZOTERO_ITEM CSL_CITATION {"citationID":"5oGqCzSw","properties":{"formattedCitation":"(Lu {\\i{}et al.}, 2020)","plainCitation":"(Lu et al., 2020)","noteIndex":0},"citationItems":[{"id":62,"uris":["http://zotero.org/users/local/KzBknP8P/items/UUDY4X3L"],"itemData":{"id":62,"type":"article-journal","container-title":"Ecotoxicology and Environmental Safety","DOI":"10.1016/j.ecoenv.2020.110988","ISSN":"01476513","journalAbbreviation":"Ecotoxicology and Environmental Safety","language":"en","page":"110988","source":"DOI.org (Crossref)","title":"The effect of Funneliformis mosseae on the plant growth, Cd translocation and accumulation in the new Cd-hyperaccumulator Sphagneticola calendulacea","volume":"203","author":[{"family":"Lu","given":"Rui-Rui"},{"family":"Hu","given":"Zun-He"},{"family":"Zhang","given":"Qi-Lei"},{"family":"Li","given":"Yu-Qi"},{"family":"Lin","given":"Min"},{"family":"Wang","given":"Xian-Ling"},{"family":"Wu","given":"Xue-Ni"},{"family":"Yang","given":"Jie-Ting"},{"family":"Zhang","given":"Li-Qin"},{"family":"Jing","given":"Yuan-Xiao"},{"family":"Peng","given":"Chang-Lian"}],"issued":{"date-parts":[["2020",10]]}}}],"schema":"https://github.com/citation-style-language/schema/raw/master/csl-citation.json"} </w:instrText>
            </w:r>
            <w:r>
              <w:rPr>
                <w:rFonts w:asciiTheme="majorBidi" w:hAnsiTheme="majorBidi" w:cstheme="majorBidi"/>
              </w:rPr>
              <w:fldChar w:fldCharType="separate"/>
            </w:r>
            <w:r w:rsidRPr="004F6EC6">
              <w:rPr>
                <w:rFonts w:ascii="Times New Roman" w:hAnsi="Times New Roman" w:cs="Times New Roman"/>
                <w:kern w:val="0"/>
              </w:rPr>
              <w:t xml:space="preserve">(Lu </w:t>
            </w:r>
            <w:r w:rsidRPr="004F6EC6">
              <w:rPr>
                <w:rFonts w:ascii="Times New Roman" w:hAnsi="Times New Roman" w:cs="Times New Roman"/>
                <w:i/>
                <w:iCs/>
                <w:kern w:val="0"/>
              </w:rPr>
              <w:t>et al.</w:t>
            </w:r>
            <w:r w:rsidRPr="004F6EC6">
              <w:rPr>
                <w:rFonts w:ascii="Times New Roman" w:hAnsi="Times New Roman" w:cs="Times New Roman"/>
                <w:kern w:val="0"/>
              </w:rPr>
              <w:t>, 2020)</w:t>
            </w:r>
            <w:r>
              <w:rPr>
                <w:rFonts w:asciiTheme="majorBidi" w:hAnsiTheme="majorBidi" w:cstheme="majorBidi"/>
              </w:rPr>
              <w:fldChar w:fldCharType="end"/>
            </w:r>
          </w:p>
        </w:tc>
      </w:tr>
      <w:tr w:rsidR="00DE66FB" w:rsidRPr="00420541" w14:paraId="55B5E0C5" w14:textId="77777777" w:rsidTr="00317B41">
        <w:trPr>
          <w:tblCellSpacing w:w="15" w:type="dxa"/>
        </w:trPr>
        <w:tc>
          <w:tcPr>
            <w:tcW w:w="0" w:type="auto"/>
            <w:vAlign w:val="center"/>
            <w:hideMark/>
          </w:tcPr>
          <w:p w14:paraId="616DB773"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Metallothioneins</w:t>
            </w:r>
            <w:proofErr w:type="spellEnd"/>
          </w:p>
        </w:tc>
        <w:tc>
          <w:tcPr>
            <w:tcW w:w="0" w:type="auto"/>
            <w:vAlign w:val="center"/>
            <w:hideMark/>
          </w:tcPr>
          <w:p w14:paraId="4923A320"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Ellman’s</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reagent</w:t>
            </w:r>
            <w:proofErr w:type="spellEnd"/>
            <w:r w:rsidRPr="00DC3455">
              <w:rPr>
                <w:rFonts w:asciiTheme="majorBidi" w:hAnsiTheme="majorBidi" w:cstheme="majorBidi"/>
              </w:rPr>
              <w:t xml:space="preserve"> (DTNB) </w:t>
            </w:r>
            <w:proofErr w:type="spellStart"/>
            <w:r w:rsidRPr="00DC3455">
              <w:rPr>
                <w:rFonts w:asciiTheme="majorBidi" w:hAnsiTheme="majorBidi" w:cstheme="majorBidi"/>
              </w:rPr>
              <w:t>assay</w:t>
            </w:r>
            <w:proofErr w:type="spellEnd"/>
          </w:p>
        </w:tc>
        <w:tc>
          <w:tcPr>
            <w:tcW w:w="0" w:type="auto"/>
            <w:vAlign w:val="center"/>
            <w:hideMark/>
          </w:tcPr>
          <w:p w14:paraId="7735CF20"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Spectrophotometer</w:t>
            </w:r>
            <w:proofErr w:type="spellEnd"/>
            <w:r w:rsidRPr="00DC3455">
              <w:rPr>
                <w:rFonts w:asciiTheme="majorBidi" w:hAnsiTheme="majorBidi" w:cstheme="majorBidi"/>
              </w:rPr>
              <w:t xml:space="preserve"> (412 nm)</w:t>
            </w:r>
          </w:p>
        </w:tc>
        <w:tc>
          <w:tcPr>
            <w:tcW w:w="0" w:type="auto"/>
            <w:vAlign w:val="center"/>
            <w:hideMark/>
          </w:tcPr>
          <w:p w14:paraId="6657E9EC" w14:textId="09B00BFE" w:rsidR="00DE66FB" w:rsidRPr="00DC3455" w:rsidRDefault="004F6EC6" w:rsidP="00317B41">
            <w:pPr>
              <w:tabs>
                <w:tab w:val="left" w:pos="1320"/>
              </w:tabs>
              <w:spacing w:line="360" w:lineRule="auto"/>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ZOTERO_ITEM CSL_CITATION {"citationID":"Qa8l6HPq","properties":{"formattedCitation":"(Li {\\i{}et al.}, 2023)","plainCitation":"(Li et al., 2023)","noteIndex":0},"citationItems":[{"id":63,"uris":["http://zotero.org/users/local/KzBknP8P/items/LKU2RX2Y"],"itemData":{"id":63,"type":"article-journal","abstract":"Plant secondary metabolites are well known for their biological functions in defending against pathogenic microorganisms. Tea saponin (TS), one type of secondary metabolite of the tea plant ( Camellia sinensis), has been shown to be a valuable botanical pesticide. However, its antifungal activity in controlling the fungi Valsa mali, Botryosphaeria dothidea, and Alternaria alternata, which induce major diseases in apple ( Malus domestica), has not been determined. In this study, we first determined that TS has higher inhibitory activity than catechins against the three types of fungi. We further utilized in vitro and in vivo assays to confirm that TS showed high antifungal activity against the three types of fungi, especially for V. mali and B. dothidea. In the in vivo assay, application of a 0.5% TS solution was able to restrain the fungus-induced necrotic area in detached apple leaves efficiently. Moreover, a greenhouse infection assay also confirmed that TS treatment significantly inhibited V. mali infection in leaves of apple seedlings. In addition, TS treatment activated plant immune responses by decreasing accumulation of reactive oxygen species and promoting the activity of pathogenesis-related proteins, including chitinase and β-1,3-glucanase. This indicated that TS might serve as a plant defense inducer to activate innate immunity to fight against fungal pathogen invasion. Therefore, our data indicated that TS might restrain fungal infection in two ways, by directly inhibiting the growth of fungi and by activating plant innate defense responses as a plant defense inducer.","container-title":"Phytopathology®","DOI":"10.1094/PHYTO-01-23-0014-R","ISSN":"0031-949X, 1943-7684","journalAbbreviation":"Phytopathology®","language":"en","page":"PHYTO-01-23-0014-R","source":"DOI.org (Crossref)","title":"Inhibitory Effect of Tea Saponin on Major Apple-Disease-Inducing Fungi","author":[{"family":"Li","given":"Zhao-Yang"},{"family":"Sun","given":"Qian"},{"family":"Ma","given":"Ning"},{"family":"Zhang","given":"Fu-Jun"},{"family":"Zhang","given":"Shuai"},{"family":"Zhang","given":"Zheng-Qun"},{"family":"Wang","given":"Xiao-Fei"},{"family":"Sun","given":"Ping"},{"family":"You","given":"Chun-Xiang"},{"family":"Zhang","given":"Zhenlu"}],"issued":{"date-parts":[["2023",11,8]]}}}],"schema":"https://github.com/citation-style-language/schema/raw/master/csl-citation.json"} </w:instrText>
            </w:r>
            <w:r>
              <w:rPr>
                <w:rFonts w:asciiTheme="majorBidi" w:hAnsiTheme="majorBidi" w:cstheme="majorBidi"/>
              </w:rPr>
              <w:fldChar w:fldCharType="separate"/>
            </w:r>
            <w:r w:rsidRPr="004F6EC6">
              <w:rPr>
                <w:rFonts w:ascii="Times New Roman" w:hAnsi="Times New Roman" w:cs="Times New Roman"/>
                <w:kern w:val="0"/>
              </w:rPr>
              <w:t xml:space="preserve">(Li </w:t>
            </w:r>
            <w:r w:rsidRPr="004F6EC6">
              <w:rPr>
                <w:rFonts w:ascii="Times New Roman" w:hAnsi="Times New Roman" w:cs="Times New Roman"/>
                <w:i/>
                <w:iCs/>
                <w:kern w:val="0"/>
              </w:rPr>
              <w:t>et al.</w:t>
            </w:r>
            <w:r w:rsidRPr="004F6EC6">
              <w:rPr>
                <w:rFonts w:ascii="Times New Roman" w:hAnsi="Times New Roman" w:cs="Times New Roman"/>
                <w:kern w:val="0"/>
              </w:rPr>
              <w:t>, 2023)</w:t>
            </w:r>
            <w:r>
              <w:rPr>
                <w:rFonts w:asciiTheme="majorBidi" w:hAnsiTheme="majorBidi" w:cstheme="majorBidi"/>
              </w:rPr>
              <w:fldChar w:fldCharType="end"/>
            </w:r>
          </w:p>
        </w:tc>
      </w:tr>
      <w:tr w:rsidR="00DE66FB" w:rsidRPr="00DC3455" w14:paraId="000912E7" w14:textId="77777777" w:rsidTr="00317B41">
        <w:trPr>
          <w:tblCellSpacing w:w="15" w:type="dxa"/>
        </w:trPr>
        <w:tc>
          <w:tcPr>
            <w:tcW w:w="0" w:type="auto"/>
            <w:vAlign w:val="center"/>
            <w:hideMark/>
          </w:tcPr>
          <w:p w14:paraId="3D7CBDD5"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Antioxidant</w:t>
            </w:r>
            <w:proofErr w:type="spellEnd"/>
            <w:r w:rsidRPr="00DC3455">
              <w:rPr>
                <w:rFonts w:asciiTheme="majorBidi" w:hAnsiTheme="majorBidi" w:cstheme="majorBidi"/>
              </w:rPr>
              <w:t xml:space="preserve"> enzymes (GST, SOD, CAT)</w:t>
            </w:r>
          </w:p>
        </w:tc>
        <w:tc>
          <w:tcPr>
            <w:tcW w:w="0" w:type="auto"/>
            <w:vAlign w:val="center"/>
            <w:hideMark/>
          </w:tcPr>
          <w:p w14:paraId="758B6D2A"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GST (CDNB </w:t>
            </w:r>
            <w:proofErr w:type="spellStart"/>
            <w:r w:rsidRPr="00DC3455">
              <w:rPr>
                <w:rFonts w:asciiTheme="majorBidi" w:hAnsiTheme="majorBidi" w:cstheme="majorBidi"/>
              </w:rPr>
              <w:t>conjugation</w:t>
            </w:r>
            <w:proofErr w:type="spellEnd"/>
            <w:r w:rsidRPr="00DC3455">
              <w:rPr>
                <w:rFonts w:asciiTheme="majorBidi" w:hAnsiTheme="majorBidi" w:cstheme="majorBidi"/>
              </w:rPr>
              <w:t>, 340 nm</w:t>
            </w:r>
            <w:proofErr w:type="gramStart"/>
            <w:r w:rsidRPr="00DC3455">
              <w:rPr>
                <w:rFonts w:asciiTheme="majorBidi" w:hAnsiTheme="majorBidi" w:cstheme="majorBidi"/>
              </w:rPr>
              <w:t>);</w:t>
            </w:r>
            <w:proofErr w:type="gramEnd"/>
            <w:r w:rsidRPr="00DC3455">
              <w:rPr>
                <w:rFonts w:asciiTheme="majorBidi" w:hAnsiTheme="majorBidi" w:cstheme="majorBidi"/>
              </w:rPr>
              <w:t xml:space="preserve"> </w:t>
            </w:r>
          </w:p>
          <w:p w14:paraId="00E7EDD5"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SOD (NBT inhibition, 560 nm</w:t>
            </w:r>
            <w:proofErr w:type="gramStart"/>
            <w:r w:rsidRPr="00DC3455">
              <w:rPr>
                <w:rFonts w:asciiTheme="majorBidi" w:hAnsiTheme="majorBidi" w:cstheme="majorBidi"/>
              </w:rPr>
              <w:t>);</w:t>
            </w:r>
            <w:proofErr w:type="gramEnd"/>
            <w:r w:rsidRPr="00DC3455">
              <w:rPr>
                <w:rFonts w:asciiTheme="majorBidi" w:hAnsiTheme="majorBidi" w:cstheme="majorBidi"/>
              </w:rPr>
              <w:t xml:space="preserve"> </w:t>
            </w:r>
          </w:p>
          <w:p w14:paraId="5C9BA45F"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lastRenderedPageBreak/>
              <w:t xml:space="preserve">CAT (H₂O₂ </w:t>
            </w:r>
            <w:proofErr w:type="spellStart"/>
            <w:r w:rsidRPr="00DC3455">
              <w:rPr>
                <w:rFonts w:asciiTheme="majorBidi" w:hAnsiTheme="majorBidi" w:cstheme="majorBidi"/>
              </w:rPr>
              <w:t>decomposition</w:t>
            </w:r>
            <w:proofErr w:type="spellEnd"/>
            <w:r w:rsidRPr="00DC3455">
              <w:rPr>
                <w:rFonts w:asciiTheme="majorBidi" w:hAnsiTheme="majorBidi" w:cstheme="majorBidi"/>
              </w:rPr>
              <w:t>, 240 nm)</w:t>
            </w:r>
          </w:p>
        </w:tc>
        <w:tc>
          <w:tcPr>
            <w:tcW w:w="0" w:type="auto"/>
            <w:vAlign w:val="center"/>
            <w:hideMark/>
          </w:tcPr>
          <w:p w14:paraId="59FDBFDB"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lastRenderedPageBreak/>
              <w:t xml:space="preserve">UV–Vis </w:t>
            </w:r>
            <w:proofErr w:type="spellStart"/>
            <w:r w:rsidRPr="00DC3455">
              <w:rPr>
                <w:rFonts w:asciiTheme="majorBidi" w:hAnsiTheme="majorBidi" w:cstheme="majorBidi"/>
              </w:rPr>
              <w:t>spectrophotometer</w:t>
            </w:r>
            <w:proofErr w:type="spellEnd"/>
          </w:p>
        </w:tc>
        <w:tc>
          <w:tcPr>
            <w:tcW w:w="0" w:type="auto"/>
            <w:vAlign w:val="center"/>
            <w:hideMark/>
          </w:tcPr>
          <w:p w14:paraId="76B616B6"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Bradford, </w:t>
            </w:r>
            <w:proofErr w:type="gramStart"/>
            <w:r w:rsidRPr="00DC3455">
              <w:rPr>
                <w:rFonts w:asciiTheme="majorBidi" w:hAnsiTheme="majorBidi" w:cstheme="majorBidi"/>
              </w:rPr>
              <w:t>1976;</w:t>
            </w:r>
            <w:proofErr w:type="gramEnd"/>
            <w:r w:rsidRPr="00DC3455">
              <w:rPr>
                <w:rFonts w:asciiTheme="majorBidi" w:hAnsiTheme="majorBidi" w:cstheme="majorBidi"/>
              </w:rPr>
              <w:t xml:space="preserve"> </w:t>
            </w:r>
          </w:p>
          <w:p w14:paraId="4292425F"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lastRenderedPageBreak/>
              <w:t xml:space="preserve">Wang &amp; </w:t>
            </w:r>
            <w:proofErr w:type="spellStart"/>
            <w:r w:rsidRPr="00DC3455">
              <w:rPr>
                <w:rFonts w:asciiTheme="majorBidi" w:hAnsiTheme="majorBidi" w:cstheme="majorBidi"/>
              </w:rPr>
              <w:t>Shelomi</w:t>
            </w:r>
            <w:proofErr w:type="spellEnd"/>
            <w:r w:rsidRPr="00DC3455">
              <w:rPr>
                <w:rFonts w:asciiTheme="majorBidi" w:hAnsiTheme="majorBidi" w:cstheme="majorBidi"/>
              </w:rPr>
              <w:t>, 2017</w:t>
            </w:r>
          </w:p>
        </w:tc>
      </w:tr>
      <w:tr w:rsidR="00DE66FB" w:rsidRPr="00DC3455" w14:paraId="750F9B64" w14:textId="77777777" w:rsidTr="00317B41">
        <w:trPr>
          <w:tblCellSpacing w:w="15" w:type="dxa"/>
        </w:trPr>
        <w:tc>
          <w:tcPr>
            <w:tcW w:w="0" w:type="auto"/>
            <w:vAlign w:val="center"/>
            <w:hideMark/>
          </w:tcPr>
          <w:p w14:paraId="7726D9F8"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lastRenderedPageBreak/>
              <w:t>Frass</w:t>
            </w:r>
            <w:proofErr w:type="spellEnd"/>
            <w:r w:rsidRPr="00DC3455">
              <w:rPr>
                <w:rFonts w:asciiTheme="majorBidi" w:hAnsiTheme="majorBidi" w:cstheme="majorBidi"/>
              </w:rPr>
              <w:t xml:space="preserve"> pH &amp; composition</w:t>
            </w:r>
          </w:p>
        </w:tc>
        <w:tc>
          <w:tcPr>
            <w:tcW w:w="0" w:type="auto"/>
            <w:vAlign w:val="center"/>
            <w:hideMark/>
          </w:tcPr>
          <w:p w14:paraId="2884E5D3" w14:textId="77777777" w:rsidR="00DE66FB"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pH</w:t>
            </w:r>
            <w:proofErr w:type="gramEnd"/>
            <w:r w:rsidRPr="00DC3455">
              <w:rPr>
                <w:rFonts w:asciiTheme="majorBidi" w:hAnsiTheme="majorBidi" w:cstheme="majorBidi"/>
              </w:rPr>
              <w:t xml:space="preserve"> in </w:t>
            </w:r>
            <w:proofErr w:type="gramStart"/>
            <w:r w:rsidRPr="00DC3455">
              <w:rPr>
                <w:rFonts w:asciiTheme="majorBidi" w:hAnsiTheme="majorBidi" w:cstheme="majorBidi"/>
              </w:rPr>
              <w:t>1:</w:t>
            </w:r>
            <w:proofErr w:type="gramEnd"/>
            <w:r w:rsidRPr="00DC3455">
              <w:rPr>
                <w:rFonts w:asciiTheme="majorBidi" w:hAnsiTheme="majorBidi" w:cstheme="majorBidi"/>
              </w:rPr>
              <w:t xml:space="preserve">2.5 </w:t>
            </w:r>
            <w:proofErr w:type="gramStart"/>
            <w:r w:rsidRPr="00DC3455">
              <w:rPr>
                <w:rFonts w:asciiTheme="majorBidi" w:hAnsiTheme="majorBidi" w:cstheme="majorBidi"/>
              </w:rPr>
              <w:t>suspension;</w:t>
            </w:r>
            <w:proofErr w:type="gramEnd"/>
            <w:r w:rsidRPr="00DC3455">
              <w:rPr>
                <w:rFonts w:asciiTheme="majorBidi" w:hAnsiTheme="majorBidi" w:cstheme="majorBidi"/>
              </w:rPr>
              <w:t xml:space="preserve"> </w:t>
            </w:r>
          </w:p>
          <w:p w14:paraId="0D7191F8" w14:textId="77777777" w:rsidR="00DE66FB" w:rsidRPr="00DC3455"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Ca</w:t>
            </w:r>
            <w:proofErr w:type="gramEnd"/>
            <w:r w:rsidRPr="00DC3455">
              <w:rPr>
                <w:rFonts w:asciiTheme="majorBidi" w:hAnsiTheme="majorBidi" w:cstheme="majorBidi"/>
              </w:rPr>
              <w:t xml:space="preserve">, P by ICP–MS </w:t>
            </w:r>
            <w:proofErr w:type="spellStart"/>
            <w:r w:rsidRPr="00DC3455">
              <w:rPr>
                <w:rFonts w:asciiTheme="majorBidi" w:hAnsiTheme="majorBidi" w:cstheme="majorBidi"/>
              </w:rPr>
              <w:t>after</w:t>
            </w:r>
            <w:proofErr w:type="spellEnd"/>
            <w:r w:rsidRPr="00DC3455">
              <w:rPr>
                <w:rFonts w:asciiTheme="majorBidi" w:hAnsiTheme="majorBidi" w:cstheme="majorBidi"/>
              </w:rPr>
              <w:t xml:space="preserve"> digestion</w:t>
            </w:r>
          </w:p>
        </w:tc>
        <w:tc>
          <w:tcPr>
            <w:tcW w:w="0" w:type="auto"/>
            <w:vAlign w:val="center"/>
            <w:hideMark/>
          </w:tcPr>
          <w:p w14:paraId="58F9810D" w14:textId="77777777" w:rsidR="00DE66FB" w:rsidRPr="00DC3455"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pH</w:t>
            </w:r>
            <w:proofErr w:type="gramEnd"/>
            <w:r w:rsidRPr="00DC3455">
              <w:rPr>
                <w:rFonts w:asciiTheme="majorBidi" w:hAnsiTheme="majorBidi" w:cstheme="majorBidi"/>
              </w:rPr>
              <w:t xml:space="preserve"> </w:t>
            </w:r>
            <w:proofErr w:type="spellStart"/>
            <w:proofErr w:type="gramStart"/>
            <w:r w:rsidRPr="00DC3455">
              <w:rPr>
                <w:rFonts w:asciiTheme="majorBidi" w:hAnsiTheme="majorBidi" w:cstheme="majorBidi"/>
              </w:rPr>
              <w:t>electrode</w:t>
            </w:r>
            <w:proofErr w:type="spellEnd"/>
            <w:r w:rsidRPr="00DC3455">
              <w:rPr>
                <w:rFonts w:asciiTheme="majorBidi" w:hAnsiTheme="majorBidi" w:cstheme="majorBidi"/>
              </w:rPr>
              <w:t>;</w:t>
            </w:r>
            <w:proofErr w:type="gramEnd"/>
            <w:r w:rsidRPr="00DC3455">
              <w:rPr>
                <w:rFonts w:asciiTheme="majorBidi" w:hAnsiTheme="majorBidi" w:cstheme="majorBidi"/>
              </w:rPr>
              <w:t xml:space="preserve"> ICP–MS</w:t>
            </w:r>
          </w:p>
        </w:tc>
        <w:tc>
          <w:tcPr>
            <w:tcW w:w="0" w:type="auto"/>
            <w:vAlign w:val="center"/>
            <w:hideMark/>
          </w:tcPr>
          <w:p w14:paraId="76D8C522"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Bulak</w:t>
            </w:r>
            <w:proofErr w:type="spellEnd"/>
            <w:r w:rsidRPr="00DC3455">
              <w:rPr>
                <w:rFonts w:asciiTheme="majorBidi" w:hAnsiTheme="majorBidi" w:cstheme="majorBidi"/>
              </w:rPr>
              <w:t xml:space="preserve"> et al., 2020</w:t>
            </w:r>
          </w:p>
        </w:tc>
      </w:tr>
      <w:tr w:rsidR="00DE66FB" w:rsidRPr="00DC3455" w14:paraId="153938FC" w14:textId="77777777" w:rsidTr="00317B41">
        <w:trPr>
          <w:tblCellSpacing w:w="15" w:type="dxa"/>
        </w:trPr>
        <w:tc>
          <w:tcPr>
            <w:tcW w:w="0" w:type="auto"/>
            <w:vAlign w:val="center"/>
            <w:hideMark/>
          </w:tcPr>
          <w:p w14:paraId="72C936D9"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Exchangeable</w:t>
            </w:r>
            <w:proofErr w:type="spellEnd"/>
            <w:r w:rsidRPr="00DC3455">
              <w:rPr>
                <w:rFonts w:asciiTheme="majorBidi" w:hAnsiTheme="majorBidi" w:cstheme="majorBidi"/>
              </w:rPr>
              <w:t xml:space="preserve"> fractions</w:t>
            </w:r>
          </w:p>
        </w:tc>
        <w:tc>
          <w:tcPr>
            <w:tcW w:w="0" w:type="auto"/>
            <w:vAlign w:val="center"/>
            <w:hideMark/>
          </w:tcPr>
          <w:p w14:paraId="2C4A15D9"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Extraction </w:t>
            </w:r>
            <w:proofErr w:type="spellStart"/>
            <w:r w:rsidRPr="00DC3455">
              <w:rPr>
                <w:rFonts w:asciiTheme="majorBidi" w:hAnsiTheme="majorBidi" w:cstheme="majorBidi"/>
              </w:rPr>
              <w:t>with</w:t>
            </w:r>
            <w:proofErr w:type="spellEnd"/>
            <w:r w:rsidRPr="00DC3455">
              <w:rPr>
                <w:rFonts w:asciiTheme="majorBidi" w:hAnsiTheme="majorBidi" w:cstheme="majorBidi"/>
              </w:rPr>
              <w:t xml:space="preserve"> 1 M </w:t>
            </w:r>
            <w:proofErr w:type="spellStart"/>
            <w:r w:rsidRPr="00DC3455">
              <w:rPr>
                <w:rFonts w:asciiTheme="majorBidi" w:hAnsiTheme="majorBidi" w:cstheme="majorBidi"/>
              </w:rPr>
              <w:t>MgCl</w:t>
            </w:r>
            <w:proofErr w:type="spellEnd"/>
            <w:r w:rsidRPr="00DC3455">
              <w:rPr>
                <w:rFonts w:asciiTheme="majorBidi" w:hAnsiTheme="majorBidi" w:cstheme="majorBidi"/>
              </w:rPr>
              <w:t>₂ (pH 7.0)</w:t>
            </w:r>
          </w:p>
        </w:tc>
        <w:tc>
          <w:tcPr>
            <w:tcW w:w="0" w:type="auto"/>
            <w:vAlign w:val="center"/>
            <w:hideMark/>
          </w:tcPr>
          <w:p w14:paraId="3134F8C7"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ICP–MS</w:t>
            </w:r>
          </w:p>
        </w:tc>
        <w:tc>
          <w:tcPr>
            <w:tcW w:w="0" w:type="auto"/>
            <w:vAlign w:val="center"/>
            <w:hideMark/>
          </w:tcPr>
          <w:p w14:paraId="5838C70E"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Lalander</w:t>
            </w:r>
            <w:proofErr w:type="spellEnd"/>
            <w:r w:rsidRPr="00DC3455">
              <w:rPr>
                <w:rFonts w:asciiTheme="majorBidi" w:hAnsiTheme="majorBidi" w:cstheme="majorBidi"/>
              </w:rPr>
              <w:t xml:space="preserve"> et al., 2016</w:t>
            </w:r>
          </w:p>
        </w:tc>
      </w:tr>
      <w:tr w:rsidR="00DE66FB" w:rsidRPr="00DC3455" w14:paraId="0D821A33" w14:textId="77777777" w:rsidTr="00317B41">
        <w:trPr>
          <w:tblCellSpacing w:w="15" w:type="dxa"/>
        </w:trPr>
        <w:tc>
          <w:tcPr>
            <w:tcW w:w="0" w:type="auto"/>
            <w:vAlign w:val="center"/>
            <w:hideMark/>
          </w:tcPr>
          <w:p w14:paraId="4F4BC74E"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TCLP </w:t>
            </w:r>
            <w:proofErr w:type="spellStart"/>
            <w:r w:rsidRPr="00DC3455">
              <w:rPr>
                <w:rFonts w:asciiTheme="majorBidi" w:hAnsiTheme="majorBidi" w:cstheme="majorBidi"/>
              </w:rPr>
              <w:t>leachability</w:t>
            </w:r>
            <w:proofErr w:type="spellEnd"/>
          </w:p>
        </w:tc>
        <w:tc>
          <w:tcPr>
            <w:tcW w:w="0" w:type="auto"/>
            <w:vAlign w:val="center"/>
            <w:hideMark/>
          </w:tcPr>
          <w:p w14:paraId="2929D82C"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EPA Method 1311, </w:t>
            </w:r>
          </w:p>
          <w:p w14:paraId="4556EBD9"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proofErr w:type="gramStart"/>
            <w:r w:rsidRPr="00DC3455">
              <w:rPr>
                <w:rFonts w:asciiTheme="majorBidi" w:hAnsiTheme="majorBidi" w:cstheme="majorBidi"/>
              </w:rPr>
              <w:t>acetic</w:t>
            </w:r>
            <w:proofErr w:type="spellEnd"/>
            <w:proofErr w:type="gramEnd"/>
            <w:r w:rsidRPr="00DC3455">
              <w:rPr>
                <w:rFonts w:asciiTheme="majorBidi" w:hAnsiTheme="majorBidi" w:cstheme="majorBidi"/>
              </w:rPr>
              <w:t xml:space="preserve"> </w:t>
            </w:r>
            <w:proofErr w:type="spellStart"/>
            <w:r w:rsidRPr="00DC3455">
              <w:rPr>
                <w:rFonts w:asciiTheme="majorBidi" w:hAnsiTheme="majorBidi" w:cstheme="majorBidi"/>
              </w:rPr>
              <w:t>acid</w:t>
            </w:r>
            <w:proofErr w:type="spellEnd"/>
            <w:r w:rsidRPr="00DC3455">
              <w:rPr>
                <w:rFonts w:asciiTheme="majorBidi" w:hAnsiTheme="majorBidi" w:cstheme="majorBidi"/>
              </w:rPr>
              <w:t xml:space="preserve"> buffer (pH 4.93)</w:t>
            </w:r>
          </w:p>
        </w:tc>
        <w:tc>
          <w:tcPr>
            <w:tcW w:w="0" w:type="auto"/>
            <w:vAlign w:val="center"/>
            <w:hideMark/>
          </w:tcPr>
          <w:p w14:paraId="32A2B1D5"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ICP–MS</w:t>
            </w:r>
          </w:p>
        </w:tc>
        <w:tc>
          <w:tcPr>
            <w:tcW w:w="0" w:type="auto"/>
            <w:vAlign w:val="center"/>
            <w:hideMark/>
          </w:tcPr>
          <w:p w14:paraId="268D1597"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U.S. EPA, 1992</w:t>
            </w:r>
          </w:p>
        </w:tc>
      </w:tr>
      <w:tr w:rsidR="00DE66FB" w:rsidRPr="00DC3455" w14:paraId="05BC6FD2" w14:textId="77777777" w:rsidTr="00317B41">
        <w:trPr>
          <w:tblCellSpacing w:w="15" w:type="dxa"/>
        </w:trPr>
        <w:tc>
          <w:tcPr>
            <w:tcW w:w="0" w:type="auto"/>
            <w:gridSpan w:val="4"/>
            <w:vAlign w:val="center"/>
            <w:hideMark/>
          </w:tcPr>
          <w:p w14:paraId="5333CFEC" w14:textId="77777777" w:rsidR="00DE66FB" w:rsidRPr="00DC3455" w:rsidRDefault="00DE66FB" w:rsidP="00317B41">
            <w:pPr>
              <w:tabs>
                <w:tab w:val="left" w:pos="1320"/>
              </w:tabs>
              <w:spacing w:line="360" w:lineRule="auto"/>
              <w:jc w:val="center"/>
              <w:rPr>
                <w:rFonts w:asciiTheme="majorBidi" w:hAnsiTheme="majorBidi" w:cstheme="majorBidi"/>
              </w:rPr>
            </w:pPr>
            <w:r w:rsidRPr="00DC3455">
              <w:rPr>
                <w:rFonts w:asciiTheme="majorBidi" w:hAnsiTheme="majorBidi" w:cstheme="majorBidi"/>
                <w:b/>
                <w:bCs/>
              </w:rPr>
              <w:t>Stage II – BJ Cultivation</w:t>
            </w:r>
          </w:p>
        </w:tc>
      </w:tr>
      <w:tr w:rsidR="00DE66FB" w:rsidRPr="00DC3455" w14:paraId="58693F31" w14:textId="77777777" w:rsidTr="00317B41">
        <w:trPr>
          <w:tblCellSpacing w:w="15" w:type="dxa"/>
        </w:trPr>
        <w:tc>
          <w:tcPr>
            <w:tcW w:w="0" w:type="auto"/>
            <w:vAlign w:val="center"/>
            <w:hideMark/>
          </w:tcPr>
          <w:p w14:paraId="291A9206"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Plant </w:t>
            </w:r>
            <w:proofErr w:type="spellStart"/>
            <w:r w:rsidRPr="00DC3455">
              <w:rPr>
                <w:rFonts w:asciiTheme="majorBidi" w:hAnsiTheme="majorBidi" w:cstheme="majorBidi"/>
              </w:rPr>
              <w:t>growth</w:t>
            </w:r>
            <w:proofErr w:type="spellEnd"/>
          </w:p>
        </w:tc>
        <w:tc>
          <w:tcPr>
            <w:tcW w:w="0" w:type="auto"/>
            <w:vAlign w:val="center"/>
            <w:hideMark/>
          </w:tcPr>
          <w:p w14:paraId="7B60B5A3"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30 d in BSF-</w:t>
            </w:r>
            <w:proofErr w:type="spellStart"/>
            <w:r w:rsidRPr="00DC3455">
              <w:rPr>
                <w:rFonts w:asciiTheme="majorBidi" w:hAnsiTheme="majorBidi" w:cstheme="majorBidi"/>
              </w:rPr>
              <w:t>processed</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soil</w:t>
            </w:r>
            <w:proofErr w:type="spellEnd"/>
            <w:r w:rsidRPr="00DC3455">
              <w:rPr>
                <w:rFonts w:asciiTheme="majorBidi" w:hAnsiTheme="majorBidi" w:cstheme="majorBidi"/>
              </w:rPr>
              <w:t xml:space="preserve"> </w:t>
            </w:r>
          </w:p>
          <w:p w14:paraId="482516AA"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(25 ± 2 °C, 16/8 h </w:t>
            </w:r>
            <w:proofErr w:type="spellStart"/>
            <w:r w:rsidRPr="00DC3455">
              <w:rPr>
                <w:rFonts w:asciiTheme="majorBidi" w:hAnsiTheme="majorBidi" w:cstheme="majorBidi"/>
              </w:rPr>
              <w:t>photoperiod</w:t>
            </w:r>
            <w:proofErr w:type="spellEnd"/>
            <w:r w:rsidRPr="00DC3455">
              <w:rPr>
                <w:rFonts w:asciiTheme="majorBidi" w:hAnsiTheme="majorBidi" w:cstheme="majorBidi"/>
              </w:rPr>
              <w:t>, 65% RH)</w:t>
            </w:r>
          </w:p>
        </w:tc>
        <w:tc>
          <w:tcPr>
            <w:tcW w:w="0" w:type="auto"/>
            <w:vAlign w:val="center"/>
            <w:hideMark/>
          </w:tcPr>
          <w:p w14:paraId="51E359B0"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Greenhouse</w:t>
            </w:r>
            <w:proofErr w:type="spellEnd"/>
          </w:p>
        </w:tc>
        <w:tc>
          <w:tcPr>
            <w:tcW w:w="0" w:type="auto"/>
            <w:vAlign w:val="center"/>
            <w:hideMark/>
          </w:tcPr>
          <w:p w14:paraId="19F49E4A"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Singh &amp; Prasad, 2019</w:t>
            </w:r>
          </w:p>
        </w:tc>
      </w:tr>
      <w:tr w:rsidR="00DE66FB" w:rsidRPr="00DC3455" w14:paraId="1821DA76" w14:textId="77777777" w:rsidTr="00317B41">
        <w:trPr>
          <w:tblCellSpacing w:w="15" w:type="dxa"/>
        </w:trPr>
        <w:tc>
          <w:tcPr>
            <w:tcW w:w="0" w:type="auto"/>
            <w:vAlign w:val="center"/>
            <w:hideMark/>
          </w:tcPr>
          <w:p w14:paraId="58AA317C"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Antioxidant</w:t>
            </w:r>
            <w:proofErr w:type="spellEnd"/>
            <w:r w:rsidRPr="00DC3455">
              <w:rPr>
                <w:rFonts w:asciiTheme="majorBidi" w:hAnsiTheme="majorBidi" w:cstheme="majorBidi"/>
              </w:rPr>
              <w:t xml:space="preserve"> enzymes (SOD, CAT, POD)</w:t>
            </w:r>
          </w:p>
        </w:tc>
        <w:tc>
          <w:tcPr>
            <w:tcW w:w="0" w:type="auto"/>
            <w:vAlign w:val="center"/>
            <w:hideMark/>
          </w:tcPr>
          <w:p w14:paraId="14395776" w14:textId="77777777" w:rsidR="00DE66FB"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Leaf</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extract</w:t>
            </w:r>
            <w:proofErr w:type="spellEnd"/>
            <w:r w:rsidRPr="00DC3455">
              <w:rPr>
                <w:rFonts w:asciiTheme="majorBidi" w:hAnsiTheme="majorBidi" w:cstheme="majorBidi"/>
              </w:rPr>
              <w:t xml:space="preserve"> (phosphate buffer, pH 7.0</w:t>
            </w:r>
            <w:proofErr w:type="gramStart"/>
            <w:r w:rsidRPr="00DC3455">
              <w:rPr>
                <w:rFonts w:asciiTheme="majorBidi" w:hAnsiTheme="majorBidi" w:cstheme="majorBidi"/>
              </w:rPr>
              <w:t>);</w:t>
            </w:r>
            <w:proofErr w:type="gramEnd"/>
            <w:r w:rsidRPr="00DC3455">
              <w:rPr>
                <w:rFonts w:asciiTheme="majorBidi" w:hAnsiTheme="majorBidi" w:cstheme="majorBidi"/>
              </w:rPr>
              <w:t xml:space="preserve"> </w:t>
            </w:r>
          </w:p>
          <w:p w14:paraId="76DD158B"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SOD (NBT inhibition, 560 nm</w:t>
            </w:r>
            <w:proofErr w:type="gramStart"/>
            <w:r w:rsidRPr="00DC3455">
              <w:rPr>
                <w:rFonts w:asciiTheme="majorBidi" w:hAnsiTheme="majorBidi" w:cstheme="majorBidi"/>
              </w:rPr>
              <w:t>);</w:t>
            </w:r>
            <w:proofErr w:type="gramEnd"/>
          </w:p>
          <w:p w14:paraId="1A9060DF"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 CAT (H₂O₂, 240 nm</w:t>
            </w:r>
            <w:proofErr w:type="gramStart"/>
            <w:r w:rsidRPr="00DC3455">
              <w:rPr>
                <w:rFonts w:asciiTheme="majorBidi" w:hAnsiTheme="majorBidi" w:cstheme="majorBidi"/>
              </w:rPr>
              <w:t>);</w:t>
            </w:r>
            <w:proofErr w:type="gramEnd"/>
            <w:r w:rsidRPr="00DC3455">
              <w:rPr>
                <w:rFonts w:asciiTheme="majorBidi" w:hAnsiTheme="majorBidi" w:cstheme="majorBidi"/>
              </w:rPr>
              <w:t xml:space="preserve"> </w:t>
            </w:r>
          </w:p>
          <w:p w14:paraId="2FE109BA"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lastRenderedPageBreak/>
              <w:t>POD (</w:t>
            </w:r>
            <w:proofErr w:type="spellStart"/>
            <w:r w:rsidRPr="00DC3455">
              <w:rPr>
                <w:rFonts w:asciiTheme="majorBidi" w:hAnsiTheme="majorBidi" w:cstheme="majorBidi"/>
              </w:rPr>
              <w:t>guaiacol</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oxidation</w:t>
            </w:r>
            <w:proofErr w:type="spellEnd"/>
            <w:r w:rsidRPr="00DC3455">
              <w:rPr>
                <w:rFonts w:asciiTheme="majorBidi" w:hAnsiTheme="majorBidi" w:cstheme="majorBidi"/>
              </w:rPr>
              <w:t>, 470 nm)</w:t>
            </w:r>
          </w:p>
        </w:tc>
        <w:tc>
          <w:tcPr>
            <w:tcW w:w="0" w:type="auto"/>
            <w:vAlign w:val="center"/>
            <w:hideMark/>
          </w:tcPr>
          <w:p w14:paraId="673EFFAE"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lastRenderedPageBreak/>
              <w:t xml:space="preserve">UV–Vis </w:t>
            </w:r>
            <w:proofErr w:type="spellStart"/>
            <w:r w:rsidRPr="00DC3455">
              <w:rPr>
                <w:rFonts w:asciiTheme="majorBidi" w:hAnsiTheme="majorBidi" w:cstheme="majorBidi"/>
              </w:rPr>
              <w:t>spectrophotometer</w:t>
            </w:r>
            <w:proofErr w:type="spellEnd"/>
          </w:p>
        </w:tc>
        <w:tc>
          <w:tcPr>
            <w:tcW w:w="0" w:type="auto"/>
            <w:vAlign w:val="center"/>
            <w:hideMark/>
          </w:tcPr>
          <w:p w14:paraId="76E3B19D"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Sharma et al., 2020</w:t>
            </w:r>
          </w:p>
        </w:tc>
      </w:tr>
      <w:tr w:rsidR="00DE66FB" w:rsidRPr="00966833" w14:paraId="74F6DA34" w14:textId="77777777" w:rsidTr="00317B41">
        <w:trPr>
          <w:tblCellSpacing w:w="15" w:type="dxa"/>
        </w:trPr>
        <w:tc>
          <w:tcPr>
            <w:tcW w:w="0" w:type="auto"/>
            <w:vAlign w:val="center"/>
            <w:hideMark/>
          </w:tcPr>
          <w:p w14:paraId="65C68F3F"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Osmoprotectants</w:t>
            </w:r>
            <w:proofErr w:type="spellEnd"/>
          </w:p>
        </w:tc>
        <w:tc>
          <w:tcPr>
            <w:tcW w:w="0" w:type="auto"/>
            <w:vAlign w:val="center"/>
            <w:hideMark/>
          </w:tcPr>
          <w:p w14:paraId="0D724E70"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Proline (</w:t>
            </w:r>
            <w:proofErr w:type="spellStart"/>
            <w:r w:rsidRPr="00DC3455">
              <w:rPr>
                <w:rFonts w:asciiTheme="majorBidi" w:hAnsiTheme="majorBidi" w:cstheme="majorBidi"/>
              </w:rPr>
              <w:t>acid-ninhydrin</w:t>
            </w:r>
            <w:proofErr w:type="spellEnd"/>
            <w:r w:rsidRPr="00DC3455">
              <w:rPr>
                <w:rFonts w:asciiTheme="majorBidi" w:hAnsiTheme="majorBidi" w:cstheme="majorBidi"/>
              </w:rPr>
              <w:t>, 520 nm</w:t>
            </w:r>
            <w:proofErr w:type="gramStart"/>
            <w:r w:rsidRPr="00DC3455">
              <w:rPr>
                <w:rFonts w:asciiTheme="majorBidi" w:hAnsiTheme="majorBidi" w:cstheme="majorBidi"/>
              </w:rPr>
              <w:t>);</w:t>
            </w:r>
            <w:proofErr w:type="gramEnd"/>
            <w:r w:rsidRPr="00DC3455">
              <w:rPr>
                <w:rFonts w:asciiTheme="majorBidi" w:hAnsiTheme="majorBidi" w:cstheme="majorBidi"/>
              </w:rPr>
              <w:t xml:space="preserve"> </w:t>
            </w:r>
          </w:p>
          <w:p w14:paraId="7537DD66" w14:textId="77777777" w:rsidR="00DE66FB" w:rsidRPr="00DC3455"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soluble</w:t>
            </w:r>
            <w:proofErr w:type="gramEnd"/>
            <w:r w:rsidRPr="00DC3455">
              <w:rPr>
                <w:rFonts w:asciiTheme="majorBidi" w:hAnsiTheme="majorBidi" w:cstheme="majorBidi"/>
              </w:rPr>
              <w:t xml:space="preserve"> </w:t>
            </w:r>
            <w:proofErr w:type="spellStart"/>
            <w:r w:rsidRPr="00DC3455">
              <w:rPr>
                <w:rFonts w:asciiTheme="majorBidi" w:hAnsiTheme="majorBidi" w:cstheme="majorBidi"/>
              </w:rPr>
              <w:t>sugars</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anthrone</w:t>
            </w:r>
            <w:proofErr w:type="spellEnd"/>
            <w:r w:rsidRPr="00DC3455">
              <w:rPr>
                <w:rFonts w:asciiTheme="majorBidi" w:hAnsiTheme="majorBidi" w:cstheme="majorBidi"/>
              </w:rPr>
              <w:t>, 625 nm)</w:t>
            </w:r>
          </w:p>
        </w:tc>
        <w:tc>
          <w:tcPr>
            <w:tcW w:w="0" w:type="auto"/>
            <w:vAlign w:val="center"/>
            <w:hideMark/>
          </w:tcPr>
          <w:p w14:paraId="7B359387"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UV–Vis </w:t>
            </w:r>
            <w:proofErr w:type="spellStart"/>
            <w:r w:rsidRPr="00DC3455">
              <w:rPr>
                <w:rFonts w:asciiTheme="majorBidi" w:hAnsiTheme="majorBidi" w:cstheme="majorBidi"/>
              </w:rPr>
              <w:t>spectrophotometer</w:t>
            </w:r>
            <w:proofErr w:type="spellEnd"/>
          </w:p>
        </w:tc>
        <w:tc>
          <w:tcPr>
            <w:tcW w:w="0" w:type="auto"/>
            <w:vAlign w:val="center"/>
            <w:hideMark/>
          </w:tcPr>
          <w:p w14:paraId="51699D73"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Bates et al., </w:t>
            </w:r>
            <w:proofErr w:type="gramStart"/>
            <w:r w:rsidRPr="00DC3455">
              <w:rPr>
                <w:rFonts w:asciiTheme="majorBidi" w:hAnsiTheme="majorBidi" w:cstheme="majorBidi"/>
              </w:rPr>
              <w:t>1973;</w:t>
            </w:r>
            <w:proofErr w:type="gramEnd"/>
          </w:p>
          <w:p w14:paraId="5BCA24E9"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 Gill et al., 2016</w:t>
            </w:r>
          </w:p>
        </w:tc>
      </w:tr>
      <w:tr w:rsidR="00DE66FB" w:rsidRPr="00966833" w14:paraId="74EBEC58" w14:textId="77777777" w:rsidTr="00317B41">
        <w:trPr>
          <w:tblCellSpacing w:w="15" w:type="dxa"/>
        </w:trPr>
        <w:tc>
          <w:tcPr>
            <w:tcW w:w="0" w:type="auto"/>
            <w:vAlign w:val="center"/>
            <w:hideMark/>
          </w:tcPr>
          <w:p w14:paraId="3D1DFBBF"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Root </w:t>
            </w:r>
            <w:proofErr w:type="spellStart"/>
            <w:r w:rsidRPr="00DC3455">
              <w:rPr>
                <w:rFonts w:asciiTheme="majorBidi" w:hAnsiTheme="majorBidi" w:cstheme="majorBidi"/>
              </w:rPr>
              <w:t>exudates</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organic</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acids</w:t>
            </w:r>
            <w:proofErr w:type="spellEnd"/>
            <w:r w:rsidRPr="00DC3455">
              <w:rPr>
                <w:rFonts w:asciiTheme="majorBidi" w:hAnsiTheme="majorBidi" w:cstheme="majorBidi"/>
              </w:rPr>
              <w:t>)</w:t>
            </w:r>
          </w:p>
        </w:tc>
        <w:tc>
          <w:tcPr>
            <w:tcW w:w="0" w:type="auto"/>
            <w:vAlign w:val="center"/>
            <w:hideMark/>
          </w:tcPr>
          <w:p w14:paraId="424F95CB" w14:textId="77777777" w:rsidR="00DE66FB"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Hydroponic</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exudate</w:t>
            </w:r>
            <w:proofErr w:type="spellEnd"/>
            <w:r w:rsidRPr="00DC3455">
              <w:rPr>
                <w:rFonts w:asciiTheme="majorBidi" w:hAnsiTheme="majorBidi" w:cstheme="majorBidi"/>
              </w:rPr>
              <w:t xml:space="preserve"> collection (24 h), </w:t>
            </w:r>
          </w:p>
          <w:p w14:paraId="02326A8F" w14:textId="77777777" w:rsidR="00DE66FB"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filtration</w:t>
            </w:r>
            <w:proofErr w:type="gramEnd"/>
            <w:r w:rsidRPr="00DC3455">
              <w:rPr>
                <w:rFonts w:asciiTheme="majorBidi" w:hAnsiTheme="majorBidi" w:cstheme="majorBidi"/>
              </w:rPr>
              <w:t xml:space="preserve"> (0.22 µm), </w:t>
            </w:r>
          </w:p>
          <w:p w14:paraId="632EB34F"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HPLC </w:t>
            </w:r>
            <w:proofErr w:type="spellStart"/>
            <w:r w:rsidRPr="00DC3455">
              <w:rPr>
                <w:rFonts w:asciiTheme="majorBidi" w:hAnsiTheme="majorBidi" w:cstheme="majorBidi"/>
              </w:rPr>
              <w:t>analysis</w:t>
            </w:r>
            <w:proofErr w:type="spellEnd"/>
          </w:p>
        </w:tc>
        <w:tc>
          <w:tcPr>
            <w:tcW w:w="0" w:type="auto"/>
            <w:vAlign w:val="center"/>
            <w:hideMark/>
          </w:tcPr>
          <w:p w14:paraId="11A1C2DC"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HPLC (Agilent 1260 </w:t>
            </w:r>
            <w:proofErr w:type="spellStart"/>
            <w:r w:rsidRPr="00DC3455">
              <w:rPr>
                <w:rFonts w:asciiTheme="majorBidi" w:hAnsiTheme="majorBidi" w:cstheme="majorBidi"/>
              </w:rPr>
              <w:t>Infinity</w:t>
            </w:r>
            <w:proofErr w:type="spellEnd"/>
            <w:r w:rsidRPr="00DC3455">
              <w:rPr>
                <w:rFonts w:asciiTheme="majorBidi" w:hAnsiTheme="majorBidi" w:cstheme="majorBidi"/>
              </w:rPr>
              <w:t>, C18, UV 210 nm)</w:t>
            </w:r>
          </w:p>
        </w:tc>
        <w:tc>
          <w:tcPr>
            <w:tcW w:w="0" w:type="auto"/>
            <w:vAlign w:val="center"/>
            <w:hideMark/>
          </w:tcPr>
          <w:p w14:paraId="05BD1E49"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Gupta et al., </w:t>
            </w:r>
            <w:proofErr w:type="gramStart"/>
            <w:r w:rsidRPr="00DC3455">
              <w:rPr>
                <w:rFonts w:asciiTheme="majorBidi" w:hAnsiTheme="majorBidi" w:cstheme="majorBidi"/>
              </w:rPr>
              <w:t>2018;</w:t>
            </w:r>
            <w:proofErr w:type="gramEnd"/>
            <w:r w:rsidRPr="00DC3455">
              <w:rPr>
                <w:rFonts w:asciiTheme="majorBidi" w:hAnsiTheme="majorBidi" w:cstheme="majorBidi"/>
              </w:rPr>
              <w:t xml:space="preserve"> </w:t>
            </w:r>
          </w:p>
          <w:p w14:paraId="433F7803"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Wang et al., 2021</w:t>
            </w:r>
          </w:p>
        </w:tc>
      </w:tr>
      <w:tr w:rsidR="00DE66FB" w:rsidRPr="00DC3455" w14:paraId="2165893A" w14:textId="77777777" w:rsidTr="00317B41">
        <w:trPr>
          <w:tblCellSpacing w:w="15" w:type="dxa"/>
        </w:trPr>
        <w:tc>
          <w:tcPr>
            <w:tcW w:w="0" w:type="auto"/>
            <w:vAlign w:val="center"/>
            <w:hideMark/>
          </w:tcPr>
          <w:p w14:paraId="19D6E355" w14:textId="77777777" w:rsidR="00DE66FB" w:rsidRPr="00DC3455"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Subcellular</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sequestration</w:t>
            </w:r>
            <w:proofErr w:type="spellEnd"/>
          </w:p>
        </w:tc>
        <w:tc>
          <w:tcPr>
            <w:tcW w:w="0" w:type="auto"/>
            <w:vAlign w:val="center"/>
            <w:hideMark/>
          </w:tcPr>
          <w:p w14:paraId="63DBF4FD" w14:textId="77777777" w:rsidR="00DE66FB" w:rsidRDefault="00DE66FB" w:rsidP="00317B41">
            <w:pPr>
              <w:tabs>
                <w:tab w:val="left" w:pos="1320"/>
              </w:tabs>
              <w:spacing w:line="360" w:lineRule="auto"/>
              <w:jc w:val="both"/>
              <w:rPr>
                <w:rFonts w:asciiTheme="majorBidi" w:hAnsiTheme="majorBidi" w:cstheme="majorBidi"/>
              </w:rPr>
            </w:pPr>
            <w:proofErr w:type="spellStart"/>
            <w:r w:rsidRPr="00DC3455">
              <w:rPr>
                <w:rFonts w:asciiTheme="majorBidi" w:hAnsiTheme="majorBidi" w:cstheme="majorBidi"/>
              </w:rPr>
              <w:t>Fractionation</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into</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cell</w:t>
            </w:r>
            <w:proofErr w:type="spellEnd"/>
            <w:r w:rsidRPr="00DC3455">
              <w:rPr>
                <w:rFonts w:asciiTheme="majorBidi" w:hAnsiTheme="majorBidi" w:cstheme="majorBidi"/>
              </w:rPr>
              <w:t xml:space="preserve"> </w:t>
            </w:r>
            <w:proofErr w:type="spellStart"/>
            <w:r w:rsidRPr="00DC3455">
              <w:rPr>
                <w:rFonts w:asciiTheme="majorBidi" w:hAnsiTheme="majorBidi" w:cstheme="majorBidi"/>
              </w:rPr>
              <w:t>wall</w:t>
            </w:r>
            <w:proofErr w:type="spellEnd"/>
            <w:r w:rsidRPr="00DC3455">
              <w:rPr>
                <w:rFonts w:asciiTheme="majorBidi" w:hAnsiTheme="majorBidi" w:cstheme="majorBidi"/>
              </w:rPr>
              <w:t xml:space="preserve">, organelle, soluble </w:t>
            </w:r>
            <w:proofErr w:type="gramStart"/>
            <w:r w:rsidRPr="00DC3455">
              <w:rPr>
                <w:rFonts w:asciiTheme="majorBidi" w:hAnsiTheme="majorBidi" w:cstheme="majorBidi"/>
              </w:rPr>
              <w:t>fractions;</w:t>
            </w:r>
            <w:proofErr w:type="gramEnd"/>
          </w:p>
          <w:p w14:paraId="08528832"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 </w:t>
            </w:r>
            <w:proofErr w:type="spellStart"/>
            <w:proofErr w:type="gramStart"/>
            <w:r w:rsidRPr="00DC3455">
              <w:rPr>
                <w:rFonts w:asciiTheme="majorBidi" w:hAnsiTheme="majorBidi" w:cstheme="majorBidi"/>
              </w:rPr>
              <w:t>metal</w:t>
            </w:r>
            <w:proofErr w:type="spellEnd"/>
            <w:proofErr w:type="gramEnd"/>
            <w:r w:rsidRPr="00DC3455">
              <w:rPr>
                <w:rFonts w:asciiTheme="majorBidi" w:hAnsiTheme="majorBidi" w:cstheme="majorBidi"/>
              </w:rPr>
              <w:t xml:space="preserve"> </w:t>
            </w:r>
            <w:proofErr w:type="spellStart"/>
            <w:r w:rsidRPr="00DC3455">
              <w:rPr>
                <w:rFonts w:asciiTheme="majorBidi" w:hAnsiTheme="majorBidi" w:cstheme="majorBidi"/>
              </w:rPr>
              <w:t>analysis</w:t>
            </w:r>
            <w:proofErr w:type="spellEnd"/>
            <w:r w:rsidRPr="00DC3455">
              <w:rPr>
                <w:rFonts w:asciiTheme="majorBidi" w:hAnsiTheme="majorBidi" w:cstheme="majorBidi"/>
              </w:rPr>
              <w:t xml:space="preserve"> by ICP–MS</w:t>
            </w:r>
          </w:p>
        </w:tc>
        <w:tc>
          <w:tcPr>
            <w:tcW w:w="0" w:type="auto"/>
            <w:vAlign w:val="center"/>
            <w:hideMark/>
          </w:tcPr>
          <w:p w14:paraId="613FAA6C" w14:textId="77777777" w:rsidR="00DE66FB" w:rsidRPr="00DC3455" w:rsidRDefault="00DE66FB" w:rsidP="00317B41">
            <w:pPr>
              <w:tabs>
                <w:tab w:val="left" w:pos="1320"/>
              </w:tabs>
              <w:spacing w:line="360" w:lineRule="auto"/>
              <w:jc w:val="both"/>
              <w:rPr>
                <w:rFonts w:asciiTheme="majorBidi" w:hAnsiTheme="majorBidi" w:cstheme="majorBidi"/>
              </w:rPr>
            </w:pPr>
            <w:proofErr w:type="gramStart"/>
            <w:r w:rsidRPr="00DC3455">
              <w:rPr>
                <w:rFonts w:asciiTheme="majorBidi" w:hAnsiTheme="majorBidi" w:cstheme="majorBidi"/>
              </w:rPr>
              <w:t>Ultracentrifuge;</w:t>
            </w:r>
            <w:proofErr w:type="gramEnd"/>
            <w:r w:rsidRPr="00DC3455">
              <w:rPr>
                <w:rFonts w:asciiTheme="majorBidi" w:hAnsiTheme="majorBidi" w:cstheme="majorBidi"/>
              </w:rPr>
              <w:t xml:space="preserve"> ICP–MS</w:t>
            </w:r>
          </w:p>
        </w:tc>
        <w:tc>
          <w:tcPr>
            <w:tcW w:w="0" w:type="auto"/>
            <w:vAlign w:val="center"/>
            <w:hideMark/>
          </w:tcPr>
          <w:p w14:paraId="6279DD47" w14:textId="77777777" w:rsidR="00DE66FB"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 xml:space="preserve">Weigel &amp; </w:t>
            </w:r>
            <w:proofErr w:type="spellStart"/>
            <w:r w:rsidRPr="00DC3455">
              <w:rPr>
                <w:rFonts w:asciiTheme="majorBidi" w:hAnsiTheme="majorBidi" w:cstheme="majorBidi"/>
              </w:rPr>
              <w:t>Jäger</w:t>
            </w:r>
            <w:proofErr w:type="spellEnd"/>
            <w:r w:rsidRPr="00DC3455">
              <w:rPr>
                <w:rFonts w:asciiTheme="majorBidi" w:hAnsiTheme="majorBidi" w:cstheme="majorBidi"/>
              </w:rPr>
              <w:t xml:space="preserve">, </w:t>
            </w:r>
            <w:proofErr w:type="gramStart"/>
            <w:r w:rsidRPr="00DC3455">
              <w:rPr>
                <w:rFonts w:asciiTheme="majorBidi" w:hAnsiTheme="majorBidi" w:cstheme="majorBidi"/>
              </w:rPr>
              <w:t>1980;</w:t>
            </w:r>
            <w:proofErr w:type="gramEnd"/>
            <w:r w:rsidRPr="00DC3455">
              <w:rPr>
                <w:rFonts w:asciiTheme="majorBidi" w:hAnsiTheme="majorBidi" w:cstheme="majorBidi"/>
              </w:rPr>
              <w:t xml:space="preserve"> </w:t>
            </w:r>
          </w:p>
          <w:p w14:paraId="782AEA25" w14:textId="77777777" w:rsidR="00DE66FB" w:rsidRPr="00DC3455" w:rsidRDefault="00DE66FB" w:rsidP="00317B41">
            <w:pPr>
              <w:tabs>
                <w:tab w:val="left" w:pos="1320"/>
              </w:tabs>
              <w:spacing w:line="360" w:lineRule="auto"/>
              <w:jc w:val="both"/>
              <w:rPr>
                <w:rFonts w:asciiTheme="majorBidi" w:hAnsiTheme="majorBidi" w:cstheme="majorBidi"/>
              </w:rPr>
            </w:pPr>
            <w:r w:rsidRPr="00DC3455">
              <w:rPr>
                <w:rFonts w:asciiTheme="majorBidi" w:hAnsiTheme="majorBidi" w:cstheme="majorBidi"/>
              </w:rPr>
              <w:t>Clemens &amp; Ma, 2016</w:t>
            </w:r>
          </w:p>
        </w:tc>
      </w:tr>
    </w:tbl>
    <w:p w14:paraId="2076781F" w14:textId="77777777" w:rsidR="00DE66FB" w:rsidRDefault="00DE66FB"/>
    <w:sectPr w:rsidR="00DE66FB" w:rsidSect="00DE66F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1E41" w14:textId="77777777" w:rsidR="00B3009A" w:rsidRDefault="00B3009A" w:rsidP="00181C42">
      <w:pPr>
        <w:spacing w:after="0" w:line="240" w:lineRule="auto"/>
      </w:pPr>
      <w:r>
        <w:separator/>
      </w:r>
    </w:p>
  </w:endnote>
  <w:endnote w:type="continuationSeparator" w:id="0">
    <w:p w14:paraId="64149125" w14:textId="77777777" w:rsidR="00B3009A" w:rsidRDefault="00B3009A" w:rsidP="0018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5AE6" w14:textId="77777777" w:rsidR="00B3009A" w:rsidRDefault="00B3009A" w:rsidP="00181C42">
      <w:pPr>
        <w:spacing w:after="0" w:line="240" w:lineRule="auto"/>
      </w:pPr>
      <w:r>
        <w:separator/>
      </w:r>
    </w:p>
  </w:footnote>
  <w:footnote w:type="continuationSeparator" w:id="0">
    <w:p w14:paraId="57F8D691" w14:textId="77777777" w:rsidR="00B3009A" w:rsidRDefault="00B3009A" w:rsidP="00181C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94"/>
    <w:rsid w:val="00065398"/>
    <w:rsid w:val="00181C42"/>
    <w:rsid w:val="00470EB5"/>
    <w:rsid w:val="004F6EC6"/>
    <w:rsid w:val="00965594"/>
    <w:rsid w:val="00AC7864"/>
    <w:rsid w:val="00B3009A"/>
    <w:rsid w:val="00DE66FB"/>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0CF1"/>
  <w15:chartTrackingRefBased/>
  <w15:docId w15:val="{736F9358-DEFD-4C09-B027-0071F535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T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5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559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6559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6559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55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5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5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5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59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559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559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559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559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55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5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5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594"/>
    <w:rPr>
      <w:rFonts w:eastAsiaTheme="majorEastAsia" w:cstheme="majorBidi"/>
      <w:color w:val="272727" w:themeColor="text1" w:themeTint="D8"/>
    </w:rPr>
  </w:style>
  <w:style w:type="paragraph" w:styleId="Titre">
    <w:name w:val="Title"/>
    <w:basedOn w:val="Normal"/>
    <w:next w:val="Normal"/>
    <w:link w:val="TitreCar"/>
    <w:uiPriority w:val="10"/>
    <w:qFormat/>
    <w:rsid w:val="00965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5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5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5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594"/>
    <w:pPr>
      <w:spacing w:before="160"/>
      <w:jc w:val="center"/>
    </w:pPr>
    <w:rPr>
      <w:i/>
      <w:iCs/>
      <w:color w:val="404040" w:themeColor="text1" w:themeTint="BF"/>
    </w:rPr>
  </w:style>
  <w:style w:type="character" w:customStyle="1" w:styleId="CitationCar">
    <w:name w:val="Citation Car"/>
    <w:basedOn w:val="Policepardfaut"/>
    <w:link w:val="Citation"/>
    <w:uiPriority w:val="29"/>
    <w:rsid w:val="00965594"/>
    <w:rPr>
      <w:i/>
      <w:iCs/>
      <w:color w:val="404040" w:themeColor="text1" w:themeTint="BF"/>
    </w:rPr>
  </w:style>
  <w:style w:type="paragraph" w:styleId="Paragraphedeliste">
    <w:name w:val="List Paragraph"/>
    <w:basedOn w:val="Normal"/>
    <w:uiPriority w:val="34"/>
    <w:qFormat/>
    <w:rsid w:val="00965594"/>
    <w:pPr>
      <w:ind w:left="720"/>
      <w:contextualSpacing/>
    </w:pPr>
  </w:style>
  <w:style w:type="character" w:styleId="Accentuationintense">
    <w:name w:val="Intense Emphasis"/>
    <w:basedOn w:val="Policepardfaut"/>
    <w:uiPriority w:val="21"/>
    <w:qFormat/>
    <w:rsid w:val="00965594"/>
    <w:rPr>
      <w:i/>
      <w:iCs/>
      <w:color w:val="2F5496" w:themeColor="accent1" w:themeShade="BF"/>
    </w:rPr>
  </w:style>
  <w:style w:type="paragraph" w:styleId="Citationintense">
    <w:name w:val="Intense Quote"/>
    <w:basedOn w:val="Normal"/>
    <w:next w:val="Normal"/>
    <w:link w:val="CitationintenseCar"/>
    <w:uiPriority w:val="30"/>
    <w:qFormat/>
    <w:rsid w:val="00965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5594"/>
    <w:rPr>
      <w:i/>
      <w:iCs/>
      <w:color w:val="2F5496" w:themeColor="accent1" w:themeShade="BF"/>
    </w:rPr>
  </w:style>
  <w:style w:type="character" w:styleId="Rfrenceintense">
    <w:name w:val="Intense Reference"/>
    <w:basedOn w:val="Policepardfaut"/>
    <w:uiPriority w:val="32"/>
    <w:qFormat/>
    <w:rsid w:val="00965594"/>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181C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1C42"/>
    <w:rPr>
      <w:sz w:val="20"/>
      <w:szCs w:val="20"/>
    </w:rPr>
  </w:style>
  <w:style w:type="character" w:styleId="Appelnotedebasdep">
    <w:name w:val="footnote reference"/>
    <w:basedOn w:val="Policepardfaut"/>
    <w:uiPriority w:val="99"/>
    <w:semiHidden/>
    <w:unhideWhenUsed/>
    <w:rsid w:val="00181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1080</Words>
  <Characters>6158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2025-09-20T09:50:00Z</dcterms:created>
  <dcterms:modified xsi:type="dcterms:W3CDTF">2025-09-24T17:17:00Z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id="lVcIpcO5"/&gt;&lt;style id="http://www.zotero.org/styles/harvard-cite-them-right" locale="fr-FR" hasBibliography="1" bibliographyStyleHasBeenSet="0"/&gt;&lt;prefs&gt;&lt;pref name="fieldType" value="Field"/&gt;&lt;pref </vt:lpwstr>
  </property>
  <property fmtid="{D5CDD505-2E9C-101B-9397-08002B2CF9AE}" pid="3" name="ZOTERO_PREF_2">
    <vt:lpwstr>name="automaticJournalAbbreviations" value="true"/&gt;&lt;/prefs&gt;&lt;/data&gt;</vt:lpwstr>
  </property>
</Properties>
</file>