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C101F" w14:textId="77777777" w:rsidR="001168EB" w:rsidRPr="00874FA2"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b/>
          <w:bCs/>
          <w:color w:val="000000"/>
          <w:kern w:val="0"/>
          <w:sz w:val="24"/>
        </w:rPr>
      </w:pPr>
      <w:r w:rsidRPr="00874FA2">
        <w:rPr>
          <w:rFonts w:ascii="Times New Roman" w:hAnsi="Times New Roman" w:cs="Times New Roman"/>
          <w:b/>
          <w:bCs/>
          <w:sz w:val="24"/>
        </w:rPr>
        <w:t>METHODS</w:t>
      </w:r>
    </w:p>
    <w:p w14:paraId="57E339E5" w14:textId="77777777" w:rsidR="001168EB" w:rsidRPr="00874FA2"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b/>
          <w:bCs/>
          <w:color w:val="000000"/>
          <w:kern w:val="0"/>
          <w:sz w:val="24"/>
        </w:rPr>
      </w:pPr>
      <w:r w:rsidRPr="00874FA2">
        <w:rPr>
          <w:rFonts w:ascii="Times New Roman" w:hAnsi="Times New Roman" w:cs="Times New Roman"/>
          <w:b/>
          <w:bCs/>
          <w:color w:val="000000"/>
          <w:kern w:val="0"/>
          <w:sz w:val="24"/>
        </w:rPr>
        <w:t>Participants and Clinical Characteristics</w:t>
      </w:r>
    </w:p>
    <w:p w14:paraId="4330EEB7" w14:textId="77777777" w:rsidR="001168EB" w:rsidRDefault="001168EB" w:rsidP="001168EB">
      <w:pPr>
        <w:tabs>
          <w:tab w:val="left" w:pos="560"/>
          <w:tab w:val="left" w:pos="112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color w:val="000000"/>
          <w:kern w:val="0"/>
          <w:sz w:val="24"/>
        </w:rPr>
      </w:pPr>
      <w:r w:rsidRPr="00874FA2">
        <w:rPr>
          <w:rFonts w:ascii="Times New Roman" w:hAnsi="Times New Roman" w:cs="Times New Roman"/>
          <w:color w:val="000000"/>
          <w:kern w:val="0"/>
          <w:sz w:val="24"/>
        </w:rPr>
        <w:t>This study was approved by the Ruijin Hospital Ethics Committee, and all participants provided written informed consent prior to sample collection and data acquisition.</w:t>
      </w:r>
      <w:r w:rsidRPr="00874FA2">
        <w:rPr>
          <w:rFonts w:ascii="Times New Roman" w:hAnsi="Times New Roman" w:cs="Times New Roman"/>
          <w:sz w:val="24"/>
        </w:rPr>
        <w:t xml:space="preserve"> </w:t>
      </w:r>
      <w:r w:rsidRPr="00065DA8">
        <w:rPr>
          <w:rFonts w:ascii="Times New Roman" w:hAnsi="Times New Roman" w:cs="Times New Roman"/>
          <w:sz w:val="24"/>
        </w:rPr>
        <w:t xml:space="preserve">The recruitment for this study began on </w:t>
      </w:r>
      <w:r w:rsidRPr="00D273CE">
        <w:rPr>
          <w:rFonts w:ascii="Times New Roman" w:hAnsi="Times New Roman" w:cs="Times New Roman"/>
          <w:sz w:val="24"/>
        </w:rPr>
        <w:t>August 1</w:t>
      </w:r>
      <w:r w:rsidRPr="00065DA8">
        <w:rPr>
          <w:rFonts w:ascii="Times New Roman" w:hAnsi="Times New Roman" w:cs="Times New Roman"/>
          <w:sz w:val="24"/>
        </w:rPr>
        <w:t>, 202</w:t>
      </w:r>
      <w:r>
        <w:rPr>
          <w:rFonts w:ascii="Times New Roman" w:hAnsi="Times New Roman" w:cs="Times New Roman"/>
          <w:sz w:val="24"/>
        </w:rPr>
        <w:t>3</w:t>
      </w:r>
      <w:r w:rsidRPr="00065DA8">
        <w:rPr>
          <w:rFonts w:ascii="Times New Roman" w:hAnsi="Times New Roman" w:cs="Times New Roman"/>
          <w:sz w:val="24"/>
        </w:rPr>
        <w:t>, and ended on September 1, 2024.</w:t>
      </w:r>
      <w:r>
        <w:rPr>
          <w:rFonts w:ascii="Times New Roman" w:hAnsi="Times New Roman" w:cs="Times New Roman"/>
          <w:sz w:val="24"/>
        </w:rPr>
        <w:t xml:space="preserve"> </w:t>
      </w:r>
      <w:r w:rsidRPr="00874FA2">
        <w:rPr>
          <w:rFonts w:ascii="Times New Roman" w:hAnsi="Times New Roman" w:cs="Times New Roman"/>
          <w:color w:val="000000"/>
          <w:kern w:val="0"/>
          <w:sz w:val="24"/>
        </w:rPr>
        <w:t>Elderly, non-obese males (BMI &lt; 30) aged 65-75 years were enrolled.</w:t>
      </w:r>
      <w:r w:rsidRPr="00874FA2">
        <w:rPr>
          <w:rFonts w:ascii="Times New Roman" w:hAnsi="Times New Roman" w:cs="Times New Roman"/>
          <w:color w:val="000000"/>
          <w:kern w:val="0"/>
          <w:sz w:val="24"/>
        </w:rPr>
        <w:fldChar w:fldCharType="begin">
          <w:fldData xml:space="preserve">PEVuZE5vdGU+PENpdGU+PEF1dGhvcj5IdWxzbWFuczwvQXV0aG9yPjxZZWFyPjIwMjM8L1llYXI+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</w:fldData>
        </w:fldChar>
      </w:r>
      <w:r>
        <w:rPr>
          <w:rFonts w:ascii="Times New Roman" w:hAnsi="Times New Roman" w:cs="Times New Roman"/>
          <w:color w:val="000000"/>
          <w:kern w:val="0"/>
          <w:sz w:val="24"/>
        </w:rPr>
        <w:instrText xml:space="preserve"> ADDIN EN.CITE </w:instrText>
      </w:r>
      <w:r>
        <w:rPr>
          <w:rFonts w:ascii="Times New Roman" w:hAnsi="Times New Roman" w:cs="Times New Roman"/>
          <w:color w:val="000000"/>
          <w:kern w:val="0"/>
          <w:sz w:val="24"/>
        </w:rPr>
        <w:fldChar w:fldCharType="begin">
          <w:fldData xml:space="preserve">PEVuZE5vdGU+PENpdGU+PEF1dGhvcj5IdWxzbWFuczwvQXV0aG9yPjxZZWFyPjIwMjM8L1llYXI+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</w:fldData>
        </w:fldChar>
      </w:r>
      <w:r>
        <w:rPr>
          <w:rFonts w:ascii="Times New Roman" w:hAnsi="Times New Roman" w:cs="Times New Roman"/>
          <w:color w:val="000000"/>
          <w:kern w:val="0"/>
          <w:sz w:val="24"/>
        </w:rPr>
        <w:instrText xml:space="preserve"> ADDIN EN.CITE.DATA </w:instrText>
      </w:r>
      <w:r>
        <w:rPr>
          <w:rFonts w:ascii="Times New Roman" w:hAnsi="Times New Roman" w:cs="Times New Roman"/>
          <w:color w:val="000000"/>
          <w:kern w:val="0"/>
          <w:sz w:val="24"/>
        </w:rPr>
      </w:r>
      <w:r>
        <w:rPr>
          <w:rFonts w:ascii="Times New Roman" w:hAnsi="Times New Roman" w:cs="Times New Roman"/>
          <w:color w:val="000000"/>
          <w:kern w:val="0"/>
          <w:sz w:val="24"/>
        </w:rPr>
        <w:fldChar w:fldCharType="end"/>
      </w:r>
      <w:r w:rsidRPr="00874FA2">
        <w:rPr>
          <w:rFonts w:ascii="Times New Roman" w:hAnsi="Times New Roman" w:cs="Times New Roman"/>
          <w:color w:val="000000"/>
          <w:kern w:val="0"/>
          <w:sz w:val="24"/>
        </w:rPr>
      </w:r>
      <w:r w:rsidRPr="00874FA2">
        <w:rPr>
          <w:rFonts w:ascii="Times New Roman" w:hAnsi="Times New Roman" w:cs="Times New Roman"/>
          <w:color w:val="000000"/>
          <w:kern w:val="0"/>
          <w:sz w:val="24"/>
        </w:rPr>
        <w:fldChar w:fldCharType="separate"/>
      </w:r>
      <w:r w:rsidRPr="001A7E72">
        <w:rPr>
          <w:rFonts w:ascii="Times New Roman" w:hAnsi="Times New Roman" w:cs="Times New Roman"/>
          <w:noProof/>
          <w:color w:val="000000"/>
          <w:kern w:val="0"/>
          <w:sz w:val="24"/>
          <w:vertAlign w:val="superscript"/>
        </w:rPr>
        <w:t>15</w:t>
      </w:r>
      <w:r w:rsidRPr="00874FA2">
        <w:rPr>
          <w:rFonts w:ascii="Times New Roman" w:hAnsi="Times New Roman" w:cs="Times New Roman"/>
          <w:color w:val="000000"/>
          <w:kern w:val="0"/>
          <w:sz w:val="24"/>
        </w:rPr>
        <w:fldChar w:fldCharType="end"/>
      </w:r>
      <w:r w:rsidRPr="00874FA2">
        <w:rPr>
          <w:rFonts w:ascii="Times New Roman" w:hAnsi="Times New Roman" w:cs="Times New Roman"/>
          <w:color w:val="000000"/>
          <w:kern w:val="0"/>
          <w:sz w:val="24"/>
        </w:rPr>
        <w:t xml:space="preserve"> Exclusion criteria included smoking, cancer, chronic inflammatory conditions, blood-borne infections, recent cold or flu symptoms, and secondary hypertension causes like aldosteronism, renal artery stenosis, and diabetes. Subjects with coronary artery atherosclerosis, left-heart disease, lung disease, or renal insufficiency were also excluded. Peripheral blood (~10 ml) was collected in the morning after an overnight fast, and clinical blood panel tests were performed. Four patients with systolic blood pressure ≥</w:t>
      </w:r>
      <w:r>
        <w:rPr>
          <w:rFonts w:ascii="Times New Roman" w:hAnsi="Times New Roman" w:cs="Times New Roman" w:hint="eastAsia"/>
          <w:color w:val="000000"/>
          <w:kern w:val="0"/>
          <w:sz w:val="24"/>
        </w:rPr>
        <w:t xml:space="preserve"> </w:t>
      </w:r>
      <w:r w:rsidRPr="00874FA2">
        <w:rPr>
          <w:rFonts w:ascii="Times New Roman" w:hAnsi="Times New Roman" w:cs="Times New Roman"/>
          <w:color w:val="000000"/>
          <w:kern w:val="0"/>
          <w:sz w:val="24"/>
        </w:rPr>
        <w:t>140 mmHg and confirmed persistent atrial fibrillation (AF) were included, along with two hypertensive controls. We conducted scRNA-seq analysis to compare these groups, ensuring uniform donor characteristics with typical biochemical features of hypertension and AF.</w:t>
      </w:r>
    </w:p>
    <w:p w14:paraId="4742CB3B" w14:textId="77777777" w:rsidR="001168EB" w:rsidRPr="00874FA2" w:rsidRDefault="001168EB" w:rsidP="001168EB">
      <w:pPr>
        <w:tabs>
          <w:tab w:val="left" w:pos="560"/>
          <w:tab w:val="left" w:pos="112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color w:val="000000"/>
          <w:kern w:val="0"/>
          <w:sz w:val="24"/>
        </w:rPr>
      </w:pPr>
    </w:p>
    <w:p w14:paraId="687B6DB9" w14:textId="77777777" w:rsidR="001168EB" w:rsidRPr="00874FA2"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b/>
          <w:bCs/>
          <w:color w:val="000000"/>
          <w:kern w:val="0"/>
          <w:sz w:val="24"/>
        </w:rPr>
      </w:pPr>
      <w:r w:rsidRPr="00874FA2">
        <w:rPr>
          <w:rFonts w:ascii="Times New Roman" w:hAnsi="Times New Roman" w:cs="Times New Roman"/>
          <w:b/>
          <w:bCs/>
          <w:color w:val="000000"/>
          <w:kern w:val="0"/>
          <w:sz w:val="24"/>
        </w:rPr>
        <w:t>Isolation of PBMC</w:t>
      </w:r>
      <w:r w:rsidRPr="00834273">
        <w:rPr>
          <w:rFonts w:ascii="Times New Roman" w:hAnsi="Times New Roman" w:cs="Times New Roman"/>
          <w:b/>
          <w:bCs/>
          <w:color w:val="000000"/>
          <w:kern w:val="0"/>
          <w:sz w:val="24"/>
        </w:rPr>
        <w:t>s an</w:t>
      </w:r>
      <w:r w:rsidRPr="00874FA2">
        <w:rPr>
          <w:rFonts w:ascii="Times New Roman" w:hAnsi="Times New Roman" w:cs="Times New Roman"/>
          <w:b/>
          <w:bCs/>
          <w:color w:val="000000"/>
          <w:kern w:val="0"/>
          <w:sz w:val="24"/>
        </w:rPr>
        <w:t>d preparation of single-cell suspensions</w:t>
      </w:r>
    </w:p>
    <w:p w14:paraId="622D437F" w14:textId="77777777" w:rsidR="001168EB"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color w:val="000000"/>
          <w:kern w:val="0"/>
          <w:sz w:val="24"/>
        </w:rPr>
      </w:pPr>
      <w:r w:rsidRPr="00874FA2">
        <w:rPr>
          <w:rFonts w:ascii="Times New Roman" w:hAnsi="Times New Roman" w:cs="Times New Roman"/>
          <w:color w:val="000000"/>
          <w:kern w:val="0"/>
          <w:sz w:val="24"/>
        </w:rPr>
        <w:t xml:space="preserve">The PBMCs were isolated from anticoagulated blood according to the </w:t>
      </w:r>
      <w:proofErr w:type="spellStart"/>
      <w:r w:rsidRPr="00874FA2">
        <w:rPr>
          <w:rFonts w:ascii="Times New Roman" w:hAnsi="Times New Roman" w:cs="Times New Roman"/>
          <w:color w:val="000000"/>
          <w:kern w:val="0"/>
          <w:sz w:val="24"/>
        </w:rPr>
        <w:t>Ficoll</w:t>
      </w:r>
      <w:proofErr w:type="spellEnd"/>
      <w:r w:rsidRPr="00874FA2">
        <w:rPr>
          <w:rFonts w:ascii="Times New Roman" w:hAnsi="Times New Roman" w:cs="Times New Roman"/>
          <w:color w:val="000000"/>
          <w:kern w:val="0"/>
          <w:sz w:val="24"/>
        </w:rPr>
        <w:t xml:space="preserve"> Plus 1.077 solution (</w:t>
      </w:r>
      <w:proofErr w:type="spellStart"/>
      <w:r w:rsidRPr="00874FA2">
        <w:rPr>
          <w:rFonts w:ascii="Times New Roman" w:hAnsi="Times New Roman" w:cs="Times New Roman"/>
          <w:color w:val="000000"/>
          <w:kern w:val="0"/>
          <w:sz w:val="24"/>
        </w:rPr>
        <w:t>Solarbio</w:t>
      </w:r>
      <w:proofErr w:type="spellEnd"/>
      <w:r w:rsidRPr="00874FA2">
        <w:rPr>
          <w:rFonts w:ascii="Times New Roman" w:hAnsi="Times New Roman" w:cs="Times New Roman"/>
          <w:color w:val="000000"/>
          <w:kern w:val="0"/>
          <w:sz w:val="24"/>
        </w:rPr>
        <w:t xml:space="preserve">, Beijing, China). Briefly, 3 mL of whole blood was carefully layered onto 3 mL of </w:t>
      </w:r>
      <w:proofErr w:type="spellStart"/>
      <w:r w:rsidRPr="00874FA2">
        <w:rPr>
          <w:rFonts w:ascii="Times New Roman" w:hAnsi="Times New Roman" w:cs="Times New Roman"/>
          <w:color w:val="000000"/>
          <w:kern w:val="0"/>
          <w:sz w:val="24"/>
        </w:rPr>
        <w:t>Ficoll</w:t>
      </w:r>
      <w:proofErr w:type="spellEnd"/>
      <w:r w:rsidRPr="00874FA2">
        <w:rPr>
          <w:rFonts w:ascii="Times New Roman" w:hAnsi="Times New Roman" w:cs="Times New Roman"/>
          <w:color w:val="000000"/>
          <w:kern w:val="0"/>
          <w:sz w:val="24"/>
        </w:rPr>
        <w:t xml:space="preserve"> Plus 1.077 in a 15-ml conical centrifuge tube and then centrifuged for 30min at 400 × g at room temperature without braking. After centrifugation, the upper layer above the opaque interface containing mononuclear cells was removed with a Pasteur pipette. The opaque interface was carefully transferred into a clean conical centrifuge tube, washed by adding 10 mL of 1x phosphate-buffered saline (PBS) supplemented with 0.04% bovine serum albumin (BSA), and mixed, followed by centrifugation at 300 × g for 5 min at 4 °C. The supernatant was aspirated and discarded, and the cell pellet was washed twice. After that, the cell pellet was resuspended in 0.5mL of 1× PBS containing 0.04% BSA. For each sample, the cell numbers were counted, and the cell viability was evaluated by </w:t>
      </w:r>
      <w:proofErr w:type="spellStart"/>
      <w:r w:rsidRPr="00874FA2">
        <w:rPr>
          <w:rFonts w:ascii="Times New Roman" w:hAnsi="Times New Roman" w:cs="Times New Roman"/>
          <w:color w:val="000000"/>
          <w:kern w:val="0"/>
          <w:sz w:val="24"/>
        </w:rPr>
        <w:t>CountStar</w:t>
      </w:r>
      <w:proofErr w:type="spellEnd"/>
      <w:r w:rsidRPr="00874FA2">
        <w:rPr>
          <w:rFonts w:ascii="Times New Roman" w:hAnsi="Times New Roman" w:cs="Times New Roman"/>
          <w:color w:val="000000"/>
          <w:kern w:val="0"/>
          <w:sz w:val="24"/>
        </w:rPr>
        <w:t>.</w:t>
      </w:r>
    </w:p>
    <w:p w14:paraId="7D83518C" w14:textId="77777777" w:rsidR="001168EB" w:rsidRPr="00874FA2"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color w:val="000000"/>
          <w:kern w:val="0"/>
          <w:sz w:val="24"/>
        </w:rPr>
      </w:pPr>
    </w:p>
    <w:p w14:paraId="31DC7613" w14:textId="77777777" w:rsidR="001168EB" w:rsidRPr="0059177E"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b/>
          <w:bCs/>
          <w:color w:val="000000"/>
          <w:kern w:val="0"/>
          <w:sz w:val="24"/>
        </w:rPr>
      </w:pPr>
      <w:r w:rsidRPr="0059177E">
        <w:rPr>
          <w:rFonts w:ascii="Times New Roman" w:hAnsi="Times New Roman" w:cs="Times New Roman"/>
          <w:b/>
          <w:bCs/>
          <w:color w:val="000000"/>
          <w:kern w:val="0"/>
          <w:sz w:val="24"/>
        </w:rPr>
        <w:lastRenderedPageBreak/>
        <w:t>Single-cell Preparation</w:t>
      </w:r>
    </w:p>
    <w:p w14:paraId="71AA8773" w14:textId="77777777" w:rsidR="001168EB"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color w:val="000000"/>
          <w:kern w:val="0"/>
          <w:sz w:val="24"/>
        </w:rPr>
      </w:pPr>
      <w:r w:rsidRPr="0059177E">
        <w:rPr>
          <w:rFonts w:ascii="Times New Roman" w:hAnsi="Times New Roman" w:cs="Times New Roman"/>
          <w:color w:val="000000"/>
          <w:kern w:val="0"/>
          <w:sz w:val="24"/>
        </w:rPr>
        <w:t>Single-cell RNA</w:t>
      </w:r>
      <w:r>
        <w:rPr>
          <w:rFonts w:ascii="Times New Roman" w:hAnsi="Times New Roman" w:cs="Times New Roman"/>
          <w:color w:val="000000"/>
          <w:kern w:val="0"/>
          <w:sz w:val="24"/>
        </w:rPr>
        <w:t xml:space="preserve"> sequencing</w:t>
      </w:r>
      <w:r w:rsidRPr="0059177E">
        <w:rPr>
          <w:rFonts w:ascii="Times New Roman" w:hAnsi="Times New Roman" w:cs="Times New Roman"/>
          <w:color w:val="000000"/>
          <w:kern w:val="0"/>
          <w:sz w:val="24"/>
        </w:rPr>
        <w:t xml:space="preserve"> was </w:t>
      </w:r>
      <w:r>
        <w:rPr>
          <w:rFonts w:ascii="Times New Roman" w:hAnsi="Times New Roman" w:cs="Times New Roman"/>
          <w:color w:val="000000"/>
          <w:kern w:val="0"/>
          <w:sz w:val="24"/>
        </w:rPr>
        <w:t>carried out by</w:t>
      </w:r>
      <w:r w:rsidRPr="0059177E">
        <w:rPr>
          <w:rFonts w:ascii="Times New Roman" w:hAnsi="Times New Roman" w:cs="Times New Roman"/>
          <w:color w:val="000000"/>
          <w:kern w:val="0"/>
          <w:sz w:val="24"/>
        </w:rPr>
        <w:t xml:space="preserve"> personnel in the laboratory of </w:t>
      </w:r>
      <w:proofErr w:type="spellStart"/>
      <w:r w:rsidRPr="0059177E">
        <w:rPr>
          <w:rFonts w:ascii="Times New Roman" w:hAnsi="Times New Roman" w:cs="Times New Roman"/>
          <w:color w:val="000000"/>
          <w:kern w:val="0"/>
          <w:sz w:val="24"/>
        </w:rPr>
        <w:t>NovelBio</w:t>
      </w:r>
      <w:proofErr w:type="spellEnd"/>
      <w:r w:rsidRPr="0059177E">
        <w:rPr>
          <w:rFonts w:ascii="Times New Roman" w:hAnsi="Times New Roman" w:cs="Times New Roman"/>
          <w:color w:val="000000"/>
          <w:kern w:val="0"/>
          <w:sz w:val="24"/>
        </w:rPr>
        <w:t xml:space="preserve"> Co., Ltd. </w:t>
      </w:r>
      <w:r>
        <w:rPr>
          <w:rFonts w:ascii="Times New Roman" w:hAnsi="Times New Roman" w:cs="Times New Roman"/>
          <w:color w:val="000000"/>
          <w:kern w:val="0"/>
          <w:sz w:val="24"/>
        </w:rPr>
        <w:t>C</w:t>
      </w:r>
      <w:r w:rsidRPr="0059177E">
        <w:rPr>
          <w:rFonts w:ascii="Times New Roman" w:hAnsi="Times New Roman" w:cs="Times New Roman"/>
          <w:color w:val="000000"/>
          <w:kern w:val="0"/>
          <w:sz w:val="24"/>
        </w:rPr>
        <w:t>ells were washed with PBS containing 0.04% BSA, re-suspended</w:t>
      </w:r>
      <w:r>
        <w:rPr>
          <w:rFonts w:ascii="Times New Roman" w:hAnsi="Times New Roman" w:cs="Times New Roman"/>
          <w:color w:val="000000"/>
          <w:kern w:val="0"/>
          <w:sz w:val="24"/>
        </w:rPr>
        <w:t>,</w:t>
      </w:r>
      <w:r w:rsidRPr="0059177E">
        <w:rPr>
          <w:rFonts w:ascii="Times New Roman" w:hAnsi="Times New Roman" w:cs="Times New Roman"/>
          <w:color w:val="000000"/>
          <w:kern w:val="0"/>
          <w:sz w:val="24"/>
        </w:rPr>
        <w:t xml:space="preserve"> and filtered through a 40μm cell strainer. </w:t>
      </w:r>
      <w:r>
        <w:rPr>
          <w:rFonts w:ascii="Times New Roman" w:hAnsi="Times New Roman" w:cs="Times New Roman"/>
          <w:color w:val="000000"/>
          <w:kern w:val="0"/>
          <w:sz w:val="24"/>
        </w:rPr>
        <w:t xml:space="preserve">Viability was assessed using an AO/PI stain and the </w:t>
      </w:r>
      <w:proofErr w:type="spellStart"/>
      <w:r>
        <w:rPr>
          <w:rFonts w:ascii="Times New Roman" w:hAnsi="Times New Roman" w:cs="Times New Roman"/>
          <w:color w:val="000000"/>
          <w:kern w:val="0"/>
          <w:sz w:val="24"/>
        </w:rPr>
        <w:t>Countstar</w:t>
      </w:r>
      <w:proofErr w:type="spellEnd"/>
      <w:r>
        <w:rPr>
          <w:rFonts w:ascii="Times New Roman" w:hAnsi="Times New Roman" w:cs="Times New Roman"/>
          <w:color w:val="000000"/>
          <w:kern w:val="0"/>
          <w:sz w:val="24"/>
        </w:rPr>
        <w:t xml:space="preserve"> </w:t>
      </w:r>
      <w:proofErr w:type="spellStart"/>
      <w:r>
        <w:rPr>
          <w:rFonts w:ascii="Times New Roman" w:hAnsi="Times New Roman" w:cs="Times New Roman"/>
          <w:color w:val="000000"/>
          <w:kern w:val="0"/>
          <w:sz w:val="24"/>
        </w:rPr>
        <w:t>Fluorenscence</w:t>
      </w:r>
      <w:proofErr w:type="spellEnd"/>
      <w:r>
        <w:rPr>
          <w:rFonts w:ascii="Times New Roman" w:hAnsi="Times New Roman" w:cs="Times New Roman"/>
          <w:color w:val="000000"/>
          <w:kern w:val="0"/>
          <w:sz w:val="24"/>
        </w:rPr>
        <w:t xml:space="preserve"> Cell Analyzer. </w:t>
      </w:r>
      <w:r w:rsidRPr="00B37221">
        <w:rPr>
          <w:rFonts w:ascii="Times New Roman" w:hAnsi="Times New Roman" w:cs="Times New Roman"/>
          <w:color w:val="000000"/>
          <w:kern w:val="0"/>
          <w:sz w:val="24"/>
        </w:rPr>
        <w:t>The original</w:t>
      </w:r>
      <w:r>
        <w:rPr>
          <w:rFonts w:ascii="Times New Roman" w:hAnsi="Times New Roman" w:cs="Times New Roman" w:hint="eastAsia"/>
          <w:color w:val="000000"/>
          <w:kern w:val="0"/>
          <w:sz w:val="24"/>
        </w:rPr>
        <w:t xml:space="preserve"> </w:t>
      </w:r>
      <w:r>
        <w:rPr>
          <w:rFonts w:ascii="Times New Roman" w:hAnsi="Times New Roman" w:cs="Times New Roman"/>
          <w:color w:val="000000"/>
          <w:kern w:val="0"/>
          <w:sz w:val="24"/>
        </w:rPr>
        <w:t>s</w:t>
      </w:r>
      <w:r w:rsidRPr="00B37221">
        <w:rPr>
          <w:rFonts w:ascii="Times New Roman" w:hAnsi="Times New Roman" w:cs="Times New Roman"/>
          <w:color w:val="000000"/>
          <w:kern w:val="0"/>
          <w:sz w:val="24"/>
        </w:rPr>
        <w:t>equencing data were stored in NCBI database with GEO accession number GSE</w:t>
      </w:r>
      <w:r>
        <w:rPr>
          <w:rFonts w:ascii="Times New Roman" w:hAnsi="Times New Roman" w:cs="Times New Roman"/>
          <w:color w:val="000000"/>
          <w:kern w:val="0"/>
          <w:sz w:val="24"/>
        </w:rPr>
        <w:t>285199</w:t>
      </w:r>
      <w:r w:rsidRPr="00B37221">
        <w:rPr>
          <w:rFonts w:ascii="Times New Roman" w:hAnsi="Times New Roman" w:cs="Times New Roman"/>
          <w:color w:val="000000"/>
          <w:kern w:val="0"/>
          <w:sz w:val="24"/>
        </w:rPr>
        <w:t>.</w:t>
      </w:r>
    </w:p>
    <w:p w14:paraId="361B2ABC" w14:textId="77777777" w:rsidR="001168EB"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color w:val="000000"/>
          <w:kern w:val="0"/>
          <w:sz w:val="24"/>
        </w:rPr>
      </w:pPr>
    </w:p>
    <w:p w14:paraId="4B432DC3" w14:textId="77777777" w:rsidR="001168EB" w:rsidRPr="0059177E"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b/>
          <w:bCs/>
          <w:color w:val="000000"/>
          <w:kern w:val="0"/>
          <w:sz w:val="24"/>
        </w:rPr>
      </w:pPr>
      <w:r w:rsidRPr="0059177E">
        <w:rPr>
          <w:rFonts w:ascii="Times New Roman" w:hAnsi="Times New Roman" w:cs="Times New Roman"/>
          <w:b/>
          <w:bCs/>
          <w:color w:val="000000"/>
          <w:kern w:val="0"/>
          <w:sz w:val="24"/>
        </w:rPr>
        <w:t>Single-cell Sequencing</w:t>
      </w:r>
    </w:p>
    <w:p w14:paraId="6B3F65E8" w14:textId="77777777" w:rsidR="001168EB"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color w:val="000000"/>
          <w:kern w:val="0"/>
          <w:sz w:val="24"/>
        </w:rPr>
      </w:pPr>
      <w:r>
        <w:rPr>
          <w:rFonts w:ascii="Times New Roman" w:hAnsi="Times New Roman" w:cs="Times New Roman"/>
          <w:color w:val="000000"/>
          <w:kern w:val="0"/>
          <w:sz w:val="24"/>
        </w:rPr>
        <w:t xml:space="preserve">Single-cell </w:t>
      </w:r>
      <w:r w:rsidRPr="0059177E">
        <w:rPr>
          <w:rFonts w:ascii="Times New Roman" w:hAnsi="Times New Roman" w:cs="Times New Roman"/>
          <w:color w:val="000000"/>
          <w:kern w:val="0"/>
          <w:sz w:val="24"/>
        </w:rPr>
        <w:t xml:space="preserve">RNA-Seq libraries were generated using the 10X Genomics Chromium Controller Instrument and Chromium Single Cell 3’ V3.1 Reagent Kits (10X Genomics, Pleasanton, CA). </w:t>
      </w:r>
      <w:r>
        <w:rPr>
          <w:rFonts w:ascii="Times New Roman" w:hAnsi="Times New Roman" w:cs="Times New Roman"/>
          <w:color w:val="000000"/>
          <w:kern w:val="0"/>
          <w:sz w:val="24"/>
        </w:rPr>
        <w:t>Approximately 1000 cells/</w:t>
      </w:r>
      <w:proofErr w:type="spellStart"/>
      <w:r w:rsidRPr="0019774E">
        <w:rPr>
          <w:rFonts w:ascii="Times New Roman" w:hAnsi="Times New Roman" w:cs="Times New Roman"/>
          <w:color w:val="000000"/>
          <w:kern w:val="0"/>
          <w:sz w:val="24"/>
        </w:rPr>
        <w:t>μL</w:t>
      </w:r>
      <w:proofErr w:type="spellEnd"/>
      <w:r>
        <w:rPr>
          <w:rFonts w:ascii="Times New Roman" w:hAnsi="Times New Roman" w:cs="Times New Roman"/>
          <w:color w:val="000000"/>
          <w:kern w:val="0"/>
          <w:sz w:val="24"/>
        </w:rPr>
        <w:t xml:space="preserve"> were concentrated and loaded into each channel to form single-cell Gel </w:t>
      </w:r>
      <w:r w:rsidRPr="0059177E">
        <w:rPr>
          <w:rFonts w:ascii="Times New Roman" w:hAnsi="Times New Roman" w:cs="Times New Roman"/>
          <w:color w:val="000000"/>
          <w:kern w:val="0"/>
          <w:sz w:val="24"/>
        </w:rPr>
        <w:t xml:space="preserve">Bead-In-Emulsions (GEMs). After </w:t>
      </w:r>
      <w:r>
        <w:rPr>
          <w:rFonts w:ascii="Times New Roman" w:hAnsi="Times New Roman" w:cs="Times New Roman"/>
          <w:color w:val="000000"/>
          <w:kern w:val="0"/>
          <w:sz w:val="24"/>
        </w:rPr>
        <w:t>reverse transcription (RT)</w:t>
      </w:r>
      <w:r w:rsidRPr="0059177E">
        <w:rPr>
          <w:rFonts w:ascii="Times New Roman" w:hAnsi="Times New Roman" w:cs="Times New Roman"/>
          <w:color w:val="000000"/>
          <w:kern w:val="0"/>
          <w:sz w:val="24"/>
        </w:rPr>
        <w:t xml:space="preserve">, GEMs were </w:t>
      </w:r>
      <w:r>
        <w:rPr>
          <w:rFonts w:ascii="Times New Roman" w:hAnsi="Times New Roman" w:cs="Times New Roman"/>
          <w:color w:val="000000"/>
          <w:kern w:val="0"/>
          <w:sz w:val="24"/>
        </w:rPr>
        <w:t xml:space="preserve">disrupted, and barcoded cDNA was purified and amplified. </w:t>
      </w:r>
      <w:r w:rsidRPr="0059177E">
        <w:rPr>
          <w:rFonts w:ascii="Times New Roman" w:hAnsi="Times New Roman" w:cs="Times New Roman"/>
          <w:color w:val="000000"/>
          <w:kern w:val="0"/>
          <w:sz w:val="24"/>
        </w:rPr>
        <w:t xml:space="preserve">The amplified cDNA was </w:t>
      </w:r>
      <w:r>
        <w:rPr>
          <w:rFonts w:ascii="Times New Roman" w:hAnsi="Times New Roman" w:cs="Times New Roman"/>
          <w:color w:val="000000"/>
          <w:kern w:val="0"/>
          <w:sz w:val="24"/>
        </w:rPr>
        <w:t xml:space="preserve">then </w:t>
      </w:r>
      <w:r w:rsidRPr="0059177E">
        <w:rPr>
          <w:rFonts w:ascii="Times New Roman" w:hAnsi="Times New Roman" w:cs="Times New Roman"/>
          <w:color w:val="000000"/>
          <w:kern w:val="0"/>
          <w:sz w:val="24"/>
        </w:rPr>
        <w:t>fragmented, A-tailed, ligated with adaptors</w:t>
      </w:r>
      <w:r>
        <w:rPr>
          <w:rFonts w:ascii="Times New Roman" w:hAnsi="Times New Roman" w:cs="Times New Roman"/>
          <w:color w:val="000000"/>
          <w:kern w:val="0"/>
          <w:sz w:val="24"/>
        </w:rPr>
        <w:t xml:space="preserve">, and further amplified via index PCR. </w:t>
      </w:r>
      <w:r w:rsidRPr="0059177E">
        <w:rPr>
          <w:rFonts w:ascii="Times New Roman" w:hAnsi="Times New Roman" w:cs="Times New Roman"/>
          <w:color w:val="000000"/>
          <w:kern w:val="0"/>
          <w:sz w:val="24"/>
        </w:rPr>
        <w:t>The final libraries were quantified using the Qubit High Sensitivity DNA assay (</w:t>
      </w:r>
      <w:proofErr w:type="spellStart"/>
      <w:r w:rsidRPr="0059177E">
        <w:rPr>
          <w:rFonts w:ascii="Times New Roman" w:hAnsi="Times New Roman" w:cs="Times New Roman"/>
          <w:color w:val="000000"/>
          <w:kern w:val="0"/>
          <w:sz w:val="24"/>
        </w:rPr>
        <w:t>Thermo</w:t>
      </w:r>
      <w:proofErr w:type="spellEnd"/>
      <w:r w:rsidRPr="0059177E">
        <w:rPr>
          <w:rFonts w:ascii="Times New Roman" w:hAnsi="Times New Roman" w:cs="Times New Roman"/>
          <w:color w:val="000000"/>
          <w:kern w:val="0"/>
          <w:sz w:val="24"/>
        </w:rPr>
        <w:t xml:space="preserve"> Fisher Scientific)</w:t>
      </w:r>
      <w:r>
        <w:rPr>
          <w:rFonts w:ascii="Times New Roman" w:hAnsi="Times New Roman" w:cs="Times New Roman"/>
          <w:color w:val="000000"/>
          <w:kern w:val="0"/>
          <w:sz w:val="24"/>
        </w:rPr>
        <w:t>,</w:t>
      </w:r>
      <w:r w:rsidRPr="0059177E">
        <w:rPr>
          <w:rFonts w:ascii="Times New Roman" w:hAnsi="Times New Roman" w:cs="Times New Roman"/>
          <w:color w:val="000000"/>
          <w:kern w:val="0"/>
          <w:sz w:val="24"/>
        </w:rPr>
        <w:t xml:space="preserve"> and the size distribution </w:t>
      </w:r>
      <w:r>
        <w:rPr>
          <w:rFonts w:ascii="Times New Roman" w:hAnsi="Times New Roman" w:cs="Times New Roman"/>
          <w:color w:val="000000"/>
          <w:kern w:val="0"/>
          <w:sz w:val="24"/>
        </w:rPr>
        <w:t xml:space="preserve">was </w:t>
      </w:r>
      <w:r w:rsidRPr="0059177E">
        <w:rPr>
          <w:rFonts w:ascii="Times New Roman" w:hAnsi="Times New Roman" w:cs="Times New Roman"/>
          <w:color w:val="000000"/>
          <w:kern w:val="0"/>
          <w:sz w:val="24"/>
        </w:rPr>
        <w:t xml:space="preserve">determined </w:t>
      </w:r>
      <w:r>
        <w:rPr>
          <w:rFonts w:ascii="Times New Roman" w:hAnsi="Times New Roman" w:cs="Times New Roman"/>
          <w:color w:val="000000"/>
          <w:kern w:val="0"/>
          <w:sz w:val="24"/>
        </w:rPr>
        <w:t>with</w:t>
      </w:r>
      <w:r w:rsidRPr="0059177E">
        <w:rPr>
          <w:rFonts w:ascii="Times New Roman" w:hAnsi="Times New Roman" w:cs="Times New Roman"/>
          <w:color w:val="000000"/>
          <w:kern w:val="0"/>
          <w:sz w:val="24"/>
        </w:rPr>
        <w:t xml:space="preserve"> a High Sensitivity DNA chip on a Bioanalyzer 2200 (Agilent). </w:t>
      </w:r>
      <w:r>
        <w:rPr>
          <w:rFonts w:ascii="Times New Roman" w:hAnsi="Times New Roman" w:cs="Times New Roman"/>
          <w:color w:val="000000"/>
          <w:kern w:val="0"/>
          <w:sz w:val="24"/>
        </w:rPr>
        <w:t>Sequencing was performed on a 150 bp paired-end run using an Illumina sequencer (Illumina, San Diego, CA).</w:t>
      </w:r>
    </w:p>
    <w:p w14:paraId="7A356DD6" w14:textId="77777777" w:rsidR="001168EB" w:rsidRPr="0059177E"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color w:val="000000"/>
          <w:kern w:val="0"/>
          <w:sz w:val="24"/>
        </w:rPr>
      </w:pPr>
    </w:p>
    <w:p w14:paraId="6EC3B4FB" w14:textId="77777777" w:rsidR="001168EB" w:rsidRPr="00874FA2"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b/>
          <w:bCs/>
          <w:color w:val="000000"/>
          <w:kern w:val="0"/>
          <w:sz w:val="24"/>
        </w:rPr>
      </w:pPr>
      <w:r w:rsidRPr="00874FA2">
        <w:rPr>
          <w:rFonts w:ascii="Times New Roman" w:hAnsi="Times New Roman" w:cs="Times New Roman"/>
          <w:b/>
          <w:bCs/>
          <w:color w:val="000000"/>
          <w:kern w:val="0"/>
          <w:sz w:val="24"/>
        </w:rPr>
        <w:t>Single-cell RNA-seq (scRNA-seq) Data Processing</w:t>
      </w:r>
    </w:p>
    <w:p w14:paraId="65030654" w14:textId="77777777" w:rsidR="001168EB" w:rsidRDefault="001168EB" w:rsidP="001168EB">
      <w:pPr>
        <w:spacing w:line="440" w:lineRule="exact"/>
        <w:jc w:val="both"/>
        <w:rPr>
          <w:rFonts w:ascii="Times New Roman" w:hAnsi="Times New Roman" w:cs="Times New Roman"/>
          <w:color w:val="000000"/>
          <w:kern w:val="0"/>
          <w:sz w:val="24"/>
        </w:rPr>
      </w:pPr>
      <w:r w:rsidRPr="00874FA2">
        <w:rPr>
          <w:rFonts w:ascii="Times New Roman" w:hAnsi="Times New Roman" w:cs="Times New Roman"/>
          <w:color w:val="000000"/>
          <w:kern w:val="0"/>
          <w:sz w:val="24"/>
        </w:rPr>
        <w:t>The data that support the findings of this study are available from the correspondin</w:t>
      </w:r>
      <w:r>
        <w:rPr>
          <w:rFonts w:ascii="Times New Roman" w:hAnsi="Times New Roman" w:cs="Times New Roman" w:hint="eastAsia"/>
          <w:color w:val="000000"/>
          <w:kern w:val="0"/>
          <w:sz w:val="24"/>
        </w:rPr>
        <w:t xml:space="preserve">g </w:t>
      </w:r>
      <w:r w:rsidRPr="00874FA2">
        <w:rPr>
          <w:rFonts w:ascii="Times New Roman" w:hAnsi="Times New Roman" w:cs="Times New Roman"/>
          <w:color w:val="000000"/>
          <w:kern w:val="0"/>
          <w:sz w:val="24"/>
        </w:rPr>
        <w:t xml:space="preserve">author upon reasonable request. </w:t>
      </w:r>
      <w:r w:rsidRPr="000404D1">
        <w:rPr>
          <w:rFonts w:ascii="Times New Roman" w:hAnsi="Times New Roman" w:cs="Times New Roman"/>
          <w:color w:val="000000"/>
          <w:kern w:val="0"/>
          <w:sz w:val="24"/>
        </w:rPr>
        <w:t xml:space="preserve">The adaptor sequences were filtered using </w:t>
      </w:r>
      <w:proofErr w:type="spellStart"/>
      <w:r w:rsidRPr="000404D1">
        <w:rPr>
          <w:rFonts w:ascii="Times New Roman" w:hAnsi="Times New Roman" w:cs="Times New Roman"/>
          <w:color w:val="000000"/>
          <w:kern w:val="0"/>
          <w:sz w:val="24"/>
        </w:rPr>
        <w:t>fastp</w:t>
      </w:r>
      <w:proofErr w:type="spellEnd"/>
      <w:r w:rsidRPr="000404D1">
        <w:rPr>
          <w:rFonts w:ascii="Times New Roman" w:hAnsi="Times New Roman" w:cs="Times New Roman"/>
          <w:color w:val="000000"/>
          <w:kern w:val="0"/>
          <w:sz w:val="24"/>
        </w:rPr>
        <w:t xml:space="preserve"> with default parameters, and low-quality reads were removed to obtain clean data. Feature-barcode matrices were generated by aligning the reads to the human genome (GRCh38, </w:t>
      </w:r>
      <w:proofErr w:type="spellStart"/>
      <w:r w:rsidRPr="000404D1">
        <w:rPr>
          <w:rFonts w:ascii="Times New Roman" w:hAnsi="Times New Roman" w:cs="Times New Roman"/>
          <w:color w:val="000000"/>
          <w:kern w:val="0"/>
          <w:sz w:val="24"/>
        </w:rPr>
        <w:t>Ensembl</w:t>
      </w:r>
      <w:proofErr w:type="spellEnd"/>
      <w:r w:rsidRPr="000404D1">
        <w:rPr>
          <w:rFonts w:ascii="Times New Roman" w:hAnsi="Times New Roman" w:cs="Times New Roman"/>
          <w:color w:val="000000"/>
          <w:kern w:val="0"/>
          <w:sz w:val="24"/>
        </w:rPr>
        <w:t xml:space="preserve"> 104) using Cell Ranger v7.1.0.</w:t>
      </w:r>
      <w:r>
        <w:rPr>
          <w:rFonts w:ascii="Times New Roman" w:hAnsi="Times New Roman" w:cs="Times New Roman"/>
          <w:color w:val="000000"/>
          <w:kern w:val="0"/>
          <w:sz w:val="24"/>
        </w:rPr>
        <w:t xml:space="preserve"> </w:t>
      </w:r>
      <w:r w:rsidRPr="00874FA2">
        <w:rPr>
          <w:rFonts w:ascii="Times New Roman" w:hAnsi="Times New Roman" w:cs="Times New Roman"/>
          <w:color w:val="000000"/>
          <w:kern w:val="0"/>
          <w:sz w:val="24"/>
        </w:rPr>
        <w:t xml:space="preserve">Sequencing data from six samples, including four patients with hypertension and atrial fibrillation (AF_HTN_01, AF_HTN_02, AF_HTN_03, AF_HTN_04) and two control patients with hypertension only (HTN_CON_01, HTN_CON_02), were processed using the Seurat R package (version 4.3.0). The raw gene expression matrices were first read using the `Read10X` function, and Seurat objects were created for each sample with a minimum requirement of 200 </w:t>
      </w:r>
      <w:r w:rsidRPr="00874FA2">
        <w:rPr>
          <w:rFonts w:ascii="Times New Roman" w:hAnsi="Times New Roman" w:cs="Times New Roman"/>
          <w:color w:val="000000"/>
          <w:kern w:val="0"/>
          <w:sz w:val="24"/>
        </w:rPr>
        <w:lastRenderedPageBreak/>
        <w:t>features and 3 cells per feature. The individual Seurat objects were merged into a single object for further analysis using the `merge` function. To assess data quality, we calculated the percentage of mitochondrial and hemoglobin gene expression using the `</w:t>
      </w:r>
      <w:proofErr w:type="spellStart"/>
      <w:r w:rsidRPr="00874FA2">
        <w:rPr>
          <w:rFonts w:ascii="Times New Roman" w:hAnsi="Times New Roman" w:cs="Times New Roman"/>
          <w:color w:val="000000"/>
          <w:kern w:val="0"/>
          <w:sz w:val="24"/>
        </w:rPr>
        <w:t>PercentageFeatureSet</w:t>
      </w:r>
      <w:proofErr w:type="spellEnd"/>
      <w:r w:rsidRPr="00874FA2">
        <w:rPr>
          <w:rFonts w:ascii="Times New Roman" w:hAnsi="Times New Roman" w:cs="Times New Roman"/>
          <w:color w:val="000000"/>
          <w:kern w:val="0"/>
          <w:sz w:val="24"/>
        </w:rPr>
        <w:t>` function, and the quality of the data was visualized via violin plots (`</w:t>
      </w:r>
      <w:proofErr w:type="spellStart"/>
      <w:r w:rsidRPr="00874FA2">
        <w:rPr>
          <w:rFonts w:ascii="Times New Roman" w:hAnsi="Times New Roman" w:cs="Times New Roman"/>
          <w:color w:val="000000"/>
          <w:kern w:val="0"/>
          <w:sz w:val="24"/>
        </w:rPr>
        <w:t>VlnPlot</w:t>
      </w:r>
      <w:proofErr w:type="spellEnd"/>
      <w:r w:rsidRPr="00874FA2">
        <w:rPr>
          <w:rFonts w:ascii="Times New Roman" w:hAnsi="Times New Roman" w:cs="Times New Roman"/>
          <w:color w:val="000000"/>
          <w:kern w:val="0"/>
          <w:sz w:val="24"/>
        </w:rPr>
        <w:t xml:space="preserve">`). Low-quality cells were filtered out based on the following criteria: cells with more than 1000 and less than 6000 genes, mitochondrial gene expression under 15%, and hemoglobin gene expression below 0.1%. Normalization of the gene expression data was performed using </w:t>
      </w:r>
      <w:proofErr w:type="spellStart"/>
      <w:r w:rsidRPr="00874FA2">
        <w:rPr>
          <w:rFonts w:ascii="Times New Roman" w:hAnsi="Times New Roman" w:cs="Times New Roman"/>
          <w:color w:val="000000"/>
          <w:kern w:val="0"/>
          <w:sz w:val="24"/>
        </w:rPr>
        <w:t>SCTransform</w:t>
      </w:r>
      <w:proofErr w:type="spellEnd"/>
      <w:r w:rsidRPr="00874FA2">
        <w:rPr>
          <w:rFonts w:ascii="Times New Roman" w:hAnsi="Times New Roman" w:cs="Times New Roman"/>
          <w:color w:val="000000"/>
          <w:kern w:val="0"/>
          <w:sz w:val="24"/>
        </w:rPr>
        <w:t xml:space="preserve"> with regression of mitochondrial and hemoglobin gene expression (`</w:t>
      </w:r>
      <w:proofErr w:type="spellStart"/>
      <w:r w:rsidRPr="00874FA2">
        <w:rPr>
          <w:rFonts w:ascii="Times New Roman" w:hAnsi="Times New Roman" w:cs="Times New Roman"/>
          <w:color w:val="000000"/>
          <w:kern w:val="0"/>
          <w:sz w:val="24"/>
        </w:rPr>
        <w:t>SCTransform</w:t>
      </w:r>
      <w:proofErr w:type="spellEnd"/>
      <w:r w:rsidRPr="00874FA2">
        <w:rPr>
          <w:rFonts w:ascii="Times New Roman" w:hAnsi="Times New Roman" w:cs="Times New Roman"/>
          <w:color w:val="000000"/>
          <w:kern w:val="0"/>
          <w:sz w:val="24"/>
        </w:rPr>
        <w:t>` function). Principal component analysis (PCA) was then conducted to reduce dimensionality, followed by the construction of a nearest neighbor graph (`</w:t>
      </w:r>
      <w:proofErr w:type="spellStart"/>
      <w:r w:rsidRPr="00874FA2">
        <w:rPr>
          <w:rFonts w:ascii="Times New Roman" w:hAnsi="Times New Roman" w:cs="Times New Roman"/>
          <w:color w:val="000000"/>
          <w:kern w:val="0"/>
          <w:sz w:val="24"/>
        </w:rPr>
        <w:t>FindNeighbors</w:t>
      </w:r>
      <w:proofErr w:type="spellEnd"/>
      <w:r w:rsidRPr="00874FA2">
        <w:rPr>
          <w:rFonts w:ascii="Times New Roman" w:hAnsi="Times New Roman" w:cs="Times New Roman"/>
          <w:color w:val="000000"/>
          <w:kern w:val="0"/>
          <w:sz w:val="24"/>
        </w:rPr>
        <w:t>` function) and clustering of cells (`</w:t>
      </w:r>
      <w:proofErr w:type="spellStart"/>
      <w:r w:rsidRPr="00874FA2">
        <w:rPr>
          <w:rFonts w:ascii="Times New Roman" w:hAnsi="Times New Roman" w:cs="Times New Roman"/>
          <w:color w:val="000000"/>
          <w:kern w:val="0"/>
          <w:sz w:val="24"/>
        </w:rPr>
        <w:t>FindClusters</w:t>
      </w:r>
      <w:proofErr w:type="spellEnd"/>
      <w:r w:rsidRPr="00874FA2">
        <w:rPr>
          <w:rFonts w:ascii="Times New Roman" w:hAnsi="Times New Roman" w:cs="Times New Roman"/>
          <w:color w:val="000000"/>
          <w:kern w:val="0"/>
          <w:sz w:val="24"/>
        </w:rPr>
        <w:t>` function) based on the first 30 principal components. To correct for batch effects across the different samples, the Harmony algorithm was employed (`</w:t>
      </w:r>
      <w:proofErr w:type="spellStart"/>
      <w:r w:rsidRPr="00874FA2">
        <w:rPr>
          <w:rFonts w:ascii="Times New Roman" w:hAnsi="Times New Roman" w:cs="Times New Roman"/>
          <w:color w:val="000000"/>
          <w:kern w:val="0"/>
          <w:sz w:val="24"/>
        </w:rPr>
        <w:t>RunHarmony</w:t>
      </w:r>
      <w:proofErr w:type="spellEnd"/>
      <w:r w:rsidRPr="00874FA2">
        <w:rPr>
          <w:rFonts w:ascii="Times New Roman" w:hAnsi="Times New Roman" w:cs="Times New Roman"/>
          <w:color w:val="000000"/>
          <w:kern w:val="0"/>
          <w:sz w:val="24"/>
        </w:rPr>
        <w:t>` function), which was followed by neighbor graph construction and dimensionality reduction using UMAP (`</w:t>
      </w:r>
      <w:proofErr w:type="spellStart"/>
      <w:r w:rsidRPr="00874FA2">
        <w:rPr>
          <w:rFonts w:ascii="Times New Roman" w:hAnsi="Times New Roman" w:cs="Times New Roman"/>
          <w:color w:val="000000"/>
          <w:kern w:val="0"/>
          <w:sz w:val="24"/>
        </w:rPr>
        <w:t>RunUMAP</w:t>
      </w:r>
      <w:proofErr w:type="spellEnd"/>
      <w:r w:rsidRPr="00874FA2">
        <w:rPr>
          <w:rFonts w:ascii="Times New Roman" w:hAnsi="Times New Roman" w:cs="Times New Roman"/>
          <w:color w:val="000000"/>
          <w:kern w:val="0"/>
          <w:sz w:val="24"/>
        </w:rPr>
        <w:t xml:space="preserve">`) and </w:t>
      </w:r>
      <w:proofErr w:type="spellStart"/>
      <w:r w:rsidRPr="00874FA2">
        <w:rPr>
          <w:rFonts w:ascii="Times New Roman" w:hAnsi="Times New Roman" w:cs="Times New Roman"/>
          <w:color w:val="000000"/>
          <w:kern w:val="0"/>
          <w:sz w:val="24"/>
        </w:rPr>
        <w:t>tSNE</w:t>
      </w:r>
      <w:proofErr w:type="spellEnd"/>
      <w:r w:rsidRPr="00874FA2">
        <w:rPr>
          <w:rFonts w:ascii="Times New Roman" w:hAnsi="Times New Roman" w:cs="Times New Roman"/>
          <w:color w:val="000000"/>
          <w:kern w:val="0"/>
          <w:sz w:val="24"/>
        </w:rPr>
        <w:t xml:space="preserve"> (`</w:t>
      </w:r>
      <w:proofErr w:type="spellStart"/>
      <w:r w:rsidRPr="00874FA2">
        <w:rPr>
          <w:rFonts w:ascii="Times New Roman" w:hAnsi="Times New Roman" w:cs="Times New Roman"/>
          <w:color w:val="000000"/>
          <w:kern w:val="0"/>
          <w:sz w:val="24"/>
        </w:rPr>
        <w:t>RunTSNE</w:t>
      </w:r>
      <w:proofErr w:type="spellEnd"/>
      <w:r w:rsidRPr="00874FA2">
        <w:rPr>
          <w:rFonts w:ascii="Times New Roman" w:hAnsi="Times New Roman" w:cs="Times New Roman"/>
          <w:color w:val="000000"/>
          <w:kern w:val="0"/>
          <w:sz w:val="24"/>
        </w:rPr>
        <w:t>`). Clustering was fine-tuned with a resolution ranging from 0 to 1, with the final clusters determined at a resolution of 0.4. Visualization of the clustering was performed with `</w:t>
      </w:r>
      <w:proofErr w:type="spellStart"/>
      <w:r w:rsidRPr="00874FA2">
        <w:rPr>
          <w:rFonts w:ascii="Times New Roman" w:hAnsi="Times New Roman" w:cs="Times New Roman"/>
          <w:color w:val="000000"/>
          <w:kern w:val="0"/>
          <w:sz w:val="24"/>
        </w:rPr>
        <w:t>DimPlot</w:t>
      </w:r>
      <w:proofErr w:type="spellEnd"/>
      <w:r w:rsidRPr="00874FA2">
        <w:rPr>
          <w:rFonts w:ascii="Times New Roman" w:hAnsi="Times New Roman" w:cs="Times New Roman"/>
          <w:color w:val="000000"/>
          <w:kern w:val="0"/>
          <w:sz w:val="24"/>
        </w:rPr>
        <w:t>`, and cluster stability was assessed using the `</w:t>
      </w:r>
      <w:proofErr w:type="spellStart"/>
      <w:r w:rsidRPr="00874FA2">
        <w:rPr>
          <w:rFonts w:ascii="Times New Roman" w:hAnsi="Times New Roman" w:cs="Times New Roman"/>
          <w:color w:val="000000"/>
          <w:kern w:val="0"/>
          <w:sz w:val="24"/>
        </w:rPr>
        <w:t>clustree</w:t>
      </w:r>
      <w:proofErr w:type="spellEnd"/>
      <w:r w:rsidRPr="00874FA2">
        <w:rPr>
          <w:rFonts w:ascii="Times New Roman" w:hAnsi="Times New Roman" w:cs="Times New Roman"/>
          <w:color w:val="000000"/>
          <w:kern w:val="0"/>
          <w:sz w:val="24"/>
        </w:rPr>
        <w:t>` package.</w:t>
      </w:r>
    </w:p>
    <w:p w14:paraId="4016BC2D" w14:textId="77777777" w:rsidR="001168EB" w:rsidRPr="00874FA2" w:rsidRDefault="001168EB" w:rsidP="001168EB">
      <w:pPr>
        <w:spacing w:line="440" w:lineRule="exact"/>
        <w:jc w:val="both"/>
        <w:rPr>
          <w:rFonts w:ascii="Times New Roman" w:hAnsi="Times New Roman" w:cs="Times New Roman"/>
          <w:color w:val="000000"/>
          <w:kern w:val="0"/>
          <w:sz w:val="24"/>
        </w:rPr>
      </w:pPr>
    </w:p>
    <w:p w14:paraId="433DE742" w14:textId="77777777" w:rsidR="001168EB" w:rsidRPr="00874FA2"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b/>
          <w:bCs/>
          <w:color w:val="000000"/>
          <w:kern w:val="0"/>
          <w:sz w:val="24"/>
        </w:rPr>
      </w:pPr>
      <w:r w:rsidRPr="00874FA2">
        <w:rPr>
          <w:rFonts w:ascii="Times New Roman" w:hAnsi="Times New Roman" w:cs="Times New Roman"/>
          <w:b/>
          <w:bCs/>
          <w:color w:val="000000"/>
          <w:kern w:val="0"/>
          <w:sz w:val="24"/>
        </w:rPr>
        <w:t>Cell-cell communication analysis</w:t>
      </w:r>
    </w:p>
    <w:p w14:paraId="38DDB1CF" w14:textId="77777777" w:rsidR="001168EB" w:rsidRDefault="001168EB" w:rsidP="001168EB">
      <w:pPr>
        <w:spacing w:line="440" w:lineRule="exact"/>
        <w:jc w:val="both"/>
        <w:rPr>
          <w:rFonts w:ascii="Times New Roman" w:hAnsi="Times New Roman" w:cs="Times New Roman"/>
          <w:color w:val="000000"/>
          <w:kern w:val="0"/>
          <w:sz w:val="24"/>
        </w:rPr>
      </w:pPr>
      <w:r w:rsidRPr="00874FA2">
        <w:rPr>
          <w:rFonts w:ascii="Times New Roman" w:hAnsi="Times New Roman" w:cs="Times New Roman"/>
          <w:color w:val="000000"/>
          <w:kern w:val="0"/>
          <w:sz w:val="24"/>
        </w:rPr>
        <w:t xml:space="preserve">To investigate cell-cell communication via ligand-receptor interactions, we utilized two complementary approaches: CellPhoneDB (version 5.0.1, https://www.cellphonedb.org/) and </w:t>
      </w:r>
      <w:proofErr w:type="spellStart"/>
      <w:r w:rsidRPr="00874FA2">
        <w:rPr>
          <w:rFonts w:ascii="Times New Roman" w:hAnsi="Times New Roman" w:cs="Times New Roman"/>
          <w:color w:val="000000"/>
          <w:kern w:val="0"/>
          <w:sz w:val="24"/>
        </w:rPr>
        <w:t>CellChat</w:t>
      </w:r>
      <w:proofErr w:type="spellEnd"/>
      <w:r w:rsidRPr="00874FA2">
        <w:rPr>
          <w:rFonts w:ascii="Times New Roman" w:hAnsi="Times New Roman" w:cs="Times New Roman"/>
          <w:color w:val="000000"/>
          <w:kern w:val="0"/>
          <w:sz w:val="24"/>
        </w:rPr>
        <w:t xml:space="preserve"> (version 2.1.2, https://github.com/sqjin/CellChat) to cross-validate our findings. For the CellPhoneDB analysis, we used the Python-based toolkit to identify significant ligand-receptor interactions. The analysis was performed by calculating interaction scores between cell types based on the mean expression levels of ligand-receptor pairs. A permutation test was conducted with 1000 iterations to assess the significance of each interaction (p-value &lt; 0.01). Interactions that passed the significance threshold were visualized using network plots. In parallel, we employed the R package </w:t>
      </w:r>
      <w:proofErr w:type="spellStart"/>
      <w:r w:rsidRPr="00874FA2">
        <w:rPr>
          <w:rFonts w:ascii="Times New Roman" w:hAnsi="Times New Roman" w:cs="Times New Roman"/>
          <w:color w:val="000000"/>
          <w:kern w:val="0"/>
          <w:sz w:val="24"/>
        </w:rPr>
        <w:t>CellChat</w:t>
      </w:r>
      <w:proofErr w:type="spellEnd"/>
      <w:r w:rsidRPr="00874FA2">
        <w:rPr>
          <w:rFonts w:ascii="Times New Roman" w:hAnsi="Times New Roman" w:cs="Times New Roman"/>
          <w:color w:val="000000"/>
          <w:kern w:val="0"/>
          <w:sz w:val="24"/>
        </w:rPr>
        <w:t xml:space="preserve"> to further explore and </w:t>
      </w:r>
      <w:r w:rsidRPr="00874FA2">
        <w:rPr>
          <w:rFonts w:ascii="Times New Roman" w:hAnsi="Times New Roman" w:cs="Times New Roman"/>
          <w:color w:val="000000"/>
          <w:kern w:val="0"/>
          <w:sz w:val="24"/>
        </w:rPr>
        <w:lastRenderedPageBreak/>
        <w:t xml:space="preserve">validate cell-cell communication networks. The </w:t>
      </w:r>
      <w:proofErr w:type="spellStart"/>
      <w:r w:rsidRPr="00874FA2">
        <w:rPr>
          <w:rFonts w:ascii="Times New Roman" w:hAnsi="Times New Roman" w:cs="Times New Roman"/>
          <w:color w:val="000000"/>
          <w:kern w:val="0"/>
          <w:sz w:val="24"/>
        </w:rPr>
        <w:t>CellChat</w:t>
      </w:r>
      <w:proofErr w:type="spellEnd"/>
      <w:r w:rsidRPr="00874FA2">
        <w:rPr>
          <w:rFonts w:ascii="Times New Roman" w:hAnsi="Times New Roman" w:cs="Times New Roman"/>
          <w:color w:val="000000"/>
          <w:kern w:val="0"/>
          <w:sz w:val="24"/>
        </w:rPr>
        <w:t xml:space="preserve"> pipeline was used to infer and analyze the communication probabilities between different cell types, integrating prior knowledge from the included database. Key signaling pathways were identified and visualized through network diagrams and heatmaps, providing a comprehensive overview of intercellular communication patterns. The results from CellPhoneDB and </w:t>
      </w:r>
      <w:proofErr w:type="spellStart"/>
      <w:r w:rsidRPr="00874FA2">
        <w:rPr>
          <w:rFonts w:ascii="Times New Roman" w:hAnsi="Times New Roman" w:cs="Times New Roman"/>
          <w:color w:val="000000"/>
          <w:kern w:val="0"/>
          <w:sz w:val="24"/>
        </w:rPr>
        <w:t>CellChat</w:t>
      </w:r>
      <w:proofErr w:type="spellEnd"/>
      <w:r w:rsidRPr="00874FA2">
        <w:rPr>
          <w:rFonts w:ascii="Times New Roman" w:hAnsi="Times New Roman" w:cs="Times New Roman"/>
          <w:color w:val="000000"/>
          <w:kern w:val="0"/>
          <w:sz w:val="24"/>
        </w:rPr>
        <w:t xml:space="preserve"> were compared to ensure consistency and reliability in our conclusions.</w:t>
      </w:r>
    </w:p>
    <w:p w14:paraId="2BFB1C14" w14:textId="77777777" w:rsidR="001168EB" w:rsidRPr="00874FA2" w:rsidRDefault="001168EB" w:rsidP="001168EB">
      <w:pPr>
        <w:spacing w:line="440" w:lineRule="exact"/>
        <w:jc w:val="both"/>
        <w:rPr>
          <w:rFonts w:ascii="Times New Roman" w:hAnsi="Times New Roman" w:cs="Times New Roman"/>
          <w:color w:val="000000"/>
          <w:kern w:val="0"/>
          <w:sz w:val="24"/>
        </w:rPr>
      </w:pPr>
    </w:p>
    <w:p w14:paraId="5B7108DA" w14:textId="77777777" w:rsidR="001168EB" w:rsidRPr="00874FA2" w:rsidRDefault="001168EB" w:rsidP="001168EB">
      <w:pPr>
        <w:spacing w:line="440" w:lineRule="exact"/>
        <w:jc w:val="both"/>
        <w:rPr>
          <w:rFonts w:ascii="Times New Roman" w:hAnsi="Times New Roman" w:cs="Times New Roman"/>
          <w:b/>
          <w:bCs/>
          <w:color w:val="000000"/>
          <w:kern w:val="0"/>
          <w:sz w:val="24"/>
        </w:rPr>
      </w:pPr>
      <w:r w:rsidRPr="00874FA2">
        <w:rPr>
          <w:rFonts w:ascii="Times New Roman" w:hAnsi="Times New Roman" w:cs="Times New Roman"/>
          <w:b/>
          <w:bCs/>
          <w:color w:val="000000"/>
          <w:kern w:val="0"/>
          <w:sz w:val="24"/>
        </w:rPr>
        <w:t>Enrichment Analysis Using Gene Set Module Scores</w:t>
      </w:r>
    </w:p>
    <w:p w14:paraId="1A6D6804" w14:textId="77777777" w:rsidR="001168EB" w:rsidRDefault="001168EB" w:rsidP="001168EB">
      <w:pPr>
        <w:spacing w:line="440" w:lineRule="exact"/>
        <w:jc w:val="both"/>
        <w:rPr>
          <w:rFonts w:ascii="Times New Roman" w:hAnsi="Times New Roman" w:cs="Times New Roman"/>
          <w:color w:val="000000"/>
          <w:kern w:val="0"/>
          <w:sz w:val="24"/>
        </w:rPr>
      </w:pPr>
      <w:r w:rsidRPr="00874FA2">
        <w:rPr>
          <w:rFonts w:ascii="Times New Roman" w:hAnsi="Times New Roman" w:cs="Times New Roman"/>
          <w:color w:val="000000"/>
          <w:kern w:val="0"/>
          <w:sz w:val="24"/>
        </w:rPr>
        <w:t xml:space="preserve">To assess the enrichment of specific gene sets, we utilized the </w:t>
      </w:r>
      <w:proofErr w:type="spellStart"/>
      <w:r w:rsidRPr="00874FA2">
        <w:rPr>
          <w:rFonts w:ascii="Times New Roman" w:hAnsi="Times New Roman" w:cs="Times New Roman"/>
          <w:color w:val="000000"/>
          <w:kern w:val="0"/>
          <w:sz w:val="24"/>
        </w:rPr>
        <w:t>AddModuleScore</w:t>
      </w:r>
      <w:proofErr w:type="spellEnd"/>
      <w:r w:rsidRPr="00874FA2">
        <w:rPr>
          <w:rFonts w:ascii="Times New Roman" w:hAnsi="Times New Roman" w:cs="Times New Roman"/>
          <w:color w:val="000000"/>
          <w:kern w:val="0"/>
          <w:sz w:val="24"/>
        </w:rPr>
        <w:t xml:space="preserve"> function within the Seurat package. Gene sets related to cholesterol metabolism and atrial fibrillation were obtained from the Molecular Signatures Database (</w:t>
      </w:r>
      <w:proofErr w:type="spellStart"/>
      <w:r w:rsidRPr="00874FA2">
        <w:rPr>
          <w:rFonts w:ascii="Times New Roman" w:hAnsi="Times New Roman" w:cs="Times New Roman"/>
          <w:color w:val="000000"/>
          <w:kern w:val="0"/>
          <w:sz w:val="24"/>
        </w:rPr>
        <w:t>MSigDB</w:t>
      </w:r>
      <w:proofErr w:type="spellEnd"/>
      <w:r w:rsidRPr="00874FA2">
        <w:rPr>
          <w:rFonts w:ascii="Times New Roman" w:hAnsi="Times New Roman" w:cs="Times New Roman"/>
          <w:color w:val="000000"/>
          <w:kern w:val="0"/>
          <w:sz w:val="24"/>
        </w:rPr>
        <w:t xml:space="preserve">, https://www.gsea-msigdb.org/gsea/msigdb/index.jsp). These gene sets were curated based on established biological pathways associated with cholesterol regulation and atrial fibrillation development. The </w:t>
      </w:r>
      <w:proofErr w:type="spellStart"/>
      <w:r w:rsidRPr="00874FA2">
        <w:rPr>
          <w:rFonts w:ascii="Times New Roman" w:hAnsi="Times New Roman" w:cs="Times New Roman"/>
          <w:color w:val="000000"/>
          <w:kern w:val="0"/>
          <w:sz w:val="24"/>
        </w:rPr>
        <w:t>AddModuleScore</w:t>
      </w:r>
      <w:proofErr w:type="spellEnd"/>
      <w:r w:rsidRPr="00874FA2">
        <w:rPr>
          <w:rFonts w:ascii="Times New Roman" w:hAnsi="Times New Roman" w:cs="Times New Roman"/>
          <w:color w:val="000000"/>
          <w:kern w:val="0"/>
          <w:sz w:val="24"/>
        </w:rPr>
        <w:t xml:space="preserve"> function was employed to calculate module scores for individual cells, measuring the relative expression of each gene set within single cells. These module scores represent the average expression of the gene set after subtracting the aggregated expression of control genes matched for expression levels. Module scores were computed for each cell cluster, allowing for the identification of clusters enriched in cholesterol-related and atrial fibrillation-related gene sets. Enrichment was visualized through violin plots, highlighting the differential expression across cell clusters.</w:t>
      </w:r>
    </w:p>
    <w:p w14:paraId="723C2C9A" w14:textId="77777777" w:rsidR="001168EB" w:rsidRPr="00874FA2" w:rsidRDefault="001168EB" w:rsidP="001168EB">
      <w:pPr>
        <w:spacing w:line="440" w:lineRule="exact"/>
        <w:jc w:val="both"/>
        <w:rPr>
          <w:rFonts w:ascii="Times New Roman" w:hAnsi="Times New Roman" w:cs="Times New Roman"/>
          <w:color w:val="000000"/>
          <w:kern w:val="0"/>
          <w:sz w:val="24"/>
        </w:rPr>
      </w:pPr>
    </w:p>
    <w:p w14:paraId="09881745" w14:textId="77777777" w:rsidR="001168EB" w:rsidRPr="00874FA2" w:rsidRDefault="001168EB" w:rsidP="001168EB">
      <w:pPr>
        <w:spacing w:line="440" w:lineRule="exact"/>
        <w:jc w:val="both"/>
        <w:rPr>
          <w:rFonts w:ascii="Times New Roman" w:hAnsi="Times New Roman" w:cs="Times New Roman"/>
          <w:b/>
          <w:bCs/>
          <w:color w:val="000000"/>
          <w:kern w:val="0"/>
          <w:sz w:val="24"/>
        </w:rPr>
      </w:pPr>
      <w:r w:rsidRPr="00874FA2">
        <w:rPr>
          <w:rFonts w:ascii="Times New Roman" w:hAnsi="Times New Roman" w:cs="Times New Roman"/>
          <w:b/>
          <w:bCs/>
          <w:color w:val="000000"/>
          <w:kern w:val="0"/>
          <w:sz w:val="24"/>
        </w:rPr>
        <w:t xml:space="preserve">Trajectory Analysis Using RNA Velocity and </w:t>
      </w:r>
      <w:proofErr w:type="spellStart"/>
      <w:r w:rsidRPr="00874FA2">
        <w:rPr>
          <w:rFonts w:ascii="Times New Roman" w:hAnsi="Times New Roman" w:cs="Times New Roman"/>
          <w:b/>
          <w:bCs/>
          <w:color w:val="000000"/>
          <w:kern w:val="0"/>
          <w:sz w:val="24"/>
        </w:rPr>
        <w:t>Pseudotime</w:t>
      </w:r>
      <w:proofErr w:type="spellEnd"/>
    </w:p>
    <w:p w14:paraId="44F16757" w14:textId="77777777" w:rsidR="001168EB" w:rsidRDefault="001168EB" w:rsidP="001168EB">
      <w:pPr>
        <w:spacing w:line="440" w:lineRule="exact"/>
        <w:jc w:val="both"/>
        <w:rPr>
          <w:rFonts w:ascii="Times New Roman" w:hAnsi="Times New Roman" w:cs="Times New Roman"/>
          <w:color w:val="000000"/>
          <w:kern w:val="0"/>
          <w:sz w:val="24"/>
        </w:rPr>
      </w:pPr>
      <w:r w:rsidRPr="00874FA2">
        <w:rPr>
          <w:rFonts w:ascii="Times New Roman" w:hAnsi="Times New Roman" w:cs="Times New Roman"/>
          <w:color w:val="000000"/>
          <w:kern w:val="0"/>
          <w:sz w:val="24"/>
        </w:rPr>
        <w:t xml:space="preserve">To explore the dynamic transcriptional changes and infer cell lineage trajectories, we performed RNA velocity analysis using </w:t>
      </w:r>
      <w:proofErr w:type="spellStart"/>
      <w:r w:rsidRPr="00874FA2">
        <w:rPr>
          <w:rFonts w:ascii="Times New Roman" w:hAnsi="Times New Roman" w:cs="Times New Roman"/>
          <w:color w:val="000000"/>
          <w:kern w:val="0"/>
          <w:sz w:val="24"/>
        </w:rPr>
        <w:t>velocyto</w:t>
      </w:r>
      <w:proofErr w:type="spellEnd"/>
      <w:r w:rsidRPr="00874FA2">
        <w:rPr>
          <w:rFonts w:ascii="Times New Roman" w:hAnsi="Times New Roman" w:cs="Times New Roman"/>
          <w:color w:val="000000"/>
          <w:kern w:val="0"/>
          <w:sz w:val="24"/>
        </w:rPr>
        <w:t xml:space="preserve"> (version 0.17.17, https://velocyto.org/) and </w:t>
      </w:r>
      <w:proofErr w:type="spellStart"/>
      <w:r w:rsidRPr="00874FA2">
        <w:rPr>
          <w:rFonts w:ascii="Times New Roman" w:hAnsi="Times New Roman" w:cs="Times New Roman"/>
          <w:color w:val="000000"/>
          <w:kern w:val="0"/>
          <w:sz w:val="24"/>
        </w:rPr>
        <w:t>pseudotime</w:t>
      </w:r>
      <w:proofErr w:type="spellEnd"/>
      <w:r w:rsidRPr="00874FA2">
        <w:rPr>
          <w:rFonts w:ascii="Times New Roman" w:hAnsi="Times New Roman" w:cs="Times New Roman"/>
          <w:color w:val="000000"/>
          <w:kern w:val="0"/>
          <w:sz w:val="24"/>
        </w:rPr>
        <w:t xml:space="preserve"> analysis with monocle (version 2.18.0, https://cole-trapnell-lab.github.io/monocle-release/). For RNA velocity, spliced and </w:t>
      </w:r>
      <w:proofErr w:type="spellStart"/>
      <w:r w:rsidRPr="00874FA2">
        <w:rPr>
          <w:rFonts w:ascii="Times New Roman" w:hAnsi="Times New Roman" w:cs="Times New Roman"/>
          <w:color w:val="000000"/>
          <w:kern w:val="0"/>
          <w:sz w:val="24"/>
        </w:rPr>
        <w:t>unspliced</w:t>
      </w:r>
      <w:proofErr w:type="spellEnd"/>
      <w:r w:rsidRPr="00874FA2">
        <w:rPr>
          <w:rFonts w:ascii="Times New Roman" w:hAnsi="Times New Roman" w:cs="Times New Roman"/>
          <w:color w:val="000000"/>
          <w:kern w:val="0"/>
          <w:sz w:val="24"/>
        </w:rPr>
        <w:t xml:space="preserve"> mRNA counts were calculated using the </w:t>
      </w:r>
      <w:proofErr w:type="spellStart"/>
      <w:r w:rsidRPr="00874FA2">
        <w:rPr>
          <w:rFonts w:ascii="Times New Roman" w:hAnsi="Times New Roman" w:cs="Times New Roman"/>
          <w:color w:val="000000"/>
          <w:kern w:val="0"/>
          <w:sz w:val="24"/>
        </w:rPr>
        <w:t>velocyto</w:t>
      </w:r>
      <w:proofErr w:type="spellEnd"/>
      <w:r w:rsidRPr="00874FA2">
        <w:rPr>
          <w:rFonts w:ascii="Times New Roman" w:hAnsi="Times New Roman" w:cs="Times New Roman"/>
          <w:color w:val="000000"/>
          <w:kern w:val="0"/>
          <w:sz w:val="24"/>
        </w:rPr>
        <w:t xml:space="preserve"> Python package from the aligned single-cell RNA-seq data. RNA velocity vectors were then computed for each cell, estimating the </w:t>
      </w:r>
      <w:r w:rsidRPr="00874FA2">
        <w:rPr>
          <w:rFonts w:ascii="Times New Roman" w:hAnsi="Times New Roman" w:cs="Times New Roman"/>
          <w:color w:val="000000"/>
          <w:kern w:val="0"/>
          <w:sz w:val="24"/>
        </w:rPr>
        <w:lastRenderedPageBreak/>
        <w:t xml:space="preserve">future transcriptional states and providing insights into the direction of cellular transitions. The resulting velocity fields were visualized on the UMAP projection to identify the progression of cell states across clusters. </w:t>
      </w:r>
      <w:proofErr w:type="spellStart"/>
      <w:r w:rsidRPr="00874FA2">
        <w:rPr>
          <w:rFonts w:ascii="Times New Roman" w:hAnsi="Times New Roman" w:cs="Times New Roman"/>
          <w:color w:val="000000"/>
          <w:kern w:val="0"/>
          <w:sz w:val="24"/>
        </w:rPr>
        <w:t>Pseudotime</w:t>
      </w:r>
      <w:proofErr w:type="spellEnd"/>
      <w:r w:rsidRPr="00874FA2">
        <w:rPr>
          <w:rFonts w:ascii="Times New Roman" w:hAnsi="Times New Roman" w:cs="Times New Roman"/>
          <w:color w:val="000000"/>
          <w:kern w:val="0"/>
          <w:sz w:val="24"/>
        </w:rPr>
        <w:t xml:space="preserve"> analysis was conducted with monocle to further validate the inferred trajectories. Cells were ordered along a </w:t>
      </w:r>
      <w:proofErr w:type="spellStart"/>
      <w:r w:rsidRPr="00874FA2">
        <w:rPr>
          <w:rFonts w:ascii="Times New Roman" w:hAnsi="Times New Roman" w:cs="Times New Roman"/>
          <w:color w:val="000000"/>
          <w:kern w:val="0"/>
          <w:sz w:val="24"/>
        </w:rPr>
        <w:t>pseudotemporal</w:t>
      </w:r>
      <w:proofErr w:type="spellEnd"/>
      <w:r w:rsidRPr="00874FA2">
        <w:rPr>
          <w:rFonts w:ascii="Times New Roman" w:hAnsi="Times New Roman" w:cs="Times New Roman"/>
          <w:color w:val="000000"/>
          <w:kern w:val="0"/>
          <w:sz w:val="24"/>
        </w:rPr>
        <w:t xml:space="preserve"> axis based on their transcriptional profiles, allowing the reconstruction of cell differentiation pathways. The </w:t>
      </w:r>
      <w:proofErr w:type="spellStart"/>
      <w:r w:rsidRPr="00874FA2">
        <w:rPr>
          <w:rFonts w:ascii="Times New Roman" w:hAnsi="Times New Roman" w:cs="Times New Roman"/>
          <w:color w:val="000000"/>
          <w:kern w:val="0"/>
          <w:sz w:val="24"/>
        </w:rPr>
        <w:t>DDRTree</w:t>
      </w:r>
      <w:proofErr w:type="spellEnd"/>
      <w:r w:rsidRPr="00874FA2">
        <w:rPr>
          <w:rFonts w:ascii="Times New Roman" w:hAnsi="Times New Roman" w:cs="Times New Roman"/>
          <w:color w:val="000000"/>
          <w:kern w:val="0"/>
          <w:sz w:val="24"/>
        </w:rPr>
        <w:t xml:space="preserve"> method was employed to reduce dimensionality, and the trajectory was visualized to delineate the sequential states of cell populations. This dual approach enabled a comprehensive understanding of the cellular dynamics within the dataset, providing both velocity-based predictions and a temporal ordering of cells.</w:t>
      </w:r>
    </w:p>
    <w:p w14:paraId="7C165410" w14:textId="77777777" w:rsidR="001168EB" w:rsidRPr="00874FA2" w:rsidRDefault="001168EB" w:rsidP="001168EB">
      <w:pPr>
        <w:spacing w:line="440" w:lineRule="exact"/>
        <w:jc w:val="both"/>
        <w:rPr>
          <w:rFonts w:ascii="Times New Roman" w:hAnsi="Times New Roman" w:cs="Times New Roman"/>
          <w:color w:val="000000"/>
          <w:kern w:val="0"/>
          <w:sz w:val="24"/>
        </w:rPr>
      </w:pPr>
    </w:p>
    <w:p w14:paraId="7FA3D362" w14:textId="77777777" w:rsidR="001168EB" w:rsidRPr="00874FA2" w:rsidRDefault="001168EB" w:rsidP="00116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40" w:lineRule="exact"/>
        <w:jc w:val="both"/>
        <w:rPr>
          <w:rFonts w:ascii="Times New Roman" w:hAnsi="Times New Roman" w:cs="Times New Roman"/>
          <w:b/>
          <w:bCs/>
          <w:color w:val="000000"/>
          <w:kern w:val="0"/>
          <w:sz w:val="24"/>
        </w:rPr>
      </w:pPr>
      <w:r w:rsidRPr="00874FA2">
        <w:rPr>
          <w:rFonts w:ascii="Times New Roman" w:hAnsi="Times New Roman" w:cs="Times New Roman"/>
          <w:b/>
          <w:bCs/>
          <w:color w:val="000000"/>
          <w:kern w:val="0"/>
          <w:sz w:val="24"/>
        </w:rPr>
        <w:t>Flow cytometry</w:t>
      </w:r>
    </w:p>
    <w:p w14:paraId="4AF15442" w14:textId="77777777" w:rsidR="001168EB" w:rsidRDefault="001168EB" w:rsidP="001168EB">
      <w:pPr>
        <w:spacing w:line="440" w:lineRule="exact"/>
        <w:jc w:val="both"/>
        <w:rPr>
          <w:rFonts w:ascii="Times New Roman" w:hAnsi="Times New Roman" w:cs="Times New Roman"/>
          <w:color w:val="000000"/>
          <w:kern w:val="0"/>
          <w:sz w:val="24"/>
        </w:rPr>
      </w:pPr>
      <w:r w:rsidRPr="00874FA2">
        <w:rPr>
          <w:rFonts w:ascii="Times New Roman" w:hAnsi="Times New Roman" w:cs="Times New Roman"/>
          <w:color w:val="000000"/>
          <w:kern w:val="0"/>
          <w:sz w:val="24"/>
        </w:rPr>
        <w:t xml:space="preserve">Peripheral blood mononuclear cells (PBMCs) were isolated using </w:t>
      </w:r>
      <w:proofErr w:type="spellStart"/>
      <w:r w:rsidRPr="00874FA2">
        <w:rPr>
          <w:rFonts w:ascii="Times New Roman" w:hAnsi="Times New Roman" w:cs="Times New Roman"/>
          <w:color w:val="000000"/>
          <w:kern w:val="0"/>
          <w:sz w:val="24"/>
        </w:rPr>
        <w:t>Ficoll</w:t>
      </w:r>
      <w:proofErr w:type="spellEnd"/>
      <w:r w:rsidRPr="00874FA2">
        <w:rPr>
          <w:rFonts w:ascii="Times New Roman" w:hAnsi="Times New Roman" w:cs="Times New Roman"/>
          <w:color w:val="000000"/>
          <w:kern w:val="0"/>
          <w:sz w:val="24"/>
        </w:rPr>
        <w:t xml:space="preserve"> Plus 1.077 solution (</w:t>
      </w:r>
      <w:proofErr w:type="spellStart"/>
      <w:r w:rsidRPr="00874FA2">
        <w:rPr>
          <w:rFonts w:ascii="Times New Roman" w:hAnsi="Times New Roman" w:cs="Times New Roman"/>
          <w:color w:val="000000"/>
          <w:kern w:val="0"/>
          <w:sz w:val="24"/>
        </w:rPr>
        <w:t>Solarbio</w:t>
      </w:r>
      <w:proofErr w:type="spellEnd"/>
      <w:r w:rsidRPr="00874FA2">
        <w:rPr>
          <w:rFonts w:ascii="Times New Roman" w:hAnsi="Times New Roman" w:cs="Times New Roman"/>
          <w:color w:val="000000"/>
          <w:kern w:val="0"/>
          <w:sz w:val="24"/>
        </w:rPr>
        <w:t>, Beijing, China). The cells were stained with the following antibodies: Brilliant Violet 421™ anti-human CD14 (</w:t>
      </w:r>
      <w:proofErr w:type="spellStart"/>
      <w:r w:rsidRPr="00874FA2">
        <w:rPr>
          <w:rFonts w:ascii="Times New Roman" w:hAnsi="Times New Roman" w:cs="Times New Roman"/>
          <w:color w:val="000000"/>
          <w:kern w:val="0"/>
          <w:sz w:val="24"/>
        </w:rPr>
        <w:t>BioLegend</w:t>
      </w:r>
      <w:proofErr w:type="spellEnd"/>
      <w:r w:rsidRPr="00874FA2">
        <w:rPr>
          <w:rFonts w:ascii="Times New Roman" w:hAnsi="Times New Roman" w:cs="Times New Roman"/>
          <w:color w:val="000000"/>
          <w:kern w:val="0"/>
          <w:sz w:val="24"/>
        </w:rPr>
        <w:t>, #367143, 5:100), APC anti-human CD16 (</w:t>
      </w:r>
      <w:proofErr w:type="spellStart"/>
      <w:r w:rsidRPr="00874FA2">
        <w:rPr>
          <w:rFonts w:ascii="Times New Roman" w:hAnsi="Times New Roman" w:cs="Times New Roman"/>
          <w:color w:val="000000"/>
          <w:kern w:val="0"/>
          <w:sz w:val="24"/>
        </w:rPr>
        <w:t>BioLegend</w:t>
      </w:r>
      <w:proofErr w:type="spellEnd"/>
      <w:r w:rsidRPr="00874FA2">
        <w:rPr>
          <w:rFonts w:ascii="Times New Roman" w:hAnsi="Times New Roman" w:cs="Times New Roman"/>
          <w:color w:val="000000"/>
          <w:kern w:val="0"/>
          <w:sz w:val="24"/>
        </w:rPr>
        <w:t>, #302011, 1:200), PE anti-human CD41 (</w:t>
      </w:r>
      <w:proofErr w:type="spellStart"/>
      <w:r w:rsidRPr="00874FA2">
        <w:rPr>
          <w:rFonts w:ascii="Times New Roman" w:hAnsi="Times New Roman" w:cs="Times New Roman"/>
          <w:color w:val="000000"/>
          <w:kern w:val="0"/>
          <w:sz w:val="24"/>
        </w:rPr>
        <w:t>BioLegend</w:t>
      </w:r>
      <w:proofErr w:type="spellEnd"/>
      <w:r w:rsidRPr="00874FA2">
        <w:rPr>
          <w:rFonts w:ascii="Times New Roman" w:hAnsi="Times New Roman" w:cs="Times New Roman"/>
          <w:color w:val="000000"/>
          <w:kern w:val="0"/>
          <w:sz w:val="24"/>
        </w:rPr>
        <w:t xml:space="preserve">, #303705, 1:200), and Ghost Dye™ Violet 510 Viability Dye (TONBO Bioscience, #13-0870-T100, 1:200). The samples were incubated at room temperature (20°C) for 20 minutes. Flow cytometry was performed using Beckman Coulter </w:t>
      </w:r>
      <w:proofErr w:type="spellStart"/>
      <w:r w:rsidRPr="00874FA2">
        <w:rPr>
          <w:rFonts w:ascii="Times New Roman" w:hAnsi="Times New Roman" w:cs="Times New Roman"/>
          <w:color w:val="000000"/>
          <w:kern w:val="0"/>
          <w:sz w:val="24"/>
        </w:rPr>
        <w:t>Gallios</w:t>
      </w:r>
      <w:proofErr w:type="spellEnd"/>
      <w:r w:rsidRPr="00874FA2">
        <w:rPr>
          <w:rFonts w:ascii="Times New Roman" w:hAnsi="Times New Roman" w:cs="Times New Roman"/>
          <w:color w:val="000000"/>
          <w:kern w:val="0"/>
          <w:sz w:val="24"/>
        </w:rPr>
        <w:t xml:space="preserve"> (Beckman Coulter, America) and analyzed by FlowJo (FlowJo V10).</w:t>
      </w:r>
    </w:p>
    <w:p w14:paraId="273A32FB" w14:textId="77777777" w:rsidR="001168EB" w:rsidRPr="00874FA2" w:rsidRDefault="001168EB" w:rsidP="001168EB">
      <w:pPr>
        <w:spacing w:line="440" w:lineRule="exact"/>
        <w:jc w:val="both"/>
        <w:rPr>
          <w:rFonts w:ascii="Times New Roman" w:hAnsi="Times New Roman" w:cs="Times New Roman"/>
          <w:color w:val="000000"/>
          <w:kern w:val="0"/>
          <w:sz w:val="24"/>
        </w:rPr>
      </w:pPr>
    </w:p>
    <w:p w14:paraId="7EC29A33" w14:textId="77777777" w:rsidR="001168EB" w:rsidRPr="00874FA2" w:rsidRDefault="001168EB" w:rsidP="001168EB">
      <w:pPr>
        <w:spacing w:line="440" w:lineRule="exact"/>
        <w:jc w:val="both"/>
        <w:rPr>
          <w:rFonts w:ascii="Times New Roman" w:hAnsi="Times New Roman" w:cs="Times New Roman"/>
          <w:b/>
          <w:bCs/>
          <w:color w:val="000000"/>
          <w:kern w:val="0"/>
          <w:sz w:val="24"/>
        </w:rPr>
      </w:pPr>
      <w:r w:rsidRPr="00874FA2">
        <w:rPr>
          <w:rFonts w:ascii="Times New Roman" w:hAnsi="Times New Roman" w:cs="Times New Roman"/>
          <w:b/>
          <w:bCs/>
          <w:color w:val="000000"/>
          <w:kern w:val="0"/>
          <w:sz w:val="24"/>
        </w:rPr>
        <w:t>Inflammation Biomarker Quantification</w:t>
      </w:r>
    </w:p>
    <w:p w14:paraId="0AA2A0A0" w14:textId="77777777" w:rsidR="001168EB" w:rsidRDefault="001168EB" w:rsidP="001168EB">
      <w:pPr>
        <w:spacing w:line="440" w:lineRule="exact"/>
        <w:jc w:val="both"/>
        <w:rPr>
          <w:rFonts w:ascii="Times New Roman" w:hAnsi="Times New Roman" w:cs="Times New Roman"/>
          <w:color w:val="000000"/>
          <w:kern w:val="0"/>
          <w:sz w:val="24"/>
        </w:rPr>
      </w:pPr>
      <w:r w:rsidRPr="00874FA2">
        <w:rPr>
          <w:rFonts w:ascii="Times New Roman" w:hAnsi="Times New Roman" w:cs="Times New Roman"/>
          <w:color w:val="000000"/>
          <w:kern w:val="0"/>
          <w:sz w:val="24"/>
        </w:rPr>
        <w:t xml:space="preserve">Peripheral blood was collected from 39 patients with primary hypertension and 41 patients with hypertension and atrial fibrillation (AF). To quantify inflammatory biomarkers (including G-CSF, IL-10, IL-13, </w:t>
      </w:r>
      <w:proofErr w:type="spellStart"/>
      <w:r w:rsidRPr="00874FA2">
        <w:rPr>
          <w:rFonts w:ascii="Times New Roman" w:hAnsi="Times New Roman" w:cs="Times New Roman"/>
          <w:color w:val="000000"/>
          <w:kern w:val="0"/>
          <w:sz w:val="24"/>
        </w:rPr>
        <w:t>IFNγ</w:t>
      </w:r>
      <w:proofErr w:type="spellEnd"/>
      <w:r w:rsidRPr="00874FA2">
        <w:rPr>
          <w:rFonts w:ascii="Times New Roman" w:hAnsi="Times New Roman" w:cs="Times New Roman"/>
          <w:color w:val="000000"/>
          <w:kern w:val="0"/>
          <w:sz w:val="24"/>
        </w:rPr>
        <w:t xml:space="preserve">, IL-2, TNFα, IL-17A, IL-12p70, IL-4, IL-1β, MCP-1, IL-23p19, and IL-6), a custom </w:t>
      </w:r>
      <w:proofErr w:type="spellStart"/>
      <w:r w:rsidRPr="00874FA2">
        <w:rPr>
          <w:rFonts w:ascii="Times New Roman" w:hAnsi="Times New Roman" w:cs="Times New Roman"/>
          <w:color w:val="000000"/>
          <w:kern w:val="0"/>
          <w:sz w:val="24"/>
        </w:rPr>
        <w:t>RayPlex</w:t>
      </w:r>
      <w:proofErr w:type="spellEnd"/>
      <w:r w:rsidRPr="00874FA2">
        <w:rPr>
          <w:rFonts w:ascii="Times New Roman" w:hAnsi="Times New Roman" w:cs="Times New Roman"/>
          <w:color w:val="000000"/>
          <w:kern w:val="0"/>
          <w:sz w:val="24"/>
        </w:rPr>
        <w:t xml:space="preserve"> Human Multiplex Bead Array kit (FAH-INF-1-96) was used on serum samples. The samples were processed according to the manufacturer's instructions. Twenty-five microliters of the diluted supernatant were added to the beads, shaken at 1000 rpm for 2 hours at room </w:t>
      </w:r>
      <w:r w:rsidRPr="00874FA2">
        <w:rPr>
          <w:rFonts w:ascii="Times New Roman" w:hAnsi="Times New Roman" w:cs="Times New Roman"/>
          <w:color w:val="000000"/>
          <w:kern w:val="0"/>
          <w:sz w:val="24"/>
        </w:rPr>
        <w:lastRenderedPageBreak/>
        <w:t>temperature, followed by rinsing and preparation for flow cytometric analysis. The PE MFI values were obtained and used to calculate the concentration of each biomarker using standard curves.</w:t>
      </w:r>
      <w:r>
        <w:rPr>
          <w:rFonts w:ascii="Times New Roman" w:hAnsi="Times New Roman" w:cs="Times New Roman"/>
          <w:color w:val="000000"/>
          <w:kern w:val="0"/>
          <w:sz w:val="24"/>
        </w:rPr>
        <w:t xml:space="preserve"> </w:t>
      </w:r>
      <w:r w:rsidRPr="00874FA2">
        <w:rPr>
          <w:rFonts w:ascii="Times New Roman" w:hAnsi="Times New Roman" w:cs="Times New Roman"/>
          <w:color w:val="000000"/>
          <w:kern w:val="0"/>
          <w:sz w:val="24"/>
        </w:rPr>
        <w:t>Data with zero values were excluded from the analysis. Normality was checked before statistical testing: if the data followed a normal distribution, an unpaired t-test was applied; otherwise, the Mann-Whitney test was used.</w:t>
      </w:r>
    </w:p>
    <w:p w14:paraId="1BF8C49D" w14:textId="77777777" w:rsidR="001168EB" w:rsidRPr="00874FA2" w:rsidRDefault="001168EB" w:rsidP="001168EB">
      <w:pPr>
        <w:spacing w:line="440" w:lineRule="exact"/>
        <w:jc w:val="both"/>
        <w:rPr>
          <w:rFonts w:ascii="Times New Roman" w:hAnsi="Times New Roman" w:cs="Times New Roman"/>
          <w:color w:val="000000"/>
          <w:kern w:val="0"/>
          <w:sz w:val="24"/>
        </w:rPr>
      </w:pPr>
    </w:p>
    <w:p w14:paraId="319B6E23" w14:textId="77777777" w:rsidR="001168EB" w:rsidRPr="00874FA2" w:rsidRDefault="001168EB" w:rsidP="001168EB">
      <w:pPr>
        <w:spacing w:line="440" w:lineRule="exact"/>
        <w:jc w:val="both"/>
        <w:rPr>
          <w:rFonts w:ascii="Times New Roman" w:hAnsi="Times New Roman" w:cs="Times New Roman"/>
          <w:color w:val="000000"/>
          <w:kern w:val="0"/>
          <w:sz w:val="24"/>
        </w:rPr>
      </w:pPr>
      <w:r w:rsidRPr="00874FA2">
        <w:rPr>
          <w:rFonts w:ascii="Times New Roman" w:hAnsi="Times New Roman" w:cs="Times New Roman"/>
          <w:b/>
          <w:bCs/>
          <w:color w:val="000000"/>
          <w:kern w:val="0"/>
          <w:sz w:val="24"/>
        </w:rPr>
        <w:t>Statistical Analysis</w:t>
      </w:r>
    </w:p>
    <w:p w14:paraId="32DD09E9" w14:textId="77777777" w:rsidR="001168EB" w:rsidRDefault="001168EB" w:rsidP="001168EB">
      <w:pPr>
        <w:spacing w:line="440" w:lineRule="exact"/>
        <w:jc w:val="both"/>
        <w:rPr>
          <w:rFonts w:ascii="Times New Roman" w:hAnsi="Times New Roman" w:cs="Times New Roman"/>
          <w:color w:val="000000"/>
          <w:kern w:val="0"/>
          <w:sz w:val="24"/>
        </w:rPr>
      </w:pPr>
      <w:r w:rsidRPr="00874FA2">
        <w:rPr>
          <w:rFonts w:ascii="Times New Roman" w:hAnsi="Times New Roman" w:cs="Times New Roman"/>
          <w:color w:val="000000"/>
          <w:kern w:val="0"/>
          <w:sz w:val="24"/>
        </w:rPr>
        <w:t>The statistical analysis of the experimental data was conducted using GraphPad Prism version 9 (La Jolla, CA, USA). The normality of the data was assessed using the Shapiro-Wilk test to determine if it followed a normal distribution. The results are presented as means ± SD. A significance level of P &lt; 0.05 was used for all statistical tests.</w:t>
      </w:r>
    </w:p>
    <w:p w14:paraId="6909EFA2" w14:textId="58A31DB0" w:rsidR="00C42695" w:rsidRDefault="00C42695" w:rsidP="001168EB">
      <w:pPr>
        <w:spacing w:line="440" w:lineRule="exact"/>
        <w:jc w:val="both"/>
        <w:rPr>
          <w:rFonts w:ascii="Times New Roman" w:hAnsi="Times New Roman" w:cs="Times New Roman"/>
          <w:color w:val="000000"/>
          <w:kern w:val="0"/>
          <w:sz w:val="24"/>
        </w:rPr>
      </w:pPr>
    </w:p>
    <w:p w14:paraId="5884F5E1" w14:textId="00D37797" w:rsidR="00C42695" w:rsidRDefault="00C42695" w:rsidP="00C42695">
      <w:pPr>
        <w:spacing w:line="440" w:lineRule="exact"/>
        <w:jc w:val="both"/>
        <w:rPr>
          <w:rFonts w:ascii="Times New Roman" w:hAnsi="Times New Roman" w:cs="Times New Roman"/>
          <w:b/>
          <w:bCs/>
          <w:color w:val="000000"/>
          <w:kern w:val="0"/>
          <w:sz w:val="24"/>
        </w:rPr>
      </w:pPr>
      <w:r w:rsidRPr="009D5EEC">
        <w:rPr>
          <w:rFonts w:ascii="Times New Roman" w:hAnsi="Times New Roman" w:cs="Times New Roman"/>
          <w:b/>
          <w:bCs/>
          <w:color w:val="000000"/>
          <w:kern w:val="0"/>
          <w:sz w:val="24"/>
        </w:rPr>
        <w:t xml:space="preserve">Availability </w:t>
      </w:r>
      <w:r>
        <w:rPr>
          <w:rFonts w:ascii="Times New Roman" w:hAnsi="Times New Roman" w:cs="Times New Roman"/>
          <w:b/>
          <w:bCs/>
          <w:color w:val="000000"/>
          <w:kern w:val="0"/>
          <w:sz w:val="24"/>
        </w:rPr>
        <w:t>of data and materials</w:t>
      </w:r>
    </w:p>
    <w:p w14:paraId="2BBDF125" w14:textId="4FF324F6" w:rsidR="00C42695" w:rsidRPr="005D489A" w:rsidRDefault="005D489A" w:rsidP="00EE328F">
      <w:pPr>
        <w:spacing w:line="440" w:lineRule="exact"/>
        <w:rPr>
          <w:rFonts w:ascii="Times New Roman" w:hAnsi="Times New Roman" w:cs="Times New Roman"/>
          <w:color w:val="000000"/>
          <w:kern w:val="0"/>
          <w:sz w:val="24"/>
        </w:rPr>
      </w:pPr>
      <w:r w:rsidRPr="005D489A">
        <w:rPr>
          <w:rFonts w:ascii="Times New Roman" w:hAnsi="Times New Roman" w:cs="Times New Roman"/>
          <w:color w:val="000000"/>
          <w:kern w:val="0"/>
          <w:sz w:val="24"/>
        </w:rPr>
        <w:t xml:space="preserve">The dataset(s) supporting the conclusions of this article are available in the NCBI Gene Expression Omnibus (GEO) repository, accession numbers GSE285199 (raw and processed human PBMC scRNA-seq data, </w:t>
      </w:r>
      <w:hyperlink r:id="rId6" w:history="1">
        <w:r w:rsidRPr="006733ED">
          <w:rPr>
            <w:rStyle w:val="ae"/>
            <w:rFonts w:ascii="Times New Roman" w:hAnsi="Times New Roman" w:cs="Times New Roman"/>
            <w:kern w:val="0"/>
            <w:sz w:val="24"/>
          </w:rPr>
          <w:t>https://www.ncbi.nlm.nih.gov/geo/query/acc.cgi?acc=GSE285199</w:t>
        </w:r>
      </w:hyperlink>
      <w:r w:rsidRPr="005D489A">
        <w:rPr>
          <w:rFonts w:ascii="Times New Roman" w:hAnsi="Times New Roman" w:cs="Times New Roman"/>
          <w:color w:val="000000"/>
          <w:kern w:val="0"/>
          <w:sz w:val="24"/>
        </w:rPr>
        <w:t xml:space="preserve">) and GSE224959 (processed human cardiac scRNA-seq data used for comparison, </w:t>
      </w:r>
      <w:hyperlink r:id="rId7" w:history="1">
        <w:r w:rsidRPr="006733ED">
          <w:rPr>
            <w:rStyle w:val="ae"/>
            <w:rFonts w:ascii="Times New Roman" w:hAnsi="Times New Roman" w:cs="Times New Roman"/>
            <w:kern w:val="0"/>
            <w:sz w:val="24"/>
          </w:rPr>
          <w:t>https://www.ncbi.nlm.nih.gov/geo/query/acc.cgi?acc=GSE224959</w:t>
        </w:r>
      </w:hyperlink>
      <w:r w:rsidRPr="005D489A">
        <w:rPr>
          <w:rFonts w:ascii="Times New Roman" w:hAnsi="Times New Roman" w:cs="Times New Roman"/>
          <w:color w:val="000000"/>
          <w:kern w:val="0"/>
          <w:sz w:val="24"/>
        </w:rPr>
        <w:t>).</w:t>
      </w:r>
    </w:p>
    <w:p w14:paraId="657429BF" w14:textId="77777777" w:rsidR="001168EB" w:rsidRPr="002F20AE" w:rsidRDefault="001168EB" w:rsidP="001168EB">
      <w:pPr>
        <w:spacing w:line="440" w:lineRule="exact"/>
        <w:jc w:val="both"/>
        <w:rPr>
          <w:rFonts w:ascii="Times New Roman" w:hAnsi="Times New Roman" w:cs="Times New Roman"/>
          <w:color w:val="000000"/>
          <w:kern w:val="0"/>
          <w:sz w:val="24"/>
        </w:rPr>
      </w:pPr>
    </w:p>
    <w:p w14:paraId="34728244" w14:textId="77777777" w:rsidR="001168EB" w:rsidRPr="00564963" w:rsidRDefault="001168EB" w:rsidP="001168EB">
      <w:pPr>
        <w:pStyle w:val="p1"/>
        <w:spacing w:after="160" w:line="440" w:lineRule="exact"/>
        <w:rPr>
          <w:rFonts w:ascii="Times New Roman" w:eastAsiaTheme="minorEastAsia" w:hAnsi="Times New Roman" w:cs="Times New Roman"/>
          <w:b/>
          <w:bCs/>
          <w:color w:val="000000"/>
          <w:sz w:val="24"/>
          <w:szCs w:val="24"/>
          <w14:ligatures w14:val="standardContextual"/>
        </w:rPr>
      </w:pPr>
      <w:r w:rsidRPr="00564963">
        <w:rPr>
          <w:rFonts w:ascii="Times New Roman" w:eastAsiaTheme="minorEastAsia" w:hAnsi="Times New Roman" w:cs="Times New Roman"/>
          <w:b/>
          <w:bCs/>
          <w:color w:val="000000"/>
          <w:sz w:val="24"/>
          <w:szCs w:val="24"/>
          <w14:ligatures w14:val="standardContextual"/>
        </w:rPr>
        <w:t>Ethics Statement</w:t>
      </w:r>
    </w:p>
    <w:p w14:paraId="04007709" w14:textId="44A99515" w:rsidR="001168EB" w:rsidRDefault="001168EB" w:rsidP="00EE328F">
      <w:pPr>
        <w:pStyle w:val="p1"/>
        <w:spacing w:after="160" w:line="440" w:lineRule="exact"/>
      </w:pPr>
      <w:r w:rsidRPr="00564963">
        <w:rPr>
          <w:rFonts w:ascii="Times New Roman" w:eastAsiaTheme="minorEastAsia" w:hAnsi="Times New Roman" w:cs="Times New Roman"/>
          <w:color w:val="000000"/>
          <w:sz w:val="24"/>
          <w:szCs w:val="24"/>
          <w14:ligatures w14:val="standardContextual"/>
        </w:rPr>
        <w:t xml:space="preserve">This study was approved by the Ethics Committee of </w:t>
      </w:r>
      <w:r>
        <w:rPr>
          <w:rFonts w:ascii="Times New Roman" w:eastAsiaTheme="minorEastAsia" w:hAnsi="Times New Roman" w:cs="Times New Roman" w:hint="eastAsia"/>
          <w:color w:val="000000"/>
          <w:sz w:val="24"/>
          <w:szCs w:val="24"/>
          <w14:ligatures w14:val="standardContextual"/>
        </w:rPr>
        <w:t>Rui</w:t>
      </w:r>
      <w:r>
        <w:rPr>
          <w:rFonts w:ascii="Times New Roman" w:eastAsiaTheme="minorEastAsia" w:hAnsi="Times New Roman" w:cs="Times New Roman"/>
          <w:color w:val="000000"/>
          <w:sz w:val="24"/>
          <w:szCs w:val="24"/>
          <w14:ligatures w14:val="standardContextual"/>
        </w:rPr>
        <w:t>jin Hospital Ethics Committee, Shanghai JiaoTong University School of Medicine</w:t>
      </w:r>
      <w:r w:rsidRPr="00564963">
        <w:rPr>
          <w:rFonts w:ascii="Times New Roman" w:eastAsiaTheme="minorEastAsia" w:hAnsi="Times New Roman" w:cs="Times New Roman"/>
          <w:color w:val="000000"/>
          <w:sz w:val="24"/>
          <w:szCs w:val="24"/>
          <w14:ligatures w14:val="standardContextual"/>
        </w:rPr>
        <w:t xml:space="preserve">. All participants provided written informed consent prior to the collection of peripheral blood samples. The study was conducted in accordance with the ethical standards of the Ethics Committee of </w:t>
      </w:r>
      <w:r>
        <w:rPr>
          <w:rFonts w:ascii="Times New Roman" w:eastAsiaTheme="minorEastAsia" w:hAnsi="Times New Roman" w:cs="Times New Roman" w:hint="eastAsia"/>
          <w:color w:val="000000"/>
          <w:sz w:val="24"/>
          <w:szCs w:val="24"/>
          <w14:ligatures w14:val="standardContextual"/>
        </w:rPr>
        <w:t>Rui</w:t>
      </w:r>
      <w:r>
        <w:rPr>
          <w:rFonts w:ascii="Times New Roman" w:eastAsiaTheme="minorEastAsia" w:hAnsi="Times New Roman" w:cs="Times New Roman"/>
          <w:color w:val="000000"/>
          <w:sz w:val="24"/>
          <w:szCs w:val="24"/>
          <w14:ligatures w14:val="standardContextual"/>
        </w:rPr>
        <w:t>jin Hospital Ethics Committee</w:t>
      </w:r>
      <w:r w:rsidRPr="00564963">
        <w:rPr>
          <w:rFonts w:ascii="Times New Roman" w:eastAsiaTheme="minorEastAsia" w:hAnsi="Times New Roman" w:cs="Times New Roman"/>
          <w:color w:val="000000"/>
          <w:sz w:val="24"/>
          <w:szCs w:val="24"/>
          <w14:ligatures w14:val="standardContextual"/>
        </w:rPr>
        <w:t xml:space="preserve"> and the 1964 Helsinki Declaration and its later amendments.</w:t>
      </w:r>
    </w:p>
    <w:p w14:paraId="50CBCBF9" w14:textId="14C44FD3" w:rsidR="003A04DF" w:rsidRDefault="001168EB" w:rsidP="001168EB">
      <w:pPr>
        <w:widowControl/>
        <w:spacing w:after="0" w:line="240" w:lineRule="auto"/>
        <w:rPr>
          <w:rFonts w:ascii="Times New Roman" w:hAnsi="Times New Roman" w:cs="Times New Roman"/>
          <w:b/>
          <w:bCs/>
          <w:sz w:val="28"/>
          <w:szCs w:val="28"/>
        </w:rPr>
      </w:pPr>
      <w:r>
        <w:rPr>
          <w:rFonts w:ascii="Times New Roman" w:hAnsi="Times New Roman" w:cs="Times New Roman"/>
          <w:b/>
          <w:bCs/>
          <w:sz w:val="28"/>
          <w:szCs w:val="28"/>
        </w:rPr>
        <w:br w:type="page"/>
      </w:r>
      <w:r>
        <w:rPr>
          <w:rFonts w:ascii="Times New Roman" w:hAnsi="Times New Roman" w:cs="Times New Roman"/>
          <w:b/>
          <w:bCs/>
          <w:sz w:val="28"/>
          <w:szCs w:val="28"/>
        </w:rPr>
        <w:lastRenderedPageBreak/>
        <w:t xml:space="preserve">Supplementary Table </w:t>
      </w:r>
    </w:p>
    <w:p w14:paraId="355CFC2E" w14:textId="77777777" w:rsidR="003A04DF" w:rsidRDefault="00000000">
      <w:pPr>
        <w:rPr>
          <w:rFonts w:ascii="Times New Roman" w:hAnsi="Times New Roman" w:cs="Times New Roman"/>
          <w:b/>
          <w:bCs/>
          <w:sz w:val="24"/>
        </w:rPr>
      </w:pPr>
      <w:r>
        <w:rPr>
          <w:rFonts w:ascii="Times New Roman" w:hAnsi="Times New Roman" w:cs="Times New Roman"/>
          <w:b/>
          <w:bCs/>
          <w:sz w:val="24"/>
        </w:rPr>
        <w:t>Clinical Demographic Characteristics of Hypertensive Patients with AF</w:t>
      </w:r>
    </w:p>
    <w:tbl>
      <w:tblPr>
        <w:tblStyle w:val="51"/>
        <w:tblW w:w="0" w:type="auto"/>
        <w:tblLook w:val="04A0" w:firstRow="1" w:lastRow="0" w:firstColumn="1" w:lastColumn="0" w:noHBand="0" w:noVBand="1"/>
      </w:tblPr>
      <w:tblGrid>
        <w:gridCol w:w="1035"/>
        <w:gridCol w:w="1166"/>
        <w:gridCol w:w="1116"/>
        <w:gridCol w:w="1206"/>
        <w:gridCol w:w="1316"/>
        <w:gridCol w:w="1206"/>
        <w:gridCol w:w="1261"/>
      </w:tblGrid>
      <w:tr w:rsidR="003A04DF" w14:paraId="0F618859" w14:textId="77777777" w:rsidTr="003A04D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51" w:type="dxa"/>
          </w:tcPr>
          <w:p w14:paraId="4B4339B1" w14:textId="77777777" w:rsidR="003A04DF" w:rsidRDefault="00000000">
            <w:pPr>
              <w:spacing w:after="0" w:line="240" w:lineRule="auto"/>
              <w:rPr>
                <w:rFonts w:ascii="Times New Roman" w:hAnsi="Times New Roman" w:cs="Times New Roman"/>
                <w:i w:val="0"/>
                <w:iCs w:val="0"/>
                <w:sz w:val="26"/>
              </w:rPr>
            </w:pPr>
            <w:r>
              <w:rPr>
                <w:rFonts w:ascii="Times New Roman" w:hAnsi="Times New Roman" w:cs="Times New Roman"/>
                <w:sz w:val="26"/>
              </w:rPr>
              <w:t>Name</w:t>
            </w:r>
          </w:p>
        </w:tc>
        <w:tc>
          <w:tcPr>
            <w:tcW w:w="1422" w:type="dxa"/>
          </w:tcPr>
          <w:p w14:paraId="6D0911FE" w14:textId="77777777" w:rsidR="003A04D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6"/>
              </w:rPr>
            </w:pPr>
            <w:r>
              <w:rPr>
                <w:rFonts w:ascii="Times New Roman" w:hAnsi="Times New Roman" w:cs="Times New Roman"/>
                <w:sz w:val="26"/>
              </w:rPr>
              <w:t>HTN1</w:t>
            </w:r>
          </w:p>
        </w:tc>
        <w:tc>
          <w:tcPr>
            <w:tcW w:w="1103" w:type="dxa"/>
          </w:tcPr>
          <w:p w14:paraId="10041D2F" w14:textId="77777777" w:rsidR="003A04D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6"/>
              </w:rPr>
            </w:pPr>
            <w:r>
              <w:rPr>
                <w:rFonts w:ascii="Times New Roman" w:hAnsi="Times New Roman" w:cs="Times New Roman"/>
                <w:sz w:val="26"/>
              </w:rPr>
              <w:t>HTN2</w:t>
            </w:r>
          </w:p>
        </w:tc>
        <w:tc>
          <w:tcPr>
            <w:tcW w:w="1192" w:type="dxa"/>
          </w:tcPr>
          <w:p w14:paraId="08E05ABC" w14:textId="77777777" w:rsidR="003A04D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6"/>
              </w:rPr>
            </w:pPr>
            <w:r>
              <w:rPr>
                <w:rFonts w:ascii="Times New Roman" w:hAnsi="Times New Roman" w:cs="Times New Roman"/>
                <w:sz w:val="26"/>
              </w:rPr>
              <w:t>AFHTN</w:t>
            </w:r>
          </w:p>
          <w:p w14:paraId="22059CCA" w14:textId="77777777" w:rsidR="003A04D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6"/>
              </w:rPr>
            </w:pPr>
            <w:r>
              <w:rPr>
                <w:rFonts w:ascii="Times New Roman" w:hAnsi="Times New Roman" w:cs="Times New Roman"/>
                <w:sz w:val="26"/>
              </w:rPr>
              <w:t>1</w:t>
            </w:r>
          </w:p>
        </w:tc>
        <w:tc>
          <w:tcPr>
            <w:tcW w:w="1300" w:type="dxa"/>
          </w:tcPr>
          <w:p w14:paraId="4C5CB797" w14:textId="77777777" w:rsidR="003A04D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6"/>
              </w:rPr>
            </w:pPr>
            <w:r>
              <w:rPr>
                <w:rFonts w:ascii="Times New Roman" w:hAnsi="Times New Roman" w:cs="Times New Roman"/>
                <w:sz w:val="26"/>
              </w:rPr>
              <w:t>AFHTN</w:t>
            </w:r>
          </w:p>
          <w:p w14:paraId="1BFBFD44" w14:textId="77777777" w:rsidR="003A04D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6"/>
              </w:rPr>
            </w:pPr>
            <w:r>
              <w:rPr>
                <w:rFonts w:ascii="Times New Roman" w:hAnsi="Times New Roman" w:cs="Times New Roman"/>
                <w:sz w:val="26"/>
              </w:rPr>
              <w:t>2</w:t>
            </w:r>
          </w:p>
        </w:tc>
        <w:tc>
          <w:tcPr>
            <w:tcW w:w="1192" w:type="dxa"/>
          </w:tcPr>
          <w:p w14:paraId="2D2FD247" w14:textId="77777777" w:rsidR="003A04D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6"/>
              </w:rPr>
            </w:pPr>
            <w:r>
              <w:rPr>
                <w:rFonts w:ascii="Times New Roman" w:hAnsi="Times New Roman" w:cs="Times New Roman"/>
                <w:sz w:val="26"/>
              </w:rPr>
              <w:t>AFHTN</w:t>
            </w:r>
          </w:p>
          <w:p w14:paraId="1EA2A697" w14:textId="77777777" w:rsidR="003A04D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6"/>
              </w:rPr>
            </w:pPr>
            <w:r>
              <w:rPr>
                <w:rFonts w:ascii="Times New Roman" w:hAnsi="Times New Roman" w:cs="Times New Roman"/>
                <w:sz w:val="26"/>
              </w:rPr>
              <w:t>3</w:t>
            </w:r>
          </w:p>
        </w:tc>
        <w:tc>
          <w:tcPr>
            <w:tcW w:w="1246" w:type="dxa"/>
          </w:tcPr>
          <w:p w14:paraId="60DDBC8E" w14:textId="77777777" w:rsidR="003A04D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6"/>
              </w:rPr>
            </w:pPr>
            <w:r>
              <w:rPr>
                <w:rFonts w:ascii="Times New Roman" w:hAnsi="Times New Roman" w:cs="Times New Roman"/>
                <w:sz w:val="26"/>
              </w:rPr>
              <w:t>AFHTN</w:t>
            </w:r>
          </w:p>
          <w:p w14:paraId="35977B4A" w14:textId="77777777" w:rsidR="003A04DF" w:rsidRDefault="00000000">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val="0"/>
                <w:iCs w:val="0"/>
                <w:sz w:val="26"/>
              </w:rPr>
            </w:pPr>
            <w:r>
              <w:rPr>
                <w:rFonts w:ascii="Times New Roman" w:hAnsi="Times New Roman" w:cs="Times New Roman"/>
                <w:sz w:val="26"/>
              </w:rPr>
              <w:t>4</w:t>
            </w:r>
          </w:p>
        </w:tc>
      </w:tr>
      <w:tr w:rsidR="003A04DF" w14:paraId="364D3EDA"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2BB8763B"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Sex</w:t>
            </w:r>
          </w:p>
        </w:tc>
        <w:tc>
          <w:tcPr>
            <w:tcW w:w="1422" w:type="dxa"/>
            <w:shd w:val="clear" w:color="auto" w:fill="F2F2F2" w:themeFill="background1" w:themeFillShade="F2"/>
          </w:tcPr>
          <w:p w14:paraId="5E9C7C3D"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Male</w:t>
            </w:r>
          </w:p>
        </w:tc>
        <w:tc>
          <w:tcPr>
            <w:tcW w:w="1103" w:type="dxa"/>
            <w:shd w:val="clear" w:color="auto" w:fill="F2F2F2" w:themeFill="background1" w:themeFillShade="F2"/>
          </w:tcPr>
          <w:p w14:paraId="345722F4"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Male</w:t>
            </w:r>
          </w:p>
        </w:tc>
        <w:tc>
          <w:tcPr>
            <w:tcW w:w="1192" w:type="dxa"/>
            <w:shd w:val="clear" w:color="auto" w:fill="F2F2F2" w:themeFill="background1" w:themeFillShade="F2"/>
          </w:tcPr>
          <w:p w14:paraId="0DE4A89C"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Male</w:t>
            </w:r>
          </w:p>
        </w:tc>
        <w:tc>
          <w:tcPr>
            <w:tcW w:w="1300" w:type="dxa"/>
            <w:shd w:val="clear" w:color="auto" w:fill="F2F2F2" w:themeFill="background1" w:themeFillShade="F2"/>
          </w:tcPr>
          <w:p w14:paraId="18252478"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Male</w:t>
            </w:r>
          </w:p>
        </w:tc>
        <w:tc>
          <w:tcPr>
            <w:tcW w:w="1192" w:type="dxa"/>
            <w:shd w:val="clear" w:color="auto" w:fill="F2F2F2" w:themeFill="background1" w:themeFillShade="F2"/>
          </w:tcPr>
          <w:p w14:paraId="63F4C11F"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Male</w:t>
            </w:r>
          </w:p>
        </w:tc>
        <w:tc>
          <w:tcPr>
            <w:tcW w:w="1246" w:type="dxa"/>
            <w:shd w:val="clear" w:color="auto" w:fill="F2F2F2" w:themeFill="background1" w:themeFillShade="F2"/>
          </w:tcPr>
          <w:p w14:paraId="3FA19E93"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Male</w:t>
            </w:r>
          </w:p>
        </w:tc>
      </w:tr>
      <w:tr w:rsidR="003A04DF" w14:paraId="583D1327"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4C70F5AE"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Age</w:t>
            </w:r>
          </w:p>
        </w:tc>
        <w:tc>
          <w:tcPr>
            <w:tcW w:w="1422" w:type="dxa"/>
          </w:tcPr>
          <w:p w14:paraId="248DEECD"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72</w:t>
            </w:r>
          </w:p>
        </w:tc>
        <w:tc>
          <w:tcPr>
            <w:tcW w:w="1103" w:type="dxa"/>
          </w:tcPr>
          <w:p w14:paraId="740EF919"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71</w:t>
            </w:r>
          </w:p>
        </w:tc>
        <w:tc>
          <w:tcPr>
            <w:tcW w:w="1192" w:type="dxa"/>
          </w:tcPr>
          <w:p w14:paraId="7D7730FC"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66</w:t>
            </w:r>
          </w:p>
        </w:tc>
        <w:tc>
          <w:tcPr>
            <w:tcW w:w="1300" w:type="dxa"/>
          </w:tcPr>
          <w:p w14:paraId="609F2BF4"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71</w:t>
            </w:r>
          </w:p>
        </w:tc>
        <w:tc>
          <w:tcPr>
            <w:tcW w:w="1192" w:type="dxa"/>
          </w:tcPr>
          <w:p w14:paraId="55662BF2"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73</w:t>
            </w:r>
          </w:p>
        </w:tc>
        <w:tc>
          <w:tcPr>
            <w:tcW w:w="1246" w:type="dxa"/>
          </w:tcPr>
          <w:p w14:paraId="4BB0C9DD"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76</w:t>
            </w:r>
          </w:p>
        </w:tc>
      </w:tr>
      <w:tr w:rsidR="003A04DF" w14:paraId="3CC8DE1D"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3A14A047"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BH (cm)</w:t>
            </w:r>
          </w:p>
        </w:tc>
        <w:tc>
          <w:tcPr>
            <w:tcW w:w="1422" w:type="dxa"/>
            <w:shd w:val="clear" w:color="auto" w:fill="F2F2F2" w:themeFill="background1" w:themeFillShade="F2"/>
          </w:tcPr>
          <w:p w14:paraId="445586DB"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169</w:t>
            </w:r>
          </w:p>
        </w:tc>
        <w:tc>
          <w:tcPr>
            <w:tcW w:w="1103" w:type="dxa"/>
            <w:shd w:val="clear" w:color="auto" w:fill="F2F2F2" w:themeFill="background1" w:themeFillShade="F2"/>
          </w:tcPr>
          <w:p w14:paraId="202348D7"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169</w:t>
            </w:r>
          </w:p>
        </w:tc>
        <w:tc>
          <w:tcPr>
            <w:tcW w:w="1192" w:type="dxa"/>
            <w:shd w:val="clear" w:color="auto" w:fill="F2F2F2" w:themeFill="background1" w:themeFillShade="F2"/>
          </w:tcPr>
          <w:p w14:paraId="04AE2C50"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180</w:t>
            </w:r>
          </w:p>
        </w:tc>
        <w:tc>
          <w:tcPr>
            <w:tcW w:w="1300" w:type="dxa"/>
            <w:shd w:val="clear" w:color="auto" w:fill="F2F2F2" w:themeFill="background1" w:themeFillShade="F2"/>
          </w:tcPr>
          <w:p w14:paraId="28E6A220"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164</w:t>
            </w:r>
          </w:p>
        </w:tc>
        <w:tc>
          <w:tcPr>
            <w:tcW w:w="1192" w:type="dxa"/>
            <w:shd w:val="clear" w:color="auto" w:fill="F2F2F2" w:themeFill="background1" w:themeFillShade="F2"/>
          </w:tcPr>
          <w:p w14:paraId="32E66DC8"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172</w:t>
            </w:r>
          </w:p>
        </w:tc>
        <w:tc>
          <w:tcPr>
            <w:tcW w:w="1246" w:type="dxa"/>
            <w:shd w:val="clear" w:color="auto" w:fill="F2F2F2" w:themeFill="background1" w:themeFillShade="F2"/>
          </w:tcPr>
          <w:p w14:paraId="4D0E686C"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176</w:t>
            </w:r>
          </w:p>
        </w:tc>
      </w:tr>
      <w:tr w:rsidR="003A04DF" w14:paraId="614C91A6"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00FDC113"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BW (Kg)</w:t>
            </w:r>
          </w:p>
        </w:tc>
        <w:tc>
          <w:tcPr>
            <w:tcW w:w="1422" w:type="dxa"/>
          </w:tcPr>
          <w:p w14:paraId="21E4B4C5"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74.7</w:t>
            </w:r>
          </w:p>
        </w:tc>
        <w:tc>
          <w:tcPr>
            <w:tcW w:w="1103" w:type="dxa"/>
          </w:tcPr>
          <w:p w14:paraId="5DF7AC41"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67.7</w:t>
            </w:r>
          </w:p>
        </w:tc>
        <w:tc>
          <w:tcPr>
            <w:tcW w:w="1192" w:type="dxa"/>
          </w:tcPr>
          <w:p w14:paraId="019811EC"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80</w:t>
            </w:r>
          </w:p>
        </w:tc>
        <w:tc>
          <w:tcPr>
            <w:tcW w:w="1300" w:type="dxa"/>
          </w:tcPr>
          <w:p w14:paraId="41F42D80"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73.2</w:t>
            </w:r>
          </w:p>
        </w:tc>
        <w:tc>
          <w:tcPr>
            <w:tcW w:w="1192" w:type="dxa"/>
          </w:tcPr>
          <w:p w14:paraId="4F826C21"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83.7</w:t>
            </w:r>
          </w:p>
        </w:tc>
        <w:tc>
          <w:tcPr>
            <w:tcW w:w="1246" w:type="dxa"/>
          </w:tcPr>
          <w:p w14:paraId="597B111E"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68</w:t>
            </w:r>
          </w:p>
        </w:tc>
      </w:tr>
      <w:tr w:rsidR="003A04DF" w14:paraId="336A1225"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517C80C5"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BMI</w:t>
            </w:r>
          </w:p>
        </w:tc>
        <w:tc>
          <w:tcPr>
            <w:tcW w:w="1422" w:type="dxa"/>
            <w:shd w:val="clear" w:color="auto" w:fill="F2F2F2" w:themeFill="background1" w:themeFillShade="F2"/>
          </w:tcPr>
          <w:p w14:paraId="3064DBE3"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26.31</w:t>
            </w:r>
          </w:p>
        </w:tc>
        <w:tc>
          <w:tcPr>
            <w:tcW w:w="1103" w:type="dxa"/>
            <w:shd w:val="clear" w:color="auto" w:fill="F2F2F2" w:themeFill="background1" w:themeFillShade="F2"/>
          </w:tcPr>
          <w:p w14:paraId="28545088"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23.7</w:t>
            </w:r>
          </w:p>
        </w:tc>
        <w:tc>
          <w:tcPr>
            <w:tcW w:w="1192" w:type="dxa"/>
            <w:shd w:val="clear" w:color="auto" w:fill="F2F2F2" w:themeFill="background1" w:themeFillShade="F2"/>
          </w:tcPr>
          <w:p w14:paraId="45A24CAB"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24.69</w:t>
            </w:r>
          </w:p>
        </w:tc>
        <w:tc>
          <w:tcPr>
            <w:tcW w:w="1300" w:type="dxa"/>
            <w:shd w:val="clear" w:color="auto" w:fill="F2F2F2" w:themeFill="background1" w:themeFillShade="F2"/>
          </w:tcPr>
          <w:p w14:paraId="7E641F19"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27.38</w:t>
            </w:r>
          </w:p>
        </w:tc>
        <w:tc>
          <w:tcPr>
            <w:tcW w:w="1192" w:type="dxa"/>
            <w:shd w:val="clear" w:color="auto" w:fill="F2F2F2" w:themeFill="background1" w:themeFillShade="F2"/>
          </w:tcPr>
          <w:p w14:paraId="620A0042"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28.29</w:t>
            </w:r>
          </w:p>
        </w:tc>
        <w:tc>
          <w:tcPr>
            <w:tcW w:w="1246" w:type="dxa"/>
            <w:shd w:val="clear" w:color="auto" w:fill="F2F2F2" w:themeFill="background1" w:themeFillShade="F2"/>
          </w:tcPr>
          <w:p w14:paraId="34B8DFAF"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21.95</w:t>
            </w:r>
          </w:p>
        </w:tc>
      </w:tr>
      <w:tr w:rsidR="003A04DF" w14:paraId="016FC306"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0746D98E"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AF</w:t>
            </w:r>
          </w:p>
        </w:tc>
        <w:tc>
          <w:tcPr>
            <w:tcW w:w="1422" w:type="dxa"/>
          </w:tcPr>
          <w:p w14:paraId="4414D455"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w:t>
            </w:r>
          </w:p>
        </w:tc>
        <w:tc>
          <w:tcPr>
            <w:tcW w:w="1103" w:type="dxa"/>
          </w:tcPr>
          <w:p w14:paraId="6E22A01C"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w:t>
            </w:r>
          </w:p>
        </w:tc>
        <w:tc>
          <w:tcPr>
            <w:tcW w:w="1192" w:type="dxa"/>
          </w:tcPr>
          <w:p w14:paraId="41654D34"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persistent</w:t>
            </w:r>
          </w:p>
        </w:tc>
        <w:tc>
          <w:tcPr>
            <w:tcW w:w="1300" w:type="dxa"/>
          </w:tcPr>
          <w:p w14:paraId="664FA79E"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persistent</w:t>
            </w:r>
          </w:p>
        </w:tc>
        <w:tc>
          <w:tcPr>
            <w:tcW w:w="1192" w:type="dxa"/>
          </w:tcPr>
          <w:p w14:paraId="18DE4F8A"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persistent</w:t>
            </w:r>
          </w:p>
        </w:tc>
        <w:tc>
          <w:tcPr>
            <w:tcW w:w="1246" w:type="dxa"/>
          </w:tcPr>
          <w:p w14:paraId="239E0D45"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persistent</w:t>
            </w:r>
          </w:p>
        </w:tc>
      </w:tr>
      <w:tr w:rsidR="003A04DF" w14:paraId="0D38BAF2"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37995E13"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AF time</w:t>
            </w:r>
          </w:p>
        </w:tc>
        <w:tc>
          <w:tcPr>
            <w:tcW w:w="1422" w:type="dxa"/>
            <w:shd w:val="clear" w:color="auto" w:fill="F2F2F2" w:themeFill="background1" w:themeFillShade="F2"/>
          </w:tcPr>
          <w:p w14:paraId="11BACEC8"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w:t>
            </w:r>
          </w:p>
        </w:tc>
        <w:tc>
          <w:tcPr>
            <w:tcW w:w="1103" w:type="dxa"/>
            <w:shd w:val="clear" w:color="auto" w:fill="F2F2F2" w:themeFill="background1" w:themeFillShade="F2"/>
          </w:tcPr>
          <w:p w14:paraId="469B7F5C"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w:t>
            </w:r>
          </w:p>
        </w:tc>
        <w:tc>
          <w:tcPr>
            <w:tcW w:w="1192" w:type="dxa"/>
            <w:shd w:val="clear" w:color="auto" w:fill="F2F2F2" w:themeFill="background1" w:themeFillShade="F2"/>
          </w:tcPr>
          <w:p w14:paraId="5671C8CF"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2023/3/1</w:t>
            </w:r>
          </w:p>
        </w:tc>
        <w:tc>
          <w:tcPr>
            <w:tcW w:w="1300" w:type="dxa"/>
            <w:shd w:val="clear" w:color="auto" w:fill="F2F2F2" w:themeFill="background1" w:themeFillShade="F2"/>
          </w:tcPr>
          <w:p w14:paraId="6631859D"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2019/6/1</w:t>
            </w:r>
          </w:p>
        </w:tc>
        <w:tc>
          <w:tcPr>
            <w:tcW w:w="1192" w:type="dxa"/>
            <w:shd w:val="clear" w:color="auto" w:fill="F2F2F2" w:themeFill="background1" w:themeFillShade="F2"/>
          </w:tcPr>
          <w:p w14:paraId="14DFBEC4"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2020/5/1</w:t>
            </w:r>
          </w:p>
        </w:tc>
        <w:tc>
          <w:tcPr>
            <w:tcW w:w="1246" w:type="dxa"/>
            <w:shd w:val="clear" w:color="auto" w:fill="F2F2F2" w:themeFill="background1" w:themeFillShade="F2"/>
          </w:tcPr>
          <w:p w14:paraId="66A619CD"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2018/1/1</w:t>
            </w:r>
          </w:p>
        </w:tc>
      </w:tr>
      <w:tr w:rsidR="003A04DF" w14:paraId="55BAACC4"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546897DA"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AF drug</w:t>
            </w:r>
          </w:p>
        </w:tc>
        <w:tc>
          <w:tcPr>
            <w:tcW w:w="1422" w:type="dxa"/>
          </w:tcPr>
          <w:p w14:paraId="4B965A0A"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w:t>
            </w:r>
          </w:p>
        </w:tc>
        <w:tc>
          <w:tcPr>
            <w:tcW w:w="1103" w:type="dxa"/>
          </w:tcPr>
          <w:p w14:paraId="62091549"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w:t>
            </w:r>
          </w:p>
        </w:tc>
        <w:tc>
          <w:tcPr>
            <w:tcW w:w="1192" w:type="dxa"/>
          </w:tcPr>
          <w:p w14:paraId="118281B1"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Metoprolol</w:t>
            </w:r>
          </w:p>
        </w:tc>
        <w:tc>
          <w:tcPr>
            <w:tcW w:w="1300" w:type="dxa"/>
          </w:tcPr>
          <w:p w14:paraId="56B6138E"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Metoprolol, propafenone</w:t>
            </w:r>
          </w:p>
        </w:tc>
        <w:tc>
          <w:tcPr>
            <w:tcW w:w="1192" w:type="dxa"/>
          </w:tcPr>
          <w:p w14:paraId="22190787"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Metoprolol</w:t>
            </w:r>
          </w:p>
        </w:tc>
        <w:tc>
          <w:tcPr>
            <w:tcW w:w="1246" w:type="dxa"/>
          </w:tcPr>
          <w:p w14:paraId="354290D3"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Metoprolol, amiodarone</w:t>
            </w:r>
          </w:p>
        </w:tc>
      </w:tr>
      <w:tr w:rsidR="003A04DF" w14:paraId="799D4D73"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7582CB4B"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Ablation</w:t>
            </w:r>
          </w:p>
        </w:tc>
        <w:tc>
          <w:tcPr>
            <w:tcW w:w="1422" w:type="dxa"/>
            <w:shd w:val="clear" w:color="auto" w:fill="F2F2F2" w:themeFill="background1" w:themeFillShade="F2"/>
          </w:tcPr>
          <w:p w14:paraId="35BDF242"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w:t>
            </w:r>
          </w:p>
        </w:tc>
        <w:tc>
          <w:tcPr>
            <w:tcW w:w="1103" w:type="dxa"/>
            <w:shd w:val="clear" w:color="auto" w:fill="F2F2F2" w:themeFill="background1" w:themeFillShade="F2"/>
          </w:tcPr>
          <w:p w14:paraId="5303AB1D"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w:t>
            </w:r>
          </w:p>
        </w:tc>
        <w:tc>
          <w:tcPr>
            <w:tcW w:w="1192" w:type="dxa"/>
            <w:shd w:val="clear" w:color="auto" w:fill="F2F2F2" w:themeFill="background1" w:themeFillShade="F2"/>
          </w:tcPr>
          <w:p w14:paraId="4EC848E8"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Yes</w:t>
            </w:r>
          </w:p>
        </w:tc>
        <w:tc>
          <w:tcPr>
            <w:tcW w:w="1300" w:type="dxa"/>
            <w:shd w:val="clear" w:color="auto" w:fill="F2F2F2" w:themeFill="background1" w:themeFillShade="F2"/>
          </w:tcPr>
          <w:p w14:paraId="74A1D028"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No</w:t>
            </w:r>
          </w:p>
        </w:tc>
        <w:tc>
          <w:tcPr>
            <w:tcW w:w="1192" w:type="dxa"/>
            <w:shd w:val="clear" w:color="auto" w:fill="F2F2F2" w:themeFill="background1" w:themeFillShade="F2"/>
          </w:tcPr>
          <w:p w14:paraId="7EBB939A"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No</w:t>
            </w:r>
          </w:p>
        </w:tc>
        <w:tc>
          <w:tcPr>
            <w:tcW w:w="1246" w:type="dxa"/>
            <w:shd w:val="clear" w:color="auto" w:fill="F2F2F2" w:themeFill="background1" w:themeFillShade="F2"/>
          </w:tcPr>
          <w:p w14:paraId="7D1A6B8F"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Yes</w:t>
            </w:r>
          </w:p>
        </w:tc>
      </w:tr>
      <w:tr w:rsidR="003A04DF" w14:paraId="520AC0D9"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22B12266"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HT time</w:t>
            </w:r>
          </w:p>
        </w:tc>
        <w:tc>
          <w:tcPr>
            <w:tcW w:w="1422" w:type="dxa"/>
          </w:tcPr>
          <w:p w14:paraId="00817302"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2000/1/1</w:t>
            </w:r>
          </w:p>
        </w:tc>
        <w:tc>
          <w:tcPr>
            <w:tcW w:w="1103" w:type="dxa"/>
          </w:tcPr>
          <w:p w14:paraId="0125BFF0"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2001/1/1</w:t>
            </w:r>
          </w:p>
        </w:tc>
        <w:tc>
          <w:tcPr>
            <w:tcW w:w="1192" w:type="dxa"/>
          </w:tcPr>
          <w:p w14:paraId="2041141C"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2023/3/1</w:t>
            </w:r>
          </w:p>
        </w:tc>
        <w:tc>
          <w:tcPr>
            <w:tcW w:w="1300" w:type="dxa"/>
          </w:tcPr>
          <w:p w14:paraId="7BAD44CE"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2017/6/1</w:t>
            </w:r>
          </w:p>
        </w:tc>
        <w:tc>
          <w:tcPr>
            <w:tcW w:w="1192" w:type="dxa"/>
          </w:tcPr>
          <w:p w14:paraId="41358118"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2014/1/1</w:t>
            </w:r>
          </w:p>
        </w:tc>
        <w:tc>
          <w:tcPr>
            <w:tcW w:w="1246" w:type="dxa"/>
          </w:tcPr>
          <w:p w14:paraId="3CA64751"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2018/1/1</w:t>
            </w:r>
          </w:p>
        </w:tc>
      </w:tr>
      <w:tr w:rsidR="003A04DF" w14:paraId="05A3F0D1"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0195172F"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HT drug</w:t>
            </w:r>
          </w:p>
        </w:tc>
        <w:tc>
          <w:tcPr>
            <w:tcW w:w="1422" w:type="dxa"/>
            <w:shd w:val="clear" w:color="auto" w:fill="F2F2F2" w:themeFill="background1" w:themeFillShade="F2"/>
          </w:tcPr>
          <w:p w14:paraId="4FA70B17"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1"/>
              </w:rPr>
            </w:pPr>
            <w:r>
              <w:rPr>
                <w:rFonts w:ascii="Times New Roman" w:hAnsi="Times New Roman" w:cs="Times New Roman"/>
                <w:sz w:val="20"/>
                <w:szCs w:val="21"/>
              </w:rPr>
              <w:t>amlodipine</w:t>
            </w:r>
          </w:p>
        </w:tc>
        <w:tc>
          <w:tcPr>
            <w:tcW w:w="1103" w:type="dxa"/>
            <w:shd w:val="clear" w:color="auto" w:fill="F2F2F2" w:themeFill="background1" w:themeFillShade="F2"/>
          </w:tcPr>
          <w:p w14:paraId="566140DB"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1"/>
              </w:rPr>
            </w:pPr>
            <w:r>
              <w:rPr>
                <w:rFonts w:ascii="Times New Roman" w:hAnsi="Times New Roman" w:cs="Times New Roman"/>
                <w:sz w:val="20"/>
                <w:szCs w:val="21"/>
              </w:rPr>
              <w:t>amlodipine</w:t>
            </w:r>
          </w:p>
        </w:tc>
        <w:tc>
          <w:tcPr>
            <w:tcW w:w="1192" w:type="dxa"/>
            <w:shd w:val="clear" w:color="auto" w:fill="F2F2F2" w:themeFill="background1" w:themeFillShade="F2"/>
          </w:tcPr>
          <w:p w14:paraId="6C01EC25"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1"/>
              </w:rPr>
            </w:pPr>
            <w:r>
              <w:rPr>
                <w:rFonts w:ascii="Times New Roman" w:hAnsi="Times New Roman" w:cs="Times New Roman"/>
                <w:sz w:val="20"/>
                <w:szCs w:val="21"/>
              </w:rPr>
              <w:t>valsartan</w:t>
            </w:r>
          </w:p>
        </w:tc>
        <w:tc>
          <w:tcPr>
            <w:tcW w:w="1300" w:type="dxa"/>
            <w:shd w:val="clear" w:color="auto" w:fill="F2F2F2" w:themeFill="background1" w:themeFillShade="F2"/>
          </w:tcPr>
          <w:p w14:paraId="20CD386F"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1"/>
              </w:rPr>
            </w:pPr>
            <w:r>
              <w:rPr>
                <w:rFonts w:ascii="Times New Roman" w:hAnsi="Times New Roman" w:cs="Times New Roman"/>
                <w:sz w:val="20"/>
                <w:szCs w:val="21"/>
              </w:rPr>
              <w:t>amlodipine, allisartan</w:t>
            </w:r>
          </w:p>
        </w:tc>
        <w:tc>
          <w:tcPr>
            <w:tcW w:w="1192" w:type="dxa"/>
            <w:shd w:val="clear" w:color="auto" w:fill="F2F2F2" w:themeFill="background1" w:themeFillShade="F2"/>
          </w:tcPr>
          <w:p w14:paraId="7BFAD0DD"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1"/>
              </w:rPr>
            </w:pPr>
            <w:r>
              <w:rPr>
                <w:rFonts w:ascii="Times New Roman" w:hAnsi="Times New Roman" w:cs="Times New Roman"/>
                <w:sz w:val="20"/>
                <w:szCs w:val="21"/>
              </w:rPr>
              <w:t>amlodipine</w:t>
            </w:r>
          </w:p>
        </w:tc>
        <w:tc>
          <w:tcPr>
            <w:tcW w:w="1246" w:type="dxa"/>
            <w:shd w:val="clear" w:color="auto" w:fill="F2F2F2" w:themeFill="background1" w:themeFillShade="F2"/>
          </w:tcPr>
          <w:p w14:paraId="602BA69E"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1"/>
              </w:rPr>
            </w:pPr>
            <w:r>
              <w:rPr>
                <w:rFonts w:ascii="Times New Roman" w:hAnsi="Times New Roman" w:cs="Times New Roman"/>
                <w:sz w:val="20"/>
                <w:szCs w:val="21"/>
              </w:rPr>
              <w:t>sacubitril valsartan</w:t>
            </w:r>
          </w:p>
        </w:tc>
      </w:tr>
      <w:tr w:rsidR="003A04DF" w14:paraId="0924F04C" w14:textId="77777777" w:rsidTr="003A04DF">
        <w:tc>
          <w:tcPr>
            <w:cnfStyle w:val="001000000000" w:firstRow="0" w:lastRow="0" w:firstColumn="1" w:lastColumn="0" w:oddVBand="0" w:evenVBand="0" w:oddHBand="0" w:evenHBand="0" w:firstRowFirstColumn="0" w:firstRowLastColumn="0" w:lastRowFirstColumn="0" w:lastRowLastColumn="0"/>
            <w:tcW w:w="851" w:type="dxa"/>
          </w:tcPr>
          <w:p w14:paraId="7D5A273D" w14:textId="77777777" w:rsidR="003A04DF" w:rsidRDefault="00000000">
            <w:pPr>
              <w:spacing w:after="0" w:line="240" w:lineRule="auto"/>
              <w:rPr>
                <w:rFonts w:ascii="Times New Roman" w:hAnsi="Times New Roman" w:cs="Times New Roman"/>
                <w:i w:val="0"/>
                <w:iCs w:val="0"/>
                <w:szCs w:val="21"/>
              </w:rPr>
            </w:pPr>
            <w:r>
              <w:rPr>
                <w:rFonts w:ascii="Times New Roman" w:hAnsi="Times New Roman" w:cs="Times New Roman"/>
                <w:szCs w:val="21"/>
              </w:rPr>
              <w:t>LDL (mmol/L)</w:t>
            </w:r>
          </w:p>
        </w:tc>
        <w:tc>
          <w:tcPr>
            <w:tcW w:w="1422" w:type="dxa"/>
          </w:tcPr>
          <w:p w14:paraId="06A03A89"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4.06</w:t>
            </w:r>
          </w:p>
        </w:tc>
        <w:tc>
          <w:tcPr>
            <w:tcW w:w="1103" w:type="dxa"/>
          </w:tcPr>
          <w:p w14:paraId="4BF2587C"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2.46</w:t>
            </w:r>
          </w:p>
        </w:tc>
        <w:tc>
          <w:tcPr>
            <w:tcW w:w="1192" w:type="dxa"/>
          </w:tcPr>
          <w:p w14:paraId="2B396829"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4.22</w:t>
            </w:r>
          </w:p>
        </w:tc>
        <w:tc>
          <w:tcPr>
            <w:tcW w:w="1300" w:type="dxa"/>
          </w:tcPr>
          <w:p w14:paraId="545DC1F0"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2.7</w:t>
            </w:r>
          </w:p>
        </w:tc>
        <w:tc>
          <w:tcPr>
            <w:tcW w:w="1192" w:type="dxa"/>
          </w:tcPr>
          <w:p w14:paraId="2BE5F43F"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1.8</w:t>
            </w:r>
          </w:p>
        </w:tc>
        <w:tc>
          <w:tcPr>
            <w:tcW w:w="1246" w:type="dxa"/>
          </w:tcPr>
          <w:p w14:paraId="2FD7E97B" w14:textId="77777777" w:rsidR="003A04D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3.54</w:t>
            </w:r>
          </w:p>
        </w:tc>
      </w:tr>
    </w:tbl>
    <w:p w14:paraId="69235A90" w14:textId="77839BE8" w:rsidR="003B39A1" w:rsidRDefault="003B39A1">
      <w:pPr>
        <w:rPr>
          <w:rFonts w:ascii="Times New Roman" w:hAnsi="Times New Roman" w:cs="Times New Roman"/>
        </w:rPr>
      </w:pPr>
    </w:p>
    <w:p w14:paraId="0F010420" w14:textId="77777777" w:rsidR="003B39A1" w:rsidRDefault="003B39A1">
      <w:pPr>
        <w:widowControl/>
        <w:spacing w:after="0" w:line="240" w:lineRule="auto"/>
        <w:rPr>
          <w:rFonts w:ascii="Times New Roman" w:hAnsi="Times New Roman" w:cs="Times New Roman"/>
        </w:rPr>
      </w:pPr>
      <w:r>
        <w:rPr>
          <w:rFonts w:ascii="Times New Roman" w:hAnsi="Times New Roman" w:cs="Times New Roman"/>
        </w:rPr>
        <w:br w:type="page"/>
      </w:r>
    </w:p>
    <w:p w14:paraId="3B48EB9C" w14:textId="68F86E06" w:rsidR="003A04DF" w:rsidRPr="00EE328F" w:rsidRDefault="003B39A1">
      <w:pPr>
        <w:rPr>
          <w:rFonts w:ascii="Times New Roman" w:hAnsi="Times New Roman" w:cs="Times New Roman"/>
          <w:b/>
          <w:bCs/>
          <w:sz w:val="28"/>
          <w:szCs w:val="28"/>
        </w:rPr>
      </w:pPr>
      <w:r w:rsidRPr="00EE328F">
        <w:rPr>
          <w:rFonts w:ascii="Times New Roman" w:hAnsi="Times New Roman" w:cs="Times New Roman"/>
          <w:b/>
          <w:bCs/>
          <w:sz w:val="28"/>
          <w:szCs w:val="28"/>
        </w:rPr>
        <w:lastRenderedPageBreak/>
        <w:t>Supplementary Figure 1</w:t>
      </w:r>
    </w:p>
    <w:p w14:paraId="1DA1CD79" w14:textId="410E3AB3" w:rsidR="003B39A1" w:rsidRDefault="003B39A1">
      <w:pP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w:t>
      </w:r>
    </w:p>
    <w:p w14:paraId="3317112D" w14:textId="77777777" w:rsidR="003B39A1" w:rsidRDefault="003B39A1">
      <w:pPr>
        <w:widowControl/>
        <w:rPr>
          <w:rFonts w:ascii="Times New Roman" w:hAnsi="Times New Roman" w:cs="Times New Roman"/>
        </w:rPr>
      </w:pPr>
      <w:r>
        <w:rPr>
          <w:rFonts w:ascii="Times New Roman" w:hAnsi="Times New Roman" w:cs="Times New Roman"/>
          <w:noProof/>
          <w14:ligatures w14:val="none"/>
        </w:rPr>
        <w:drawing>
          <wp:inline distT="0" distB="0" distL="0" distR="0" wp14:anchorId="3CB5BBD5" wp14:editId="55D9C4D3">
            <wp:extent cx="5274310" cy="2637155"/>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637155"/>
                    </a:xfrm>
                    <a:prstGeom prst="rect">
                      <a:avLst/>
                    </a:prstGeom>
                  </pic:spPr>
                </pic:pic>
              </a:graphicData>
            </a:graphic>
          </wp:inline>
        </w:drawing>
      </w:r>
    </w:p>
    <w:p w14:paraId="77037EB1" w14:textId="77777777" w:rsidR="003B39A1" w:rsidRDefault="003B39A1">
      <w:pPr>
        <w:widowControl/>
        <w:rPr>
          <w:rFonts w:ascii="Times New Roman" w:hAnsi="Times New Roman" w:cs="Times New Roman"/>
        </w:rPr>
      </w:pPr>
    </w:p>
    <w:p w14:paraId="3F87F1F5" w14:textId="633033D1" w:rsidR="003B39A1" w:rsidRDefault="003B39A1">
      <w:pPr>
        <w:widowControl/>
        <w:rPr>
          <w:rFonts w:ascii="Times New Roman" w:hAnsi="Times New Roman" w:cs="Times New Roman"/>
        </w:rPr>
      </w:pPr>
      <w:r>
        <w:rPr>
          <w:rFonts w:ascii="Times New Roman" w:hAnsi="Times New Roman" w:cs="Times New Roman" w:hint="eastAsia"/>
        </w:rPr>
        <w:t>B</w:t>
      </w:r>
      <w:r>
        <w:rPr>
          <w:rFonts w:ascii="Times New Roman" w:hAnsi="Times New Roman" w:cs="Times New Roman"/>
        </w:rPr>
        <w:t>.</w:t>
      </w:r>
    </w:p>
    <w:p w14:paraId="373007C6" w14:textId="77777777" w:rsidR="003B39A1" w:rsidRDefault="003B39A1">
      <w:pPr>
        <w:widowControl/>
        <w:rPr>
          <w:rFonts w:ascii="Times New Roman" w:hAnsi="Times New Roman" w:cs="Times New Roman"/>
        </w:rPr>
      </w:pPr>
      <w:r>
        <w:rPr>
          <w:rFonts w:ascii="Times New Roman" w:hAnsi="Times New Roman" w:cs="Times New Roman"/>
          <w:noProof/>
          <w14:ligatures w14:val="none"/>
        </w:rPr>
        <w:drawing>
          <wp:inline distT="0" distB="0" distL="0" distR="0" wp14:anchorId="0C22D09C" wp14:editId="4FBC8741">
            <wp:extent cx="5274310" cy="2637155"/>
            <wp:effectExtent l="0" t="0" r="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637155"/>
                    </a:xfrm>
                    <a:prstGeom prst="rect">
                      <a:avLst/>
                    </a:prstGeom>
                  </pic:spPr>
                </pic:pic>
              </a:graphicData>
            </a:graphic>
          </wp:inline>
        </w:drawing>
      </w:r>
    </w:p>
    <w:p w14:paraId="1399EA9A" w14:textId="3A0D42EB" w:rsidR="003B39A1" w:rsidRDefault="003B39A1">
      <w:pPr>
        <w:widowControl/>
        <w:spacing w:after="0" w:line="240" w:lineRule="auto"/>
        <w:rPr>
          <w:rFonts w:ascii="Times New Roman" w:hAnsi="Times New Roman" w:cs="Times New Roman"/>
        </w:rPr>
      </w:pPr>
      <w:r>
        <w:rPr>
          <w:rFonts w:ascii="Times New Roman" w:hAnsi="Times New Roman" w:cs="Times New Roman"/>
        </w:rPr>
        <w:br w:type="page"/>
      </w:r>
    </w:p>
    <w:p w14:paraId="30753053" w14:textId="77129EBC" w:rsidR="00C27964" w:rsidRPr="00EE328F" w:rsidRDefault="00C27964" w:rsidP="00EE328F">
      <w:pPr>
        <w:rPr>
          <w:rFonts w:ascii="Times New Roman" w:hAnsi="Times New Roman" w:cs="Times New Roman"/>
          <w:b/>
          <w:bCs/>
          <w:sz w:val="28"/>
          <w:szCs w:val="28"/>
        </w:rPr>
      </w:pPr>
      <w:bookmarkStart w:id="0" w:name="OLE_LINK16"/>
      <w:r w:rsidRPr="0072006F">
        <w:rPr>
          <w:rFonts w:ascii="Times New Roman" w:hAnsi="Times New Roman" w:cs="Times New Roman" w:hint="eastAsia"/>
          <w:b/>
          <w:bCs/>
          <w:sz w:val="28"/>
          <w:szCs w:val="28"/>
        </w:rPr>
        <w:lastRenderedPageBreak/>
        <w:t>S</w:t>
      </w:r>
      <w:r w:rsidRPr="0072006F">
        <w:rPr>
          <w:rFonts w:ascii="Times New Roman" w:hAnsi="Times New Roman" w:cs="Times New Roman"/>
          <w:b/>
          <w:bCs/>
          <w:sz w:val="28"/>
          <w:szCs w:val="28"/>
        </w:rPr>
        <w:t xml:space="preserve">upplementary Figure </w:t>
      </w:r>
      <w:r>
        <w:rPr>
          <w:rFonts w:ascii="Times New Roman" w:hAnsi="Times New Roman" w:cs="Times New Roman"/>
          <w:b/>
          <w:bCs/>
          <w:sz w:val="28"/>
          <w:szCs w:val="28"/>
        </w:rPr>
        <w:t>2</w:t>
      </w:r>
    </w:p>
    <w:bookmarkEnd w:id="0"/>
    <w:p w14:paraId="29CD1241" w14:textId="3031E5E4" w:rsidR="003B39A1" w:rsidRDefault="003B39A1">
      <w:pPr>
        <w:widowControl/>
        <w:rPr>
          <w:rFonts w:ascii="Times New Roman" w:hAnsi="Times New Roman" w:cs="Times New Roman"/>
        </w:rPr>
      </w:pPr>
      <w:r>
        <w:rPr>
          <w:rFonts w:ascii="Times New Roman" w:hAnsi="Times New Roman" w:cs="Times New Roman"/>
          <w:noProof/>
          <w14:ligatures w14:val="none"/>
        </w:rPr>
        <w:drawing>
          <wp:inline distT="0" distB="0" distL="0" distR="0" wp14:anchorId="58F10C46" wp14:editId="06F37B8E">
            <wp:extent cx="5274310" cy="762254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7622540"/>
                    </a:xfrm>
                    <a:prstGeom prst="rect">
                      <a:avLst/>
                    </a:prstGeom>
                  </pic:spPr>
                </pic:pic>
              </a:graphicData>
            </a:graphic>
          </wp:inline>
        </w:drawing>
      </w:r>
    </w:p>
    <w:p w14:paraId="054D23B0" w14:textId="79525032" w:rsidR="001D5205" w:rsidRDefault="001D5205">
      <w:pPr>
        <w:widowControl/>
        <w:spacing w:after="0" w:line="240" w:lineRule="auto"/>
        <w:rPr>
          <w:rFonts w:ascii="Times New Roman" w:hAnsi="Times New Roman" w:cs="Times New Roman"/>
        </w:rPr>
      </w:pPr>
      <w:r>
        <w:rPr>
          <w:rFonts w:ascii="Times New Roman" w:hAnsi="Times New Roman" w:cs="Times New Roman"/>
        </w:rPr>
        <w:br w:type="page"/>
      </w:r>
    </w:p>
    <w:p w14:paraId="2D322C9E" w14:textId="037B1BE7" w:rsidR="001D5205" w:rsidRPr="00EE328F" w:rsidRDefault="001D5205" w:rsidP="00EE328F">
      <w:pPr>
        <w:rPr>
          <w:rFonts w:ascii="Times New Roman" w:hAnsi="Times New Roman" w:cs="Times New Roman"/>
          <w:b/>
          <w:bCs/>
          <w:sz w:val="28"/>
          <w:szCs w:val="28"/>
        </w:rPr>
      </w:pPr>
      <w:r w:rsidRPr="0072006F">
        <w:rPr>
          <w:rFonts w:ascii="Times New Roman" w:hAnsi="Times New Roman" w:cs="Times New Roman" w:hint="eastAsia"/>
          <w:b/>
          <w:bCs/>
          <w:sz w:val="28"/>
          <w:szCs w:val="28"/>
        </w:rPr>
        <w:lastRenderedPageBreak/>
        <w:t>S</w:t>
      </w:r>
      <w:r w:rsidRPr="0072006F">
        <w:rPr>
          <w:rFonts w:ascii="Times New Roman" w:hAnsi="Times New Roman" w:cs="Times New Roman"/>
          <w:b/>
          <w:bCs/>
          <w:sz w:val="28"/>
          <w:szCs w:val="28"/>
        </w:rPr>
        <w:t xml:space="preserve">upplementary Figure </w:t>
      </w:r>
      <w:r>
        <w:rPr>
          <w:rFonts w:ascii="Times New Roman" w:hAnsi="Times New Roman" w:cs="Times New Roman"/>
          <w:b/>
          <w:bCs/>
          <w:sz w:val="28"/>
          <w:szCs w:val="28"/>
        </w:rPr>
        <w:t>3</w:t>
      </w:r>
    </w:p>
    <w:p w14:paraId="65DB8872" w14:textId="42B87A87" w:rsidR="001D5205" w:rsidRDefault="001D5205">
      <w:pPr>
        <w:widowControl/>
        <w:rPr>
          <w:rFonts w:ascii="Times New Roman" w:hAnsi="Times New Roman" w:cs="Times New Roman"/>
        </w:rPr>
      </w:pPr>
      <w:r>
        <w:rPr>
          <w:rFonts w:ascii="Times New Roman" w:hAnsi="Times New Roman" w:cs="Times New Roman" w:hint="eastAsia"/>
          <w:noProof/>
          <w14:ligatures w14:val="none"/>
        </w:rPr>
        <w:drawing>
          <wp:inline distT="0" distB="0" distL="0" distR="0" wp14:anchorId="02042010" wp14:editId="19FA06AD">
            <wp:extent cx="2363638" cy="4149090"/>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11" cstate="print">
                      <a:extLst>
                        <a:ext uri="{28A0092B-C50C-407E-A947-70E740481C1C}">
                          <a14:useLocalDpi xmlns:a14="http://schemas.microsoft.com/office/drawing/2010/main" val="0"/>
                        </a:ext>
                      </a:extLst>
                    </a:blip>
                    <a:srcRect l="10803" t="26570" r="9193" b="26614"/>
                    <a:stretch/>
                  </pic:blipFill>
                  <pic:spPr bwMode="auto">
                    <a:xfrm>
                      <a:off x="0" y="0"/>
                      <a:ext cx="2363834" cy="4149434"/>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hint="eastAsia"/>
          <w:noProof/>
          <w14:ligatures w14:val="none"/>
        </w:rPr>
        <w:drawing>
          <wp:inline distT="0" distB="0" distL="0" distR="0" wp14:anchorId="10343AD4" wp14:editId="2024794D">
            <wp:extent cx="2380682" cy="4148455"/>
            <wp:effectExtent l="0" t="0" r="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rotWithShape="1">
                    <a:blip r:embed="rId12" cstate="print">
                      <a:extLst>
                        <a:ext uri="{28A0092B-C50C-407E-A947-70E740481C1C}">
                          <a14:useLocalDpi xmlns:a14="http://schemas.microsoft.com/office/drawing/2010/main" val="0"/>
                        </a:ext>
                      </a:extLst>
                    </a:blip>
                    <a:srcRect l="9929" t="26473" r="9473" b="26709"/>
                    <a:stretch/>
                  </pic:blipFill>
                  <pic:spPr bwMode="auto">
                    <a:xfrm>
                      <a:off x="0" y="0"/>
                      <a:ext cx="2381380" cy="4149671"/>
                    </a:xfrm>
                    <a:prstGeom prst="rect">
                      <a:avLst/>
                    </a:prstGeom>
                    <a:ln>
                      <a:noFill/>
                    </a:ln>
                    <a:extLst>
                      <a:ext uri="{53640926-AAD7-44D8-BBD7-CCE9431645EC}">
                        <a14:shadowObscured xmlns:a14="http://schemas.microsoft.com/office/drawing/2010/main"/>
                      </a:ext>
                    </a:extLst>
                  </pic:spPr>
                </pic:pic>
              </a:graphicData>
            </a:graphic>
          </wp:inline>
        </w:drawing>
      </w:r>
    </w:p>
    <w:p w14:paraId="2DE8B435" w14:textId="17452212" w:rsidR="00082702" w:rsidRDefault="00082702" w:rsidP="00EE328F">
      <w:pPr>
        <w:widowControl/>
        <w:rPr>
          <w:rFonts w:ascii="Times New Roman" w:hAnsi="Times New Roman" w:cs="Times New Roman"/>
        </w:rPr>
      </w:pPr>
      <w:r>
        <w:rPr>
          <w:rFonts w:ascii="Times New Roman" w:hAnsi="Times New Roman" w:cs="Times New Roman"/>
        </w:rPr>
        <w:br w:type="page"/>
      </w:r>
    </w:p>
    <w:p w14:paraId="0C56470B" w14:textId="3EEB008D" w:rsidR="003A04DF" w:rsidRPr="00EE328F" w:rsidRDefault="00082702" w:rsidP="00EE328F">
      <w:pPr>
        <w:rPr>
          <w:rFonts w:ascii="Times New Roman" w:hAnsi="Times New Roman" w:cs="Times New Roman"/>
          <w:b/>
          <w:bCs/>
          <w:sz w:val="28"/>
          <w:szCs w:val="28"/>
        </w:rPr>
      </w:pPr>
      <w:r w:rsidRPr="0072006F">
        <w:rPr>
          <w:rFonts w:ascii="Times New Roman" w:hAnsi="Times New Roman" w:cs="Times New Roman" w:hint="eastAsia"/>
          <w:b/>
          <w:bCs/>
          <w:sz w:val="28"/>
          <w:szCs w:val="28"/>
        </w:rPr>
        <w:lastRenderedPageBreak/>
        <w:t>S</w:t>
      </w:r>
      <w:r w:rsidRPr="0072006F">
        <w:rPr>
          <w:rFonts w:ascii="Times New Roman" w:hAnsi="Times New Roman" w:cs="Times New Roman"/>
          <w:b/>
          <w:bCs/>
          <w:sz w:val="28"/>
          <w:szCs w:val="28"/>
        </w:rPr>
        <w:t xml:space="preserve">upplementary Figure </w:t>
      </w:r>
      <w:r w:rsidR="00767E29">
        <w:rPr>
          <w:rFonts w:ascii="Times New Roman" w:hAnsi="Times New Roman" w:cs="Times New Roman"/>
          <w:b/>
          <w:bCs/>
          <w:sz w:val="28"/>
          <w:szCs w:val="28"/>
        </w:rPr>
        <w:t>4</w:t>
      </w:r>
      <w:r w:rsidR="00B154E9">
        <w:rPr>
          <w:rFonts w:ascii="Times New Roman" w:hAnsi="Times New Roman" w:cs="Times New Roman"/>
          <w:noProof/>
          <w14:ligatures w14:val="none"/>
        </w:rPr>
        <w:drawing>
          <wp:inline distT="0" distB="0" distL="0" distR="0" wp14:anchorId="4FC8CAFC" wp14:editId="6284B8A0">
            <wp:extent cx="5298831" cy="7054868"/>
            <wp:effectExtent l="0" t="0" r="0" b="0"/>
            <wp:docPr id="20966983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698321" name="图片 2096698321"/>
                    <pic:cNvPicPr/>
                  </pic:nvPicPr>
                  <pic:blipFill rotWithShape="1">
                    <a:blip r:embed="rId13" cstate="print">
                      <a:extLst>
                        <a:ext uri="{28A0092B-C50C-407E-A947-70E740481C1C}">
                          <a14:useLocalDpi xmlns:a14="http://schemas.microsoft.com/office/drawing/2010/main" val="0"/>
                        </a:ext>
                      </a:extLst>
                    </a:blip>
                    <a:srcRect t="7798"/>
                    <a:stretch/>
                  </pic:blipFill>
                  <pic:spPr bwMode="auto">
                    <a:xfrm>
                      <a:off x="0" y="0"/>
                      <a:ext cx="5319311" cy="7082134"/>
                    </a:xfrm>
                    <a:prstGeom prst="rect">
                      <a:avLst/>
                    </a:prstGeom>
                    <a:ln>
                      <a:noFill/>
                    </a:ln>
                    <a:extLst>
                      <a:ext uri="{53640926-AAD7-44D8-BBD7-CCE9431645EC}">
                        <a14:shadowObscured xmlns:a14="http://schemas.microsoft.com/office/drawing/2010/main"/>
                      </a:ext>
                    </a:extLst>
                  </pic:spPr>
                </pic:pic>
              </a:graphicData>
            </a:graphic>
          </wp:inline>
        </w:drawing>
      </w:r>
    </w:p>
    <w:p w14:paraId="6040DEB8" w14:textId="77777777" w:rsidR="00B154E9" w:rsidRDefault="00B154E9">
      <w:pPr>
        <w:widowControl/>
        <w:spacing w:after="0" w:line="240" w:lineRule="auto"/>
        <w:rPr>
          <w:rFonts w:ascii="Times New Roman" w:hAnsi="Times New Roman" w:cs="Times New Roman"/>
          <w:b/>
          <w:bCs/>
          <w:sz w:val="28"/>
          <w:szCs w:val="28"/>
        </w:rPr>
      </w:pPr>
      <w:r>
        <w:rPr>
          <w:rFonts w:ascii="Times New Roman" w:hAnsi="Times New Roman" w:cs="Times New Roman"/>
          <w:b/>
          <w:bCs/>
          <w:sz w:val="28"/>
          <w:szCs w:val="28"/>
        </w:rPr>
        <w:br w:type="page"/>
      </w:r>
    </w:p>
    <w:p w14:paraId="64F026B8" w14:textId="7FA7B7BE" w:rsidR="003A04DF" w:rsidRDefault="00000000">
      <w:pPr>
        <w:rPr>
          <w:rFonts w:ascii="Times New Roman" w:hAnsi="Times New Roman" w:cs="Times New Roman"/>
          <w:b/>
          <w:bCs/>
          <w:sz w:val="28"/>
          <w:szCs w:val="28"/>
        </w:rPr>
      </w:pPr>
      <w:r>
        <w:rPr>
          <w:rFonts w:ascii="Times New Roman" w:hAnsi="Times New Roman" w:cs="Times New Roman"/>
          <w:b/>
          <w:bCs/>
          <w:sz w:val="28"/>
          <w:szCs w:val="28"/>
        </w:rPr>
        <w:lastRenderedPageBreak/>
        <w:t>Legend of Supplementary Figure</w:t>
      </w:r>
    </w:p>
    <w:p w14:paraId="17F6D61C" w14:textId="77777777" w:rsidR="003A04DF" w:rsidRDefault="003A04DF">
      <w:pPr>
        <w:rPr>
          <w:rFonts w:ascii="Times New Roman" w:hAnsi="Times New Roman" w:cs="Times New Roman"/>
        </w:rPr>
      </w:pPr>
    </w:p>
    <w:p w14:paraId="2AAACCB4" w14:textId="77777777" w:rsidR="00880A8D" w:rsidRDefault="00880A8D" w:rsidP="00880A8D">
      <w:pPr>
        <w:rPr>
          <w:rFonts w:ascii="Times New Roman" w:hAnsi="Times New Roman" w:cs="Times New Roman"/>
          <w:b/>
          <w:bCs/>
        </w:rPr>
      </w:pPr>
      <w:r>
        <w:rPr>
          <w:rFonts w:ascii="Times New Roman" w:hAnsi="Times New Roman" w:cs="Times New Roman"/>
          <w:b/>
          <w:bCs/>
        </w:rPr>
        <w:t>Supplementary Figure 1 Interaction Analysis Among Cell Clusters</w:t>
      </w:r>
    </w:p>
    <w:p w14:paraId="757BD946" w14:textId="77777777" w:rsidR="00880A8D" w:rsidRDefault="00880A8D" w:rsidP="00880A8D">
      <w:pPr>
        <w:rPr>
          <w:rFonts w:ascii="Times New Roman" w:hAnsi="Times New Roman" w:cs="Times New Roman"/>
        </w:rPr>
      </w:pPr>
      <w:r>
        <w:rPr>
          <w:rFonts w:ascii="Times New Roman" w:hAnsi="Times New Roman" w:cs="Times New Roman"/>
        </w:rPr>
        <w:t xml:space="preserve">(A) Bar plot comparing the number and strength of interactions between AF and hypertension (HTN).  </w:t>
      </w:r>
    </w:p>
    <w:p w14:paraId="2B4B4200" w14:textId="77777777" w:rsidR="00880A8D" w:rsidRDefault="00880A8D" w:rsidP="00880A8D">
      <w:pPr>
        <w:rPr>
          <w:rFonts w:ascii="Times New Roman" w:hAnsi="Times New Roman" w:cs="Times New Roman"/>
        </w:rPr>
      </w:pPr>
      <w:r>
        <w:rPr>
          <w:rFonts w:ascii="Times New Roman" w:hAnsi="Times New Roman" w:cs="Times New Roman"/>
        </w:rPr>
        <w:t>(B) Scatter plot comparing interaction strength (x-axis) and number (y-axis) between HTN (left) and AF (right).</w:t>
      </w:r>
    </w:p>
    <w:p w14:paraId="113CC09C" w14:textId="77777777" w:rsidR="00880A8D" w:rsidRDefault="00880A8D" w:rsidP="006E3C16">
      <w:pPr>
        <w:spacing w:line="440" w:lineRule="exact"/>
        <w:jc w:val="both"/>
        <w:rPr>
          <w:rFonts w:ascii="Times New Roman" w:hAnsi="Times New Roman" w:cs="Times New Roman"/>
          <w:b/>
          <w:bCs/>
        </w:rPr>
      </w:pPr>
    </w:p>
    <w:p w14:paraId="3FECA23C" w14:textId="7BA55863" w:rsidR="006E3C16" w:rsidRPr="00874FA2" w:rsidRDefault="00000000" w:rsidP="006E3C16">
      <w:pPr>
        <w:spacing w:line="440" w:lineRule="exact"/>
        <w:jc w:val="both"/>
        <w:rPr>
          <w:rFonts w:ascii="Times New Roman" w:hAnsi="Times New Roman" w:cs="Times New Roman"/>
          <w:b/>
          <w:bCs/>
          <w:sz w:val="24"/>
        </w:rPr>
      </w:pPr>
      <w:r>
        <w:rPr>
          <w:rFonts w:ascii="Times New Roman" w:hAnsi="Times New Roman" w:cs="Times New Roman"/>
          <w:b/>
          <w:bCs/>
        </w:rPr>
        <w:t xml:space="preserve">Supplementary Figure 2 </w:t>
      </w:r>
      <w:r w:rsidR="006E3C16" w:rsidRPr="00874FA2">
        <w:rPr>
          <w:rFonts w:ascii="Times New Roman" w:hAnsi="Times New Roman" w:cs="Times New Roman"/>
          <w:b/>
          <w:bCs/>
          <w:sz w:val="24"/>
        </w:rPr>
        <w:t>Alterations in T/NK Cell Composition in Hypertensive Patients with Atrial Fibrillation</w:t>
      </w:r>
    </w:p>
    <w:p w14:paraId="7418B6F4" w14:textId="77777777" w:rsidR="006E3C16" w:rsidRPr="00874FA2" w:rsidRDefault="006E3C16" w:rsidP="006E3C16">
      <w:pPr>
        <w:spacing w:line="440" w:lineRule="exact"/>
        <w:jc w:val="both"/>
        <w:rPr>
          <w:rFonts w:ascii="Times New Roman" w:hAnsi="Times New Roman" w:cs="Times New Roman"/>
          <w:sz w:val="24"/>
        </w:rPr>
      </w:pPr>
      <w:r w:rsidRPr="00874FA2">
        <w:rPr>
          <w:rFonts w:ascii="Times New Roman" w:hAnsi="Times New Roman" w:cs="Times New Roman"/>
          <w:sz w:val="24"/>
        </w:rPr>
        <w:t xml:space="preserve">(A) UMAP plot displaying the subclusters of T cells and NK cells.  </w:t>
      </w:r>
    </w:p>
    <w:p w14:paraId="732FA2B4" w14:textId="77777777" w:rsidR="006E3C16" w:rsidRPr="00874FA2" w:rsidRDefault="006E3C16" w:rsidP="006E3C16">
      <w:pPr>
        <w:spacing w:line="440" w:lineRule="exact"/>
        <w:jc w:val="both"/>
        <w:rPr>
          <w:rFonts w:ascii="Times New Roman" w:hAnsi="Times New Roman" w:cs="Times New Roman"/>
          <w:sz w:val="24"/>
        </w:rPr>
      </w:pPr>
      <w:r w:rsidRPr="00874FA2">
        <w:rPr>
          <w:rFonts w:ascii="Times New Roman" w:hAnsi="Times New Roman" w:cs="Times New Roman"/>
          <w:sz w:val="24"/>
        </w:rPr>
        <w:t xml:space="preserve">(B) Dot plot illustrating the expression of signature genes across the major T and NK cell subtypes.  </w:t>
      </w:r>
    </w:p>
    <w:p w14:paraId="0581BB2C" w14:textId="77777777" w:rsidR="006E3C16" w:rsidRPr="00874FA2" w:rsidRDefault="006E3C16" w:rsidP="006E3C16">
      <w:pPr>
        <w:spacing w:line="440" w:lineRule="exact"/>
        <w:jc w:val="both"/>
        <w:rPr>
          <w:rFonts w:ascii="Times New Roman" w:hAnsi="Times New Roman" w:cs="Times New Roman"/>
          <w:sz w:val="24"/>
        </w:rPr>
      </w:pPr>
      <w:r w:rsidRPr="00874FA2">
        <w:rPr>
          <w:rFonts w:ascii="Times New Roman" w:hAnsi="Times New Roman" w:cs="Times New Roman"/>
          <w:sz w:val="24"/>
        </w:rPr>
        <w:t xml:space="preserve">(C) RNA velocity stream plot depicting the dynamic transitions among the major T and NK cell subtypes.  </w:t>
      </w:r>
    </w:p>
    <w:p w14:paraId="5CF62A20" w14:textId="77777777" w:rsidR="006E3C16" w:rsidRPr="00874FA2" w:rsidRDefault="006E3C16" w:rsidP="006E3C16">
      <w:pPr>
        <w:spacing w:line="440" w:lineRule="exact"/>
        <w:jc w:val="both"/>
        <w:rPr>
          <w:rFonts w:ascii="Times New Roman" w:hAnsi="Times New Roman" w:cs="Times New Roman"/>
          <w:sz w:val="24"/>
        </w:rPr>
      </w:pPr>
      <w:r w:rsidRPr="00874FA2">
        <w:rPr>
          <w:rFonts w:ascii="Times New Roman" w:hAnsi="Times New Roman" w:cs="Times New Roman"/>
          <w:sz w:val="24"/>
        </w:rPr>
        <w:t xml:space="preserve">(D) Differential gene expression analysis highlighting up- and down-regulated genes across all subclusters. Genes with an adjusted p-value &lt; 0.01 are shown in red, while those with an adjusted p-value ≥ 0.01 are shown in blue.  </w:t>
      </w:r>
    </w:p>
    <w:p w14:paraId="6ABAEEBB" w14:textId="77777777" w:rsidR="006E3C16" w:rsidRPr="00874FA2" w:rsidRDefault="006E3C16" w:rsidP="006E3C16">
      <w:pPr>
        <w:spacing w:line="440" w:lineRule="exact"/>
        <w:jc w:val="both"/>
        <w:rPr>
          <w:rFonts w:ascii="Times New Roman" w:hAnsi="Times New Roman" w:cs="Times New Roman"/>
          <w:sz w:val="24"/>
        </w:rPr>
      </w:pPr>
      <w:r w:rsidRPr="00874FA2">
        <w:rPr>
          <w:rFonts w:ascii="Times New Roman" w:hAnsi="Times New Roman" w:cs="Times New Roman"/>
          <w:sz w:val="24"/>
        </w:rPr>
        <w:t xml:space="preserve">(E) Volcano plot illustrating differentially expressed genes (Bonferroni adjusted p-value &lt; 0.01 and avg_log2FC &gt; 0.5, shown in red) between hypertensive patients with and without AF in cytotoxic T cells and NK cells (i.e., CD16+ NK cells shown in the figure). Co-expressed genes are labeled.  </w:t>
      </w:r>
    </w:p>
    <w:p w14:paraId="2065655C" w14:textId="77777777" w:rsidR="006E3C16" w:rsidRPr="00874FA2" w:rsidRDefault="006E3C16" w:rsidP="006E3C16">
      <w:pPr>
        <w:spacing w:line="440" w:lineRule="exact"/>
        <w:jc w:val="both"/>
        <w:rPr>
          <w:rFonts w:ascii="Times New Roman" w:hAnsi="Times New Roman" w:cs="Times New Roman"/>
          <w:sz w:val="24"/>
        </w:rPr>
      </w:pPr>
      <w:r w:rsidRPr="00874FA2">
        <w:rPr>
          <w:rFonts w:ascii="Times New Roman" w:hAnsi="Times New Roman" w:cs="Times New Roman"/>
          <w:sz w:val="24"/>
        </w:rPr>
        <w:t>(F) (G) Bar plots representing the KEGG and GO enrichment analysis results for the DEGs in NK cells.</w:t>
      </w:r>
    </w:p>
    <w:p w14:paraId="0031FD71" w14:textId="4DBC2956" w:rsidR="003A04DF" w:rsidRDefault="003A04DF" w:rsidP="006E3C16">
      <w:pPr>
        <w:rPr>
          <w:rFonts w:ascii="Times New Roman" w:hAnsi="Times New Roman" w:cs="Times New Roman"/>
        </w:rPr>
      </w:pPr>
    </w:p>
    <w:p w14:paraId="18D4920C" w14:textId="77777777" w:rsidR="003A04DF" w:rsidRDefault="003A04DF">
      <w:pPr>
        <w:rPr>
          <w:rFonts w:ascii="Times New Roman" w:hAnsi="Times New Roman" w:cs="Times New Roman"/>
        </w:rPr>
      </w:pPr>
    </w:p>
    <w:p w14:paraId="1C15AF33" w14:textId="77777777" w:rsidR="003A04DF" w:rsidRDefault="003A04DF">
      <w:pPr>
        <w:rPr>
          <w:rFonts w:ascii="Times New Roman" w:hAnsi="Times New Roman" w:cs="Times New Roman"/>
        </w:rPr>
      </w:pPr>
    </w:p>
    <w:p w14:paraId="25C94C77" w14:textId="06C5F96D" w:rsidR="00880A8D" w:rsidRPr="00EE328F" w:rsidRDefault="00000000" w:rsidP="00880A8D">
      <w:pPr>
        <w:widowControl/>
        <w:rPr>
          <w:rFonts w:ascii="Times New Roman" w:hAnsi="Times New Roman" w:cs="Times New Roman"/>
          <w:b/>
          <w:bCs/>
        </w:rPr>
      </w:pPr>
      <w:r>
        <w:rPr>
          <w:rFonts w:ascii="Times New Roman" w:hAnsi="Times New Roman" w:cs="Times New Roman"/>
          <w:b/>
          <w:bCs/>
        </w:rPr>
        <w:lastRenderedPageBreak/>
        <w:t xml:space="preserve">Supplementary Figure </w:t>
      </w:r>
      <w:r w:rsidR="00880A8D">
        <w:rPr>
          <w:rFonts w:ascii="Times New Roman" w:hAnsi="Times New Roman" w:cs="Times New Roman"/>
          <w:b/>
          <w:bCs/>
        </w:rPr>
        <w:t xml:space="preserve">3 </w:t>
      </w:r>
      <w:r w:rsidR="00880A8D" w:rsidRPr="00EE328F">
        <w:rPr>
          <w:rFonts w:ascii="Times New Roman" w:hAnsi="Times New Roman" w:cs="Times New Roman" w:hint="eastAsia"/>
          <w:b/>
          <w:bCs/>
        </w:rPr>
        <w:t>O</w:t>
      </w:r>
      <w:r w:rsidR="00880A8D" w:rsidRPr="00EE328F">
        <w:rPr>
          <w:rFonts w:ascii="Times New Roman" w:hAnsi="Times New Roman" w:cs="Times New Roman"/>
          <w:b/>
          <w:bCs/>
        </w:rPr>
        <w:t>utgoing signaling patterns of HTN (left) and AFHTN (right).</w:t>
      </w:r>
    </w:p>
    <w:p w14:paraId="6B7458D1" w14:textId="77777777" w:rsidR="00880A8D" w:rsidRDefault="00880A8D" w:rsidP="00880A8D">
      <w:pPr>
        <w:rPr>
          <w:rFonts w:ascii="Times New Roman" w:hAnsi="Times New Roman" w:cs="Times New Roman"/>
        </w:rPr>
      </w:pPr>
    </w:p>
    <w:p w14:paraId="2ADCEEB1" w14:textId="3A0E0A77" w:rsidR="003A04DF" w:rsidRDefault="00000000" w:rsidP="00C13A76">
      <w:pPr>
        <w:rPr>
          <w:rFonts w:ascii="Times New Roman" w:hAnsi="Times New Roman" w:cs="Times New Roman"/>
          <w:b/>
          <w:bCs/>
        </w:rPr>
      </w:pPr>
      <w:r>
        <w:rPr>
          <w:rFonts w:ascii="Times New Roman" w:hAnsi="Times New Roman" w:cs="Times New Roman"/>
          <w:b/>
          <w:bCs/>
        </w:rPr>
        <w:t xml:space="preserve">Supplementary Figure </w:t>
      </w:r>
      <w:r w:rsidR="00AE3AD9">
        <w:rPr>
          <w:rFonts w:ascii="Times New Roman" w:hAnsi="Times New Roman" w:cs="Times New Roman"/>
          <w:b/>
          <w:bCs/>
        </w:rPr>
        <w:t>4</w:t>
      </w:r>
      <w:r w:rsidR="00C13A76">
        <w:rPr>
          <w:rFonts w:ascii="Times New Roman" w:hAnsi="Times New Roman" w:cs="Times New Roman"/>
          <w:b/>
          <w:bCs/>
        </w:rPr>
        <w:t xml:space="preserve"> Gating strategy</w:t>
      </w:r>
    </w:p>
    <w:p w14:paraId="3C112F83" w14:textId="0B5ACFE2" w:rsidR="00C13A76" w:rsidRDefault="00C13A76" w:rsidP="00C13A76">
      <w:pPr>
        <w:rPr>
          <w:rFonts w:ascii="Times New Roman" w:hAnsi="Times New Roman" w:cs="Times New Roman"/>
        </w:rPr>
      </w:pPr>
      <w:r>
        <w:rPr>
          <w:rFonts w:ascii="Times New Roman" w:hAnsi="Times New Roman" w:cs="Times New Roman"/>
        </w:rPr>
        <w:t>Illustration of positive gating, including gating for live cells in peripheral blood and then for CD14+, CD16+, CD41+, and double-positive cells.</w:t>
      </w:r>
    </w:p>
    <w:p w14:paraId="666E4523" w14:textId="55F417D9" w:rsidR="003A04DF" w:rsidRDefault="003A04DF">
      <w:pPr>
        <w:rPr>
          <w:rFonts w:ascii="Times New Roman" w:hAnsi="Times New Roman" w:cs="Times New Roman"/>
        </w:rPr>
      </w:pPr>
    </w:p>
    <w:sectPr w:rsidR="003A04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4DB0D" w14:textId="77777777" w:rsidR="00052DEE" w:rsidRDefault="00052DEE">
      <w:pPr>
        <w:spacing w:line="240" w:lineRule="auto"/>
      </w:pPr>
      <w:r>
        <w:separator/>
      </w:r>
    </w:p>
  </w:endnote>
  <w:endnote w:type="continuationSeparator" w:id="0">
    <w:p w14:paraId="7B71328A" w14:textId="77777777" w:rsidR="00052DEE" w:rsidRDefault="00052D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ppleSystemUIFont">
    <w:altName w:val="Cambria"/>
    <w:panose1 w:val="020B0604020202020204"/>
    <w:charset w:val="00"/>
    <w:family w:val="roman"/>
    <w:pitch w:val="default"/>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ADF494" w14:textId="77777777" w:rsidR="00052DEE" w:rsidRDefault="00052DEE">
      <w:pPr>
        <w:spacing w:after="0"/>
      </w:pPr>
      <w:r>
        <w:separator/>
      </w:r>
    </w:p>
  </w:footnote>
  <w:footnote w:type="continuationSeparator" w:id="0">
    <w:p w14:paraId="48240E03" w14:textId="77777777" w:rsidR="00052DEE" w:rsidRDefault="00052DE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4C5"/>
    <w:rsid w:val="00052DEE"/>
    <w:rsid w:val="00082702"/>
    <w:rsid w:val="000B49EF"/>
    <w:rsid w:val="000C5562"/>
    <w:rsid w:val="000D3410"/>
    <w:rsid w:val="000F714C"/>
    <w:rsid w:val="001168EB"/>
    <w:rsid w:val="001337C4"/>
    <w:rsid w:val="00161E88"/>
    <w:rsid w:val="00162041"/>
    <w:rsid w:val="00164EF4"/>
    <w:rsid w:val="001C18EB"/>
    <w:rsid w:val="001D5205"/>
    <w:rsid w:val="003A04DF"/>
    <w:rsid w:val="003B39A1"/>
    <w:rsid w:val="00426B4D"/>
    <w:rsid w:val="00466556"/>
    <w:rsid w:val="004827A4"/>
    <w:rsid w:val="005036CC"/>
    <w:rsid w:val="005178D0"/>
    <w:rsid w:val="0052133A"/>
    <w:rsid w:val="00555B2B"/>
    <w:rsid w:val="005C3548"/>
    <w:rsid w:val="005D489A"/>
    <w:rsid w:val="0065526A"/>
    <w:rsid w:val="006733ED"/>
    <w:rsid w:val="00693B7A"/>
    <w:rsid w:val="006A7E9C"/>
    <w:rsid w:val="006C6D9B"/>
    <w:rsid w:val="006E3C16"/>
    <w:rsid w:val="00725A8E"/>
    <w:rsid w:val="00753CDD"/>
    <w:rsid w:val="00757C06"/>
    <w:rsid w:val="00764DD1"/>
    <w:rsid w:val="00765F85"/>
    <w:rsid w:val="00767E29"/>
    <w:rsid w:val="007744C5"/>
    <w:rsid w:val="007B2C45"/>
    <w:rsid w:val="00880A8D"/>
    <w:rsid w:val="009671EA"/>
    <w:rsid w:val="00A51D2F"/>
    <w:rsid w:val="00AE3AD9"/>
    <w:rsid w:val="00AF4414"/>
    <w:rsid w:val="00B0630E"/>
    <w:rsid w:val="00B154E9"/>
    <w:rsid w:val="00B31067"/>
    <w:rsid w:val="00C11596"/>
    <w:rsid w:val="00C13A76"/>
    <w:rsid w:val="00C27964"/>
    <w:rsid w:val="00C42695"/>
    <w:rsid w:val="00CC74C6"/>
    <w:rsid w:val="00D666DF"/>
    <w:rsid w:val="00D8782D"/>
    <w:rsid w:val="00DE4C24"/>
    <w:rsid w:val="00E67968"/>
    <w:rsid w:val="00E83F86"/>
    <w:rsid w:val="00E97249"/>
    <w:rsid w:val="00EE328F"/>
    <w:rsid w:val="7D76C0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8064B88"/>
  <w15:docId w15:val="{2EEF9824-B56E-A046-9752-154D9745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5">
    <w:name w:val="Title"/>
    <w:basedOn w:val="a"/>
    <w:next w:val="a"/>
    <w:link w:val="a6"/>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6">
    <w:name w:val="标题 字符"/>
    <w:basedOn w:val="a0"/>
    <w:link w:val="a5"/>
    <w:uiPriority w:val="10"/>
    <w:rPr>
      <w:rFonts w:asciiTheme="majorHAnsi" w:eastAsiaTheme="majorEastAsia" w:hAnsiTheme="majorHAnsi" w:cstheme="majorBidi"/>
      <w:spacing w:val="-10"/>
      <w:kern w:val="28"/>
      <w:sz w:val="56"/>
      <w:szCs w:val="56"/>
    </w:rPr>
  </w:style>
  <w:style w:type="character" w:customStyle="1" w:styleId="a4">
    <w:name w:val="副标题 字符"/>
    <w:basedOn w:val="a0"/>
    <w:link w:val="a3"/>
    <w:uiPriority w:val="11"/>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pPr>
      <w:spacing w:before="160"/>
      <w:jc w:val="center"/>
    </w:pPr>
    <w:rPr>
      <w:i/>
      <w:iCs/>
      <w:color w:val="404040" w:themeColor="text1" w:themeTint="BF"/>
    </w:rPr>
  </w:style>
  <w:style w:type="character" w:customStyle="1" w:styleId="a9">
    <w:name w:val="引用 字符"/>
    <w:basedOn w:val="a0"/>
    <w:link w:val="a8"/>
    <w:uiPriority w:val="29"/>
    <w:rPr>
      <w:i/>
      <w:iCs/>
      <w:color w:val="404040" w:themeColor="text1" w:themeTint="BF"/>
    </w:rPr>
  </w:style>
  <w:style w:type="paragraph" w:styleId="aa">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b">
    <w:name w:val="Intense Quote"/>
    <w:basedOn w:val="a"/>
    <w:next w:val="a"/>
    <w:link w:val="ac"/>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table" w:customStyle="1" w:styleId="51">
    <w:name w:val="无格式表格 51"/>
    <w:basedOn w:val="a1"/>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1">
    <w:name w:val="p1"/>
    <w:basedOn w:val="a"/>
    <w:rsid w:val="001168EB"/>
    <w:pPr>
      <w:widowControl/>
      <w:spacing w:after="0" w:line="240" w:lineRule="auto"/>
    </w:pPr>
    <w:rPr>
      <w:rFonts w:ascii=".AppleSystemUIFont" w:eastAsia="宋体" w:hAnsi=".AppleSystemUIFont" w:cs="宋体"/>
      <w:color w:val="0E0E0E"/>
      <w:kern w:val="0"/>
      <w:sz w:val="21"/>
      <w:szCs w:val="21"/>
      <w14:ligatures w14:val="none"/>
    </w:rPr>
  </w:style>
  <w:style w:type="paragraph" w:styleId="ad">
    <w:name w:val="Revision"/>
    <w:hidden/>
    <w:uiPriority w:val="99"/>
    <w:unhideWhenUsed/>
    <w:rsid w:val="00C42695"/>
    <w:rPr>
      <w:kern w:val="2"/>
      <w:sz w:val="22"/>
      <w:szCs w:val="24"/>
      <w14:ligatures w14:val="standardContextual"/>
    </w:rPr>
  </w:style>
  <w:style w:type="character" w:styleId="ae">
    <w:name w:val="Hyperlink"/>
    <w:basedOn w:val="a0"/>
    <w:uiPriority w:val="99"/>
    <w:unhideWhenUsed/>
    <w:rsid w:val="005D489A"/>
    <w:rPr>
      <w:color w:val="0000FF"/>
      <w:u w:val="single"/>
    </w:rPr>
  </w:style>
  <w:style w:type="character" w:styleId="af">
    <w:name w:val="Unresolved Mention"/>
    <w:basedOn w:val="a0"/>
    <w:uiPriority w:val="99"/>
    <w:semiHidden/>
    <w:unhideWhenUsed/>
    <w:rsid w:val="006733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3400718">
      <w:bodyDiv w:val="1"/>
      <w:marLeft w:val="0"/>
      <w:marRight w:val="0"/>
      <w:marTop w:val="0"/>
      <w:marBottom w:val="0"/>
      <w:divBdr>
        <w:top w:val="none" w:sz="0" w:space="0" w:color="auto"/>
        <w:left w:val="none" w:sz="0" w:space="0" w:color="auto"/>
        <w:bottom w:val="none" w:sz="0" w:space="0" w:color="auto"/>
        <w:right w:val="none" w:sz="0" w:space="0" w:color="auto"/>
      </w:divBdr>
      <w:divsChild>
        <w:div w:id="1794325542">
          <w:blockQuote w:val="1"/>
          <w:marLeft w:val="225"/>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webSettings" Target="webSettings.xml"/><Relationship Id="rId7" Type="http://schemas.openxmlformats.org/officeDocument/2006/relationships/hyperlink" Target="https://www.ncbi.nlm.nih.gov/geo/query/acc.cgi?acc=GSE224959"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cbi.nlm.nih.gov/geo/query/acc.cgi?acc=GSE285199"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2044</Words>
  <Characters>13082</Characters>
  <Application>Microsoft Office Word</Application>
  <DocSecurity>0</DocSecurity>
  <Lines>229</Lines>
  <Paragraphs>73</Paragraphs>
  <ScaleCrop>false</ScaleCrop>
  <Company/>
  <LinksUpToDate>false</LinksUpToDate>
  <CharactersWithSpaces>15053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a839</dc:creator>
  <cp:lastModifiedBy>Qianwan Deng</cp:lastModifiedBy>
  <cp:revision>3</cp:revision>
  <dcterms:created xsi:type="dcterms:W3CDTF">2025-09-29T04:44:00Z</dcterms:created>
  <dcterms:modified xsi:type="dcterms:W3CDTF">2025-09-30T03:56:00Z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58CEB515753CF85F16F6D7667AF39928_42</vt:lpwstr>
  </property>
</Properties>
</file>