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62F" w:rsidRDefault="003B062F" w:rsidP="003B062F">
      <w:pPr>
        <w:spacing w:line="480" w:lineRule="auto"/>
        <w:jc w:val="center"/>
        <w:rPr>
          <w:rFonts w:ascii="Times New Roman" w:hAnsi="Times New Roman" w:cs="Times New Roman"/>
          <w:sz w:val="22"/>
          <w:szCs w:val="24"/>
          <w:lang w:bidi="en-US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>
            <wp:extent cx="2909232" cy="1584850"/>
            <wp:effectExtent l="0" t="0" r="571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 1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82" r="44044" b="50825"/>
                    <a:stretch/>
                  </pic:blipFill>
                  <pic:spPr bwMode="auto">
                    <a:xfrm>
                      <a:off x="0" y="0"/>
                      <a:ext cx="2910159" cy="1585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B062F" w:rsidRDefault="003B062F" w:rsidP="003B062F">
      <w:pPr>
        <w:spacing w:line="480" w:lineRule="auto"/>
        <w:rPr>
          <w:rFonts w:ascii="Times New Roman" w:hAnsi="Times New Roman" w:cs="Times New Roman"/>
          <w:sz w:val="22"/>
          <w:szCs w:val="24"/>
          <w:lang w:bidi="en-US"/>
        </w:rPr>
      </w:pPr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Supplemental Fig 1. Effect of Tacrolimus on cell viability of HFLS. (A) Tacrolimus affects cell viability at different time points in HFLS-RA, assessed by cell counting. (B) Tacrolimus reduces cell viability in HFLS-RA at different concentrations after 16 h, as determined by cell counting. (* </w:t>
      </w:r>
      <w:r w:rsidRPr="009B7D81">
        <w:rPr>
          <w:rFonts w:ascii="Times New Roman" w:hAnsi="Times New Roman" w:cs="Times New Roman"/>
          <w:i/>
          <w:sz w:val="22"/>
          <w:szCs w:val="24"/>
          <w:lang w:bidi="en-US"/>
        </w:rPr>
        <w:t>P</w:t>
      </w:r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 &lt; 0.05, ** </w:t>
      </w:r>
      <w:r w:rsidRPr="009B7D81">
        <w:rPr>
          <w:rFonts w:ascii="Times New Roman" w:hAnsi="Times New Roman" w:cs="Times New Roman"/>
          <w:i/>
          <w:sz w:val="22"/>
          <w:szCs w:val="24"/>
          <w:lang w:bidi="en-US"/>
        </w:rPr>
        <w:t>P</w:t>
      </w:r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 &lt; 0.01, *** </w:t>
      </w:r>
      <w:r w:rsidRPr="009B7D81">
        <w:rPr>
          <w:rFonts w:ascii="Times New Roman" w:hAnsi="Times New Roman" w:cs="Times New Roman"/>
          <w:i/>
          <w:sz w:val="22"/>
          <w:szCs w:val="24"/>
          <w:lang w:bidi="en-US"/>
        </w:rPr>
        <w:t>P</w:t>
      </w:r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 &lt; 0.001)</w:t>
      </w:r>
    </w:p>
    <w:p w:rsidR="003B062F" w:rsidRPr="009B7D81" w:rsidRDefault="003B062F" w:rsidP="003B062F">
      <w:pPr>
        <w:spacing w:line="480" w:lineRule="auto"/>
        <w:jc w:val="center"/>
        <w:rPr>
          <w:rFonts w:ascii="Times New Roman" w:hAnsi="Times New Roman" w:cs="Times New Roman"/>
          <w:sz w:val="22"/>
          <w:szCs w:val="24"/>
          <w:lang w:bidi="en-US"/>
        </w:rPr>
      </w:pPr>
      <w:r>
        <w:rPr>
          <w:rFonts w:ascii="Times New Roman" w:hAnsi="Times New Roman" w:cs="Times New Roman"/>
          <w:noProof/>
          <w:sz w:val="22"/>
          <w:szCs w:val="24"/>
        </w:rPr>
        <w:drawing>
          <wp:inline distT="0" distB="0" distL="0" distR="0">
            <wp:extent cx="4184202" cy="1572895"/>
            <wp:effectExtent l="0" t="0" r="6985" b="825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 2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5" t="5527" r="25099" b="45663"/>
                    <a:stretch/>
                  </pic:blipFill>
                  <pic:spPr bwMode="auto">
                    <a:xfrm>
                      <a:off x="0" y="0"/>
                      <a:ext cx="4186006" cy="15735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B062F" w:rsidRPr="009B7D81" w:rsidRDefault="003B062F" w:rsidP="003B062F">
      <w:pPr>
        <w:spacing w:line="480" w:lineRule="auto"/>
        <w:rPr>
          <w:rFonts w:ascii="Times New Roman" w:hAnsi="Times New Roman" w:cs="Times New Roman"/>
          <w:sz w:val="22"/>
          <w:szCs w:val="24"/>
        </w:rPr>
      </w:pPr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Supplemental Fig 2. Effect of apoptosis or autophagy inhibitor with tacrolimus on HFLS-RA cell viability. Cell viability is determined using the </w:t>
      </w:r>
      <w:proofErr w:type="spellStart"/>
      <w:r w:rsidRPr="009B7D81">
        <w:rPr>
          <w:rFonts w:ascii="Times New Roman" w:hAnsi="Times New Roman" w:cs="Times New Roman"/>
          <w:sz w:val="22"/>
          <w:szCs w:val="24"/>
          <w:lang w:bidi="en-US"/>
        </w:rPr>
        <w:t>hemocytometer</w:t>
      </w:r>
      <w:proofErr w:type="spellEnd"/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 with </w:t>
      </w:r>
      <w:proofErr w:type="spellStart"/>
      <w:r w:rsidRPr="009B7D81">
        <w:rPr>
          <w:rFonts w:ascii="Times New Roman" w:hAnsi="Times New Roman" w:cs="Times New Roman"/>
          <w:sz w:val="22"/>
          <w:szCs w:val="24"/>
          <w:lang w:bidi="en-US"/>
        </w:rPr>
        <w:t>trypan</w:t>
      </w:r>
      <w:proofErr w:type="spellEnd"/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 blue staining. (A) HFLS-RA are pretreated with or without z-VAD-</w:t>
      </w:r>
      <w:proofErr w:type="spellStart"/>
      <w:r w:rsidRPr="009B7D81">
        <w:rPr>
          <w:rFonts w:ascii="Times New Roman" w:hAnsi="Times New Roman" w:cs="Times New Roman"/>
          <w:sz w:val="22"/>
          <w:szCs w:val="24"/>
          <w:lang w:bidi="en-US"/>
        </w:rPr>
        <w:t>fmk</w:t>
      </w:r>
      <w:proofErr w:type="spellEnd"/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 (50 </w:t>
      </w:r>
      <w:proofErr w:type="spellStart"/>
      <w:r w:rsidRPr="009B7D81">
        <w:rPr>
          <w:rFonts w:ascii="Times New Roman" w:hAnsi="Times New Roman" w:cs="Times New Roman"/>
          <w:sz w:val="22"/>
          <w:szCs w:val="24"/>
          <w:lang w:bidi="en-US"/>
        </w:rPr>
        <w:t>μM</w:t>
      </w:r>
      <w:proofErr w:type="spellEnd"/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) for 30 min and then incubated with tacrolimus (60 </w:t>
      </w:r>
      <w:proofErr w:type="spellStart"/>
      <w:r w:rsidRPr="009B7D81">
        <w:rPr>
          <w:rFonts w:ascii="Times New Roman" w:hAnsi="Times New Roman" w:cs="Times New Roman"/>
          <w:sz w:val="22"/>
          <w:szCs w:val="24"/>
          <w:lang w:bidi="en-US"/>
        </w:rPr>
        <w:t>μM</w:t>
      </w:r>
      <w:proofErr w:type="spellEnd"/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) for 16 h. (B) HFLS-RA are pretreated with 3-MA. (C) HFLS-RA are pretreated with BafA1. (* </w:t>
      </w:r>
      <w:r w:rsidRPr="009B7D81">
        <w:rPr>
          <w:rFonts w:ascii="Times New Roman" w:hAnsi="Times New Roman" w:cs="Times New Roman"/>
          <w:i/>
          <w:sz w:val="22"/>
          <w:szCs w:val="24"/>
          <w:lang w:bidi="en-US"/>
        </w:rPr>
        <w:t>P</w:t>
      </w:r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 &lt; 0.05, ** </w:t>
      </w:r>
      <w:r w:rsidRPr="009B7D81">
        <w:rPr>
          <w:rFonts w:ascii="Times New Roman" w:hAnsi="Times New Roman" w:cs="Times New Roman"/>
          <w:i/>
          <w:sz w:val="22"/>
          <w:szCs w:val="24"/>
          <w:lang w:bidi="en-US"/>
        </w:rPr>
        <w:t>P</w:t>
      </w:r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 &lt; 0.01, *** </w:t>
      </w:r>
      <w:r w:rsidRPr="009B7D81">
        <w:rPr>
          <w:rFonts w:ascii="Times New Roman" w:hAnsi="Times New Roman" w:cs="Times New Roman"/>
          <w:i/>
          <w:sz w:val="22"/>
          <w:szCs w:val="24"/>
          <w:lang w:bidi="en-US"/>
        </w:rPr>
        <w:t>P</w:t>
      </w:r>
      <w:r w:rsidRPr="009B7D81">
        <w:rPr>
          <w:rFonts w:ascii="Times New Roman" w:hAnsi="Times New Roman" w:cs="Times New Roman"/>
          <w:sz w:val="22"/>
          <w:szCs w:val="24"/>
          <w:lang w:bidi="en-US"/>
        </w:rPr>
        <w:t xml:space="preserve"> &lt; 0.001)</w:t>
      </w:r>
    </w:p>
    <w:p w:rsidR="0071384E" w:rsidRPr="003B062F" w:rsidRDefault="0071384E"/>
    <w:sectPr w:rsidR="0071384E" w:rsidRPr="003B062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/>
  <w:revisionView w:inkAnnotations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062F"/>
    <w:rsid w:val="003B062F"/>
    <w:rsid w:val="0071384E"/>
    <w:rsid w:val="00D93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97C89A"/>
  <w15:chartTrackingRefBased/>
  <w15:docId w15:val="{9A240194-BA5D-49B5-8E1B-E1E1A8DAC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062F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2025-09-30T04:34:00Z</dcterms:created>
  <dcterms:modified xsi:type="dcterms:W3CDTF">2025-09-30T04:44:00Z</dcterms:modified>
</cp:coreProperties>
</file>