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60C82" w:rsidRDefault="0067776E">
      <w:pPr>
        <w:pStyle w:val="EndNoteBibliographyTitle"/>
        <w:spacing w:line="360" w:lineRule="auto"/>
        <w:rPr>
          <w:rFonts w:ascii="Times New Roman" w:hAnsi="Times New Roman"/>
          <w:b/>
          <w:sz w:val="30"/>
          <w:szCs w:val="30"/>
        </w:rPr>
      </w:pPr>
      <w:r>
        <w:rPr>
          <w:rFonts w:ascii="Times New Roman" w:hAnsi="Times New Roman"/>
          <w:b/>
          <w:sz w:val="30"/>
          <w:szCs w:val="30"/>
        </w:rPr>
        <w:t>Supporting Materials</w:t>
      </w:r>
    </w:p>
    <w:p w:rsidR="00060C82" w:rsidRDefault="00060C82">
      <w:pPr>
        <w:pStyle w:val="EndNoteBibliographyTitle"/>
        <w:spacing w:line="360" w:lineRule="auto"/>
        <w:rPr>
          <w:rFonts w:ascii="Times New Roman" w:hAnsi="Times New Roman"/>
          <w:b/>
        </w:rPr>
      </w:pPr>
    </w:p>
    <w:p w:rsidR="00060C82" w:rsidRDefault="0067776E">
      <w:pPr>
        <w:spacing w:line="360" w:lineRule="auto"/>
        <w:jc w:val="center"/>
        <w:outlineLvl w:val="0"/>
        <w:rPr>
          <w:rFonts w:ascii="Times New Roman" w:eastAsia="方正仿宋_GBK" w:hAnsi="Times New Roman" w:cs="Times New Roman"/>
          <w:b/>
          <w:sz w:val="24"/>
        </w:rPr>
      </w:pPr>
      <w:r>
        <w:rPr>
          <w:rFonts w:ascii="Times New Roman" w:eastAsia="方正仿宋_GBK" w:hAnsi="Times New Roman" w:cs="Times New Roman"/>
          <w:b/>
          <w:sz w:val="24"/>
        </w:rPr>
        <w:t>Novel Conditioner for Efficient Dewaterability and Modification of Oily Sludge with High Water Content</w:t>
      </w:r>
    </w:p>
    <w:p w:rsidR="00060C82" w:rsidRDefault="00060C82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60C82" w:rsidRDefault="0067776E">
      <w:pPr>
        <w:tabs>
          <w:tab w:val="left" w:pos="1560"/>
        </w:tabs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0"/>
        </w:rPr>
        <w:tab/>
      </w:r>
      <w:proofErr w:type="spellStart"/>
      <w:r>
        <w:rPr>
          <w:rFonts w:ascii="Times New Roman" w:eastAsia="方正仿宋_GBK" w:hAnsi="Times New Roman" w:cs="Times New Roman"/>
          <w:bCs/>
        </w:rPr>
        <w:t>Biming</w:t>
      </w:r>
      <w:proofErr w:type="spellEnd"/>
      <w:r>
        <w:rPr>
          <w:rFonts w:ascii="Times New Roman" w:eastAsia="方正仿宋_GBK" w:hAnsi="Times New Roman" w:cs="Times New Roman"/>
          <w:bCs/>
        </w:rPr>
        <w:t xml:space="preserve"> </w:t>
      </w:r>
      <w:proofErr w:type="spellStart"/>
      <w:proofErr w:type="gramStart"/>
      <w:r>
        <w:rPr>
          <w:rFonts w:ascii="Times New Roman" w:eastAsia="方正仿宋_GBK" w:hAnsi="Times New Roman" w:cs="Times New Roman"/>
          <w:bCs/>
        </w:rPr>
        <w:t>Liu</w:t>
      </w:r>
      <w:r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  <w:vertAlign w:val="superscript"/>
        </w:rPr>
        <w:t>,*</w:t>
      </w:r>
      <w:proofErr w:type="gramEnd"/>
      <w:r>
        <w:rPr>
          <w:rFonts w:ascii="Times New Roman" w:eastAsia="方正仿宋_GBK" w:hAnsi="Times New Roman" w:cs="Times New Roman"/>
          <w:bCs/>
        </w:rPr>
        <w:t xml:space="preserve">, Yue </w:t>
      </w:r>
      <w:proofErr w:type="spellStart"/>
      <w:r>
        <w:rPr>
          <w:rFonts w:ascii="Times New Roman" w:eastAsia="方正仿宋_GBK" w:hAnsi="Times New Roman" w:cs="Times New Roman"/>
          <w:bCs/>
        </w:rPr>
        <w:t>Teng</w:t>
      </w:r>
      <w:r>
        <w:rPr>
          <w:rFonts w:ascii="Times New Roman" w:hAnsi="Times New Roman" w:cs="Times New Roman"/>
          <w:vertAlign w:val="superscript"/>
        </w:rPr>
        <w:t>b</w:t>
      </w:r>
      <w:proofErr w:type="spellEnd"/>
      <w:r>
        <w:rPr>
          <w:rFonts w:ascii="Times New Roman" w:hAnsi="Times New Roman" w:cs="Times New Roman"/>
          <w:vertAlign w:val="superscript"/>
        </w:rPr>
        <w:t>,*</w:t>
      </w:r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Wenbin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Song</w:t>
      </w:r>
      <w:r>
        <w:rPr>
          <w:rFonts w:ascii="Times New Roman" w:hAnsi="Times New Roman" w:cs="Times New Roman"/>
          <w:vertAlign w:val="superscript"/>
        </w:rPr>
        <w:t>a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eastAsia="方正仿宋_GBK" w:hAnsi="Times New Roman" w:cs="Times New Roman"/>
          <w:bCs/>
        </w:rPr>
        <w:t>Haixia</w:t>
      </w:r>
      <w:proofErr w:type="spellEnd"/>
      <w:r>
        <w:rPr>
          <w:rFonts w:ascii="Times New Roman" w:eastAsia="方正仿宋_GBK" w:hAnsi="Times New Roman" w:cs="Times New Roman"/>
          <w:bCs/>
        </w:rPr>
        <w:t xml:space="preserve"> </w:t>
      </w:r>
      <w:proofErr w:type="spellStart"/>
      <w:r>
        <w:rPr>
          <w:rFonts w:ascii="Times New Roman" w:eastAsia="方正仿宋_GBK" w:hAnsi="Times New Roman" w:cs="Times New Roman"/>
          <w:bCs/>
        </w:rPr>
        <w:t>Wu</w:t>
      </w:r>
      <w:r>
        <w:rPr>
          <w:rFonts w:ascii="Times New Roman" w:hAnsi="Times New Roman" w:cs="Times New Roman"/>
          <w:vertAlign w:val="superscript"/>
        </w:rPr>
        <w:t>c</w:t>
      </w:r>
      <w:proofErr w:type="spellEnd"/>
    </w:p>
    <w:p w:rsidR="00060C82" w:rsidRDefault="00060C82">
      <w:pPr>
        <w:tabs>
          <w:tab w:val="left" w:pos="1560"/>
        </w:tabs>
        <w:spacing w:line="360" w:lineRule="auto"/>
        <w:jc w:val="center"/>
        <w:rPr>
          <w:rFonts w:ascii="Times New Roman" w:eastAsia="方正仿宋_GBK" w:hAnsi="Times New Roman" w:cs="Times New Roman"/>
          <w:bCs/>
        </w:rPr>
      </w:pPr>
    </w:p>
    <w:p w:rsidR="00060C82" w:rsidRDefault="0067776E">
      <w:pPr>
        <w:spacing w:line="360" w:lineRule="auto"/>
        <w:rPr>
          <w:rFonts w:ascii="Times New Roman" w:eastAsia="方正仿宋_GBK" w:hAnsi="Times New Roman" w:cs="Times New Roman"/>
          <w:bCs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a</w:t>
      </w:r>
      <w:r>
        <w:rPr>
          <w:rFonts w:ascii="Times New Roman" w:hAnsi="Times New Roman" w:cs="Times New Roman"/>
          <w:i/>
          <w:iCs/>
        </w:rPr>
        <w:t xml:space="preserve"> School of Environmental Sciences and Engineering, Nanjing Tech University, Nanjing 211800, China</w:t>
      </w:r>
    </w:p>
    <w:p w:rsidR="00060C82" w:rsidRDefault="0067776E">
      <w:pPr>
        <w:spacing w:line="36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b</w:t>
      </w:r>
      <w:r>
        <w:rPr>
          <w:rFonts w:ascii="Times New Roman" w:hAnsi="Times New Roman" w:cs="Times New Roman"/>
          <w:i/>
          <w:iCs/>
        </w:rPr>
        <w:t xml:space="preserve"> College of Civil Engineering, Nanjing Tech University, Nanjing 211800, China</w:t>
      </w:r>
    </w:p>
    <w:p w:rsidR="00060C82" w:rsidRDefault="0067776E">
      <w:pPr>
        <w:spacing w:line="360" w:lineRule="auto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  <w:vertAlign w:val="superscript"/>
        </w:rPr>
        <w:t>c</w:t>
      </w:r>
      <w:r>
        <w:rPr>
          <w:rFonts w:ascii="Times New Roman" w:hAnsi="Times New Roman" w:cs="Times New Roman"/>
          <w:i/>
          <w:iCs/>
        </w:rPr>
        <w:t xml:space="preserve"> College of Urban Construction, Nanjing Tech University, Nanjing 211800, China</w:t>
      </w:r>
    </w:p>
    <w:p w:rsidR="00060C82" w:rsidRDefault="00060C82">
      <w:pPr>
        <w:spacing w:line="360" w:lineRule="auto"/>
        <w:rPr>
          <w:rFonts w:ascii="Times New Roman" w:eastAsia="方正仿宋_GBK" w:hAnsi="Times New Roman" w:cs="Times New Roman"/>
          <w:b/>
        </w:rPr>
      </w:pPr>
    </w:p>
    <w:p w:rsidR="00060C82" w:rsidRDefault="0067776E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Correspondence to: </w:t>
      </w:r>
      <w:proofErr w:type="spellStart"/>
      <w:r>
        <w:rPr>
          <w:rFonts w:ascii="Times New Roman" w:hAnsi="Times New Roman" w:cs="Times New Roman"/>
        </w:rPr>
        <w:t>Biming</w:t>
      </w:r>
      <w:proofErr w:type="spellEnd"/>
      <w:r>
        <w:rPr>
          <w:rFonts w:ascii="Times New Roman" w:hAnsi="Times New Roman" w:cs="Times New Roman"/>
        </w:rPr>
        <w:t xml:space="preserve"> Liu (E-mail: </w:t>
      </w:r>
      <w:hyperlink r:id="rId8" w:history="1">
        <w:r>
          <w:rPr>
            <w:rStyle w:val="af"/>
            <w:rFonts w:ascii="Times New Roman" w:hAnsi="Times New Roman" w:cs="Times New Roman"/>
          </w:rPr>
          <w:t>bimingliu@tsinghua.edu.cn</w:t>
        </w:r>
      </w:hyperlink>
      <w:r>
        <w:rPr>
          <w:rFonts w:ascii="Times New Roman" w:hAnsi="Times New Roman" w:cs="Times New Roman"/>
        </w:rPr>
        <w:t xml:space="preserve">), </w:t>
      </w:r>
      <w:r>
        <w:rPr>
          <w:rFonts w:ascii="Times New Roman" w:eastAsia="方正仿宋_GBK" w:hAnsi="Times New Roman" w:cs="Times New Roman"/>
          <w:bCs/>
        </w:rPr>
        <w:t>Yue Teng</w:t>
      </w:r>
      <w:r>
        <w:rPr>
          <w:rFonts w:ascii="Times New Roman" w:hAnsi="Times New Roman" w:cs="Times New Roman"/>
        </w:rPr>
        <w:t xml:space="preserve"> (E-mail: </w:t>
      </w:r>
      <w:hyperlink r:id="rId9" w:history="1">
        <w:r>
          <w:rPr>
            <w:rStyle w:val="af"/>
            <w:rFonts w:ascii="Times New Roman" w:hAnsi="Times New Roman" w:cs="Times New Roman"/>
            <w:kern w:val="0"/>
          </w:rPr>
          <w:t>sunadnmoon19960203@163.com</w:t>
        </w:r>
      </w:hyperlink>
      <w:r>
        <w:rPr>
          <w:rFonts w:ascii="Times New Roman" w:hAnsi="Times New Roman" w:cs="Times New Roman"/>
        </w:rPr>
        <w:t>)</w:t>
      </w:r>
    </w:p>
    <w:p w:rsidR="00060C82" w:rsidRDefault="00060C82">
      <w:pPr>
        <w:spacing w:line="360" w:lineRule="auto"/>
        <w:rPr>
          <w:rFonts w:ascii="Times New Roman" w:eastAsia="方正仿宋_GBK" w:hAnsi="Times New Roman" w:cs="Times New Roman"/>
          <w:b/>
          <w:sz w:val="24"/>
        </w:rPr>
      </w:pPr>
    </w:p>
    <w:p w:rsidR="00060C82" w:rsidRDefault="00060C82">
      <w:pPr>
        <w:spacing w:line="360" w:lineRule="auto"/>
        <w:rPr>
          <w:rFonts w:ascii="Times New Roman" w:hAnsi="Times New Roman" w:cs="Times New Roman"/>
        </w:rPr>
      </w:pPr>
    </w:p>
    <w:p w:rsidR="00060C82" w:rsidRDefault="00060C82">
      <w:pPr>
        <w:spacing w:line="360" w:lineRule="auto"/>
        <w:rPr>
          <w:rFonts w:ascii="Times New Roman" w:hAnsi="Times New Roman" w:cs="Times New Roman"/>
        </w:rPr>
      </w:pPr>
    </w:p>
    <w:p w:rsidR="00573150" w:rsidRDefault="00573150" w:rsidP="00573150">
      <w:pPr>
        <w:rPr>
          <w:rFonts w:ascii="Times New Roman" w:hAnsi="Times New Roman" w:cs="Times New Roman"/>
        </w:rPr>
      </w:pPr>
    </w:p>
    <w:p w:rsidR="00573150" w:rsidRPr="00573150" w:rsidRDefault="00573150" w:rsidP="00573150">
      <w:pPr>
        <w:rPr>
          <w:rFonts w:ascii="Times New Roman" w:hAnsi="Times New Roman" w:cs="Times New Roman"/>
        </w:rPr>
      </w:pPr>
    </w:p>
    <w:p w:rsidR="00573150" w:rsidRPr="00573150" w:rsidRDefault="00573150" w:rsidP="00573150">
      <w:pPr>
        <w:rPr>
          <w:rFonts w:ascii="Times New Roman" w:hAnsi="Times New Roman" w:cs="Times New Roman"/>
        </w:rPr>
        <w:sectPr w:rsidR="00573150" w:rsidRPr="00573150">
          <w:footerReference w:type="default" r:id="rId10"/>
          <w:pgSz w:w="11906" w:h="16838"/>
          <w:pgMar w:top="1440" w:right="1800" w:bottom="1440" w:left="1800" w:header="851" w:footer="992" w:gutter="0"/>
          <w:pgNumType w:start="1"/>
          <w:cols w:space="425"/>
          <w:docGrid w:type="lines" w:linePitch="312"/>
        </w:sectPr>
      </w:pPr>
    </w:p>
    <w:p w:rsidR="00060C82" w:rsidRDefault="0067776E">
      <w:pPr>
        <w:spacing w:line="360" w:lineRule="auto"/>
        <w:jc w:val="center"/>
        <w:outlineLvl w:val="0"/>
        <w:rPr>
          <w:rFonts w:ascii="Times New Roman" w:eastAsia="宋体" w:hAnsi="Times New Roman" w:cs="Times New Roman"/>
          <w:b/>
        </w:rPr>
      </w:pPr>
      <w:r>
        <w:rPr>
          <w:rFonts w:ascii="Times New Roman" w:eastAsia="宋体" w:hAnsi="Times New Roman" w:cs="Times New Roman"/>
          <w:b/>
        </w:rPr>
        <w:lastRenderedPageBreak/>
        <w:t>Table S1.</w:t>
      </w:r>
      <w:r>
        <w:rPr>
          <w:rFonts w:ascii="Times New Roman" w:eastAsia="宋体" w:hAnsi="Times New Roman" w:cs="Times New Roman"/>
        </w:rPr>
        <w:t xml:space="preserve"> Industrial analysis of OS.</w:t>
      </w:r>
    </w:p>
    <w:tbl>
      <w:tblPr>
        <w:tblStyle w:val="a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8"/>
        <w:gridCol w:w="1701"/>
      </w:tblGrid>
      <w:tr w:rsidR="00060C82" w:rsidTr="00573150">
        <w:trPr>
          <w:jc w:val="center"/>
        </w:trPr>
        <w:tc>
          <w:tcPr>
            <w:tcW w:w="226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Industrial analysis</w:t>
            </w:r>
          </w:p>
        </w:tc>
        <w:tc>
          <w:tcPr>
            <w:tcW w:w="170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OS</w:t>
            </w:r>
            <w:proofErr w:type="gramStart"/>
            <w:r>
              <w:rPr>
                <w:rFonts w:ascii="Times New Roman" w:eastAsia="宋体" w:hAnsi="Times New Roman" w:cs="Times New Roman"/>
              </w:rPr>
              <w:t>/(</w:t>
            </w:r>
            <w:proofErr w:type="gramEnd"/>
            <w:r>
              <w:rPr>
                <w:rFonts w:ascii="Times New Roman" w:eastAsia="宋体" w:hAnsi="Times New Roman" w:cs="Times New Roman"/>
              </w:rPr>
              <w:t>%)</w:t>
            </w:r>
          </w:p>
        </w:tc>
      </w:tr>
      <w:tr w:rsidR="00060C82" w:rsidTr="00573150">
        <w:trPr>
          <w:jc w:val="center"/>
        </w:trPr>
        <w:tc>
          <w:tcPr>
            <w:tcW w:w="2268" w:type="dxa"/>
            <w:tcBorders>
              <w:top w:val="nil"/>
              <w:bottom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Mad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79.30</w:t>
            </w:r>
          </w:p>
        </w:tc>
      </w:tr>
      <w:tr w:rsidR="00060C82" w:rsidTr="00573150">
        <w:trPr>
          <w:jc w:val="center"/>
        </w:trPr>
        <w:tc>
          <w:tcPr>
            <w:tcW w:w="2268" w:type="dxa"/>
            <w:tcBorders>
              <w:top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Aad</w:t>
            </w:r>
            <w:proofErr w:type="spellEnd"/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8.74</w:t>
            </w:r>
          </w:p>
        </w:tc>
      </w:tr>
      <w:tr w:rsidR="00060C82" w:rsidTr="00573150">
        <w:trPr>
          <w:jc w:val="center"/>
        </w:trPr>
        <w:tc>
          <w:tcPr>
            <w:tcW w:w="2268" w:type="dxa"/>
            <w:tcBorders>
              <w:top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Vad</w:t>
            </w:r>
            <w:proofErr w:type="spellEnd"/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10.39</w:t>
            </w:r>
          </w:p>
        </w:tc>
      </w:tr>
      <w:tr w:rsidR="00060C82" w:rsidTr="00573150">
        <w:trPr>
          <w:jc w:val="center"/>
        </w:trPr>
        <w:tc>
          <w:tcPr>
            <w:tcW w:w="2268" w:type="dxa"/>
            <w:tcBorders>
              <w:top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proofErr w:type="spellStart"/>
            <w:r>
              <w:rPr>
                <w:rFonts w:ascii="Times New Roman" w:eastAsia="宋体" w:hAnsi="Times New Roman" w:cs="Times New Roman"/>
              </w:rPr>
              <w:t>FCad</w:t>
            </w:r>
            <w:proofErr w:type="spellEnd"/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1.57</w:t>
            </w:r>
          </w:p>
        </w:tc>
      </w:tr>
    </w:tbl>
    <w:p w:rsidR="00060C82" w:rsidRDefault="0067776E">
      <w:pPr>
        <w:spacing w:line="360" w:lineRule="auto"/>
        <w:rPr>
          <w:rFonts w:ascii="Times New Roman" w:eastAsia="等线" w:hAnsi="Times New Roman" w:cs="Times New Roman"/>
          <w:b/>
          <w:bCs/>
        </w:rPr>
      </w:pPr>
      <w:r>
        <w:rPr>
          <w:rFonts w:ascii="Times New Roman" w:eastAsia="等线" w:hAnsi="Times New Roman" w:cs="Times New Roman"/>
          <w:b/>
          <w:bCs/>
        </w:rPr>
        <w:br w:type="page"/>
      </w:r>
    </w:p>
    <w:p w:rsidR="00060C82" w:rsidRDefault="0067776E">
      <w:pPr>
        <w:spacing w:line="360" w:lineRule="auto"/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Table S2.</w:t>
      </w:r>
      <w:r>
        <w:rPr>
          <w:rFonts w:ascii="Times New Roman" w:hAnsi="Times New Roman" w:cs="Times New Roman"/>
        </w:rPr>
        <w:t xml:space="preserve"> The form and relative content of C in OS and OSAD</w:t>
      </w:r>
      <w:r>
        <w:rPr>
          <w:rFonts w:ascii="Times New Roman" w:hAnsi="Times New Roman" w:cs="Times New Roman" w:hint="eastAsia"/>
        </w:rPr>
        <w:t>.</w:t>
      </w:r>
    </w:p>
    <w:tbl>
      <w:tblPr>
        <w:tblStyle w:val="ad"/>
        <w:tblW w:w="9811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9"/>
        <w:gridCol w:w="808"/>
        <w:gridCol w:w="1937"/>
        <w:gridCol w:w="3572"/>
        <w:gridCol w:w="1060"/>
        <w:gridCol w:w="1465"/>
      </w:tblGrid>
      <w:tr w:rsidR="00060C82">
        <w:trPr>
          <w:jc w:val="center"/>
        </w:trPr>
        <w:tc>
          <w:tcPr>
            <w:tcW w:w="969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Samples</w:t>
            </w:r>
          </w:p>
        </w:tc>
        <w:tc>
          <w:tcPr>
            <w:tcW w:w="80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Peak</w:t>
            </w:r>
          </w:p>
        </w:tc>
        <w:tc>
          <w:tcPr>
            <w:tcW w:w="193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Binding energy </w:t>
            </w:r>
            <w:r>
              <w:rPr>
                <w:rFonts w:ascii="Times New Roman" w:hAnsi="Times New Roman" w:cs="Times New Roman"/>
              </w:rPr>
              <w:t>/eV</w:t>
            </w:r>
          </w:p>
        </w:tc>
        <w:tc>
          <w:tcPr>
            <w:tcW w:w="357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Full width at half maxima (FWHM)</w:t>
            </w:r>
            <w:r>
              <w:rPr>
                <w:rFonts w:ascii="Times New Roman" w:hAnsi="Times New Roman" w:cs="Times New Roman"/>
              </w:rPr>
              <w:t>/eV</w:t>
            </w:r>
          </w:p>
        </w:tc>
        <w:tc>
          <w:tcPr>
            <w:tcW w:w="1060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A</w:t>
            </w:r>
            <w:r>
              <w:rPr>
                <w:rFonts w:ascii="Times New Roman" w:eastAsia="宋体" w:hAnsi="Times New Roman" w:cs="Times New Roman"/>
              </w:rPr>
              <w:t>rea</w:t>
            </w:r>
          </w:p>
        </w:tc>
        <w:tc>
          <w:tcPr>
            <w:tcW w:w="146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Percentage </w:t>
            </w:r>
            <w:r>
              <w:rPr>
                <w:rFonts w:ascii="Times New Roman" w:hAnsi="Times New Roman" w:cs="Times New Roman"/>
              </w:rPr>
              <w:t>/%</w:t>
            </w:r>
          </w:p>
        </w:tc>
      </w:tr>
      <w:tr w:rsidR="00060C82">
        <w:trPr>
          <w:jc w:val="center"/>
        </w:trPr>
        <w:tc>
          <w:tcPr>
            <w:tcW w:w="969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</w:t>
            </w:r>
          </w:p>
        </w:tc>
        <w:tc>
          <w:tcPr>
            <w:tcW w:w="808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 w:hint="eastAsia"/>
              </w:rPr>
              <w:t>-</w:t>
            </w:r>
            <w:r>
              <w:rPr>
                <w:rFonts w:ascii="Times New Roman" w:eastAsia="宋体" w:hAnsi="Times New Roman" w:cs="Times New Roman"/>
              </w:rPr>
              <w:t>C</w:t>
            </w:r>
          </w:p>
        </w:tc>
        <w:tc>
          <w:tcPr>
            <w:tcW w:w="1937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284.73</w:t>
            </w:r>
          </w:p>
        </w:tc>
        <w:tc>
          <w:tcPr>
            <w:tcW w:w="357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0.98</w:t>
            </w:r>
          </w:p>
        </w:tc>
        <w:tc>
          <w:tcPr>
            <w:tcW w:w="106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95173.54</w:t>
            </w:r>
          </w:p>
        </w:tc>
        <w:tc>
          <w:tcPr>
            <w:tcW w:w="146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72.36</w:t>
            </w:r>
          </w:p>
        </w:tc>
      </w:tr>
      <w:tr w:rsidR="00060C82">
        <w:trPr>
          <w:jc w:val="center"/>
        </w:trPr>
        <w:tc>
          <w:tcPr>
            <w:tcW w:w="969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060C82">
            <w:pPr>
              <w:widowControl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C-O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285.04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1.53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34733.01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26.41</w:t>
            </w:r>
          </w:p>
        </w:tc>
      </w:tr>
      <w:tr w:rsidR="00060C82">
        <w:trPr>
          <w:jc w:val="center"/>
        </w:trPr>
        <w:tc>
          <w:tcPr>
            <w:tcW w:w="969" w:type="dxa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060C82">
            <w:pPr>
              <w:widowControl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C=O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286.68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1.91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1612.47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1.23</w:t>
            </w:r>
          </w:p>
        </w:tc>
      </w:tr>
      <w:tr w:rsidR="00060C82">
        <w:trPr>
          <w:jc w:val="center"/>
        </w:trPr>
        <w:tc>
          <w:tcPr>
            <w:tcW w:w="969" w:type="dxa"/>
            <w:vMerge w:val="restart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OSAD</w:t>
            </w:r>
          </w:p>
        </w:tc>
        <w:tc>
          <w:tcPr>
            <w:tcW w:w="808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sp</w:t>
            </w:r>
            <w:r>
              <w:rPr>
                <w:rFonts w:ascii="Times New Roman" w:hAnsi="Times New Roman" w:cs="Times New Roman"/>
                <w:vertAlign w:val="superscript"/>
              </w:rPr>
              <w:t>2</w:t>
            </w:r>
            <w:r>
              <w:rPr>
                <w:rFonts w:ascii="Times New Roman" w:eastAsia="宋体" w:hAnsi="Times New Roman" w:cs="Times New Roman" w:hint="eastAsia"/>
              </w:rPr>
              <w:t>-</w:t>
            </w:r>
            <w:r>
              <w:rPr>
                <w:rFonts w:ascii="Times New Roman" w:eastAsia="宋体" w:hAnsi="Times New Roman" w:cs="Times New Roman"/>
              </w:rPr>
              <w:t>C</w:t>
            </w:r>
          </w:p>
        </w:tc>
        <w:tc>
          <w:tcPr>
            <w:tcW w:w="1937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284.77</w:t>
            </w:r>
          </w:p>
        </w:tc>
        <w:tc>
          <w:tcPr>
            <w:tcW w:w="357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0.99</w:t>
            </w:r>
          </w:p>
        </w:tc>
        <w:tc>
          <w:tcPr>
            <w:tcW w:w="1060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75156.52</w:t>
            </w:r>
          </w:p>
        </w:tc>
        <w:tc>
          <w:tcPr>
            <w:tcW w:w="1465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70.65</w:t>
            </w:r>
          </w:p>
        </w:tc>
      </w:tr>
      <w:tr w:rsidR="00060C82">
        <w:trPr>
          <w:jc w:val="center"/>
        </w:trPr>
        <w:tc>
          <w:tcPr>
            <w:tcW w:w="969" w:type="dxa"/>
            <w:vMerge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060C82">
            <w:pPr>
              <w:widowControl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C-O</w:t>
            </w:r>
          </w:p>
        </w:tc>
        <w:tc>
          <w:tcPr>
            <w:tcW w:w="193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285.10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106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29295.32</w:t>
            </w:r>
          </w:p>
        </w:tc>
        <w:tc>
          <w:tcPr>
            <w:tcW w:w="146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27.54</w:t>
            </w:r>
          </w:p>
        </w:tc>
      </w:tr>
      <w:tr w:rsidR="00060C82">
        <w:trPr>
          <w:jc w:val="center"/>
        </w:trPr>
        <w:tc>
          <w:tcPr>
            <w:tcW w:w="969" w:type="dxa"/>
            <w:vMerge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060C82">
            <w:pPr>
              <w:widowControl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80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C=O</w:t>
            </w:r>
          </w:p>
        </w:tc>
        <w:tc>
          <w:tcPr>
            <w:tcW w:w="193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287.11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2.50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1928.64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1.82</w:t>
            </w:r>
          </w:p>
        </w:tc>
      </w:tr>
    </w:tbl>
    <w:p w:rsidR="00060C82" w:rsidRDefault="0067776E">
      <w:pPr>
        <w:adjustRightInd w:val="0"/>
        <w:spacing w:line="360" w:lineRule="auto"/>
        <w:rPr>
          <w:rFonts w:ascii="Times New Roman" w:eastAsia="宋体" w:hAnsi="Times New Roman" w:cs="Times New Roman"/>
          <w:b/>
        </w:rPr>
        <w:sectPr w:rsidR="00060C8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eastAsia="宋体" w:hAnsi="Times New Roman" w:cs="Times New Roman"/>
          <w:b/>
        </w:rPr>
        <w:br w:type="page"/>
      </w:r>
    </w:p>
    <w:p w:rsidR="00060C82" w:rsidRDefault="00060C82">
      <w:pPr>
        <w:adjustRightInd w:val="0"/>
        <w:spacing w:line="360" w:lineRule="auto"/>
        <w:rPr>
          <w:rFonts w:ascii="Times New Roman" w:eastAsia="宋体" w:hAnsi="Times New Roman" w:cs="Times New Roman"/>
          <w:b/>
        </w:rPr>
      </w:pPr>
    </w:p>
    <w:p w:rsidR="00060C82" w:rsidRDefault="0067776E">
      <w:pPr>
        <w:spacing w:line="360" w:lineRule="auto"/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Table S3.</w:t>
      </w:r>
      <w:r>
        <w:rPr>
          <w:rFonts w:ascii="Times New Roman" w:hAnsi="Times New Roman" w:cs="Times New Roman"/>
        </w:rPr>
        <w:t xml:space="preserve"> The form and relative content of O in OS and OSAD</w:t>
      </w:r>
      <w:r>
        <w:rPr>
          <w:rFonts w:ascii="Times New Roman" w:hAnsi="Times New Roman" w:cs="Times New Roman" w:hint="eastAsia"/>
        </w:rPr>
        <w:t>.</w:t>
      </w:r>
    </w:p>
    <w:tbl>
      <w:tblPr>
        <w:tblStyle w:val="ad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28"/>
        <w:gridCol w:w="2829"/>
        <w:gridCol w:w="1513"/>
        <w:gridCol w:w="3244"/>
        <w:gridCol w:w="1004"/>
        <w:gridCol w:w="1371"/>
      </w:tblGrid>
      <w:tr w:rsidR="00060C82" w:rsidTr="00573150">
        <w:trPr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Samples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Peak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573150" w:rsidRDefault="0067776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Binding energy</w:t>
            </w:r>
          </w:p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/eV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573150" w:rsidRDefault="0067776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Full width at half maxima (FWHM)</w:t>
            </w:r>
          </w:p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/eV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A</w:t>
            </w:r>
            <w:r>
              <w:rPr>
                <w:rFonts w:ascii="Times New Roman" w:eastAsia="宋体" w:hAnsi="Times New Roman" w:cs="Times New Roman"/>
              </w:rPr>
              <w:t>rea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Percentage</w:t>
            </w:r>
            <w:r>
              <w:rPr>
                <w:rFonts w:ascii="Times New Roman" w:hAnsi="Times New Roman" w:cs="Times New Roman"/>
              </w:rPr>
              <w:t>/%</w:t>
            </w:r>
          </w:p>
        </w:tc>
      </w:tr>
      <w:tr w:rsidR="00060C82" w:rsidTr="00573150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Quinone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532.15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1.21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12839.29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68.68</w:t>
            </w:r>
          </w:p>
        </w:tc>
      </w:tr>
      <w:tr w:rsidR="00060C82" w:rsidTr="00573150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060C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Phenolic -OH and ether C-O-C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532.35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2.43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5856.37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31.32</w:t>
            </w:r>
          </w:p>
        </w:tc>
      </w:tr>
      <w:tr w:rsidR="00060C82" w:rsidTr="00573150">
        <w:trPr>
          <w:jc w:val="center"/>
        </w:trPr>
        <w:tc>
          <w:tcPr>
            <w:tcW w:w="0" w:type="auto"/>
            <w:vMerge w:val="restart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OSAD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Quinone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531.79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2.04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7818.71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57.63</w:t>
            </w:r>
          </w:p>
        </w:tc>
      </w:tr>
      <w:tr w:rsidR="00060C82" w:rsidTr="00573150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060C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eastAsia="宋体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Phenolic -OH and ether C-O-C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532.14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5749.32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42.37</w:t>
            </w:r>
          </w:p>
        </w:tc>
      </w:tr>
    </w:tbl>
    <w:p w:rsidR="00060C82" w:rsidRDefault="0067776E">
      <w:pPr>
        <w:spacing w:line="36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br w:type="page"/>
      </w:r>
    </w:p>
    <w:p w:rsidR="00060C82" w:rsidRDefault="0067776E">
      <w:pPr>
        <w:spacing w:line="360" w:lineRule="auto"/>
        <w:jc w:val="center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lastRenderedPageBreak/>
        <w:t>Table S4.</w:t>
      </w:r>
      <w:r>
        <w:rPr>
          <w:rFonts w:ascii="Times New Roman" w:hAnsi="Times New Roman" w:cs="Times New Roman"/>
        </w:rPr>
        <w:t xml:space="preserve"> The form and relative content of S</w:t>
      </w:r>
      <w:r w:rsidR="00573150">
        <w:rPr>
          <w:rFonts w:ascii="Times New Roman" w:hAnsi="Times New Roman" w:cs="Times New Roman"/>
        </w:rPr>
        <w:t xml:space="preserve"> element</w:t>
      </w:r>
      <w:r>
        <w:rPr>
          <w:rFonts w:ascii="Times New Roman" w:hAnsi="Times New Roman" w:cs="Times New Roman"/>
        </w:rPr>
        <w:t xml:space="preserve"> in OS and OSAD</w:t>
      </w:r>
      <w:r>
        <w:rPr>
          <w:rFonts w:ascii="Times New Roman" w:hAnsi="Times New Roman" w:cs="Times New Roman" w:hint="eastAsia"/>
        </w:rPr>
        <w:t>.</w:t>
      </w:r>
      <w:bookmarkStart w:id="0" w:name="_GoBack"/>
      <w:bookmarkEnd w:id="0"/>
    </w:p>
    <w:tbl>
      <w:tblPr>
        <w:tblStyle w:val="ad"/>
        <w:tblW w:w="11964" w:type="dxa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15"/>
        <w:gridCol w:w="2608"/>
        <w:gridCol w:w="1871"/>
        <w:gridCol w:w="3572"/>
        <w:gridCol w:w="1281"/>
        <w:gridCol w:w="1417"/>
      </w:tblGrid>
      <w:tr w:rsidR="00060C82" w:rsidTr="00573150">
        <w:trPr>
          <w:jc w:val="center"/>
        </w:trPr>
        <w:tc>
          <w:tcPr>
            <w:tcW w:w="1215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Samples</w:t>
            </w:r>
          </w:p>
        </w:tc>
        <w:tc>
          <w:tcPr>
            <w:tcW w:w="2608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Peak</w:t>
            </w:r>
          </w:p>
        </w:tc>
        <w:tc>
          <w:tcPr>
            <w:tcW w:w="187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Binding energy </w:t>
            </w:r>
            <w:r>
              <w:rPr>
                <w:rFonts w:ascii="Times New Roman" w:hAnsi="Times New Roman" w:cs="Times New Roman"/>
              </w:rPr>
              <w:t>/eV</w:t>
            </w:r>
          </w:p>
        </w:tc>
        <w:tc>
          <w:tcPr>
            <w:tcW w:w="3572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Full width at half maxima (FWHM)</w:t>
            </w:r>
            <w:r>
              <w:rPr>
                <w:rFonts w:ascii="Times New Roman" w:hAnsi="Times New Roman" w:cs="Times New Roman"/>
              </w:rPr>
              <w:t>/eV</w:t>
            </w:r>
          </w:p>
        </w:tc>
        <w:tc>
          <w:tcPr>
            <w:tcW w:w="1281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 w:hint="eastAsia"/>
              </w:rPr>
              <w:t>A</w:t>
            </w:r>
            <w:r>
              <w:rPr>
                <w:rFonts w:ascii="Times New Roman" w:eastAsia="宋体" w:hAnsi="Times New Roman" w:cs="Times New Roman"/>
              </w:rPr>
              <w:t>rea</w:t>
            </w:r>
          </w:p>
        </w:tc>
        <w:tc>
          <w:tcPr>
            <w:tcW w:w="1417" w:type="dxa"/>
            <w:tcBorders>
              <w:top w:val="single" w:sz="12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Percentage </w:t>
            </w:r>
            <w:r>
              <w:rPr>
                <w:rFonts w:ascii="Times New Roman" w:hAnsi="Times New Roman" w:cs="Times New Roman"/>
              </w:rPr>
              <w:t>/%</w:t>
            </w:r>
          </w:p>
        </w:tc>
      </w:tr>
      <w:tr w:rsidR="00060C82" w:rsidTr="00573150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</w:t>
            </w:r>
          </w:p>
        </w:tc>
        <w:tc>
          <w:tcPr>
            <w:tcW w:w="2608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Sulfate Sulfur</w:t>
            </w:r>
          </w:p>
        </w:tc>
        <w:tc>
          <w:tcPr>
            <w:tcW w:w="187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170.70</w:t>
            </w:r>
          </w:p>
        </w:tc>
        <w:tc>
          <w:tcPr>
            <w:tcW w:w="357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128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52.27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3.14</w:t>
            </w:r>
          </w:p>
        </w:tc>
      </w:tr>
      <w:tr w:rsidR="00060C82" w:rsidTr="00573150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060C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Sulfonate (sulfone)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169.16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2.01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361.79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21.77</w:t>
            </w:r>
          </w:p>
        </w:tc>
      </w:tr>
      <w:tr w:rsidR="00060C82" w:rsidTr="00573150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060C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 xml:space="preserve">Sulfide </w:t>
            </w:r>
            <w:r>
              <w:rPr>
                <w:rFonts w:ascii="Times New Roman" w:eastAsia="宋体" w:hAnsi="Times New Roman" w:cs="Times New Roman"/>
              </w:rPr>
              <w:t>(sulfoxide)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167.36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2.18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96.00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5.78</w:t>
            </w:r>
          </w:p>
        </w:tc>
      </w:tr>
      <w:tr w:rsidR="00060C82" w:rsidTr="00573150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060C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Aromatic sulfur (thiophene)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164.69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421.40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25.36</w:t>
            </w:r>
          </w:p>
        </w:tc>
      </w:tr>
      <w:tr w:rsidR="00060C82" w:rsidTr="00573150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060C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Aliphatic Sulfur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163.72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1.00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449.15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27.03</w:t>
            </w:r>
          </w:p>
        </w:tc>
      </w:tr>
      <w:tr w:rsidR="00060C82" w:rsidTr="00573150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060C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Mercaptan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162.87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0.96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281.24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16.92</w:t>
            </w:r>
          </w:p>
        </w:tc>
      </w:tr>
      <w:tr w:rsidR="00060C82" w:rsidTr="00573150">
        <w:trPr>
          <w:jc w:val="center"/>
        </w:trPr>
        <w:tc>
          <w:tcPr>
            <w:tcW w:w="1215" w:type="dxa"/>
            <w:vMerge w:val="restart"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OSAD</w:t>
            </w:r>
          </w:p>
        </w:tc>
        <w:tc>
          <w:tcPr>
            <w:tcW w:w="2608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Sulfate Sulfur</w:t>
            </w:r>
          </w:p>
        </w:tc>
        <w:tc>
          <w:tcPr>
            <w:tcW w:w="187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169.89</w:t>
            </w:r>
          </w:p>
        </w:tc>
        <w:tc>
          <w:tcPr>
            <w:tcW w:w="3572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1.47</w:t>
            </w:r>
          </w:p>
        </w:tc>
        <w:tc>
          <w:tcPr>
            <w:tcW w:w="1281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236.92</w:t>
            </w: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15.21</w:t>
            </w:r>
          </w:p>
        </w:tc>
      </w:tr>
      <w:tr w:rsidR="00060C82" w:rsidTr="00573150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060C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Sulfonate (sulfone)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168.99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247.72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15.91</w:t>
            </w:r>
          </w:p>
        </w:tc>
      </w:tr>
      <w:tr w:rsidR="00060C82" w:rsidTr="00573150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060C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Sulfide (sulfoxide)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167.86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1.52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151.04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9.70</w:t>
            </w:r>
          </w:p>
        </w:tc>
      </w:tr>
      <w:tr w:rsidR="00060C82" w:rsidTr="00573150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060C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Aromatic sulfur (thiophene)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164.68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1.69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249.59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16.03</w:t>
            </w:r>
          </w:p>
        </w:tc>
      </w:tr>
      <w:tr w:rsidR="00060C82" w:rsidTr="00573150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060C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Aliphatic Sulfur</w:t>
            </w:r>
          </w:p>
        </w:tc>
        <w:tc>
          <w:tcPr>
            <w:tcW w:w="18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163.78</w:t>
            </w:r>
          </w:p>
        </w:tc>
        <w:tc>
          <w:tcPr>
            <w:tcW w:w="357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1.08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367.69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23.61</w:t>
            </w:r>
          </w:p>
        </w:tc>
      </w:tr>
      <w:tr w:rsidR="00060C82" w:rsidTr="00573150">
        <w:trPr>
          <w:jc w:val="center"/>
        </w:trPr>
        <w:tc>
          <w:tcPr>
            <w:tcW w:w="0" w:type="auto"/>
            <w:vMerge/>
            <w:tcBorders>
              <w:top w:val="single" w:sz="6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060C82">
            <w:pPr>
              <w:widowControl/>
              <w:spacing w:line="360" w:lineRule="auto"/>
              <w:jc w:val="left"/>
              <w:rPr>
                <w:rFonts w:ascii="Times New Roman" w:hAnsi="Times New Roman" w:cs="Times New Roman"/>
              </w:rPr>
            </w:pPr>
          </w:p>
        </w:tc>
        <w:tc>
          <w:tcPr>
            <w:tcW w:w="260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eastAsia="宋体" w:hAnsi="Times New Roman" w:cs="Times New Roman"/>
              </w:rPr>
              <w:t>Mercaptan</w:t>
            </w:r>
          </w:p>
        </w:tc>
        <w:tc>
          <w:tcPr>
            <w:tcW w:w="187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162.88</w:t>
            </w:r>
          </w:p>
        </w:tc>
        <w:tc>
          <w:tcPr>
            <w:tcW w:w="3572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1.16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304.36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060C82" w:rsidRDefault="0067776E">
            <w:pPr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19.54</w:t>
            </w:r>
          </w:p>
        </w:tc>
      </w:tr>
    </w:tbl>
    <w:p w:rsidR="00060C82" w:rsidRDefault="0067776E">
      <w:pPr>
        <w:spacing w:line="360" w:lineRule="auto"/>
        <w:rPr>
          <w:rFonts w:ascii="Times New Roman" w:hAnsi="Times New Roman" w:cs="Times New Roman"/>
          <w:szCs w:val="21"/>
        </w:rPr>
        <w:sectPr w:rsidR="00060C82">
          <w:pgSz w:w="16838" w:h="11906" w:orient="landscape"/>
          <w:pgMar w:top="1800" w:right="1440" w:bottom="1800" w:left="144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szCs w:val="21"/>
        </w:rPr>
        <w:br w:type="page"/>
      </w:r>
    </w:p>
    <w:p w:rsidR="00060C82" w:rsidRDefault="0067776E">
      <w:pPr>
        <w:spacing w:line="360" w:lineRule="auto"/>
        <w:jc w:val="center"/>
        <w:outlineLvl w:val="0"/>
        <w:rPr>
          <w:rFonts w:ascii="Times New Roman" w:hAnsi="Times New Roman" w:cs="Times New Roman"/>
          <w:b/>
          <w:bCs/>
        </w:rPr>
      </w:pPr>
      <w:r>
        <w:rPr>
          <w:rFonts w:ascii="Times New Roman" w:eastAsia="等线" w:hAnsi="Times New Roman" w:cs="Times New Roman"/>
          <w:b/>
          <w:bCs/>
        </w:rPr>
        <w:lastRenderedPageBreak/>
        <w:t>Table S5.</w:t>
      </w:r>
      <w:r>
        <w:rPr>
          <w:rFonts w:ascii="Times New Roman" w:eastAsia="等线" w:hAnsi="Times New Roman" w:cs="Times New Roman"/>
        </w:rPr>
        <w:t xml:space="preserve"> </w:t>
      </w:r>
      <w:bookmarkStart w:id="1" w:name="_Hlk32404668"/>
      <w:r>
        <w:rPr>
          <w:rFonts w:ascii="Times New Roman" w:eastAsia="等线" w:hAnsi="Times New Roman" w:cs="Times New Roman"/>
        </w:rPr>
        <w:t xml:space="preserve">Atomic ratio </w:t>
      </w:r>
      <w:r>
        <w:rPr>
          <w:rFonts w:ascii="Times New Roman" w:eastAsia="等线" w:hAnsi="Times New Roman" w:cs="Times New Roman"/>
        </w:rPr>
        <w:t>(</w:t>
      </w:r>
      <w:proofErr w:type="gramStart"/>
      <w:r>
        <w:rPr>
          <w:rFonts w:ascii="Times New Roman" w:eastAsia="等线" w:hAnsi="Times New Roman" w:cs="Times New Roman"/>
        </w:rPr>
        <w:t>at.%</w:t>
      </w:r>
      <w:proofErr w:type="gramEnd"/>
      <w:r>
        <w:rPr>
          <w:rFonts w:ascii="Times New Roman" w:eastAsia="等线" w:hAnsi="Times New Roman" w:cs="Times New Roman"/>
        </w:rPr>
        <w:t>)</w:t>
      </w:r>
      <w:bookmarkEnd w:id="1"/>
      <w:r>
        <w:rPr>
          <w:rFonts w:ascii="Times New Roman" w:eastAsia="等线" w:hAnsi="Times New Roman" w:cs="Times New Roman"/>
        </w:rPr>
        <w:t xml:space="preserve"> of OS, OSAD </w:t>
      </w:r>
      <w:r>
        <w:rPr>
          <w:rFonts w:ascii="Times New Roman" w:hAnsi="Times New Roman" w:cs="Times New Roman"/>
          <w:kern w:val="0"/>
          <w:szCs w:val="24"/>
        </w:rPr>
        <w:t>at optimum dosage of conditioner</w:t>
      </w:r>
      <w:r>
        <w:rPr>
          <w:rFonts w:ascii="Times New Roman" w:eastAsia="等线" w:hAnsi="Times New Roman" w:cs="Times New Roman"/>
        </w:rPr>
        <w:t>.</w:t>
      </w:r>
    </w:p>
    <w:tbl>
      <w:tblPr>
        <w:tblW w:w="4376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865"/>
        <w:gridCol w:w="1007"/>
        <w:gridCol w:w="1023"/>
        <w:gridCol w:w="1071"/>
        <w:gridCol w:w="1112"/>
        <w:gridCol w:w="1191"/>
      </w:tblGrid>
      <w:tr w:rsidR="00060C82">
        <w:trPr>
          <w:jc w:val="center"/>
        </w:trPr>
        <w:tc>
          <w:tcPr>
            <w:tcW w:w="1282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Samples</w:t>
            </w:r>
          </w:p>
        </w:tc>
        <w:tc>
          <w:tcPr>
            <w:tcW w:w="693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C (</w:t>
            </w:r>
            <w:proofErr w:type="gramStart"/>
            <w:r>
              <w:rPr>
                <w:rFonts w:ascii="Times New Roman" w:eastAsia="等线" w:hAnsi="Times New Roman" w:cs="Times New Roman"/>
              </w:rPr>
              <w:t>at.%</w:t>
            </w:r>
            <w:proofErr w:type="gramEnd"/>
            <w:r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704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O (</w:t>
            </w:r>
            <w:proofErr w:type="gramStart"/>
            <w:r>
              <w:rPr>
                <w:rFonts w:ascii="Times New Roman" w:eastAsia="等线" w:hAnsi="Times New Roman" w:cs="Times New Roman"/>
              </w:rPr>
              <w:t>at.%</w:t>
            </w:r>
            <w:proofErr w:type="gramEnd"/>
            <w:r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737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N (</w:t>
            </w:r>
            <w:proofErr w:type="gramStart"/>
            <w:r>
              <w:rPr>
                <w:rFonts w:ascii="Times New Roman" w:eastAsia="等线" w:hAnsi="Times New Roman" w:cs="Times New Roman"/>
              </w:rPr>
              <w:t>at.%</w:t>
            </w:r>
            <w:proofErr w:type="gramEnd"/>
            <w:r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765" w:type="pct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S (</w:t>
            </w:r>
            <w:proofErr w:type="gramStart"/>
            <w:r>
              <w:rPr>
                <w:rFonts w:ascii="Times New Roman" w:eastAsia="等线" w:hAnsi="Times New Roman" w:cs="Times New Roman"/>
              </w:rPr>
              <w:t>at.%</w:t>
            </w:r>
            <w:proofErr w:type="gramEnd"/>
            <w:r>
              <w:rPr>
                <w:rFonts w:ascii="Times New Roman" w:eastAsia="等线" w:hAnsi="Times New Roman" w:cs="Times New Roman"/>
              </w:rPr>
              <w:t>)</w:t>
            </w:r>
          </w:p>
        </w:tc>
        <w:tc>
          <w:tcPr>
            <w:tcW w:w="819" w:type="pct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Cl (</w:t>
            </w:r>
            <w:proofErr w:type="gramStart"/>
            <w:r>
              <w:rPr>
                <w:rFonts w:ascii="Times New Roman" w:eastAsia="等线" w:hAnsi="Times New Roman" w:cs="Times New Roman"/>
              </w:rPr>
              <w:t>at.%</w:t>
            </w:r>
            <w:proofErr w:type="gramEnd"/>
            <w:r>
              <w:rPr>
                <w:rFonts w:ascii="Times New Roman" w:eastAsia="等线" w:hAnsi="Times New Roman" w:cs="Times New Roman"/>
              </w:rPr>
              <w:t>)</w:t>
            </w:r>
          </w:p>
        </w:tc>
      </w:tr>
      <w:tr w:rsidR="00060C82">
        <w:trPr>
          <w:jc w:val="center"/>
        </w:trPr>
        <w:tc>
          <w:tcPr>
            <w:tcW w:w="1282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OS</w:t>
            </w:r>
          </w:p>
        </w:tc>
        <w:tc>
          <w:tcPr>
            <w:tcW w:w="693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94.74</w:t>
            </w:r>
          </w:p>
        </w:tc>
        <w:tc>
          <w:tcPr>
            <w:tcW w:w="704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4.51</w:t>
            </w:r>
          </w:p>
        </w:tc>
        <w:tc>
          <w:tcPr>
            <w:tcW w:w="737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0.28</w:t>
            </w:r>
          </w:p>
        </w:tc>
        <w:tc>
          <w:tcPr>
            <w:tcW w:w="765" w:type="pct"/>
            <w:tcBorders>
              <w:top w:val="single" w:sz="6" w:space="0" w:color="auto"/>
            </w:tcBorders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0.44</w:t>
            </w:r>
          </w:p>
        </w:tc>
        <w:tc>
          <w:tcPr>
            <w:tcW w:w="819" w:type="pct"/>
            <w:tcBorders>
              <w:top w:val="single" w:sz="6" w:space="0" w:color="auto"/>
            </w:tcBorders>
            <w:shd w:val="clear" w:color="auto" w:fill="auto"/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0.03</w:t>
            </w:r>
          </w:p>
        </w:tc>
      </w:tr>
      <w:tr w:rsidR="00060C82">
        <w:trPr>
          <w:jc w:val="center"/>
        </w:trPr>
        <w:tc>
          <w:tcPr>
            <w:tcW w:w="1282" w:type="pct"/>
            <w:shd w:val="clear" w:color="auto" w:fill="auto"/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OSAD</w:t>
            </w:r>
          </w:p>
        </w:tc>
        <w:tc>
          <w:tcPr>
            <w:tcW w:w="693" w:type="pct"/>
            <w:shd w:val="clear" w:color="auto" w:fill="auto"/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94.71</w:t>
            </w:r>
          </w:p>
        </w:tc>
        <w:tc>
          <w:tcPr>
            <w:tcW w:w="704" w:type="pct"/>
            <w:shd w:val="clear" w:color="auto" w:fill="auto"/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3.89</w:t>
            </w:r>
          </w:p>
        </w:tc>
        <w:tc>
          <w:tcPr>
            <w:tcW w:w="737" w:type="pct"/>
            <w:shd w:val="clear" w:color="auto" w:fill="auto"/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0.79</w:t>
            </w:r>
          </w:p>
        </w:tc>
        <w:tc>
          <w:tcPr>
            <w:tcW w:w="765" w:type="pct"/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0.60</w:t>
            </w:r>
          </w:p>
        </w:tc>
        <w:tc>
          <w:tcPr>
            <w:tcW w:w="819" w:type="pct"/>
            <w:shd w:val="clear" w:color="auto" w:fill="auto"/>
            <w:vAlign w:val="center"/>
          </w:tcPr>
          <w:p w:rsidR="00060C82" w:rsidRDefault="0067776E">
            <w:pPr>
              <w:spacing w:line="360" w:lineRule="auto"/>
              <w:jc w:val="left"/>
              <w:rPr>
                <w:rFonts w:ascii="Times New Roman" w:eastAsia="等线" w:hAnsi="Times New Roman" w:cs="Times New Roman"/>
              </w:rPr>
            </w:pPr>
            <w:r>
              <w:rPr>
                <w:rFonts w:ascii="Times New Roman" w:eastAsia="等线" w:hAnsi="Times New Roman" w:cs="Times New Roman"/>
              </w:rPr>
              <w:t>0.01</w:t>
            </w:r>
          </w:p>
        </w:tc>
      </w:tr>
    </w:tbl>
    <w:p w:rsidR="00060C82" w:rsidRDefault="00060C82">
      <w:pPr>
        <w:spacing w:line="360" w:lineRule="auto"/>
        <w:rPr>
          <w:rFonts w:ascii="Times New Roman" w:hAnsi="Times New Roman" w:cs="Times New Roman"/>
          <w:szCs w:val="21"/>
        </w:rPr>
      </w:pPr>
    </w:p>
    <w:sectPr w:rsidR="00060C8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7776E" w:rsidRDefault="0067776E">
      <w:r>
        <w:separator/>
      </w:r>
    </w:p>
  </w:endnote>
  <w:endnote w:type="continuationSeparator" w:id="0">
    <w:p w:rsidR="0067776E" w:rsidRDefault="0067776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634919315"/>
    </w:sdtPr>
    <w:sdtEndPr>
      <w:rPr>
        <w:rFonts w:ascii="Times New Roman" w:hAnsi="Times New Roman" w:cs="Times New Roman"/>
        <w:sz w:val="21"/>
      </w:rPr>
    </w:sdtEndPr>
    <w:sdtContent>
      <w:p w:rsidR="00060C82" w:rsidRDefault="0067776E">
        <w:pPr>
          <w:pStyle w:val="a7"/>
          <w:jc w:val="center"/>
          <w:rPr>
            <w:rFonts w:ascii="Times New Roman" w:hAnsi="Times New Roman" w:cs="Times New Roman"/>
            <w:sz w:val="21"/>
          </w:rPr>
        </w:pPr>
        <w:r>
          <w:rPr>
            <w:rFonts w:ascii="Times New Roman" w:hAnsi="Times New Roman" w:cs="Times New Roman"/>
            <w:sz w:val="21"/>
          </w:rPr>
          <w:t>S</w:t>
        </w:r>
        <w:r>
          <w:rPr>
            <w:rFonts w:ascii="Times New Roman" w:hAnsi="Times New Roman" w:cs="Times New Roman"/>
            <w:sz w:val="21"/>
          </w:rPr>
          <w:fldChar w:fldCharType="begin"/>
        </w:r>
        <w:r>
          <w:rPr>
            <w:rFonts w:ascii="Times New Roman" w:hAnsi="Times New Roman" w:cs="Times New Roman"/>
            <w:sz w:val="21"/>
          </w:rPr>
          <w:instrText>PAGE   \* MERGEFORMAT</w:instrText>
        </w:r>
        <w:r>
          <w:rPr>
            <w:rFonts w:ascii="Times New Roman" w:hAnsi="Times New Roman" w:cs="Times New Roman"/>
            <w:sz w:val="21"/>
          </w:rPr>
          <w:fldChar w:fldCharType="separate"/>
        </w:r>
        <w:r>
          <w:rPr>
            <w:rFonts w:ascii="Times New Roman" w:hAnsi="Times New Roman" w:cs="Times New Roman"/>
            <w:sz w:val="21"/>
            <w:lang w:val="zh-CN"/>
          </w:rPr>
          <w:t>6</w:t>
        </w:r>
        <w:r>
          <w:rPr>
            <w:rFonts w:ascii="Times New Roman" w:hAnsi="Times New Roman" w:cs="Times New Roman"/>
            <w:sz w:val="21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7776E" w:rsidRDefault="0067776E">
      <w:r>
        <w:separator/>
      </w:r>
    </w:p>
  </w:footnote>
  <w:footnote w:type="continuationSeparator" w:id="0">
    <w:p w:rsidR="0067776E" w:rsidRDefault="0067776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NE.Ref{106C6742-6436-4D17-B936-F2705841FB44}" w:val=" ADDIN NE.Ref.{106C6742-6436-4D17-B936-F2705841FB44}&lt;Citation&gt;&lt;Group&gt;&lt;References&gt;&lt;Item&gt;&lt;ID&gt;1126&lt;/ID&gt;&lt;UID&gt;{506A1B54-E2C7-4FC3-B4AC-4C87881BEDEF}&lt;/UID&gt;&lt;Title&gt;Magnetic porous NiLa-Layered double oxides (LDOs) with improved phosphate adsorption and antibacterial activity for treatment of secondary effluent&lt;/Title&gt;&lt;Template&gt;Journal Article&lt;/Template&gt;&lt;Star&gt;1&lt;/Star&gt;&lt;Tag&gt;5&lt;/Tag&gt;&lt;Author&gt;Vu, Chi Thanh; Wu, Tingting&lt;/Author&gt;&lt;Year&gt;2020&lt;/Year&gt;&lt;Details&gt;&lt;_accessed&gt;63850127&lt;/_accessed&gt;&lt;_author_adr&gt;Civil and Environmental Engineering Department, The University of Alabama in Huntsville, Huntsville, AL, 35899, USA&lt;/_author_adr&gt;&lt;_collection_scope&gt;SCI;SCIE;EI&lt;/_collection_scope&gt;&lt;_created&gt;63850126&lt;/_created&gt;&lt;_db_provider&gt;CNKI&lt;/_db_provider&gt;&lt;_doi&gt;10.1016/j.watres.2020.115679 &lt;/_doi&gt;&lt;_impact_factor&gt;   9.130&lt;/_impact_factor&gt;&lt;_isbn&gt;0043-1354&lt;/_isbn&gt;&lt;_journal&gt;Water Research&lt;/_journal&gt;&lt;_keywords&gt;Porous magnetic LDOs;Secondary effluent;HSDM;Phosphate adsorption;Antibacterial activity&lt;/_keywords&gt;&lt;_modified&gt;63850127&lt;/_modified&gt;&lt;_volume&gt;175&lt;/_volume&gt;&lt;/Details&gt;&lt;Extra&gt;&lt;DBUID&gt;{F96A950B-833F-4880-A151-76DA2D6A2879}&lt;/DBUID&gt;&lt;/Extra&gt;&lt;/Item&gt;&lt;/References&gt;&lt;/Group&gt;&lt;/Citation&gt;_x000a_"/>
    <w:docVar w:name="NE.Ref{149932B0-80DC-4869-B929-C41F89A67FFF}" w:val=" ADDIN NE.Ref.{149932B0-80DC-4869-B929-C41F89A67FFF}&lt;Citation&gt;&lt;Group&gt;&lt;References&gt;&lt;Item&gt;&lt;ID&gt;771&lt;/ID&gt;&lt;UID&gt;{2D7AC3BE-B253-4B65-AE46-7912AE8FD980}&lt;/UID&gt;&lt;Title&gt;Modified biogas residues as an eco-friendly and easily-recoverable biosorbent for nitrate and phosphate removals from surface water&lt;/Title&gt;&lt;Template&gt;Journal Article&lt;/Template&gt;&lt;Star&gt;1&lt;/Star&gt;&lt;Tag&gt;5&lt;/Tag&gt;&lt;Author&gt;Pan, Jingwen; Gao, Baoyu; Song, Wen; Xu, Xing; Yue, Qinyan&lt;/Author&gt;&lt;Year&gt;2020&lt;/Year&gt;&lt;Details&gt;&lt;_accession_num&gt;WOS:000501387100058&lt;/_accession_num&gt;&lt;_collection_scope&gt;SCI;SCIE;EI&lt;/_collection_scope&gt;&lt;_created&gt;63667751&lt;/_created&gt;&lt;_date_display&gt;2020, JAN 15&lt;/_date_display&gt;&lt;_db_provider&gt;ISI&lt;/_db_provider&gt;&lt;_doi&gt;10.1016/j.jhazmat.2019.121073&lt;/_doi&gt;&lt;_impact_factor&gt;   9.038&lt;/_impact_factor&gt;&lt;_isbn&gt;0304-3894&lt;/_isbn&gt;&lt;_issue&gt;121073&lt;/_issue&gt;&lt;_journal&gt;JOURNAL OF HAZARDOUS MATERIALS&lt;/_journal&gt;&lt;_modified&gt;63844772&lt;/_modified&gt;&lt;_pages&gt;121073&lt;/_pages&gt;&lt;_url&gt;http://gateway.isiknowledge.com/gateway/Gateway.cgi?GWVersion=2&amp;amp;SrcAuth=AegeanSoftware&amp;amp;SrcApp=NoteExpress&amp;amp;DestLinkType=FullRecord&amp;amp;DestApp=WOS&amp;amp;KeyUT=000501387100058&lt;/_url&gt;&lt;_volume&gt;382&lt;/_volume&gt;&lt;/Details&gt;&lt;Extra&gt;&lt;DBUID&gt;{F96A950B-833F-4880-A151-76DA2D6A2879}&lt;/DBUID&gt;&lt;/Extra&gt;&lt;/Item&gt;&lt;/References&gt;&lt;/Group&gt;&lt;/Citation&gt;_x000a_"/>
    <w:docVar w:name="NE.Ref{18BE33B5-1746-44FE-ABCA-4287F7B074C1}" w:val=" ADDIN NE.Ref.{18BE33B5-1746-44FE-ABCA-4287F7B074C1}&lt;Citation&gt;&lt;Group&gt;&lt;References&gt;&lt;Item&gt;&lt;ID&gt;764&lt;/ID&gt;&lt;UID&gt;{0260D382-3382-4118-B895-687A86F519A1}&lt;/UID&gt;&lt;Title&gt;Biochar-loaded Ce3+-enriched ultra-fine ceria nanoparticles for phosphate adsorption&lt;/Title&gt;&lt;Template&gt;Journal Article&lt;/Template&gt;&lt;Star&gt;1&lt;/Star&gt;&lt;Tag&gt;5&lt;/Tag&gt;&lt;Author&gt;Wang, Yi; Xie, Xiaomin; Chen, Xuelin; Huang, Changhong; Yang, Sen&lt;/Author&gt;&lt;Year&gt;2020&lt;/Year&gt;&lt;Details&gt;&lt;_accession_num&gt;WOS:000541924000029&lt;/_accession_num&gt;&lt;_collection_scope&gt;SCI;SCIE;EI&lt;/_collection_scope&gt;&lt;_created&gt;63667723&lt;/_created&gt;&lt;_date_display&gt;2020, SEP 5&lt;/_date_display&gt;&lt;_db_provider&gt;ISI&lt;/_db_provider&gt;&lt;_doi&gt;10.1016/j.jhazmat.2020.122626&lt;/_doi&gt;&lt;_impact_factor&gt;   9.038&lt;/_impact_factor&gt;&lt;_isbn&gt;0304-3894&lt;/_isbn&gt;&lt;_issue&gt;122626&lt;/_issue&gt;&lt;_journal&gt;JOURNAL OF HAZARDOUS MATERIALS&lt;/_journal&gt;&lt;_modified&gt;63844738&lt;/_modified&gt;&lt;_pages&gt;122626&lt;/_pages&gt;&lt;_url&gt;http://gateway.isiknowledge.com/gateway/Gateway.cgi?GWVersion=2&amp;amp;SrcAuth=AegeanSoftware&amp;amp;SrcApp=NoteExpress&amp;amp;DestLinkType=FullRecord&amp;amp;DestApp=WOS&amp;amp;KeyUT=000541924000029&lt;/_url&gt;&lt;_volume&gt;396&lt;/_volume&gt;&lt;/Details&gt;&lt;Extra&gt;&lt;DBUID&gt;{F96A950B-833F-4880-A151-76DA2D6A2879}&lt;/DBUID&gt;&lt;/Extra&gt;&lt;/Item&gt;&lt;/References&gt;&lt;/Group&gt;&lt;/Citation&gt;_x000a_"/>
    <w:docVar w:name="NE.Ref{39D05F9E-1321-48C2-82E8-2ECFD04D644B}" w:val=" ADDIN NE.Ref.{39D05F9E-1321-48C2-82E8-2ECFD04D644B}&lt;Citation&gt;&lt;Group&gt;&lt;References&gt;&lt;Item&gt;&lt;ID&gt;760&lt;/ID&gt;&lt;UID&gt;{FEBC2D8F-20B7-43F9-A7ED-717A4A5986FC}&lt;/UID&gt;&lt;Title&gt;Investigation into lanthanum-coated biochar obtained from urban dewatered sewage sludge for enhanced phosphate adsorption&lt;/Title&gt;&lt;Template&gt;Journal Article&lt;/Template&gt;&lt;Star&gt;1&lt;/Star&gt;&lt;Tag&gt;5&lt;/Tag&gt;&lt;Author&gt;Li, Jing; Li, Bing; Huang, Haiming; Zhao, Ning; Zhang, Mingge; Cao, Lu&lt;/Author&gt;&lt;Year&gt;2020&lt;/Year&gt;&lt;Details&gt;&lt;_accessed&gt;63664685&lt;/_accessed&gt;&lt;_accession_num&gt;WOS:000517760200082&lt;/_accession_num&gt;&lt;_collection_scope&gt;SCI;SCIE;EI&lt;/_collection_scope&gt;&lt;_created&gt;63663635&lt;/_created&gt;&lt;_date_display&gt;2020, APR 20&lt;/_date_display&gt;&lt;_db_provider&gt;ISI&lt;/_db_provider&gt;&lt;_db_updated&gt;CrossRef&lt;/_db_updated&gt;&lt;_doi&gt;10.1016/j.scitotenv.2020.136839&lt;/_doi&gt;&lt;_impact_factor&gt;   6.551&lt;/_impact_factor&gt;&lt;_isbn&gt;00489697&lt;/_isbn&gt;&lt;_issue&gt;136839&lt;/_issue&gt;&lt;_journal&gt;Science of The Total Environment&lt;/_journal&gt;&lt;_modified&gt;63844735&lt;/_modified&gt;&lt;_pages&gt;136839&lt;/_pages&gt;&lt;_tertiary_title&gt;Science of The Total Environment&lt;/_tertiary_title&gt;&lt;_url&gt;https://linkinghub.elsevier.com/retrieve/pii/S0048969720303491_x000d__x000a_https://api.elsevier.com/content/article/PII:S0048969720303491?httpAccept=text/xml&lt;/_url&gt;&lt;_volume&gt;714&lt;/_volume&gt;&lt;/Details&gt;&lt;Extra&gt;&lt;DBUID&gt;{F96A950B-833F-4880-A151-76DA2D6A2879}&lt;/DBUID&gt;&lt;/Extra&gt;&lt;/Item&gt;&lt;/References&gt;&lt;/Group&gt;&lt;/Citation&gt;_x000a_"/>
    <w:docVar w:name="NE.Ref{3B539343-7974-4ED5-B6D8-D32480EE98BC}" w:val=" ADDIN NE.Ref.{3B539343-7974-4ED5-B6D8-D32480EE98BC}&lt;Citation&gt;&lt;Group&gt;&lt;References&gt;&lt;Item&gt;&lt;ID&gt;1128&lt;/ID&gt;&lt;UID&gt;{2D521C92-244B-473F-915E-8E526DA5CA84}&lt;/UID&gt;&lt;Title&gt;Gemini surfactant-modified montmorillonite with tetrachloroferrate (FeCl4-) as a counterion simultaneously sequesters nitrate and phosphate from aqueous solution.&lt;/Title&gt;&lt;Template&gt;Journal Article&lt;/Template&gt;&lt;Star&gt;1&lt;/Star&gt;&lt;Tag&gt;5&lt;/Tag&gt;&lt;Author&gt;Wuhui, Luo; Qidong, Huang; Ping, Zeng; Cheng, Cheng; Xiujuan, Yuan; Ting, Xiao; Meng, Zhang; Philip, Antwi; Jialiang, Xing; Sili, Ren&lt;/Author&gt;&lt;Year&gt;2021&lt;/Year&gt;&lt;Details&gt;&lt;_accessed&gt;63850131&lt;/_accessed&gt;&lt;_author_adr&gt;Water and Environmental Engineering Group, Faculty of Engineering and Physical Sciences, University of Southampton, Southampton SO17 1BJ, UK.;School of Resources and Environmental Engineering, Jiangxi University of Science and Technology, Ganzhou 341000, PR China. Electronic address: sili_ren@163.com.;School of Resources and Environmental Engineering, Jiangxi University of Science and Technology, Ganzhou 341000, PR China.;Jiangxi Academy of Environmental Sciences, Nanchang 330039, PR China. Electronic address: luo070221@126.com.;Jiangxi Academy of Environmental Sciences, Nanchang 330039, PR China.&lt;/_author_adr&gt;&lt;_collection_scope&gt;SCI;SCIE;EI&lt;/_collection_scope&gt;&lt;_created&gt;63850131&lt;/_created&gt;&lt;_db_provider&gt;CNKI&lt;/_db_provider&gt;&lt;_doi&gt;10.1016/j.jhazmat.2020.124829 &lt;/_doi&gt;&lt;_journal&gt;Journal of hazardous materials&lt;/_journal&gt;&lt;_keywords&gt;Gemini surfactant;Montmorillonite;Nitrate;Phosphate;Tetrachloroferrate&lt;/_keywords&gt;&lt;_modified&gt;63850136&lt;/_modified&gt;&lt;_volume&gt;409&lt;/_volume&gt;&lt;/Details&gt;&lt;Extra&gt;&lt;DBUID&gt;{F96A950B-833F-4880-A151-76DA2D6A2879}&lt;/DBUID&gt;&lt;/Extra&gt;&lt;/Item&gt;&lt;/References&gt;&lt;/Group&gt;&lt;/Citation&gt;_x000a_"/>
    <w:docVar w:name="NE.Ref{45102672-80F0-4C72-BE8B-60256F0BAA5A}" w:val=" ADDIN NE.Ref.{45102672-80F0-4C72-BE8B-60256F0BAA5A}&lt;Citation&gt;&lt;Group&gt;&lt;References&gt;&lt;Item&gt;&lt;ID&gt;769&lt;/ID&gt;&lt;UID&gt;{713516D9-B544-4A76-B053-ED80556C0E5A}&lt;/UID&gt;&lt;Title&gt;Application of Mg-Al-modified biochar for simultaneous removal of ammonium, nitrate, and phosphate from eutrophic water&lt;/Title&gt;&lt;Template&gt;Journal Article&lt;/Template&gt;&lt;Star&gt;1&lt;/Star&gt;&lt;Tag&gt;5&lt;/Tag&gt;&lt;Author&gt;Yin, Qianqian; Wang, Ruikun; Zhao, Zhenghui&lt;/Author&gt;&lt;Year&gt;2018&lt;/Year&gt;&lt;Details&gt;&lt;_accession_num&gt;WOS:000423648000022_x000d__x000a_ER&lt;/_accession_num&gt;&lt;_collection_scope&gt;SCIE;EI&lt;/_collection_scope&gt;&lt;_created&gt;63667746&lt;/_created&gt;&lt;_date_display&gt;2018, MAR 1&lt;/_date_display&gt;&lt;_db_provider&gt;ISI&lt;/_db_provider&gt;&lt;_doi&gt;10.1016/j.jclepro.2017.12.117&lt;/_doi&gt;&lt;_impact_factor&gt;   7.246&lt;/_impact_factor&gt;&lt;_isbn&gt;0959-6526&lt;/_isbn&gt;&lt;_journal&gt;JOURNAL OF CLEANER PRODUCTION&lt;/_journal&gt;&lt;_modified&gt;63844771&lt;/_modified&gt;&lt;_pages&gt;230-240&lt;/_pages&gt;&lt;_url&gt;http://gateway.isiknowledge.com/gateway/Gateway.cgi?GWVersion=2&amp;amp;SrcAuth=AegeanSoftware&amp;amp;SrcApp=NoteExpress&amp;amp;DestLinkType=FullRecord&amp;amp;DestApp=WOS&amp;amp;KeyUT=000423648000022&lt;/_url&gt;&lt;_volume&gt;176&lt;/_volume&gt;&lt;/Details&gt;&lt;Extra&gt;&lt;DBUID&gt;{F96A950B-833F-4880-A151-76DA2D6A2879}&lt;/DBUID&gt;&lt;/Extra&gt;&lt;/Item&gt;&lt;/References&gt;&lt;/Group&gt;&lt;/Citation&gt;_x000a_"/>
    <w:docVar w:name="NE.Ref{4C239262-E50C-4B27-BF52-6A782DF13A97}" w:val=" ADDIN NE.Ref.{4C239262-E50C-4B27-BF52-6A782DF13A97}&lt;Citation&gt;&lt;Group&gt;&lt;References&gt;&lt;Item&gt;&lt;ID&gt;766&lt;/ID&gt;&lt;UID&gt;{3530C679-EB0D-460B-9F5E-35B929499C29}&lt;/UID&gt;&lt;Title&gt;Great enhancement in phosphate uptake onto lanthanum carbonate grafted microfibrous composite under a low-voltage electrostatic field&lt;/Title&gt;&lt;Template&gt;Journal Article&lt;/Template&gt;&lt;Star&gt;1&lt;/Star&gt;&lt;Tag&gt;5&lt;/Tag&gt;&lt;Author&gt;Yang, Yi; Koh, Kok Yuen; Huang, Haoxin; Zhang, Huiping; Yan, Ying; Chen, J Paul&lt;/Author&gt;&lt;Year&gt;2021&lt;/Year&gt;&lt;Details&gt;&lt;_accessed&gt;63850151&lt;/_accessed&gt;&lt;_accession_num&gt;WOS:000599817400005&lt;/_accession_num&gt;&lt;_collection_scope&gt;SCI;SCIE;EI&lt;/_collection_scope&gt;&lt;_created&gt;63667732&lt;/_created&gt;&lt;_date_display&gt;2021, FEB&lt;/_date_display&gt;&lt;_db_provider&gt;ISI&lt;/_db_provider&gt;&lt;_doi&gt;10.1016/j.chemosphere.2020.128378&lt;/_doi&gt;&lt;_impact_factor&gt;   5.778&lt;/_impact_factor&gt;&lt;_isbn&gt;0045-6535&lt;/_isbn&gt;&lt;_issue&gt;1283781&lt;/_issue&gt;&lt;_journal&gt;CHEMOSPHERE&lt;/_journal&gt;&lt;_modified&gt;63844741&lt;/_modified&gt;&lt;_pages&gt;1283781&lt;/_pages&gt;&lt;_url&gt;http://gateway.isiknowledge.com/gateway/Gateway.cgi?GWVersion=2&amp;amp;SrcAuth=AegeanSoftware&amp;amp;SrcApp=NoteExpress&amp;amp;DestLinkType=FullRecord&amp;amp;DestApp=WOS&amp;amp;KeyUT=000599817400005&lt;/_url&gt;&lt;_volume&gt;264&lt;/_volume&gt;&lt;/Details&gt;&lt;Extra&gt;&lt;DBUID&gt;{F96A950B-833F-4880-A151-76DA2D6A2879}&lt;/DBUID&gt;&lt;/Extra&gt;&lt;/Item&gt;&lt;/References&gt;&lt;/Group&gt;&lt;/Citation&gt;_x000a_"/>
    <w:docVar w:name="NE.Ref{58203BE1-0935-4D5A-9294-D598529858EC}" w:val=" ADDIN NE.Ref.{58203BE1-0935-4D5A-9294-D598529858EC}&lt;Citation&gt;&lt;Group&gt;&lt;References&gt;&lt;Item&gt;&lt;ID&gt;762&lt;/ID&gt;&lt;UID&gt;{635A47C9-84BB-42EB-9FA9-004C20EF3500}&lt;/UID&gt;&lt;Title&gt;Mechanistic performance of polyaniline-substituted hexagonal boron nitride composite as a highly efficient adsorbent for the removal of phosphate, nitrate, and hexavalent chromium ions from an aqueous environment&lt;/Title&gt;&lt;Template&gt;Journal Article&lt;/Template&gt;&lt;Star&gt;1&lt;/Star&gt;&lt;Tag&gt;5&lt;/Tag&gt;&lt;Author&gt;Karthikeyan, Perumal; Elanchezhiyan, S S D; Preethi, Jayaram; Meenakshi, Sankaran; Park, Chang Min&lt;/Author&gt;&lt;Year&gt;2020&lt;/Year&gt;&lt;Details&gt;&lt;_accession_num&gt;WOS:000517883800071_x000d__x000a_ER&lt;/_accession_num&gt;&lt;_collection_scope&gt;SCI;SCIE;EI&lt;/_collection_scope&gt;&lt;_created&gt;63667352&lt;/_created&gt;&lt;_date_display&gt;2020, MAY 1&lt;/_date_display&gt;&lt;_db_provider&gt;ISI&lt;/_db_provider&gt;&lt;_doi&gt;10.1016/j.apsusc.2020.145543&lt;/_doi&gt;&lt;_impact_factor&gt;   6.182&lt;/_impact_factor&gt;&lt;_isbn&gt;0169-4332&lt;/_isbn&gt;&lt;_issue&gt;145543&lt;/_issue&gt;&lt;_journal&gt;APPLIED SURFACE SCIENCE&lt;/_journal&gt;&lt;_modified&gt;63844736&lt;/_modified&gt;&lt;_pages&gt;145543&lt;/_pages&gt;&lt;_url&gt;http://gateway.isiknowledge.com/gateway/Gateway.cgi?GWVersion=2&amp;amp;SrcAuth=AegeanSoftware&amp;amp;SrcApp=NoteExpress&amp;amp;DestLinkType=FullRecord&amp;amp;DestApp=WOS&amp;amp;KeyUT=000517883800071&lt;/_url&gt;&lt;_volume&gt;511&lt;/_volume&gt;&lt;/Details&gt;&lt;Extra&gt;&lt;DBUID&gt;{F96A950B-833F-4880-A151-76DA2D6A2879}&lt;/DBUID&gt;&lt;/Extra&gt;&lt;/Item&gt;&lt;/References&gt;&lt;/Group&gt;&lt;/Citation&gt;_x000a_"/>
    <w:docVar w:name="NE.Ref{5D74E8F0-701E-4E2E-97BB-99D9F1DA6A9C}" w:val=" ADDIN NE.Ref.{5D74E8F0-701E-4E2E-97BB-99D9F1DA6A9C}&lt;Citation&gt;&lt;Group&gt;&lt;References&gt;&lt;Item&gt;&lt;ID&gt;1131&lt;/ID&gt;&lt;UID&gt;{0F8474B1-DE1C-4C42-9377-6531D7B5EFDC}&lt;/UID&gt;&lt;Title&gt;Enhanced removal of nitrate from water using amine-grafted agricultural wastes&lt;/Title&gt;&lt;Template&gt;Journal Article&lt;/Template&gt;&lt;Star&gt;1&lt;/Star&gt;&lt;Tag&gt;5&lt;/Tag&gt;&lt;Author&gt;Kalaruban, Mahatheva; Loganathan, Paripurnanda; Shim, W G; Kandasamy, Jaya; Ngo, H H; Vigneswaran, Saravanamuthu&lt;/Author&gt;&lt;Year&gt;2016&lt;/Year&gt;&lt;Details&gt;&lt;_accessed&gt;63850144&lt;/_accessed&gt;&lt;_author_adr&gt;Faculty of Engineering, University of Technology Sydney (UTS), P.O. Box 123, Broadway, NSW 2007, Australia;;Department of Polymer Science and Engineering, Sunchon National University, 255 Jungang-ro, Suncheon, Jeollanam-do, Republic of Korea&lt;/_author_adr&gt;&lt;_collection_scope&gt;SCI;SCIE;EI&lt;/_collection_scope&gt;&lt;_created&gt;63850144&lt;/_created&gt;&lt;_db_provider&gt;CNKI&lt;/_db_provider&gt;&lt;_doi&gt;10.1016/j.scitotenv.2016.04.194 &lt;/_doi&gt;&lt;_impact_factor&gt;   6.551&lt;/_impact_factor&gt;&lt;_isbn&gt;0048-9697&lt;/_isbn&gt;&lt;_journal&gt;Science of the Total Environment&lt;/_journal&gt;&lt;_keywords&gt;Nitrate;Water treatment;Agricultural wastes adsorbents;Adsorption models&lt;/_keywords&gt;&lt;_modified&gt;63850145&lt;/_modified&gt;&lt;_volume&gt;565&lt;/_volume&gt;&lt;/Details&gt;&lt;Extra&gt;&lt;DBUID&gt;{F96A950B-833F-4880-A151-76DA2D6A2879}&lt;/DBUID&gt;&lt;/Extra&gt;&lt;/Item&gt;&lt;/References&gt;&lt;/Group&gt;&lt;/Citation&gt;_x000a_"/>
    <w:docVar w:name="NE.Ref{6EBD12A0-033B-4959-9618-DD55BBC6757A}" w:val=" ADDIN NE.Ref.{6EBD12A0-033B-4959-9618-DD55BBC6757A}&lt;Citation&gt;&lt;Group&gt;&lt;References&gt;&lt;Item&gt;&lt;ID&gt;1130&lt;/ID&gt;&lt;UID&gt;{AE486E4D-7866-4746-BD2A-9084242C4F3B}&lt;/UID&gt;&lt;Title&gt;Multifunctional β-Cyclodextrin Polymer for Simultaneous Removal of Natural Organic Matter and Organic Micropollutants and Detrimental Microorganisms from Water.&lt;/Title&gt;&lt;Template&gt;Journal Article&lt;/Template&gt;&lt;Star&gt;1&lt;/Star&gt;&lt;Tag&gt;5&lt;/Tag&gt;&lt;Author&gt;Xuejiao, Hu; Guizhou, Xu; Huaicheng, Zhang; Meng, Li; Yizhou, Tu; Xianchuan, Xie; Yuanting, Zhu; Lu, Jiang; Xingqi, Zhu; Xiaowen, Ji; Yan, Li; Aimin, Li&lt;/Author&gt;&lt;Year&gt;2020&lt;/Year&gt;&lt;Details&gt;&lt;_accessed&gt;63850142&lt;/_accessed&gt;&lt;_author_adr&gt;State Key Laboratory of Pollution Control and Resource Reuse, School of the Environment, Nanjing University, Nanjing 210046, P. R. China.;;State Key Laboratory of Pollution Control and Resource Reuse, School of the Environment, Nanjing University, Nanjing 210046, P. R. China.;;State Key Laboratory of Pollution Control and Resource Reuse, School of the Environment, Nanjing University, Nanjing 210046, P. R. China.;;State Key Laboratory of Pollution Control and Resource Reuse, School of the Environment, Nanjing University, Nanjing 210046, P. R. China.;;State Key Laboratory of Pollution Control and Resource Reuse, School of the Environment, Nanjing University, Nanjing 210046, P. R. China.;;State Key Laboratory of Pollution Control and Resource Reuse, School of the Environment, Nanjing University, Nanjing 210046, P. R. China.;;State Key Laboratory of Pollution Control and Resource Reuse, School of the Environment, Nanjing University, Nanjing 210046, P. R. China.;;State Key Laboratory of Pollution Control and Resource Reuse, School of the Environment, Nanjing University, Nanjing 210046, P. R. China.;;State Key Laboratory of Pollution Control and Resource Reuse, School of the Environment, Nanjing University, Nanjing 210046, P. R. China.;;State Key Laboratory of Pollution Control and Resource Reuse, School of the Environment, Nanjing University, Nanjing 210046, P. R. China.;;State Key Laboratory of Pollution Control and Resource Reuse, School of the Environment, Nanjing University, Nanjing 210046, P. R. China.;;State Key Laboratory of Pollution Control and Resource Reuse, School of the Environment, Nanjing University, Nanjing 210046, P. R. China.&lt;/_author_adr&gt;&lt;_collection_scope&gt;SCI;SCIE;EI&lt;/_collection_scope&gt;&lt;_created&gt;63850142&lt;/_created&gt;&lt;_db_provider&gt;CNKI&lt;/_db_provider&gt;&lt;_doi&gt;10.1021/acsami.0c00597 &lt;/_doi&gt;&lt;_issue&gt;10&lt;/_issue&gt;&lt;_journal&gt;ACS applied materials &amp;amp; interfaces&lt;/_journal&gt;&lt;_keywords&gt;Adsorption;Green synthesis;Multifunctional;Waste water;Β-cyclodextrin&lt;/_keywords&gt;&lt;_modified&gt;63850144&lt;/_modified&gt;&lt;_volume&gt;12&lt;/_volume&gt;&lt;/Details&gt;&lt;Extra&gt;&lt;DBUID&gt;{F96A950B-833F-4880-A151-76DA2D6A2879}&lt;/DBUID&gt;&lt;/Extra&gt;&lt;/Item&gt;&lt;/References&gt;&lt;/Group&gt;&lt;/Citation&gt;_x000a_"/>
    <w:docVar w:name="NE.Ref{90214AC1-EB6B-46B2-BB44-71F88939CEE3}" w:val=" ADDIN NE.Ref.{90214AC1-EB6B-46B2-BB44-71F88939CEE3}&lt;Citation&gt;&lt;Group&gt;&lt;References&gt;&lt;Item&gt;&lt;ID&gt;768&lt;/ID&gt;&lt;UID&gt;{8459D5DB-1952-4B40-85C6-C1E5C3A40A03}&lt;/UID&gt;&lt;Title&gt;Evaluation of single-component and multi-component adsorption of metronidazole, phosphate and nitrate on activated carbon from Prosopis juliflora&lt;/Title&gt;&lt;Template&gt;Journal Article&lt;/Template&gt;&lt;Star&gt;1&lt;/Star&gt;&lt;Tag&gt;5&lt;/Tag&gt;&lt;Author&gt;Manjunath, S V; Kumar, Mathava&lt;/Author&gt;&lt;Year&gt;2018&lt;/Year&gt;&lt;Details&gt;&lt;_accession_num&gt;WOS:000432878400054_x000d__x000a_ER&lt;/_accession_num&gt;&lt;_collection_scope&gt;SCI;SCIE;EI&lt;/_collection_scope&gt;&lt;_created&gt;63667741&lt;/_created&gt;&lt;_date_display&gt;2018, AUG 15&lt;/_date_display&gt;&lt;_db_provider&gt;ISI&lt;/_db_provider&gt;&lt;_doi&gt;10.1016/j.cej.2018.04.013&lt;/_doi&gt;&lt;_impact_factor&gt;  10.652&lt;/_impact_factor&gt;&lt;_isbn&gt;1385-8947&lt;/_isbn&gt;&lt;_journal&gt;CHEMICAL ENGINEERING JOURNAL&lt;/_journal&gt;&lt;_modified&gt;63844771&lt;/_modified&gt;&lt;_pages&gt;525-534&lt;/_pages&gt;&lt;_url&gt;http://gateway.isiknowledge.com/gateway/Gateway.cgi?GWVersion=2&amp;amp;SrcAuth=AegeanSoftware&amp;amp;SrcApp=NoteExpress&amp;amp;DestLinkType=FullRecord&amp;amp;DestApp=WOS&amp;amp;KeyUT=000432878400054&lt;/_url&gt;&lt;_volume&gt;346&lt;/_volume&gt;&lt;/Details&gt;&lt;Extra&gt;&lt;DBUID&gt;{F96A950B-833F-4880-A151-76DA2D6A2879}&lt;/DBUID&gt;&lt;/Extra&gt;&lt;/Item&gt;&lt;/References&gt;&lt;/Group&gt;&lt;/Citation&gt;_x000a_"/>
    <w:docVar w:name="NE.Ref{97B45B56-C974-4674-A27B-6B05C0D9474D}" w:val=" ADDIN NE.Ref.{97B45B56-C974-4674-A27B-6B05C0D9474D}&lt;Citation&gt;&lt;Group&gt;&lt;References&gt;&lt;Item&gt;&lt;ID&gt;734&lt;/ID&gt;&lt;UID&gt;{6E1CAAD0-AC79-436C-AB60-EF6038841236}&lt;/UID&gt;&lt;Title&gt;Fabrication of a Novel Bifunctional Nanocomposite with Improved Selectivity for Simultaneous Nitrate and Phosphate Removal from Water&lt;/Title&gt;&lt;Template&gt;Journal Article&lt;/Template&gt;&lt;Star&gt;1&lt;/Star&gt;&lt;Tag&gt;5&lt;/Tag&gt;&lt;Author&gt;Yang, Wenlan; Shi, Xinxing; Wang, Jicheng; Chen, Wenjing; Zhang, Lili; Zhang, Weiming; Zhang, Xiaolin; Lu, Jilai&lt;/Author&gt;&lt;Year&gt;2019&lt;/Year&gt;&lt;Details&gt;&lt;_accession_num&gt;WOS:000488322900078&lt;/_accession_num&gt;&lt;_cited_count&gt;1&lt;/_cited_count&gt;&lt;_collection_scope&gt;SCI;SCIE;EI&lt;/_collection_scope&gt;&lt;_created&gt;63392218&lt;/_created&gt;&lt;_date_display&gt;2019, SEP 25 2019&lt;/_date_display&gt;&lt;_db_provider&gt;ISI&lt;/_db_provider&gt;&lt;_doi&gt;10.1021/acsami.9b08826&lt;/_doi&gt;&lt;_impact_factor&gt;   8.758&lt;/_impact_factor&gt;&lt;_isbn&gt;1944-8244&lt;/_isbn&gt;&lt;_issue&gt;38&lt;/_issue&gt;&lt;_journal&gt;ACS APPLIED MATERIALS &amp;amp; INTERFACES&lt;/_journal&gt;&lt;_modified&gt;63844771&lt;/_modified&gt;&lt;_pages&gt;35277-35285&lt;/_pages&gt;&lt;_url&gt;http://gateway.isiknowledge.com/gateway/Gateway.cgi?GWVersion=2&amp;amp;SrcAuth=AegeanSoftware&amp;amp;SrcApp=NoteExpress&amp;amp;DestLinkType=FullRecord&amp;amp;DestApp=WOS&amp;amp;KeyUT=000488322900078&lt;/_url&gt;&lt;_volume&gt;11&lt;/_volume&gt;&lt;/Details&gt;&lt;Extra&gt;&lt;DBUID&gt;{F96A950B-833F-4880-A151-76DA2D6A2879}&lt;/DBUID&gt;&lt;/Extra&gt;&lt;/Item&gt;&lt;/References&gt;&lt;/Group&gt;&lt;/Citation&gt;_x000a_"/>
    <w:docVar w:name="NE.Ref{9D528CE4-04B6-4AF0-9496-90588E0EDF92}" w:val=" ADDIN NE.Ref.{9D528CE4-04B6-4AF0-9496-90588E0EDF92}&lt;Citation&gt;&lt;Group&gt;&lt;References&gt;&lt;Item&gt;&lt;ID&gt;767&lt;/ID&gt;&lt;UID&gt;{C7E41936-566E-4752-AC81-3DE45FBBA5E3}&lt;/UID&gt;&lt;Title&gt;Rosette-like Layered Double Hydroxides: Adsorbent Materials for the Removal of Anionic Pollutants from Water&lt;/Title&gt;&lt;Template&gt;Journal Article&lt;/Template&gt;&lt;Star&gt;1&lt;/Star&gt;&lt;Tag&gt;5&lt;/Tag&gt;&lt;Author&gt;Tamura, Kenji; Kawashiri, Rina; Iyi, Nobuo; Watanabe, Yujiro; Sakuma, Hiroshi; Kamon, Masumi&lt;/Author&gt;&lt;Year&gt;2019&lt;/Year&gt;&lt;Details&gt;&lt;_accession_num&gt;WOS:000480498600051&lt;/_accession_num&gt;&lt;_collection_scope&gt;SCI;SCIE;EI&lt;/_collection_scope&gt;&lt;_created&gt;63667734&lt;/_created&gt;&lt;_date_display&gt;2019, AUG 7&lt;/_date_display&gt;&lt;_db_provider&gt;ISI&lt;/_db_provider&gt;&lt;_doi&gt;10.1021/acsami.9b08719&lt;/_doi&gt;&lt;_impact_factor&gt;   8.758&lt;/_impact_factor&gt;&lt;_isbn&gt;1944-8244&lt;/_isbn&gt;&lt;_issue&gt;31&lt;/_issue&gt;&lt;_journal&gt;ACS APPLIED MATERIALS &amp;amp; INTERFACES&lt;/_journal&gt;&lt;_modified&gt;63844770&lt;/_modified&gt;&lt;_pages&gt;27954-27963&lt;/_pages&gt;&lt;_url&gt;http://gateway.isiknowledge.com/gateway/Gateway.cgi?GWVersion=2&amp;amp;SrcAuth=AegeanSoftware&amp;amp;SrcApp=NoteExpress&amp;amp;DestLinkType=FullRecord&amp;amp;DestApp=WOS&amp;amp;KeyUT=000480498600051&lt;/_url&gt;&lt;_volume&gt;11&lt;/_volume&gt;&lt;/Details&gt;&lt;Extra&gt;&lt;DBUID&gt;{F96A950B-833F-4880-A151-76DA2D6A2879}&lt;/DBUID&gt;&lt;/Extra&gt;&lt;/Item&gt;&lt;/References&gt;&lt;/Group&gt;&lt;/Citation&gt;_x000a_"/>
    <w:docVar w:name="NE.Ref{A2FE8130-5C92-48D9-81E7-18AF0D424D9C}" w:val=" ADDIN NE.Ref.{A2FE8130-5C92-48D9-81E7-18AF0D424D9C}&lt;Citation&gt;&lt;Group&gt;&lt;References&gt;&lt;Item&gt;&lt;ID&gt;773&lt;/ID&gt;&lt;UID&gt;{012E5267-DBD5-442A-AE01-C04207B692C8}&lt;/UID&gt;&lt;Title&gt;Hydrothermal encapsulation of lanthanum oxide derived Aegle marmelos admixed chitosan bead system for nitrate and phosphate retention&lt;/Title&gt;&lt;Template&gt;Journal Article&lt;/Template&gt;&lt;Star&gt;1&lt;/Star&gt;&lt;Tag&gt;5&lt;/Tag&gt;&lt;Author&gt;Kumar, Ilango Aswin; Jeyaprabha, Chellappa; Meenakshi, Sankaran; Viswanathan, Natrayasamy&lt;/Author&gt;&lt;Year&gt;2019&lt;/Year&gt;&lt;Details&gt;&lt;_accession_num&gt;WOS:000466253000055&lt;/_accession_num&gt;&lt;_collection_scope&gt;SCI;SCIE&lt;/_collection_scope&gt;&lt;_created&gt;63667755&lt;/_created&gt;&lt;_date_display&gt;2019, JUN 1&lt;/_date_display&gt;&lt;_db_provider&gt;ISI&lt;/_db_provider&gt;&lt;_doi&gt;10.1016/j.ijbiomac.2019.02.106&lt;/_doi&gt;&lt;_impact_factor&gt;   5.162&lt;/_impact_factor&gt;&lt;_isbn&gt;0141-8130&lt;/_isbn&gt;&lt;_journal&gt;INTERNATIONAL JOURNAL OF BIOLOGICAL MACROMOLECULES&lt;/_journal&gt;&lt;_modified&gt;63844773&lt;/_modified&gt;&lt;_pages&gt;527-535&lt;/_pages&gt;&lt;_url&gt;http://gateway.isiknowledge.com/gateway/Gateway.cgi?GWVersion=2&amp;amp;SrcAuth=AegeanSoftware&amp;amp;SrcApp=NoteExpress&amp;amp;DestLinkType=FullRecord&amp;amp;DestApp=WOS&amp;amp;KeyUT=000466253000055&lt;/_url&gt;&lt;_volume&gt;130&lt;/_volume&gt;&lt;/Details&gt;&lt;Extra&gt;&lt;DBUID&gt;{F96A950B-833F-4880-A151-76DA2D6A2879}&lt;/DBUID&gt;&lt;/Extra&gt;&lt;/Item&gt;&lt;/References&gt;&lt;/Group&gt;&lt;/Citation&gt;_x000a_"/>
    <w:docVar w:name="NE.Ref{C9E9487D-C1FE-4D3A-9F59-BE709144C473}" w:val=" ADDIN NE.Ref.{C9E9487D-C1FE-4D3A-9F59-BE709144C473}&lt;Citation&gt;&lt;Group&gt;&lt;References&gt;&lt;Item&gt;&lt;ID&gt;1127&lt;/ID&gt;&lt;UID&gt;{7DFE109E-0F6B-4DCF-A7A8-88EE4DEF88A0}&lt;/UID&gt;&lt;Title&gt;Application of pinewood waste-derived biochar for the removal of nitrate and phosphate from single and binary solutions&lt;/Title&gt;&lt;Template&gt;Journal Article&lt;/Template&gt;&lt;Star&gt;1&lt;/Star&gt;&lt;Tag&gt;5&lt;/Tag&gt;&lt;Author&gt;Kuppusamy, Vijayaraghavan; Rajasekhar, Balasubramanian&lt;/Author&gt;&lt;Year&gt;2021&lt;/Year&gt;&lt;Details&gt;&lt;_accessed&gt;63850129&lt;/_accessed&gt;&lt;_author_adr&gt;Department of Civil and Environmental Engineering, National University of Singapore, Singapore&lt;/_author_adr&gt;&lt;_collection_scope&gt;SCI;SCIE;EI&lt;/_collection_scope&gt;&lt;_created&gt;63850129&lt;/_created&gt;&lt;_db_provider&gt;CNKI&lt;/_db_provider&gt;&lt;_doi&gt;10.1016/j.chemosphere.2021.130361 &lt;/_doi&gt;&lt;_impact_factor&gt;   5.778&lt;/_impact_factor&gt;&lt;_isbn&gt;0045-6535&lt;/_isbn&gt;&lt;_journal&gt;Chemosphere&lt;/_journal&gt;&lt;_keywords&gt;Multi-component adsorption;Eutrophication;Biosorption;Sustainability;Adsorption;Biochar&lt;/_keywords&gt;&lt;_modified&gt;63850131&lt;/_modified&gt;&lt;_volume&gt;278&lt;/_volume&gt;&lt;/Details&gt;&lt;Extra&gt;&lt;DBUID&gt;{F96A950B-833F-4880-A151-76DA2D6A2879}&lt;/DBUID&gt;&lt;/Extra&gt;&lt;/Item&gt;&lt;/References&gt;&lt;/Group&gt;&lt;/Citation&gt;_x000a_"/>
    <w:docVar w:name="NE.Ref{D8DF4B20-D686-4AF2-9FC7-BF2B58D098BB}" w:val=" ADDIN NE.Ref.{D8DF4B20-D686-4AF2-9FC7-BF2B58D098BB}&lt;Citation&gt;&lt;Group&gt;&lt;References&gt;&lt;Item&gt;&lt;ID&gt;763&lt;/ID&gt;&lt;UID&gt;{35074610-71A7-4A7D-9909-71D7E4D57772}&lt;/UID&gt;&lt;Title&gt;In-situ fabrication of cerium incorporated chitosan-β-cyclodextrin microspheres as an effective adsorbent for toxic anions removal&lt;/Title&gt;&lt;Template&gt;Journal Article&lt;/Template&gt;&lt;Star&gt;1&lt;/Star&gt;&lt;Tag&gt;5&lt;/Tag&gt;&lt;Author&gt;Karthikeyan, Perumal; Meenakshi, Sankaran&lt;/Author&gt;&lt;Year&gt;2019&lt;/Year&gt;&lt;Details&gt;&lt;_alternate_title&gt;Environmental Nanotechnology, Monitoring &amp;amp; Management&lt;/_alternate_title&gt;&lt;_created&gt;63667640&lt;/_created&gt;&lt;_date&gt;2019-01-01&lt;/_date&gt;&lt;_date_display&gt;2019&lt;/_date_display&gt;&lt;_doi&gt;https://doi.org/10.1016/j.enmm.2019.100272&lt;/_doi&gt;&lt;_isbn&gt;2215-1532&lt;/_isbn&gt;&lt;_journal&gt;Environmental Nanotechnology, Monitoring &amp;amp; Management&lt;/_journal&gt;&lt;_keywords&gt;Chitosan; Biopolymeric hybrid microspheres; Phosphate; Nitrate; Isotherm&lt;/_keywords&gt;&lt;_modified&gt;63844738&lt;/_modified&gt;&lt;_pages&gt;100272&lt;/_pages&gt;&lt;_url&gt;http://www.sciencedirect.com/science/article/pii/S2215153219301734&lt;/_url&gt;&lt;_volume&gt;12&lt;/_volume&gt;&lt;/Details&gt;&lt;Extra&gt;&lt;DBUID&gt;{F96A950B-833F-4880-A151-76DA2D6A2879}&lt;/DBUID&gt;&lt;/Extra&gt;&lt;/Item&gt;&lt;/References&gt;&lt;/Group&gt;&lt;/Citation&gt;_x000a_"/>
    <w:docVar w:name="NE.Ref{DAC14BEC-895B-4739-A53B-8E69D7D30377}" w:val=" ADDIN NE.Ref.{DAC14BEC-895B-4739-A53B-8E69D7D30377}&lt;Citation&gt;&lt;Group&gt;&lt;References&gt;&lt;Item&gt;&lt;ID&gt;1110&lt;/ID&gt;&lt;UID&gt;{42A45D42-7742-4203-9200-D227D9805EB6}&lt;/UID&gt;&lt;Title&gt;Fabrication and evaluation of a regenerable HFO-doped agricultural waste for enhanced adsorption affinity towards phosphate&lt;/Title&gt;&lt;Template&gt;Journal Article&lt;/Template&gt;&lt;Star&gt;1&lt;/Star&gt;&lt;Tag&gt;5&lt;/Tag&gt;&lt;Author&gt;Qiu, Hui; Ni, Wenxiang; Zhang, Haihan; Chen, Kai; Yu, Jiacheng&lt;/Author&gt;&lt;Year&gt;2020&lt;/Year&gt;&lt;Details&gt;&lt;_accessed&gt;63849070&lt;/_accessed&gt;&lt;_author_adr&gt;Collaborative Innovation Center of Atmospheric Environment and Equipment Technology, Jiangsu Key Laboratory of Atmospheric Environment Monitoring and Pollution Control, School of Environmental Science and Engineering, Nanjing University of Information Science &amp;amp; Technology, 219 Ningliu Road, Nanjing 210044, China.;;Shaanxi Key Laboratory of Environmental Engineering, Key Laboratory of Northwest Water Resource, Environment and Ecology, MOE, Xi&amp;apos;an University of Architecture and Technology, Xi&amp;apos;an 710055, China.&lt;/_author_adr&gt;&lt;_collection_scope&gt;SCI;SCIE;EI&lt;/_collection_scope&gt;&lt;_created&gt;63849035&lt;/_created&gt;&lt;_db_provider&gt;CNKI&lt;/_db_provider&gt;&lt;_doi&gt;10.1016/j.scitotenv.2019.135493 &lt;/_doi&gt;&lt;_impact_factor&gt;   6.551&lt;/_impact_factor&gt;&lt;_isbn&gt;0048-9697&lt;/_isbn&gt;&lt;_journal&gt;Science of the Total Environment&lt;/_journal&gt;&lt;_keywords&gt;Biomass;Iron oxides;Preference;Phosphate;Regenerable&lt;/_keywords&gt;&lt;_modified&gt;63849070&lt;/_modified&gt;&lt;_volume&gt;703&lt;/_volume&gt;&lt;/Details&gt;&lt;Extra&gt;&lt;DBUID&gt;{F96A950B-833F-4880-A151-76DA2D6A2879}&lt;/DBUID&gt;&lt;/Extra&gt;&lt;/Item&gt;&lt;/References&gt;&lt;/Group&gt;&lt;/Citation&gt;_x000a_"/>
    <w:docVar w:name="NE.Ref{E5522026-0C16-4B1D-A91C-56DD68FD0ECA}" w:val=" ADDIN NE.Ref.{E5522026-0C16-4B1D-A91C-56DD68FD0ECA}&lt;Citation&gt;&lt;Group&gt;&lt;References&gt;&lt;Item&gt;&lt;ID&gt;765&lt;/ID&gt;&lt;UID&gt;{EE80828F-2292-48DE-A86A-D8A239F56455}&lt;/UID&gt;&lt;Title&gt;Adsorptive performance of lanthanum encapsulated biopolymer chitosan-kaolin clay hybrid composite for the recovery of nitrate and phosphate from water&lt;/Title&gt;&lt;Template&gt;Journal Article&lt;/Template&gt;&lt;Star&gt;1&lt;/Star&gt;&lt;Tag&gt;5&lt;/Tag&gt;&lt;Author&gt;Banu, Hyder Ali Thagira; Karthikeyan, Perumal; Vigneshwaran, Sivakumar; Meenakshi, Sankaran&lt;/Author&gt;&lt;Year&gt;2020&lt;/Year&gt;&lt;Details&gt;&lt;_alternate_title&gt;International Journal of Biological Macromolecules&lt;/_alternate_title&gt;&lt;_collection_scope&gt;SCI;SCIE&lt;/_collection_scope&gt;&lt;_created&gt;63667729&lt;/_created&gt;&lt;_date&gt;2020-01-01&lt;/_date&gt;&lt;_date_display&gt;2020&lt;/_date_display&gt;&lt;_doi&gt;https://doi.org/10.1016/j.ijbiomac.2020.03.074&lt;/_doi&gt;&lt;_impact_factor&gt;   5.162&lt;/_impact_factor&gt;&lt;_isbn&gt;0141-8130&lt;/_isbn&gt;&lt;_journal&gt;International Journal of Biological Macromolecules&lt;/_journal&gt;&lt;_keywords&gt;Chitosan; Composite; Adsorption; Phosphate; Nitrate&lt;/_keywords&gt;&lt;_modified&gt;63844740&lt;/_modified&gt;&lt;_pages&gt;188-197&lt;/_pages&gt;&lt;_url&gt;http://www.sciencedirect.com/science/article/pii/S0141813020308631&lt;/_url&gt;&lt;_volume&gt;154&lt;/_volume&gt;&lt;/Details&gt;&lt;Extra&gt;&lt;DBUID&gt;{F96A950B-833F-4880-A151-76DA2D6A2879}&lt;/DBUID&gt;&lt;/Extra&gt;&lt;/Item&gt;&lt;/References&gt;&lt;/Group&gt;&lt;/Citation&gt;_x000a_"/>
    <w:docVar w:name="NE.Ref{E6A1BBB2-DB5E-44A9-A60C-1AE45B2D375D}" w:val=" ADDIN NE.Ref.{E6A1BBB2-DB5E-44A9-A60C-1AE45B2D375D}&lt;Citation&gt;&lt;Group&gt;&lt;References&gt;&lt;Item&gt;&lt;ID&gt;772&lt;/ID&gt;&lt;UID&gt;{0C136715-3FE3-42E6-9824-17E16FEAE1BF}&lt;/UID&gt;&lt;Title&gt;Synthesis optimization of hybrid anion exchanger containing triethylamine functional groups and hydrated Fe(III) oxide nanoparticles for simultaneous nitrate and phosphate removal&lt;/Title&gt;&lt;Template&gt;Journal Article&lt;/Template&gt;&lt;Star&gt;1&lt;/Star&gt;&lt;Tag&gt;5&lt;/Tag&gt;&lt;Author&gt;Wiriyathamcharoen, Surases; Sarkar, Sudipta; Jiemvarangkul, Pijit; Trung, Thanh Nguyen; Klysubun, Wantana; Padungthon, Surapol&lt;/Author&gt;&lt;Year&gt;2020&lt;/Year&gt;&lt;Details&gt;&lt;_accession_num&gt;WOS:000499066900060_x000d__x000a_ER&lt;/_accession_num&gt;&lt;_collection_scope&gt;SCI;SCIE;EI&lt;/_collection_scope&gt;&lt;_created&gt;63667754&lt;/_created&gt;&lt;_date_display&gt;2020, FEB 1&lt;/_date_display&gt;&lt;_db_provider&gt;ISI&lt;/_db_provider&gt;&lt;_doi&gt;10.1016/j.cej.2019.122671&lt;/_doi&gt;&lt;_impact_factor&gt;  10.652&lt;/_impact_factor&gt;&lt;_isbn&gt;1385-8947&lt;/_isbn&gt;&lt;_issue&gt;122671&lt;/_issue&gt;&lt;_journal&gt;CHEMICAL ENGINEERING JOURNAL&lt;/_journal&gt;&lt;_modified&gt;63844772&lt;/_modified&gt;&lt;_pages&gt;122671&lt;/_pages&gt;&lt;_url&gt;http://gateway.isiknowledge.com/gateway/Gateway.cgi?GWVersion=2&amp;amp;SrcAuth=AegeanSoftware&amp;amp;SrcApp=NoteExpress&amp;amp;DestLinkType=FullRecord&amp;amp;DestApp=WOS&amp;amp;KeyUT=000499066900060&lt;/_url&gt;&lt;_volume&gt;381&lt;/_volume&gt;&lt;/Details&gt;&lt;Extra&gt;&lt;DBUID&gt;{F96A950B-833F-4880-A151-76DA2D6A2879}&lt;/DBUID&gt;&lt;/Extra&gt;&lt;/Item&gt;&lt;/References&gt;&lt;/Group&gt;&lt;/Citation&gt;_x000a_"/>
    <w:docVar w:name="NE.Ref{FB174B0F-5875-48CD-AC58-D450813742AD}" w:val=" ADDIN NE.Ref.{FB174B0F-5875-48CD-AC58-D450813742AD}&lt;Citation&gt;&lt;Group&gt;&lt;References&gt;&lt;Item&gt;&lt;ID&gt;738&lt;/ID&gt;&lt;UID&gt;{CA15B6ED-E2CD-4704-9B04-816886FBCB5B}&lt;/UID&gt;&lt;Title&gt;A novel amphoteric beta-cyclodextrin-based adsorbent for simultaneous removal of cationic/anionic dyes and bisphenol A&lt;/Title&gt;&lt;Template&gt;Journal Article&lt;/Template&gt;&lt;Star&gt;1&lt;/Star&gt;&lt;Tag&gt;5&lt;/Tag&gt;&lt;Author&gt;Zhou, Yanbo; Hu, Yonghua; Huang, Weiwei; Cheng, Guang; Cui, Changzheng; Lu, Jun&lt;/Author&gt;&lt;Year&gt;2018&lt;/Year&gt;&lt;Details&gt;&lt;_accessed&gt;63851019&lt;/_accessed&gt;&lt;_accession_num&gt;WOS:000445561100005_x000d__x000a_ER&lt;/_accession_num&gt;&lt;_cited_count&gt;41&lt;/_cited_count&gt;&lt;_collection_scope&gt;SCI;SCIE;EI&lt;/_collection_scope&gt;&lt;_created&gt;63392219&lt;/_created&gt;&lt;_date_display&gt;2018, JUN 1 2018&lt;/_date_display&gt;&lt;_db_provider&gt;ISI&lt;/_db_provider&gt;&lt;_doi&gt;10.1016/j.cej.2018.01.155&lt;/_doi&gt;&lt;_impact_factor&gt;  10.652&lt;/_impact_factor&gt;&lt;_isbn&gt;1385-8947&lt;/_isbn&gt;&lt;_journal&gt;CHEMICAL ENGINEERING JOURNAL&lt;/_journal&gt;&lt;_modified&gt;63851019&lt;/_modified&gt;&lt;_pages&gt;47-57&lt;/_pages&gt;&lt;_url&gt;http://gateway.isiknowledge.com/gateway/Gateway.cgi?GWVersion=2&amp;amp;SrcAuth=AegeanSoftware&amp;amp;SrcApp=NoteExpress&amp;amp;DestLinkType=FullRecord&amp;amp;DestApp=WOS&amp;amp;KeyUT=000445561100005&lt;/_url&gt;&lt;_volume&gt;341&lt;/_volume&gt;&lt;/Details&gt;&lt;Extra&gt;&lt;DBUID&gt;{F96A950B-833F-4880-A151-76DA2D6A2879}&lt;/DBUID&gt;&lt;/Extra&gt;&lt;/Item&gt;&lt;/References&gt;&lt;/Group&gt;&lt;/Citation&gt;_x000a_"/>
    <w:docVar w:name="ne_stylename" w:val="Chinese Chemical Letters New"/>
  </w:docVars>
  <w:rsids>
    <w:rsidRoot w:val="001A1B3B"/>
    <w:rsid w:val="00000C01"/>
    <w:rsid w:val="00004B2B"/>
    <w:rsid w:val="00010663"/>
    <w:rsid w:val="00014B9C"/>
    <w:rsid w:val="00015DE7"/>
    <w:rsid w:val="00023E0B"/>
    <w:rsid w:val="00027D9B"/>
    <w:rsid w:val="000362A7"/>
    <w:rsid w:val="00052B96"/>
    <w:rsid w:val="0005454A"/>
    <w:rsid w:val="00060C82"/>
    <w:rsid w:val="0006527E"/>
    <w:rsid w:val="00075BBF"/>
    <w:rsid w:val="000816D9"/>
    <w:rsid w:val="000845EC"/>
    <w:rsid w:val="00094318"/>
    <w:rsid w:val="00096396"/>
    <w:rsid w:val="0009650D"/>
    <w:rsid w:val="000A5571"/>
    <w:rsid w:val="000A5717"/>
    <w:rsid w:val="000B03D4"/>
    <w:rsid w:val="000B6930"/>
    <w:rsid w:val="000C4B97"/>
    <w:rsid w:val="000E5CDE"/>
    <w:rsid w:val="00101B6D"/>
    <w:rsid w:val="00102336"/>
    <w:rsid w:val="00102A0C"/>
    <w:rsid w:val="00103073"/>
    <w:rsid w:val="0011051A"/>
    <w:rsid w:val="0011773E"/>
    <w:rsid w:val="00120D54"/>
    <w:rsid w:val="00121532"/>
    <w:rsid w:val="00126BBD"/>
    <w:rsid w:val="00132A0C"/>
    <w:rsid w:val="0014183A"/>
    <w:rsid w:val="0015352E"/>
    <w:rsid w:val="001577E8"/>
    <w:rsid w:val="00162D6E"/>
    <w:rsid w:val="00194056"/>
    <w:rsid w:val="001A1B3B"/>
    <w:rsid w:val="001A4AE6"/>
    <w:rsid w:val="001A7B96"/>
    <w:rsid w:val="001B0CFA"/>
    <w:rsid w:val="001B2FF6"/>
    <w:rsid w:val="001C0158"/>
    <w:rsid w:val="001C527F"/>
    <w:rsid w:val="001C6E6B"/>
    <w:rsid w:val="001C70AD"/>
    <w:rsid w:val="001F199C"/>
    <w:rsid w:val="001F749F"/>
    <w:rsid w:val="001F7647"/>
    <w:rsid w:val="00204858"/>
    <w:rsid w:val="00216DF7"/>
    <w:rsid w:val="00234DEE"/>
    <w:rsid w:val="00236E6A"/>
    <w:rsid w:val="00241E0B"/>
    <w:rsid w:val="00243DFF"/>
    <w:rsid w:val="00255B8E"/>
    <w:rsid w:val="00272029"/>
    <w:rsid w:val="00272FC7"/>
    <w:rsid w:val="00284751"/>
    <w:rsid w:val="00296876"/>
    <w:rsid w:val="002A4123"/>
    <w:rsid w:val="002D6DC4"/>
    <w:rsid w:val="002E1D8F"/>
    <w:rsid w:val="002E67A8"/>
    <w:rsid w:val="003011EC"/>
    <w:rsid w:val="003027A2"/>
    <w:rsid w:val="003100FC"/>
    <w:rsid w:val="0031473A"/>
    <w:rsid w:val="003156E0"/>
    <w:rsid w:val="0032373D"/>
    <w:rsid w:val="0034520D"/>
    <w:rsid w:val="00346FB3"/>
    <w:rsid w:val="00347DBE"/>
    <w:rsid w:val="0035393B"/>
    <w:rsid w:val="003657DA"/>
    <w:rsid w:val="003661EF"/>
    <w:rsid w:val="00367DB7"/>
    <w:rsid w:val="00374618"/>
    <w:rsid w:val="003772BB"/>
    <w:rsid w:val="003813BA"/>
    <w:rsid w:val="0038525D"/>
    <w:rsid w:val="003853BA"/>
    <w:rsid w:val="00394899"/>
    <w:rsid w:val="00396EB1"/>
    <w:rsid w:val="003A266B"/>
    <w:rsid w:val="003A469F"/>
    <w:rsid w:val="003B38DC"/>
    <w:rsid w:val="003B61E8"/>
    <w:rsid w:val="003B713C"/>
    <w:rsid w:val="003C6350"/>
    <w:rsid w:val="003D5540"/>
    <w:rsid w:val="00412C91"/>
    <w:rsid w:val="004168B9"/>
    <w:rsid w:val="00430921"/>
    <w:rsid w:val="00441D5C"/>
    <w:rsid w:val="00486FCF"/>
    <w:rsid w:val="004A1FC3"/>
    <w:rsid w:val="004A2CB6"/>
    <w:rsid w:val="004A67A1"/>
    <w:rsid w:val="004A6935"/>
    <w:rsid w:val="004B28DB"/>
    <w:rsid w:val="004B6F05"/>
    <w:rsid w:val="004C2D24"/>
    <w:rsid w:val="004D0F1A"/>
    <w:rsid w:val="004D2C86"/>
    <w:rsid w:val="004D3F8F"/>
    <w:rsid w:val="004D791B"/>
    <w:rsid w:val="004E4F63"/>
    <w:rsid w:val="004E7F0F"/>
    <w:rsid w:val="004F79FE"/>
    <w:rsid w:val="004F7BD9"/>
    <w:rsid w:val="00514190"/>
    <w:rsid w:val="00514E78"/>
    <w:rsid w:val="005164E0"/>
    <w:rsid w:val="00522B40"/>
    <w:rsid w:val="00531BA9"/>
    <w:rsid w:val="00532D5F"/>
    <w:rsid w:val="005354E8"/>
    <w:rsid w:val="00537DE9"/>
    <w:rsid w:val="00541012"/>
    <w:rsid w:val="00541E25"/>
    <w:rsid w:val="00546D3B"/>
    <w:rsid w:val="00551545"/>
    <w:rsid w:val="00551641"/>
    <w:rsid w:val="00557097"/>
    <w:rsid w:val="0057203D"/>
    <w:rsid w:val="00573150"/>
    <w:rsid w:val="00590114"/>
    <w:rsid w:val="005917A1"/>
    <w:rsid w:val="00593F81"/>
    <w:rsid w:val="00595E37"/>
    <w:rsid w:val="005A10BD"/>
    <w:rsid w:val="005A57CF"/>
    <w:rsid w:val="005B07A0"/>
    <w:rsid w:val="005B3A8F"/>
    <w:rsid w:val="005B438A"/>
    <w:rsid w:val="005C3238"/>
    <w:rsid w:val="005C519E"/>
    <w:rsid w:val="005C568F"/>
    <w:rsid w:val="005C7436"/>
    <w:rsid w:val="005D5AD6"/>
    <w:rsid w:val="005E33E1"/>
    <w:rsid w:val="005E79C9"/>
    <w:rsid w:val="00600395"/>
    <w:rsid w:val="006076CE"/>
    <w:rsid w:val="00623519"/>
    <w:rsid w:val="006236E8"/>
    <w:rsid w:val="00644952"/>
    <w:rsid w:val="00652BB6"/>
    <w:rsid w:val="00663B1D"/>
    <w:rsid w:val="006654E6"/>
    <w:rsid w:val="006658D9"/>
    <w:rsid w:val="00676B6D"/>
    <w:rsid w:val="00676C45"/>
    <w:rsid w:val="0067776E"/>
    <w:rsid w:val="00680C65"/>
    <w:rsid w:val="00690AA0"/>
    <w:rsid w:val="006A4348"/>
    <w:rsid w:val="006B39DA"/>
    <w:rsid w:val="006B7C69"/>
    <w:rsid w:val="006C1EDD"/>
    <w:rsid w:val="006C7969"/>
    <w:rsid w:val="006D336B"/>
    <w:rsid w:val="006F3C93"/>
    <w:rsid w:val="007106DF"/>
    <w:rsid w:val="007107AA"/>
    <w:rsid w:val="00711595"/>
    <w:rsid w:val="0071647E"/>
    <w:rsid w:val="00717B35"/>
    <w:rsid w:val="0073111E"/>
    <w:rsid w:val="00732A14"/>
    <w:rsid w:val="00750B0D"/>
    <w:rsid w:val="0077249C"/>
    <w:rsid w:val="00773827"/>
    <w:rsid w:val="0077524C"/>
    <w:rsid w:val="0077687D"/>
    <w:rsid w:val="00776B2A"/>
    <w:rsid w:val="00777546"/>
    <w:rsid w:val="00780050"/>
    <w:rsid w:val="007A20D9"/>
    <w:rsid w:val="007D2D9C"/>
    <w:rsid w:val="007D3812"/>
    <w:rsid w:val="007D7BA6"/>
    <w:rsid w:val="007E5F95"/>
    <w:rsid w:val="007E633E"/>
    <w:rsid w:val="007E7A0E"/>
    <w:rsid w:val="00826CC2"/>
    <w:rsid w:val="00833737"/>
    <w:rsid w:val="00833790"/>
    <w:rsid w:val="008348DE"/>
    <w:rsid w:val="00836B45"/>
    <w:rsid w:val="00856032"/>
    <w:rsid w:val="00857B4F"/>
    <w:rsid w:val="008635C3"/>
    <w:rsid w:val="008763D9"/>
    <w:rsid w:val="008772E4"/>
    <w:rsid w:val="00890051"/>
    <w:rsid w:val="008963BA"/>
    <w:rsid w:val="008A1FB7"/>
    <w:rsid w:val="008A23A2"/>
    <w:rsid w:val="008B05FD"/>
    <w:rsid w:val="008C2B16"/>
    <w:rsid w:val="008D7293"/>
    <w:rsid w:val="008D7A55"/>
    <w:rsid w:val="008E3796"/>
    <w:rsid w:val="008E5A0B"/>
    <w:rsid w:val="008F24F2"/>
    <w:rsid w:val="0090317B"/>
    <w:rsid w:val="00906AC8"/>
    <w:rsid w:val="00906E7F"/>
    <w:rsid w:val="009176E6"/>
    <w:rsid w:val="009255D3"/>
    <w:rsid w:val="00931FE7"/>
    <w:rsid w:val="0093668E"/>
    <w:rsid w:val="00943ACD"/>
    <w:rsid w:val="00944198"/>
    <w:rsid w:val="009501C6"/>
    <w:rsid w:val="0095544A"/>
    <w:rsid w:val="00973C16"/>
    <w:rsid w:val="00975044"/>
    <w:rsid w:val="0099177F"/>
    <w:rsid w:val="00997129"/>
    <w:rsid w:val="009C13E6"/>
    <w:rsid w:val="009D1901"/>
    <w:rsid w:val="009D76D6"/>
    <w:rsid w:val="009E2765"/>
    <w:rsid w:val="009E41F2"/>
    <w:rsid w:val="009E7381"/>
    <w:rsid w:val="009F0087"/>
    <w:rsid w:val="009F4E1C"/>
    <w:rsid w:val="00A0460F"/>
    <w:rsid w:val="00A0594C"/>
    <w:rsid w:val="00A0643A"/>
    <w:rsid w:val="00A11B2D"/>
    <w:rsid w:val="00A12A9D"/>
    <w:rsid w:val="00A22EE3"/>
    <w:rsid w:val="00A34E0B"/>
    <w:rsid w:val="00A41AE1"/>
    <w:rsid w:val="00A566DC"/>
    <w:rsid w:val="00A60D11"/>
    <w:rsid w:val="00A766F0"/>
    <w:rsid w:val="00A87788"/>
    <w:rsid w:val="00A877F5"/>
    <w:rsid w:val="00A87E06"/>
    <w:rsid w:val="00A922B8"/>
    <w:rsid w:val="00A92FD3"/>
    <w:rsid w:val="00AA01C3"/>
    <w:rsid w:val="00AA25F2"/>
    <w:rsid w:val="00AA2852"/>
    <w:rsid w:val="00AC1D4B"/>
    <w:rsid w:val="00AD38A8"/>
    <w:rsid w:val="00AD4687"/>
    <w:rsid w:val="00AE0A94"/>
    <w:rsid w:val="00AE4910"/>
    <w:rsid w:val="00AE7954"/>
    <w:rsid w:val="00AF2844"/>
    <w:rsid w:val="00AF327F"/>
    <w:rsid w:val="00AF6358"/>
    <w:rsid w:val="00B02A3C"/>
    <w:rsid w:val="00B21797"/>
    <w:rsid w:val="00B21EDC"/>
    <w:rsid w:val="00B33CDB"/>
    <w:rsid w:val="00B550E4"/>
    <w:rsid w:val="00B758BE"/>
    <w:rsid w:val="00B913CE"/>
    <w:rsid w:val="00B946AC"/>
    <w:rsid w:val="00B95782"/>
    <w:rsid w:val="00BA1C1B"/>
    <w:rsid w:val="00BA2643"/>
    <w:rsid w:val="00BA3D2F"/>
    <w:rsid w:val="00BA4C5A"/>
    <w:rsid w:val="00BA5E24"/>
    <w:rsid w:val="00BB23F3"/>
    <w:rsid w:val="00BB7F10"/>
    <w:rsid w:val="00BE30C5"/>
    <w:rsid w:val="00BF2548"/>
    <w:rsid w:val="00C000D2"/>
    <w:rsid w:val="00C00A45"/>
    <w:rsid w:val="00C0124A"/>
    <w:rsid w:val="00C01CA5"/>
    <w:rsid w:val="00C0430A"/>
    <w:rsid w:val="00C267A2"/>
    <w:rsid w:val="00C27DB1"/>
    <w:rsid w:val="00C31662"/>
    <w:rsid w:val="00C335F8"/>
    <w:rsid w:val="00C3523F"/>
    <w:rsid w:val="00C358D2"/>
    <w:rsid w:val="00C42152"/>
    <w:rsid w:val="00C46963"/>
    <w:rsid w:val="00C47CBE"/>
    <w:rsid w:val="00C65B38"/>
    <w:rsid w:val="00C9189D"/>
    <w:rsid w:val="00CA3B17"/>
    <w:rsid w:val="00CA6A28"/>
    <w:rsid w:val="00CB5450"/>
    <w:rsid w:val="00CC13C9"/>
    <w:rsid w:val="00CC2B00"/>
    <w:rsid w:val="00CF023D"/>
    <w:rsid w:val="00CF51C5"/>
    <w:rsid w:val="00D025F0"/>
    <w:rsid w:val="00D17673"/>
    <w:rsid w:val="00D24BEA"/>
    <w:rsid w:val="00D27971"/>
    <w:rsid w:val="00D353AF"/>
    <w:rsid w:val="00D44356"/>
    <w:rsid w:val="00D50664"/>
    <w:rsid w:val="00D609D1"/>
    <w:rsid w:val="00D6262E"/>
    <w:rsid w:val="00D63172"/>
    <w:rsid w:val="00D653D1"/>
    <w:rsid w:val="00D65567"/>
    <w:rsid w:val="00D66415"/>
    <w:rsid w:val="00D949B8"/>
    <w:rsid w:val="00DA2815"/>
    <w:rsid w:val="00DB45C0"/>
    <w:rsid w:val="00DB4DB0"/>
    <w:rsid w:val="00DB5F8C"/>
    <w:rsid w:val="00DC1068"/>
    <w:rsid w:val="00DC4E1B"/>
    <w:rsid w:val="00DC6D4F"/>
    <w:rsid w:val="00DD13A3"/>
    <w:rsid w:val="00DD619C"/>
    <w:rsid w:val="00DD7448"/>
    <w:rsid w:val="00DF0423"/>
    <w:rsid w:val="00DF08F7"/>
    <w:rsid w:val="00DF2CFC"/>
    <w:rsid w:val="00E00431"/>
    <w:rsid w:val="00E05E5E"/>
    <w:rsid w:val="00E413A1"/>
    <w:rsid w:val="00E417F5"/>
    <w:rsid w:val="00E454B4"/>
    <w:rsid w:val="00E47765"/>
    <w:rsid w:val="00E50F18"/>
    <w:rsid w:val="00E51D2A"/>
    <w:rsid w:val="00E53EC8"/>
    <w:rsid w:val="00E561E3"/>
    <w:rsid w:val="00E6620F"/>
    <w:rsid w:val="00E7012F"/>
    <w:rsid w:val="00E739A4"/>
    <w:rsid w:val="00E80CBC"/>
    <w:rsid w:val="00E84914"/>
    <w:rsid w:val="00E87030"/>
    <w:rsid w:val="00E94348"/>
    <w:rsid w:val="00EC1035"/>
    <w:rsid w:val="00ED142C"/>
    <w:rsid w:val="00ED65A8"/>
    <w:rsid w:val="00F03708"/>
    <w:rsid w:val="00F072E6"/>
    <w:rsid w:val="00F17A26"/>
    <w:rsid w:val="00F217AA"/>
    <w:rsid w:val="00F31F81"/>
    <w:rsid w:val="00F3677B"/>
    <w:rsid w:val="00F50C54"/>
    <w:rsid w:val="00F53A45"/>
    <w:rsid w:val="00F54CD7"/>
    <w:rsid w:val="00F6493F"/>
    <w:rsid w:val="00F66DB7"/>
    <w:rsid w:val="00F70437"/>
    <w:rsid w:val="00F81BA7"/>
    <w:rsid w:val="00F8250F"/>
    <w:rsid w:val="00F925E5"/>
    <w:rsid w:val="00F95543"/>
    <w:rsid w:val="00FD2F90"/>
    <w:rsid w:val="00FD673A"/>
    <w:rsid w:val="00FD7538"/>
    <w:rsid w:val="00FD7AB1"/>
    <w:rsid w:val="00FE3B27"/>
    <w:rsid w:val="00FE7F93"/>
    <w:rsid w:val="03DC3706"/>
    <w:rsid w:val="26ED3462"/>
    <w:rsid w:val="2B502D22"/>
    <w:rsid w:val="32D93F7C"/>
    <w:rsid w:val="546453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308EC8E"/>
  <w15:docId w15:val="{9DDE02C7-5942-4B42-91D7-A487BA8C7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line number"/>
    <w:basedOn w:val="a0"/>
    <w:uiPriority w:val="99"/>
    <w:semiHidden/>
    <w:unhideWhenUsed/>
    <w:qFormat/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paragraph" w:styleId="af1">
    <w:name w:val="List Paragraph"/>
    <w:basedOn w:val="a"/>
    <w:uiPriority w:val="34"/>
    <w:qFormat/>
    <w:pPr>
      <w:ind w:firstLineChars="200" w:firstLine="420"/>
    </w:pPr>
  </w:style>
  <w:style w:type="character" w:styleId="af2">
    <w:name w:val="Placeholder Text"/>
    <w:basedOn w:val="a0"/>
    <w:uiPriority w:val="99"/>
    <w:semiHidden/>
    <w:qFormat/>
    <w:rPr>
      <w:color w:val="808080"/>
    </w:rPr>
  </w:style>
  <w:style w:type="paragraph" w:customStyle="1" w:styleId="EndNoteBibliographyTitle">
    <w:name w:val="EndNote Bibliography Title"/>
    <w:basedOn w:val="a"/>
    <w:qFormat/>
    <w:pPr>
      <w:jc w:val="center"/>
    </w:pPr>
    <w:rPr>
      <w:rFonts w:ascii="Calibri" w:eastAsia="宋体" w:hAnsi="Calibri" w:cs="Times New Roman"/>
      <w:sz w:val="20"/>
      <w:szCs w:val="24"/>
    </w:rPr>
  </w:style>
  <w:style w:type="character" w:customStyle="1" w:styleId="Char">
    <w:name w:val="公式 Char"/>
    <w:basedOn w:val="a0"/>
    <w:link w:val="af3"/>
    <w:qFormat/>
    <w:locked/>
    <w:rPr>
      <w:szCs w:val="21"/>
    </w:rPr>
  </w:style>
  <w:style w:type="paragraph" w:customStyle="1" w:styleId="af3">
    <w:name w:val="公式"/>
    <w:link w:val="Char"/>
    <w:qFormat/>
    <w:pPr>
      <w:tabs>
        <w:tab w:val="right" w:pos="8400"/>
      </w:tabs>
      <w:adjustRightInd w:val="0"/>
      <w:spacing w:line="360" w:lineRule="auto"/>
    </w:pPr>
    <w:rPr>
      <w:rFonts w:asciiTheme="minorHAnsi" w:eastAsiaTheme="minorEastAsia" w:hAnsiTheme="minorHAnsi" w:cstheme="minorBidi"/>
      <w:kern w:val="2"/>
      <w:sz w:val="21"/>
      <w:szCs w:val="21"/>
    </w:rPr>
  </w:style>
  <w:style w:type="table" w:customStyle="1" w:styleId="4-11">
    <w:name w:val="网格表 4 - 着色 11"/>
    <w:basedOn w:val="a1"/>
    <w:uiPriority w:val="49"/>
    <w:qFormat/>
    <w:tblPr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B9BD5" w:themeColor="accent1"/>
          <w:left w:val="single" w:sz="4" w:space="0" w:color="5B9BD5" w:themeColor="accent1"/>
          <w:bottom w:val="single" w:sz="4" w:space="0" w:color="5B9BD5" w:themeColor="accent1"/>
          <w:right w:val="single" w:sz="4" w:space="0" w:color="5B9BD5" w:themeColor="accent1"/>
          <w:insideH w:val="nil"/>
          <w:insideV w:val="nil"/>
        </w:tcBorders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nyongjun@njtech.edu.c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mailto:sunadnmoon19960203@163.co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06E7B9-032C-4B82-AB2A-BAC46FB972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6</Pages>
  <Words>352</Words>
  <Characters>2013</Characters>
  <Application>Microsoft Office Word</Application>
  <DocSecurity>0</DocSecurity>
  <Lines>16</Lines>
  <Paragraphs>4</Paragraphs>
  <ScaleCrop>false</ScaleCrop>
  <Company>DoubleOX</Company>
  <LinksUpToDate>false</LinksUpToDate>
  <CharactersWithSpaces>2361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dc:description>NE.Rep</dc:description>
  <cp:lastModifiedBy>being</cp:lastModifiedBy>
  <cp:revision>60</cp:revision>
  <dcterms:created xsi:type="dcterms:W3CDTF">2021-06-09T08:06:00Z</dcterms:created>
  <dcterms:modified xsi:type="dcterms:W3CDTF">2021-07-11T11:10:00Z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