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Grigliatabella"/>
        <w:tblpPr w:leftFromText="142" w:rightFromText="142" w:vertAnchor="page" w:horzAnchor="margin" w:tblpY="1320"/>
        <w:tblW w:w="0" w:type="auto"/>
        <w:tblLook w:val="04A0" w:firstRow="1" w:lastRow="0" w:firstColumn="1" w:lastColumn="0" w:noHBand="0" w:noVBand="1"/>
      </w:tblPr>
      <w:tblGrid>
        <w:gridCol w:w="298"/>
        <w:gridCol w:w="726"/>
        <w:gridCol w:w="1014"/>
        <w:gridCol w:w="2124"/>
        <w:gridCol w:w="1534"/>
        <w:gridCol w:w="992"/>
        <w:gridCol w:w="1342"/>
        <w:gridCol w:w="2014"/>
        <w:gridCol w:w="3193"/>
        <w:gridCol w:w="1022"/>
      </w:tblGrid>
      <w:tr w:rsidR="005821B9" w:rsidRPr="00671136" w14:paraId="4F90FE45" w14:textId="77777777" w:rsidTr="005B0454">
        <w:tc>
          <w:tcPr>
            <w:tcW w:w="0" w:type="auto"/>
          </w:tcPr>
          <w:p w14:paraId="10D80F61" w14:textId="77777777" w:rsidR="00216E80" w:rsidRPr="00671136" w:rsidRDefault="00216E80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</w:tcPr>
          <w:p w14:paraId="4BD2C25F" w14:textId="77777777" w:rsidR="00216E80" w:rsidRPr="00671136" w:rsidRDefault="00216E80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First Author</w:t>
            </w:r>
          </w:p>
        </w:tc>
        <w:tc>
          <w:tcPr>
            <w:tcW w:w="0" w:type="auto"/>
          </w:tcPr>
          <w:p w14:paraId="6F7790F3" w14:textId="1DAB7CBD" w:rsidR="00216E80" w:rsidRPr="00671136" w:rsidRDefault="00216E80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Journal, Year,</w:t>
            </w:r>
          </w:p>
          <w:p w14:paraId="59009D55" w14:textId="77777777" w:rsidR="00216E80" w:rsidRPr="00671136" w:rsidRDefault="00216E80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PMID</w:t>
            </w:r>
          </w:p>
        </w:tc>
        <w:tc>
          <w:tcPr>
            <w:tcW w:w="0" w:type="auto"/>
          </w:tcPr>
          <w:p w14:paraId="07A0A4D1" w14:textId="77777777" w:rsidR="00216E80" w:rsidRPr="00671136" w:rsidRDefault="00216E80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Research Question</w:t>
            </w:r>
          </w:p>
        </w:tc>
        <w:tc>
          <w:tcPr>
            <w:tcW w:w="1534" w:type="dxa"/>
          </w:tcPr>
          <w:p w14:paraId="38DF9EB9" w14:textId="77777777" w:rsidR="00216E80" w:rsidRPr="00671136" w:rsidRDefault="00216E80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Design</w:t>
            </w:r>
          </w:p>
        </w:tc>
        <w:tc>
          <w:tcPr>
            <w:tcW w:w="992" w:type="dxa"/>
          </w:tcPr>
          <w:p w14:paraId="75D8ECE8" w14:textId="77777777" w:rsidR="00216E80" w:rsidRPr="00671136" w:rsidRDefault="00216E80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Setting</w:t>
            </w:r>
          </w:p>
        </w:tc>
        <w:tc>
          <w:tcPr>
            <w:tcW w:w="1342" w:type="dxa"/>
          </w:tcPr>
          <w:p w14:paraId="1E0567FC" w14:textId="5A6FDA15" w:rsidR="00216E80" w:rsidRPr="00671136" w:rsidRDefault="00261674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P</w:t>
            </w:r>
            <w:r w:rsidR="00216E80"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eriod (years)/Country</w:t>
            </w:r>
          </w:p>
        </w:tc>
        <w:tc>
          <w:tcPr>
            <w:tcW w:w="0" w:type="auto"/>
          </w:tcPr>
          <w:p w14:paraId="5072F102" w14:textId="77777777" w:rsidR="00216E80" w:rsidRPr="00671136" w:rsidRDefault="00216E80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Patients/Age</w:t>
            </w:r>
          </w:p>
        </w:tc>
        <w:tc>
          <w:tcPr>
            <w:tcW w:w="0" w:type="auto"/>
          </w:tcPr>
          <w:p w14:paraId="6494B7FC" w14:textId="77777777" w:rsidR="00216E80" w:rsidRPr="00671136" w:rsidRDefault="00216E80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Primary </w:t>
            </w:r>
            <w:r w:rsidR="00120BCF"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e</w:t>
            </w:r>
            <w:r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nd</w:t>
            </w:r>
            <w:r w:rsidR="00120BCF"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-</w:t>
            </w:r>
            <w:r w:rsidR="00AF1415"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p</w:t>
            </w:r>
            <w:r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oint</w:t>
            </w:r>
          </w:p>
        </w:tc>
        <w:tc>
          <w:tcPr>
            <w:tcW w:w="0" w:type="auto"/>
          </w:tcPr>
          <w:p w14:paraId="38632BB8" w14:textId="77777777" w:rsidR="00216E80" w:rsidRPr="00671136" w:rsidRDefault="00216E80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Secondary </w:t>
            </w:r>
            <w:r w:rsidR="00120BCF"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e</w:t>
            </w:r>
            <w:r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nd</w:t>
            </w:r>
            <w:r w:rsidR="00120BCF"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-</w:t>
            </w:r>
            <w:r w:rsidR="00AF1415"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p</w:t>
            </w:r>
            <w:r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oint</w:t>
            </w:r>
            <w:r w:rsidR="00AF1415"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s</w:t>
            </w:r>
          </w:p>
        </w:tc>
      </w:tr>
      <w:tr w:rsidR="005821B9" w:rsidRPr="00471E44" w14:paraId="36B06DF8" w14:textId="77777777" w:rsidTr="005B0454">
        <w:tc>
          <w:tcPr>
            <w:tcW w:w="0" w:type="auto"/>
          </w:tcPr>
          <w:p w14:paraId="08778166" w14:textId="77777777" w:rsidR="00AF6C10" w:rsidRPr="00671136" w:rsidRDefault="00AF6C10" w:rsidP="00AF6C10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1</w:t>
            </w:r>
          </w:p>
        </w:tc>
        <w:tc>
          <w:tcPr>
            <w:tcW w:w="0" w:type="auto"/>
          </w:tcPr>
          <w:p w14:paraId="6BABE1D8" w14:textId="77777777" w:rsidR="00AF6C10" w:rsidRDefault="00AF6C10" w:rsidP="00AF6C10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Weber</w:t>
            </w:r>
            <w:r w:rsidR="00A47827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F</w:t>
            </w:r>
          </w:p>
        </w:tc>
        <w:tc>
          <w:tcPr>
            <w:tcW w:w="0" w:type="auto"/>
          </w:tcPr>
          <w:p w14:paraId="3C0419B9" w14:textId="77777777" w:rsidR="00A47827" w:rsidRPr="00671136" w:rsidRDefault="00A47827" w:rsidP="00A47827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 xml:space="preserve">Paediatr Anaesth. </w:t>
            </w:r>
            <w:r w:rsidRPr="00671136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201</w:t>
            </w:r>
            <w:r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0</w:t>
            </w:r>
          </w:p>
          <w:p w14:paraId="045BAA99" w14:textId="77777777" w:rsidR="00AF6C10" w:rsidRDefault="00AF6C10" w:rsidP="00AF6C10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20670234</w:t>
            </w:r>
          </w:p>
        </w:tc>
        <w:tc>
          <w:tcPr>
            <w:tcW w:w="0" w:type="auto"/>
          </w:tcPr>
          <w:p w14:paraId="4BAC61A2" w14:textId="77777777" w:rsidR="00AF6C10" w:rsidRDefault="00267D38" w:rsidP="00AF6C10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How NMBA may affect </w:t>
            </w:r>
            <w:r w:rsidR="009B5B37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hypnotic</w:t>
            </w: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agents. </w:t>
            </w:r>
            <w:r w:rsidR="00352C88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Influence of muscle relaxants on BIS and Cerebral State Index (CSI)</w:t>
            </w:r>
          </w:p>
        </w:tc>
        <w:tc>
          <w:tcPr>
            <w:tcW w:w="1534" w:type="dxa"/>
          </w:tcPr>
          <w:p w14:paraId="2F2A6A94" w14:textId="77777777" w:rsidR="00AF6C10" w:rsidRDefault="009B5B37" w:rsidP="00AF6C10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RCT</w:t>
            </w:r>
          </w:p>
          <w:p w14:paraId="09478ABB" w14:textId="77777777" w:rsidR="009B5B37" w:rsidRDefault="009B5B37" w:rsidP="00AF6C10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blinded</w:t>
            </w:r>
          </w:p>
        </w:tc>
        <w:tc>
          <w:tcPr>
            <w:tcW w:w="992" w:type="dxa"/>
          </w:tcPr>
          <w:p w14:paraId="18A1EF0B" w14:textId="77777777" w:rsidR="00AF6C10" w:rsidRDefault="009B5B37" w:rsidP="00AF6C10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Single center</w:t>
            </w:r>
          </w:p>
        </w:tc>
        <w:tc>
          <w:tcPr>
            <w:tcW w:w="1342" w:type="dxa"/>
          </w:tcPr>
          <w:p w14:paraId="175C3AF0" w14:textId="77777777" w:rsidR="00AF6C10" w:rsidRDefault="00ED50D5" w:rsidP="00AF6C10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March 2008-November 2008/ </w:t>
            </w:r>
            <w:r w:rsidR="00A47827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The Netherlands</w:t>
            </w:r>
          </w:p>
        </w:tc>
        <w:tc>
          <w:tcPr>
            <w:tcW w:w="0" w:type="auto"/>
          </w:tcPr>
          <w:p w14:paraId="484DB6AB" w14:textId="77777777" w:rsidR="00AF6C10" w:rsidRDefault="00EE74D0" w:rsidP="00AF6C10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40 Pts/</w:t>
            </w:r>
            <w:r w:rsidR="00267D38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2-12 years</w:t>
            </w:r>
          </w:p>
          <w:p w14:paraId="6865A1C6" w14:textId="77777777" w:rsidR="00267D38" w:rsidRDefault="00267D38" w:rsidP="00AF6C10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Pts scheduled for minor surgery</w:t>
            </w:r>
          </w:p>
        </w:tc>
        <w:tc>
          <w:tcPr>
            <w:tcW w:w="0" w:type="auto"/>
          </w:tcPr>
          <w:p w14:paraId="1DFC191A" w14:textId="77777777" w:rsidR="00AF6C10" w:rsidRDefault="00352C88" w:rsidP="00AF6C10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To detect the influence of muscle relaxant bolus on the BIS and CSI during propofol anesthesia </w:t>
            </w:r>
          </w:p>
        </w:tc>
        <w:tc>
          <w:tcPr>
            <w:tcW w:w="0" w:type="auto"/>
          </w:tcPr>
          <w:p w14:paraId="6B5BAAB2" w14:textId="77777777" w:rsidR="00AF6C10" w:rsidRDefault="00AF6C10" w:rsidP="00AF6C10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</w:p>
        </w:tc>
      </w:tr>
      <w:tr w:rsidR="005821B9" w:rsidRPr="00471E44" w14:paraId="24A1D5A9" w14:textId="77777777" w:rsidTr="005B0454">
        <w:tc>
          <w:tcPr>
            <w:tcW w:w="0" w:type="auto"/>
          </w:tcPr>
          <w:p w14:paraId="29778DF3" w14:textId="77777777" w:rsidR="00216E80" w:rsidRPr="00671136" w:rsidRDefault="00AF6C10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2</w:t>
            </w:r>
          </w:p>
        </w:tc>
        <w:tc>
          <w:tcPr>
            <w:tcW w:w="0" w:type="auto"/>
          </w:tcPr>
          <w:p w14:paraId="6A8D685C" w14:textId="77777777" w:rsidR="00216E80" w:rsidRPr="00671136" w:rsidRDefault="002A3D8A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</w:t>
            </w:r>
            <w:r w:rsidR="00D8076C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Janda M</w:t>
            </w:r>
          </w:p>
        </w:tc>
        <w:tc>
          <w:tcPr>
            <w:tcW w:w="0" w:type="auto"/>
          </w:tcPr>
          <w:p w14:paraId="4DE97D65" w14:textId="77777777" w:rsidR="00216E80" w:rsidRPr="00671136" w:rsidRDefault="00D8076C" w:rsidP="000412B8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P</w:t>
            </w:r>
            <w:r w:rsidR="001433CC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a</w:t>
            </w:r>
            <w:r w:rsidR="00A60224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e</w:t>
            </w:r>
            <w:r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diatr An</w:t>
            </w:r>
            <w:r w:rsidR="001433CC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a</w:t>
            </w:r>
            <w:r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esth</w:t>
            </w:r>
            <w:r w:rsidR="00A60224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.</w:t>
            </w:r>
            <w:r w:rsidR="002A3D8A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 xml:space="preserve"> </w:t>
            </w:r>
            <w:r w:rsidR="006852EC" w:rsidRPr="00671136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201</w:t>
            </w:r>
            <w:r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</w:t>
            </w:r>
          </w:p>
          <w:p w14:paraId="117C5BB8" w14:textId="77777777" w:rsidR="006852EC" w:rsidRPr="00671136" w:rsidRDefault="00D8076C" w:rsidP="002A3D8A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 xml:space="preserve"> </w:t>
            </w:r>
            <w:r>
              <w:t xml:space="preserve"> </w:t>
            </w:r>
            <w:r w:rsidRPr="00D8076C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23910069</w:t>
            </w:r>
          </w:p>
        </w:tc>
        <w:tc>
          <w:tcPr>
            <w:tcW w:w="0" w:type="auto"/>
          </w:tcPr>
          <w:p w14:paraId="6AD75504" w14:textId="77777777" w:rsidR="00040A3F" w:rsidRPr="00671136" w:rsidRDefault="00A60224" w:rsidP="0005466A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The </w:t>
            </w:r>
            <w:r w:rsidR="00654504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impact</w:t>
            </w:r>
            <w:r w:rsidR="00B877B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of muscle relaxants on </w:t>
            </w:r>
            <w:r w:rsidR="00112FF0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stress response </w:t>
            </w:r>
            <w:r w:rsidR="00B877B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to </w:t>
            </w: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endotracheal intubation in children</w:t>
            </w:r>
            <w:r w:rsidR="008765B8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</w:t>
            </w:r>
          </w:p>
        </w:tc>
        <w:tc>
          <w:tcPr>
            <w:tcW w:w="1534" w:type="dxa"/>
          </w:tcPr>
          <w:p w14:paraId="61E57CFA" w14:textId="77777777" w:rsidR="002A3D8A" w:rsidRDefault="00D8076C" w:rsidP="00D8076C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RCT</w:t>
            </w:r>
          </w:p>
          <w:p w14:paraId="3BF86CD8" w14:textId="77777777" w:rsidR="004E1BE5" w:rsidRPr="00671136" w:rsidRDefault="004E1BE5" w:rsidP="00D8076C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blinded</w:t>
            </w:r>
          </w:p>
        </w:tc>
        <w:tc>
          <w:tcPr>
            <w:tcW w:w="992" w:type="dxa"/>
          </w:tcPr>
          <w:p w14:paraId="44747522" w14:textId="77777777" w:rsidR="00216E80" w:rsidRPr="00671136" w:rsidRDefault="00DB16F9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Single </w:t>
            </w:r>
            <w:r w:rsidR="009B12A1"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center</w:t>
            </w:r>
            <w:r w:rsidR="00AF1415"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</w:t>
            </w:r>
          </w:p>
        </w:tc>
        <w:tc>
          <w:tcPr>
            <w:tcW w:w="1342" w:type="dxa"/>
          </w:tcPr>
          <w:p w14:paraId="42BE6AF3" w14:textId="77777777" w:rsidR="00216E80" w:rsidRPr="00671136" w:rsidRDefault="00DB16F9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Germany</w:t>
            </w:r>
          </w:p>
        </w:tc>
        <w:tc>
          <w:tcPr>
            <w:tcW w:w="0" w:type="auto"/>
          </w:tcPr>
          <w:p w14:paraId="1E19BEB3" w14:textId="77777777" w:rsidR="003C7FEE" w:rsidRDefault="00D05BA2" w:rsidP="003C7FEE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38</w:t>
            </w:r>
            <w:r w:rsidR="001F4407"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</w:t>
            </w:r>
            <w:r w:rsidR="00063AC9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Pts</w:t>
            </w:r>
            <w:r w:rsidR="001F4407"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/</w:t>
            </w:r>
            <w:r w:rsidR="003C7F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2-</w:t>
            </w: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6</w:t>
            </w:r>
            <w:r w:rsidR="003C7FEE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years</w:t>
            </w:r>
          </w:p>
          <w:p w14:paraId="5CB5AB5F" w14:textId="77777777" w:rsidR="00063AC9" w:rsidRPr="00671136" w:rsidRDefault="003C7FEE" w:rsidP="003C7FEE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</w:t>
            </w:r>
            <w:r w:rsidR="00063AC9" w:rsidRPr="0067113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Pts </w:t>
            </w:r>
            <w:r w:rsidR="00D05BA2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scheduled for adenotonsillectomy</w:t>
            </w:r>
          </w:p>
        </w:tc>
        <w:tc>
          <w:tcPr>
            <w:tcW w:w="0" w:type="auto"/>
          </w:tcPr>
          <w:p w14:paraId="407C4D41" w14:textId="77777777" w:rsidR="00216E80" w:rsidRPr="00671136" w:rsidRDefault="00040A3F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To </w:t>
            </w:r>
            <w:r w:rsidR="00A60224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analyze the heart rate variability</w:t>
            </w:r>
            <w:r w:rsidR="004E1BE5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(HRV)</w:t>
            </w:r>
            <w:r w:rsidR="00A60224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to </w:t>
            </w:r>
            <w:r w:rsidR="004E1CB8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assess alterations in the</w:t>
            </w:r>
            <w:r w:rsidR="00A60224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sympathovagal balance</w:t>
            </w:r>
          </w:p>
        </w:tc>
        <w:tc>
          <w:tcPr>
            <w:tcW w:w="0" w:type="auto"/>
          </w:tcPr>
          <w:p w14:paraId="7BAC861C" w14:textId="77777777" w:rsidR="00216E80" w:rsidRPr="00671136" w:rsidRDefault="00216E80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</w:p>
        </w:tc>
      </w:tr>
      <w:tr w:rsidR="005821B9" w:rsidRPr="00471E44" w14:paraId="0FE9307E" w14:textId="77777777" w:rsidTr="005B0454">
        <w:tc>
          <w:tcPr>
            <w:tcW w:w="0" w:type="auto"/>
          </w:tcPr>
          <w:p w14:paraId="6F8E870A" w14:textId="77777777" w:rsidR="00D8076C" w:rsidRPr="00671136" w:rsidRDefault="00AF6C10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3</w:t>
            </w:r>
          </w:p>
        </w:tc>
        <w:tc>
          <w:tcPr>
            <w:tcW w:w="0" w:type="auto"/>
          </w:tcPr>
          <w:p w14:paraId="49DF71E2" w14:textId="77777777" w:rsidR="00D8076C" w:rsidRDefault="002B562E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Chin</w:t>
            </w:r>
            <w:r w:rsidR="00592C97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KH</w:t>
            </w:r>
          </w:p>
        </w:tc>
        <w:tc>
          <w:tcPr>
            <w:tcW w:w="0" w:type="auto"/>
          </w:tcPr>
          <w:p w14:paraId="1C20D0A2" w14:textId="77777777" w:rsidR="00592C97" w:rsidRDefault="00592C97" w:rsidP="000412B8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PCCM 2015</w:t>
            </w:r>
          </w:p>
          <w:p w14:paraId="31F08F0D" w14:textId="77777777" w:rsidR="00D8076C" w:rsidRDefault="002B562E" w:rsidP="000412B8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25599147</w:t>
            </w:r>
          </w:p>
        </w:tc>
        <w:tc>
          <w:tcPr>
            <w:tcW w:w="0" w:type="auto"/>
          </w:tcPr>
          <w:p w14:paraId="74ACA209" w14:textId="56DD179B" w:rsidR="00D8076C" w:rsidRDefault="00592C97" w:rsidP="00040A3F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Effect on NMBA in severe traumatic brain injury</w:t>
            </w:r>
            <w:r w:rsidR="00400BEF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(TBI)</w:t>
            </w: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on complication rates and outcomes</w:t>
            </w:r>
          </w:p>
        </w:tc>
        <w:tc>
          <w:tcPr>
            <w:tcW w:w="1534" w:type="dxa"/>
          </w:tcPr>
          <w:p w14:paraId="1DD13BF1" w14:textId="77777777" w:rsidR="00D8076C" w:rsidRDefault="00592C97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Secondary analysis from RCT</w:t>
            </w:r>
          </w:p>
          <w:p w14:paraId="7EF54C03" w14:textId="77777777" w:rsidR="00FF296C" w:rsidRDefault="009327D7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“</w:t>
            </w:r>
            <w:r w:rsidR="00FF296C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Cool Ki</w:t>
            </w: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ds Trial”</w:t>
            </w:r>
          </w:p>
        </w:tc>
        <w:tc>
          <w:tcPr>
            <w:tcW w:w="992" w:type="dxa"/>
          </w:tcPr>
          <w:p w14:paraId="23720986" w14:textId="100E3764" w:rsidR="00400BEF" w:rsidRDefault="00400BEF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Multicenter </w:t>
            </w:r>
          </w:p>
          <w:p w14:paraId="68E42C06" w14:textId="77777777" w:rsidR="00D8076C" w:rsidRDefault="00400BEF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17</w:t>
            </w:r>
            <w:r w:rsidR="006E3060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PICUs</w:t>
            </w:r>
          </w:p>
        </w:tc>
        <w:tc>
          <w:tcPr>
            <w:tcW w:w="1342" w:type="dxa"/>
          </w:tcPr>
          <w:p w14:paraId="1479D3EC" w14:textId="77777777" w:rsidR="00D8076C" w:rsidRDefault="009327D7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USA, </w:t>
            </w:r>
            <w:r w:rsidR="00400BEF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New Zealand</w:t>
            </w: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, Australia</w:t>
            </w:r>
          </w:p>
        </w:tc>
        <w:tc>
          <w:tcPr>
            <w:tcW w:w="0" w:type="auto"/>
          </w:tcPr>
          <w:p w14:paraId="20C3D43C" w14:textId="77777777" w:rsidR="00D8076C" w:rsidRDefault="00D630F0" w:rsidP="003C7FEE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90 Pts</w:t>
            </w:r>
            <w:r w:rsidR="00400BEF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/&lt; 18 years</w:t>
            </w:r>
            <w:r w:rsidR="005821B9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.</w:t>
            </w:r>
            <w:r w:rsidR="00400BEF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Pts with severe TBI</w:t>
            </w:r>
          </w:p>
        </w:tc>
        <w:tc>
          <w:tcPr>
            <w:tcW w:w="0" w:type="auto"/>
          </w:tcPr>
          <w:p w14:paraId="13B1D0ED" w14:textId="28746FD2" w:rsidR="00D8076C" w:rsidRDefault="00592C97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To evaluate</w:t>
            </w:r>
            <w:r w:rsidR="00400BEF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</w:t>
            </w:r>
            <w:r w:rsidR="00261674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the </w:t>
            </w:r>
            <w:r w:rsidR="00400BEF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association between NMBA and intracranial pressure (ICP), complication rates, and outcomes in children with TBI</w:t>
            </w:r>
          </w:p>
        </w:tc>
        <w:tc>
          <w:tcPr>
            <w:tcW w:w="0" w:type="auto"/>
          </w:tcPr>
          <w:p w14:paraId="27A8C062" w14:textId="77777777" w:rsidR="00D8076C" w:rsidRDefault="00D8076C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</w:p>
        </w:tc>
      </w:tr>
      <w:tr w:rsidR="005821B9" w:rsidRPr="00471E44" w14:paraId="48943D57" w14:textId="77777777" w:rsidTr="005B0454">
        <w:tc>
          <w:tcPr>
            <w:tcW w:w="0" w:type="auto"/>
          </w:tcPr>
          <w:p w14:paraId="7FF610C9" w14:textId="77777777" w:rsidR="002B562E" w:rsidRDefault="002B562E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4</w:t>
            </w:r>
          </w:p>
        </w:tc>
        <w:tc>
          <w:tcPr>
            <w:tcW w:w="0" w:type="auto"/>
          </w:tcPr>
          <w:p w14:paraId="1DEEE602" w14:textId="77777777" w:rsidR="002B562E" w:rsidRDefault="002B562E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proofErr w:type="spellStart"/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Glau</w:t>
            </w:r>
            <w:proofErr w:type="spellEnd"/>
            <w:r w:rsidR="00CF2B00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CL</w:t>
            </w:r>
          </w:p>
        </w:tc>
        <w:tc>
          <w:tcPr>
            <w:tcW w:w="0" w:type="auto"/>
          </w:tcPr>
          <w:p w14:paraId="70FA9F49" w14:textId="77777777" w:rsidR="002B562E" w:rsidRDefault="00CF2B00" w:rsidP="000412B8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 xml:space="preserve">PCCM 2018 </w:t>
            </w:r>
            <w:r w:rsidR="002B562E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29406380</w:t>
            </w:r>
          </w:p>
        </w:tc>
        <w:tc>
          <w:tcPr>
            <w:tcW w:w="0" w:type="auto"/>
          </w:tcPr>
          <w:p w14:paraId="59BD9513" w14:textId="77777777" w:rsidR="002B562E" w:rsidRDefault="0079395C" w:rsidP="00040A3F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Degree of diaphragm atrophy in children on MV with and without NMBA</w:t>
            </w:r>
          </w:p>
        </w:tc>
        <w:tc>
          <w:tcPr>
            <w:tcW w:w="1534" w:type="dxa"/>
          </w:tcPr>
          <w:p w14:paraId="590CE6EC" w14:textId="77777777" w:rsidR="002B562E" w:rsidRDefault="00CF2B00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Prospective observational study</w:t>
            </w:r>
          </w:p>
        </w:tc>
        <w:tc>
          <w:tcPr>
            <w:tcW w:w="992" w:type="dxa"/>
          </w:tcPr>
          <w:p w14:paraId="5F03D096" w14:textId="77777777" w:rsidR="002B562E" w:rsidRDefault="00CF2B00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Single center</w:t>
            </w:r>
          </w:p>
        </w:tc>
        <w:tc>
          <w:tcPr>
            <w:tcW w:w="1342" w:type="dxa"/>
          </w:tcPr>
          <w:p w14:paraId="3065F711" w14:textId="77777777" w:rsidR="002B562E" w:rsidRDefault="005821B9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January 2016- April 2017/USA</w:t>
            </w:r>
          </w:p>
        </w:tc>
        <w:tc>
          <w:tcPr>
            <w:tcW w:w="0" w:type="auto"/>
          </w:tcPr>
          <w:p w14:paraId="52C40238" w14:textId="77777777" w:rsidR="002B562E" w:rsidRDefault="002B511F" w:rsidP="003C7FEE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56 Pts/</w:t>
            </w:r>
            <w:r w:rsidR="005821B9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&lt; 18 years. </w:t>
            </w:r>
            <w:r w:rsidR="00CF2B00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Pts with Acute Respiratory Failure MV</w:t>
            </w:r>
            <w:r w:rsidR="005821B9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for &gt;24h</w:t>
            </w:r>
          </w:p>
        </w:tc>
        <w:tc>
          <w:tcPr>
            <w:tcW w:w="0" w:type="auto"/>
          </w:tcPr>
          <w:p w14:paraId="4495FD47" w14:textId="77777777" w:rsidR="002B562E" w:rsidRDefault="0079395C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To evaluate the correlation between diaphragm thickening fraction and spontaneous breathing fraction and the exposure to continuous MNBA</w:t>
            </w:r>
            <w:r w:rsidR="005821B9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/corticosteroids</w:t>
            </w:r>
          </w:p>
        </w:tc>
        <w:tc>
          <w:tcPr>
            <w:tcW w:w="0" w:type="auto"/>
          </w:tcPr>
          <w:p w14:paraId="49226BF4" w14:textId="77777777" w:rsidR="002B562E" w:rsidRDefault="002B562E" w:rsidP="000412B8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</w:p>
        </w:tc>
      </w:tr>
    </w:tbl>
    <w:p w14:paraId="7A021A4E" w14:textId="77777777" w:rsidR="000227C0" w:rsidRPr="0057072C" w:rsidRDefault="000227C0" w:rsidP="00063AC9">
      <w:pPr>
        <w:snapToGrid w:val="0"/>
        <w:contextualSpacing/>
        <w:rPr>
          <w:rFonts w:asciiTheme="minorHAnsi" w:hAnsiTheme="minorHAnsi" w:cstheme="minorHAnsi"/>
          <w:sz w:val="16"/>
          <w:szCs w:val="16"/>
          <w:lang w:val="en-US"/>
        </w:rPr>
      </w:pPr>
    </w:p>
    <w:tbl>
      <w:tblPr>
        <w:tblStyle w:val="Grigliatabella"/>
        <w:tblpPr w:leftFromText="142" w:rightFromText="142" w:vertAnchor="text" w:horzAnchor="margin" w:tblpY="-10"/>
        <w:tblW w:w="0" w:type="auto"/>
        <w:tblLook w:val="04A0" w:firstRow="1" w:lastRow="0" w:firstColumn="1" w:lastColumn="0" w:noHBand="0" w:noVBand="1"/>
      </w:tblPr>
      <w:tblGrid>
        <w:gridCol w:w="298"/>
        <w:gridCol w:w="1609"/>
        <w:gridCol w:w="1348"/>
        <w:gridCol w:w="5412"/>
        <w:gridCol w:w="2243"/>
        <w:gridCol w:w="1738"/>
        <w:gridCol w:w="1611"/>
      </w:tblGrid>
      <w:tr w:rsidR="008765B8" w:rsidRPr="001730CC" w14:paraId="6DCE8949" w14:textId="77777777" w:rsidTr="00B15688">
        <w:trPr>
          <w:trHeight w:val="416"/>
        </w:trPr>
        <w:tc>
          <w:tcPr>
            <w:tcW w:w="0" w:type="auto"/>
          </w:tcPr>
          <w:p w14:paraId="3DB80B29" w14:textId="77777777" w:rsidR="00422654" w:rsidRPr="001730CC" w:rsidRDefault="00422654" w:rsidP="00422654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</w:tcPr>
          <w:p w14:paraId="5891023A" w14:textId="77777777" w:rsidR="00422654" w:rsidRPr="001730CC" w:rsidRDefault="00422654" w:rsidP="00422654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1730CC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Intervention</w:t>
            </w:r>
            <w:r w:rsidR="00BD70DD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/Method</w:t>
            </w:r>
          </w:p>
        </w:tc>
        <w:tc>
          <w:tcPr>
            <w:tcW w:w="1348" w:type="dxa"/>
          </w:tcPr>
          <w:p w14:paraId="4E0F5F35" w14:textId="77777777" w:rsidR="00422654" w:rsidRPr="001730CC" w:rsidRDefault="00422654" w:rsidP="00422654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1730CC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Control Group</w:t>
            </w:r>
            <w:r w:rsidR="00BD70DD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/ Comparison group</w:t>
            </w:r>
          </w:p>
        </w:tc>
        <w:tc>
          <w:tcPr>
            <w:tcW w:w="5412" w:type="dxa"/>
          </w:tcPr>
          <w:p w14:paraId="3EC462EC" w14:textId="77777777" w:rsidR="00422654" w:rsidRPr="001730CC" w:rsidRDefault="00422654" w:rsidP="00422654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1730CC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Main Results</w:t>
            </w:r>
          </w:p>
        </w:tc>
        <w:tc>
          <w:tcPr>
            <w:tcW w:w="2243" w:type="dxa"/>
          </w:tcPr>
          <w:p w14:paraId="0F13DC71" w14:textId="77777777" w:rsidR="00422654" w:rsidRPr="001730CC" w:rsidRDefault="00422654" w:rsidP="00422654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1730CC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Measurements</w:t>
            </w:r>
          </w:p>
          <w:p w14:paraId="07FC9353" w14:textId="77777777" w:rsidR="00422654" w:rsidRPr="001730CC" w:rsidRDefault="00422654" w:rsidP="00422654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</w:p>
        </w:tc>
        <w:tc>
          <w:tcPr>
            <w:tcW w:w="1738" w:type="dxa"/>
          </w:tcPr>
          <w:p w14:paraId="7FAC9A6F" w14:textId="77777777" w:rsidR="00422654" w:rsidRPr="001730CC" w:rsidRDefault="00422654" w:rsidP="00422654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5B0454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Data Analysis</w:t>
            </w:r>
          </w:p>
        </w:tc>
        <w:tc>
          <w:tcPr>
            <w:tcW w:w="0" w:type="auto"/>
          </w:tcPr>
          <w:p w14:paraId="1BAD98E0" w14:textId="77777777" w:rsidR="00422654" w:rsidRPr="001730CC" w:rsidRDefault="0093438A" w:rsidP="00422654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1730CC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Strengths and limitations</w:t>
            </w:r>
          </w:p>
        </w:tc>
      </w:tr>
      <w:tr w:rsidR="008765B8" w:rsidRPr="00471E44" w14:paraId="50463BF7" w14:textId="77777777" w:rsidTr="00B15688">
        <w:tc>
          <w:tcPr>
            <w:tcW w:w="0" w:type="auto"/>
          </w:tcPr>
          <w:p w14:paraId="2775B367" w14:textId="77777777" w:rsidR="00AF6C10" w:rsidRDefault="00AF6C10" w:rsidP="00422654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sz w:val="16"/>
                <w:szCs w:val="16"/>
              </w:rPr>
              <w:t>1</w:t>
            </w:r>
          </w:p>
        </w:tc>
        <w:tc>
          <w:tcPr>
            <w:tcW w:w="0" w:type="auto"/>
          </w:tcPr>
          <w:p w14:paraId="69702FE3" w14:textId="77777777" w:rsidR="00AF6C10" w:rsidRPr="001730CC" w:rsidRDefault="00EE74D0" w:rsidP="009E7CB0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Mivacurium group</w:t>
            </w:r>
          </w:p>
        </w:tc>
        <w:tc>
          <w:tcPr>
            <w:tcW w:w="1348" w:type="dxa"/>
          </w:tcPr>
          <w:p w14:paraId="0FE9FD85" w14:textId="77777777" w:rsidR="00AF6C10" w:rsidRPr="001730CC" w:rsidRDefault="00EE74D0" w:rsidP="00422654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Control group</w:t>
            </w:r>
          </w:p>
        </w:tc>
        <w:tc>
          <w:tcPr>
            <w:tcW w:w="5412" w:type="dxa"/>
          </w:tcPr>
          <w:p w14:paraId="1EAF99EE" w14:textId="77777777" w:rsidR="00AF6C10" w:rsidRDefault="009B5B37" w:rsidP="00422654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Administration of mivacurium in Pts anesthetized with propofol has no impact on BIS and CSI values.</w:t>
            </w:r>
          </w:p>
        </w:tc>
        <w:tc>
          <w:tcPr>
            <w:tcW w:w="2243" w:type="dxa"/>
          </w:tcPr>
          <w:p w14:paraId="51B1054B" w14:textId="77777777" w:rsidR="00AF6C10" w:rsidRDefault="00077DA2" w:rsidP="00422654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BIS, CSI</w:t>
            </w:r>
          </w:p>
        </w:tc>
        <w:tc>
          <w:tcPr>
            <w:tcW w:w="1738" w:type="dxa"/>
          </w:tcPr>
          <w:p w14:paraId="0F24F32E" w14:textId="77777777" w:rsidR="00AF6C10" w:rsidRDefault="00ED50D5" w:rsidP="00422654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Mann-Whitney Rank Sum Test, paired t-test</w:t>
            </w:r>
          </w:p>
        </w:tc>
        <w:tc>
          <w:tcPr>
            <w:tcW w:w="0" w:type="auto"/>
          </w:tcPr>
          <w:p w14:paraId="1791D287" w14:textId="77777777" w:rsidR="00AF6C10" w:rsidRDefault="00471E44" w:rsidP="00422654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Downgraded in quality assessment due to directness limitation</w:t>
            </w:r>
          </w:p>
        </w:tc>
      </w:tr>
      <w:tr w:rsidR="008765B8" w:rsidRPr="00471E44" w14:paraId="60330D60" w14:textId="77777777" w:rsidTr="00B15688">
        <w:tc>
          <w:tcPr>
            <w:tcW w:w="0" w:type="auto"/>
          </w:tcPr>
          <w:p w14:paraId="3177520A" w14:textId="77777777" w:rsidR="00422654" w:rsidRPr="001730CC" w:rsidRDefault="00AF6C10" w:rsidP="00422654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sz w:val="16"/>
                <w:szCs w:val="16"/>
              </w:rPr>
              <w:t>2</w:t>
            </w:r>
          </w:p>
        </w:tc>
        <w:tc>
          <w:tcPr>
            <w:tcW w:w="0" w:type="auto"/>
          </w:tcPr>
          <w:p w14:paraId="49932545" w14:textId="77777777" w:rsidR="00422654" w:rsidRPr="001730CC" w:rsidRDefault="004E1BE5" w:rsidP="009E7CB0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NMB group</w:t>
            </w:r>
          </w:p>
        </w:tc>
        <w:tc>
          <w:tcPr>
            <w:tcW w:w="1348" w:type="dxa"/>
          </w:tcPr>
          <w:p w14:paraId="2D09A787" w14:textId="77777777" w:rsidR="009E7CB0" w:rsidRPr="001730CC" w:rsidRDefault="004E1BE5" w:rsidP="00422654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NoNMB group</w:t>
            </w:r>
          </w:p>
        </w:tc>
        <w:tc>
          <w:tcPr>
            <w:tcW w:w="5412" w:type="dxa"/>
          </w:tcPr>
          <w:p w14:paraId="666CA940" w14:textId="1426A92B" w:rsidR="008765B8" w:rsidRDefault="00826228" w:rsidP="00422654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E</w:t>
            </w:r>
            <w:r w:rsidR="008765B8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ndotracheal intubation</w:t>
            </w: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without NMB induced stronger stress response.</w:t>
            </w:r>
          </w:p>
          <w:p w14:paraId="71A5F9D4" w14:textId="59EC39C2" w:rsidR="00422654" w:rsidRPr="001730CC" w:rsidRDefault="004E1BE5" w:rsidP="00422654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No significant difference in HRV changes immediately after NMB/Placebo administration</w:t>
            </w:r>
            <w:r w:rsidR="00112FF0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. BIS value comparable during intubation. Significantly higher low-frequency power and the low/high-frequency ratio immediately after endotracheal intubation compared before laryngoscopy in </w:t>
            </w:r>
            <w:r w:rsidR="00261674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the </w:t>
            </w:r>
            <w:r w:rsidR="00112FF0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No</w:t>
            </w:r>
            <w:r w:rsidR="00261674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-</w:t>
            </w:r>
            <w:r w:rsidR="00112FF0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NMB group</w:t>
            </w:r>
            <w:r w:rsidR="00A47827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.</w:t>
            </w:r>
            <w:r w:rsidR="00DD0F61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It is </w:t>
            </w:r>
            <w:r w:rsidR="00A47827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hard to rate the clinical relevance of stress reduction when using NMBA</w:t>
            </w:r>
          </w:p>
        </w:tc>
        <w:tc>
          <w:tcPr>
            <w:tcW w:w="2243" w:type="dxa"/>
          </w:tcPr>
          <w:p w14:paraId="076E2458" w14:textId="77777777" w:rsidR="00422654" w:rsidRPr="001730CC" w:rsidRDefault="008765B8" w:rsidP="00422654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Frequency domain analysis of </w:t>
            </w:r>
            <w:r w:rsidR="004E1BE5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HRV, RR intervals, BIS</w:t>
            </w:r>
          </w:p>
        </w:tc>
        <w:tc>
          <w:tcPr>
            <w:tcW w:w="1738" w:type="dxa"/>
          </w:tcPr>
          <w:p w14:paraId="2774EDDB" w14:textId="77777777" w:rsidR="00422654" w:rsidRPr="001730CC" w:rsidRDefault="00B15688" w:rsidP="00422654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Chi-square test, Mann-Whitney </w:t>
            </w:r>
            <w:r w:rsidRPr="00B15688">
              <w:rPr>
                <w:rFonts w:asciiTheme="minorHAnsi" w:hAnsiTheme="minorHAnsi" w:cstheme="minorHAnsi"/>
                <w:i/>
                <w:sz w:val="16"/>
                <w:szCs w:val="16"/>
                <w:lang w:val="en-US"/>
              </w:rPr>
              <w:t>U</w:t>
            </w: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-test</w:t>
            </w:r>
          </w:p>
        </w:tc>
        <w:tc>
          <w:tcPr>
            <w:tcW w:w="0" w:type="auto"/>
          </w:tcPr>
          <w:p w14:paraId="4BD5B2A4" w14:textId="77777777" w:rsidR="00422654" w:rsidRPr="001730CC" w:rsidRDefault="00FE2BF3" w:rsidP="00422654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Downgraded in quality assessment due to directness</w:t>
            </w:r>
            <w:r w:rsidR="00DB16F9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limitation</w:t>
            </w: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: low generalizability to PICU setting</w:t>
            </w:r>
          </w:p>
        </w:tc>
      </w:tr>
      <w:tr w:rsidR="008765B8" w:rsidRPr="001B79B0" w14:paraId="342F2A2D" w14:textId="77777777" w:rsidTr="00B15688">
        <w:tc>
          <w:tcPr>
            <w:tcW w:w="0" w:type="auto"/>
          </w:tcPr>
          <w:p w14:paraId="219506E0" w14:textId="77777777" w:rsidR="00D8076C" w:rsidRPr="001730CC" w:rsidRDefault="00AF6C10" w:rsidP="00422654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sz w:val="16"/>
                <w:szCs w:val="16"/>
              </w:rPr>
              <w:t>3</w:t>
            </w:r>
          </w:p>
        </w:tc>
        <w:tc>
          <w:tcPr>
            <w:tcW w:w="0" w:type="auto"/>
          </w:tcPr>
          <w:p w14:paraId="6D358189" w14:textId="77777777" w:rsidR="00D8076C" w:rsidRPr="001730CC" w:rsidRDefault="00D8076C" w:rsidP="009E7CB0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</w:p>
        </w:tc>
        <w:tc>
          <w:tcPr>
            <w:tcW w:w="1348" w:type="dxa"/>
          </w:tcPr>
          <w:p w14:paraId="38B74D85" w14:textId="77777777" w:rsidR="00D8076C" w:rsidRPr="001730CC" w:rsidRDefault="00D8076C" w:rsidP="00422654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</w:p>
        </w:tc>
        <w:tc>
          <w:tcPr>
            <w:tcW w:w="5412" w:type="dxa"/>
          </w:tcPr>
          <w:p w14:paraId="6B25BEC1" w14:textId="77777777" w:rsidR="00D8076C" w:rsidRDefault="00DD48D1" w:rsidP="00422654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Administration of NMBA</w:t>
            </w:r>
            <w:r w:rsidR="007E7790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was associated with </w:t>
            </w:r>
            <w:r w:rsidR="001307EF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an increase in ICP-related therapies</w:t>
            </w:r>
            <w:r w:rsidR="00403610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.</w:t>
            </w:r>
            <w:r w:rsidR="001307EF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</w:t>
            </w:r>
            <w:r w:rsidR="007E7790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NMBA was not associated with </w:t>
            </w:r>
            <w:r w:rsidR="00FB4892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mortality/outcome effect or increased incidence of </w:t>
            </w:r>
            <w:r w:rsidR="007E7790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complications</w:t>
            </w:r>
            <w:r w:rsidR="006E3060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(pneumonia, infections, hypotension, and seizures)</w:t>
            </w:r>
            <w:r w:rsidR="007E7790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.</w:t>
            </w:r>
            <w:r w:rsidR="006E3060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</w:t>
            </w:r>
            <w:r w:rsidR="00FB4892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NMBA usage was associated with prolonged ICU LOS</w:t>
            </w:r>
          </w:p>
        </w:tc>
        <w:tc>
          <w:tcPr>
            <w:tcW w:w="2243" w:type="dxa"/>
          </w:tcPr>
          <w:p w14:paraId="2213F158" w14:textId="77777777" w:rsidR="00D8076C" w:rsidRDefault="00D630F0" w:rsidP="00422654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ICP, CPP, mPILOT score, GOS-E Peds</w:t>
            </w:r>
          </w:p>
        </w:tc>
        <w:tc>
          <w:tcPr>
            <w:tcW w:w="1738" w:type="dxa"/>
          </w:tcPr>
          <w:p w14:paraId="721E80ED" w14:textId="77777777" w:rsidR="00D8076C" w:rsidRPr="00D630F0" w:rsidRDefault="00A83CA9" w:rsidP="00422654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Mann-Whitney</w:t>
            </w:r>
            <w:r w:rsidR="00D630F0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U test, Pearson </w:t>
            </w:r>
            <w:r w:rsidR="00D630F0" w:rsidRPr="00D630F0">
              <w:rPr>
                <w:rFonts w:asciiTheme="minorHAnsi" w:hAnsiTheme="minorHAnsi" w:cstheme="minorHAnsi"/>
                <w:i/>
                <w:sz w:val="16"/>
                <w:szCs w:val="16"/>
                <w:lang w:val="en-US"/>
              </w:rPr>
              <w:t>X</w:t>
            </w:r>
            <w:r w:rsidR="00D630F0">
              <w:rPr>
                <w:rFonts w:asciiTheme="minorHAnsi" w:hAnsiTheme="minorHAnsi" w:cstheme="minorHAnsi"/>
                <w:sz w:val="16"/>
                <w:szCs w:val="16"/>
                <w:vertAlign w:val="superscript"/>
                <w:lang w:val="en-US"/>
              </w:rPr>
              <w:t xml:space="preserve">2 </w:t>
            </w:r>
            <w:r w:rsidR="00D630F0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statistic with Yates’ continuity correction, Fisher’s exact test, Kaplan-Meier survival analysis, log-rank test</w:t>
            </w:r>
            <w:r w:rsidR="00500984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. Regression model</w:t>
            </w:r>
          </w:p>
        </w:tc>
        <w:tc>
          <w:tcPr>
            <w:tcW w:w="0" w:type="auto"/>
          </w:tcPr>
          <w:p w14:paraId="1744FAA3" w14:textId="77777777" w:rsidR="00CF2B00" w:rsidRDefault="00CF2B00" w:rsidP="00422654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</w:p>
          <w:p w14:paraId="4C50007A" w14:textId="77777777" w:rsidR="00CF2B00" w:rsidRDefault="00CF2B00" w:rsidP="00422654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</w:p>
        </w:tc>
      </w:tr>
      <w:tr w:rsidR="008765B8" w:rsidRPr="002B511F" w14:paraId="1137BBF3" w14:textId="77777777" w:rsidTr="00B15688">
        <w:tc>
          <w:tcPr>
            <w:tcW w:w="0" w:type="auto"/>
          </w:tcPr>
          <w:p w14:paraId="1071E2BB" w14:textId="77777777" w:rsidR="002B562E" w:rsidRDefault="002B562E" w:rsidP="00422654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sz w:val="16"/>
                <w:szCs w:val="16"/>
              </w:rPr>
              <w:t>4</w:t>
            </w:r>
          </w:p>
        </w:tc>
        <w:tc>
          <w:tcPr>
            <w:tcW w:w="0" w:type="auto"/>
          </w:tcPr>
          <w:p w14:paraId="7C13E65D" w14:textId="77777777" w:rsidR="002B562E" w:rsidRPr="001730CC" w:rsidRDefault="002B562E" w:rsidP="009E7CB0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</w:p>
        </w:tc>
        <w:tc>
          <w:tcPr>
            <w:tcW w:w="1348" w:type="dxa"/>
          </w:tcPr>
          <w:p w14:paraId="22797419" w14:textId="77777777" w:rsidR="002B562E" w:rsidRPr="001730CC" w:rsidRDefault="002B562E" w:rsidP="00422654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</w:p>
        </w:tc>
        <w:tc>
          <w:tcPr>
            <w:tcW w:w="5412" w:type="dxa"/>
          </w:tcPr>
          <w:p w14:paraId="2867B5BB" w14:textId="7B0559BB" w:rsidR="002B562E" w:rsidRDefault="002B511F" w:rsidP="00422654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Median age 17 months, </w:t>
            </w:r>
            <w:r w:rsidR="00261674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the </w:t>
            </w: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median duration of MV 140 h. The change in thickness at end</w:t>
            </w:r>
            <w:r w:rsidR="00261674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-</w:t>
            </w: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expiration between </w:t>
            </w:r>
            <w:r w:rsidR="00261674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the </w:t>
            </w: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first and last measurement was -13.8%. </w:t>
            </w:r>
            <w:r w:rsidR="00875285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Thickness fraction was</w:t>
            </w:r>
            <w:r w:rsidR="004D58FA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significantly associated with spontaneous breathing fraction. </w:t>
            </w: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Pts exposure to NMBA had significantly </w:t>
            </w:r>
            <w:r w:rsidR="00261674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a </w:t>
            </w: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decrease in thickness at end</w:t>
            </w:r>
            <w:r w:rsidR="00261674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-</w:t>
            </w: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expiration.</w:t>
            </w:r>
            <w:r w:rsidR="00875285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Extubation failure occurred in 3.6% and 44.6% required NIV</w:t>
            </w:r>
            <w:r w:rsidR="004D58FA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. Greater Diaphragm Atrophy was observed in Pts exposed to corticosteroids during MV.</w:t>
            </w:r>
          </w:p>
        </w:tc>
        <w:tc>
          <w:tcPr>
            <w:tcW w:w="2243" w:type="dxa"/>
          </w:tcPr>
          <w:p w14:paraId="2DB387D3" w14:textId="7D347C6A" w:rsidR="002B562E" w:rsidRDefault="00CF2B00" w:rsidP="00422654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Diaphragm</w:t>
            </w:r>
            <w:r w:rsidR="002B511F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thickness at end-expiration and end-inspiration by ultrasound within 36 h of intubation and pre-extubation. MV duration</w:t>
            </w:r>
            <w:r w:rsidR="005821B9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, mode of ventilation, spontaneous breathing fraction. Extubation success and NIV after extubation</w:t>
            </w:r>
          </w:p>
        </w:tc>
        <w:tc>
          <w:tcPr>
            <w:tcW w:w="1738" w:type="dxa"/>
          </w:tcPr>
          <w:p w14:paraId="5B6E68AA" w14:textId="77777777" w:rsidR="002B562E" w:rsidRDefault="00875285" w:rsidP="00422654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Wilcoxon sign-rank test. Wilcoxon rank-sum test. Linear regression</w:t>
            </w:r>
          </w:p>
        </w:tc>
        <w:tc>
          <w:tcPr>
            <w:tcW w:w="0" w:type="auto"/>
          </w:tcPr>
          <w:p w14:paraId="35B238BF" w14:textId="77777777" w:rsidR="002B562E" w:rsidRDefault="002B562E" w:rsidP="00422654">
            <w:pPr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</w:p>
        </w:tc>
      </w:tr>
    </w:tbl>
    <w:p w14:paraId="22321479" w14:textId="77777777" w:rsidR="00875285" w:rsidRDefault="00875285" w:rsidP="00BD4B9F">
      <w:pPr>
        <w:tabs>
          <w:tab w:val="left" w:pos="2861"/>
        </w:tabs>
        <w:rPr>
          <w:rFonts w:asciiTheme="minorHAnsi" w:hAnsiTheme="minorHAnsi" w:cstheme="minorHAnsi"/>
          <w:sz w:val="16"/>
          <w:szCs w:val="16"/>
          <w:lang w:val="en-US"/>
        </w:rPr>
      </w:pPr>
    </w:p>
    <w:p w14:paraId="76482C76" w14:textId="6195E74A" w:rsidR="008A2D9A" w:rsidRPr="008A2D9A" w:rsidRDefault="00DE3F56" w:rsidP="00BD4B9F">
      <w:pPr>
        <w:tabs>
          <w:tab w:val="left" w:pos="2861"/>
        </w:tabs>
        <w:rPr>
          <w:rFonts w:asciiTheme="minorHAnsi" w:hAnsiTheme="minorHAnsi" w:cstheme="minorHAnsi"/>
          <w:sz w:val="16"/>
          <w:szCs w:val="16"/>
          <w:lang w:val="en-US"/>
        </w:rPr>
      </w:pPr>
      <w:r w:rsidRPr="008A2D9A">
        <w:rPr>
          <w:rFonts w:asciiTheme="minorHAnsi" w:hAnsiTheme="minorHAnsi" w:cstheme="minorHAnsi"/>
          <w:sz w:val="16"/>
          <w:szCs w:val="16"/>
          <w:lang w:val="en-US"/>
        </w:rPr>
        <w:t xml:space="preserve">Legend: </w:t>
      </w:r>
      <w:r w:rsidR="004E1BE5">
        <w:rPr>
          <w:rFonts w:asciiTheme="minorHAnsi" w:hAnsiTheme="minorHAnsi" w:cstheme="minorHAnsi"/>
          <w:sz w:val="16"/>
          <w:szCs w:val="16"/>
          <w:lang w:val="en-US"/>
        </w:rPr>
        <w:t>BIS</w:t>
      </w:r>
      <w:r w:rsidR="00112FF0">
        <w:rPr>
          <w:rFonts w:asciiTheme="minorHAnsi" w:hAnsiTheme="minorHAnsi" w:cstheme="minorHAnsi"/>
          <w:sz w:val="16"/>
          <w:szCs w:val="16"/>
          <w:lang w:val="en-US"/>
        </w:rPr>
        <w:t xml:space="preserve">: Bispectral index; </w:t>
      </w:r>
      <w:r w:rsidR="00500984">
        <w:rPr>
          <w:rFonts w:asciiTheme="minorHAnsi" w:hAnsiTheme="minorHAnsi" w:cstheme="minorHAnsi"/>
          <w:sz w:val="16"/>
          <w:szCs w:val="16"/>
          <w:lang w:val="en-US"/>
        </w:rPr>
        <w:t xml:space="preserve">CCP: Cerebral Perfusion Pressure; GOS-E Peds: Glasgow Outcome Score-Extended for Pediatrics; ICP: intracranial pressure; mPILOT: modified Pediatric Intensity Level of Therapy; </w:t>
      </w:r>
      <w:r w:rsidR="00CF2B00">
        <w:rPr>
          <w:rFonts w:asciiTheme="minorHAnsi" w:hAnsiTheme="minorHAnsi" w:cstheme="minorHAnsi"/>
          <w:sz w:val="16"/>
          <w:szCs w:val="16"/>
          <w:lang w:val="en-US"/>
        </w:rPr>
        <w:t xml:space="preserve">MV: Mechanical Ventilated; </w:t>
      </w:r>
      <w:r w:rsidR="00875285">
        <w:rPr>
          <w:rFonts w:asciiTheme="minorHAnsi" w:hAnsiTheme="minorHAnsi" w:cstheme="minorHAnsi"/>
          <w:sz w:val="16"/>
          <w:szCs w:val="16"/>
          <w:lang w:val="en-US"/>
        </w:rPr>
        <w:t xml:space="preserve">NIV: non-invasive ventilation; </w:t>
      </w:r>
      <w:r w:rsidR="005D1537">
        <w:rPr>
          <w:rFonts w:asciiTheme="minorHAnsi" w:hAnsiTheme="minorHAnsi" w:cstheme="minorHAnsi"/>
          <w:sz w:val="16"/>
          <w:szCs w:val="16"/>
          <w:lang w:val="en-US"/>
        </w:rPr>
        <w:t>NMBA: neuromuscular blocking agents;</w:t>
      </w:r>
    </w:p>
    <w:p w14:paraId="49DEA826" w14:textId="77777777" w:rsidR="008A2D9A" w:rsidRPr="008A2D9A" w:rsidRDefault="008A2D9A" w:rsidP="00BD4B9F">
      <w:pPr>
        <w:tabs>
          <w:tab w:val="left" w:pos="2861"/>
        </w:tabs>
        <w:rPr>
          <w:rFonts w:asciiTheme="minorHAnsi" w:hAnsiTheme="minorHAnsi" w:cstheme="minorHAnsi"/>
          <w:sz w:val="16"/>
          <w:szCs w:val="16"/>
          <w:lang w:val="en-US"/>
        </w:rPr>
      </w:pPr>
    </w:p>
    <w:p w14:paraId="7DE58840" w14:textId="77777777" w:rsidR="008A2D9A" w:rsidRPr="008A2D9A" w:rsidRDefault="008A2D9A" w:rsidP="00BD4B9F">
      <w:pPr>
        <w:tabs>
          <w:tab w:val="left" w:pos="2861"/>
        </w:tabs>
        <w:rPr>
          <w:rFonts w:asciiTheme="minorHAnsi" w:hAnsiTheme="minorHAnsi" w:cstheme="minorHAnsi"/>
          <w:sz w:val="16"/>
          <w:szCs w:val="16"/>
          <w:lang w:val="en-US"/>
        </w:rPr>
      </w:pPr>
    </w:p>
    <w:p w14:paraId="69A90645" w14:textId="77777777" w:rsidR="000227C0" w:rsidRPr="00DE3F56" w:rsidRDefault="000227C0" w:rsidP="000227C0">
      <w:pPr>
        <w:rPr>
          <w:lang w:val="en-US"/>
        </w:rPr>
      </w:pPr>
    </w:p>
    <w:p w14:paraId="14626B32" w14:textId="77777777" w:rsidR="000227C0" w:rsidRPr="00DE3F56" w:rsidRDefault="000227C0" w:rsidP="000227C0">
      <w:pPr>
        <w:rPr>
          <w:lang w:val="en-US"/>
        </w:rPr>
      </w:pPr>
    </w:p>
    <w:p w14:paraId="1EB726BF" w14:textId="77777777" w:rsidR="000227C0" w:rsidRPr="00DE3F56" w:rsidRDefault="000227C0" w:rsidP="000227C0">
      <w:pPr>
        <w:rPr>
          <w:lang w:val="en-US"/>
        </w:rPr>
      </w:pPr>
    </w:p>
    <w:p w14:paraId="73562F19" w14:textId="77777777" w:rsidR="000227C0" w:rsidRPr="00DE3F56" w:rsidRDefault="000227C0" w:rsidP="000227C0">
      <w:pPr>
        <w:rPr>
          <w:lang w:val="en-US"/>
        </w:rPr>
      </w:pPr>
    </w:p>
    <w:p w14:paraId="4C59B762" w14:textId="77777777" w:rsidR="000227C0" w:rsidRPr="00DE3F56" w:rsidRDefault="000227C0" w:rsidP="000227C0">
      <w:pPr>
        <w:rPr>
          <w:lang w:val="en-US"/>
        </w:rPr>
      </w:pPr>
    </w:p>
    <w:p w14:paraId="28DD1A9F" w14:textId="77777777" w:rsidR="000227C0" w:rsidRPr="00DE3F56" w:rsidRDefault="000227C0" w:rsidP="000227C0">
      <w:pPr>
        <w:rPr>
          <w:lang w:val="en-US"/>
        </w:rPr>
      </w:pPr>
    </w:p>
    <w:p w14:paraId="45530E71" w14:textId="77777777" w:rsidR="000227C0" w:rsidRPr="00DE3F56" w:rsidRDefault="000227C0" w:rsidP="000227C0">
      <w:pPr>
        <w:rPr>
          <w:lang w:val="en-US"/>
        </w:rPr>
      </w:pPr>
    </w:p>
    <w:p w14:paraId="1E5DE63C" w14:textId="77777777" w:rsidR="000227C0" w:rsidRPr="00DE3F56" w:rsidRDefault="000227C0" w:rsidP="000227C0">
      <w:pPr>
        <w:rPr>
          <w:lang w:val="en-US"/>
        </w:rPr>
      </w:pPr>
    </w:p>
    <w:p w14:paraId="135655D4" w14:textId="77777777" w:rsidR="00E44A05" w:rsidRPr="00DE3F56" w:rsidRDefault="00E44A05" w:rsidP="000227C0">
      <w:pPr>
        <w:rPr>
          <w:lang w:val="en-US"/>
        </w:rPr>
      </w:pPr>
    </w:p>
    <w:sectPr w:rsidR="00E44A05" w:rsidRPr="00DE3F56" w:rsidSect="009A7E16">
      <w:footerReference w:type="even" r:id="rId6"/>
      <w:footerReference w:type="default" r:id="rId7"/>
      <w:pgSz w:w="16820" w:h="11900" w:orient="landscape"/>
      <w:pgMar w:top="1134" w:right="1134" w:bottom="1134" w:left="1417" w:header="708" w:footer="708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3D83299" w14:textId="77777777" w:rsidR="00731B97" w:rsidRDefault="00731B97" w:rsidP="009A7E16">
      <w:r>
        <w:separator/>
      </w:r>
    </w:p>
  </w:endnote>
  <w:endnote w:type="continuationSeparator" w:id="0">
    <w:p w14:paraId="07ED7B49" w14:textId="77777777" w:rsidR="00731B97" w:rsidRDefault="00731B97" w:rsidP="009A7E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Numeropagina"/>
      </w:rPr>
      <w:id w:val="-795367416"/>
      <w:docPartObj>
        <w:docPartGallery w:val="Page Numbers (Bottom of Page)"/>
        <w:docPartUnique/>
      </w:docPartObj>
    </w:sdtPr>
    <w:sdtEndPr>
      <w:rPr>
        <w:rStyle w:val="Numeropagina"/>
      </w:rPr>
    </w:sdtEndPr>
    <w:sdtContent>
      <w:p w14:paraId="7F4DF82A" w14:textId="77777777" w:rsidR="00AF6C10" w:rsidRDefault="00AF6C10" w:rsidP="00AF6C10">
        <w:pPr>
          <w:pStyle w:val="Pidipagina"/>
          <w:framePr w:wrap="none" w:vAnchor="text" w:hAnchor="margin" w:xAlign="center" w:y="1"/>
          <w:rPr>
            <w:rStyle w:val="Numeropagina"/>
          </w:rPr>
        </w:pPr>
        <w:r>
          <w:rPr>
            <w:rStyle w:val="Numeropagina"/>
          </w:rPr>
          <w:fldChar w:fldCharType="begin"/>
        </w:r>
        <w:r>
          <w:rPr>
            <w:rStyle w:val="Numeropagina"/>
          </w:rPr>
          <w:instrText xml:space="preserve"> PAGE </w:instrText>
        </w:r>
        <w:r>
          <w:rPr>
            <w:rStyle w:val="Numeropagina"/>
          </w:rPr>
          <w:fldChar w:fldCharType="end"/>
        </w:r>
      </w:p>
    </w:sdtContent>
  </w:sdt>
  <w:p w14:paraId="6D367165" w14:textId="77777777" w:rsidR="00AF6C10" w:rsidRDefault="00AF6C10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Numeropagina"/>
      </w:rPr>
      <w:id w:val="-1598399748"/>
      <w:docPartObj>
        <w:docPartGallery w:val="Page Numbers (Bottom of Page)"/>
        <w:docPartUnique/>
      </w:docPartObj>
    </w:sdtPr>
    <w:sdtEndPr>
      <w:rPr>
        <w:rStyle w:val="Numeropagina"/>
      </w:rPr>
    </w:sdtEndPr>
    <w:sdtContent>
      <w:p w14:paraId="5F2C9221" w14:textId="77777777" w:rsidR="00AF6C10" w:rsidRDefault="00AF6C10" w:rsidP="00AF6C10">
        <w:pPr>
          <w:pStyle w:val="Pidipagina"/>
          <w:framePr w:wrap="none" w:vAnchor="text" w:hAnchor="margin" w:xAlign="center" w:y="1"/>
          <w:rPr>
            <w:rStyle w:val="Numeropagina"/>
          </w:rPr>
        </w:pPr>
        <w:r>
          <w:rPr>
            <w:rStyle w:val="Numeropagina"/>
          </w:rPr>
          <w:fldChar w:fldCharType="begin"/>
        </w:r>
        <w:r>
          <w:rPr>
            <w:rStyle w:val="Numeropagina"/>
          </w:rPr>
          <w:instrText xml:space="preserve"> PAGE </w:instrText>
        </w:r>
        <w:r>
          <w:rPr>
            <w:rStyle w:val="Numeropagina"/>
          </w:rPr>
          <w:fldChar w:fldCharType="separate"/>
        </w:r>
        <w:r>
          <w:rPr>
            <w:rStyle w:val="Numeropagina"/>
            <w:noProof/>
          </w:rPr>
          <w:t>1</w:t>
        </w:r>
        <w:r>
          <w:rPr>
            <w:rStyle w:val="Numeropagina"/>
          </w:rPr>
          <w:fldChar w:fldCharType="end"/>
        </w:r>
      </w:p>
    </w:sdtContent>
  </w:sdt>
  <w:p w14:paraId="4BEEEC61" w14:textId="77777777" w:rsidR="00AF6C10" w:rsidRDefault="00AF6C10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A3306B2" w14:textId="77777777" w:rsidR="00731B97" w:rsidRDefault="00731B97" w:rsidP="009A7E16">
      <w:r>
        <w:separator/>
      </w:r>
    </w:p>
  </w:footnote>
  <w:footnote w:type="continuationSeparator" w:id="0">
    <w:p w14:paraId="0C90198A" w14:textId="77777777" w:rsidR="00731B97" w:rsidRDefault="00731B97" w:rsidP="009A7E1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proofState w:spelling="clean" w:grammar="clean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27C0"/>
    <w:rsid w:val="000227C0"/>
    <w:rsid w:val="000346D2"/>
    <w:rsid w:val="00040A3F"/>
    <w:rsid w:val="000412B8"/>
    <w:rsid w:val="00044459"/>
    <w:rsid w:val="0005466A"/>
    <w:rsid w:val="00063AC9"/>
    <w:rsid w:val="00067048"/>
    <w:rsid w:val="00071720"/>
    <w:rsid w:val="00077DA2"/>
    <w:rsid w:val="000976FF"/>
    <w:rsid w:val="000A290B"/>
    <w:rsid w:val="000A5746"/>
    <w:rsid w:val="000B37F0"/>
    <w:rsid w:val="000B64BA"/>
    <w:rsid w:val="000E12ED"/>
    <w:rsid w:val="000F028C"/>
    <w:rsid w:val="000F33F9"/>
    <w:rsid w:val="00112FF0"/>
    <w:rsid w:val="00114DC0"/>
    <w:rsid w:val="00120BCF"/>
    <w:rsid w:val="001307EF"/>
    <w:rsid w:val="001341BB"/>
    <w:rsid w:val="0013784A"/>
    <w:rsid w:val="001433CC"/>
    <w:rsid w:val="0015357C"/>
    <w:rsid w:val="001730CC"/>
    <w:rsid w:val="00192E7C"/>
    <w:rsid w:val="0019334A"/>
    <w:rsid w:val="001B3211"/>
    <w:rsid w:val="001B79B0"/>
    <w:rsid w:val="001D0277"/>
    <w:rsid w:val="001E047C"/>
    <w:rsid w:val="001F4407"/>
    <w:rsid w:val="00207CA9"/>
    <w:rsid w:val="00216E80"/>
    <w:rsid w:val="00223FB3"/>
    <w:rsid w:val="00226579"/>
    <w:rsid w:val="00241C8C"/>
    <w:rsid w:val="00261674"/>
    <w:rsid w:val="00267D38"/>
    <w:rsid w:val="0028700E"/>
    <w:rsid w:val="002A3326"/>
    <w:rsid w:val="002A3D8A"/>
    <w:rsid w:val="002B511F"/>
    <w:rsid w:val="002B562E"/>
    <w:rsid w:val="002E3430"/>
    <w:rsid w:val="002F640E"/>
    <w:rsid w:val="002F74A7"/>
    <w:rsid w:val="003115BD"/>
    <w:rsid w:val="00323BEA"/>
    <w:rsid w:val="003458BD"/>
    <w:rsid w:val="003523AC"/>
    <w:rsid w:val="00352C88"/>
    <w:rsid w:val="00356C60"/>
    <w:rsid w:val="00372679"/>
    <w:rsid w:val="00372FF7"/>
    <w:rsid w:val="00373DC9"/>
    <w:rsid w:val="003C7E6B"/>
    <w:rsid w:val="003C7FEE"/>
    <w:rsid w:val="003D3EEE"/>
    <w:rsid w:val="003E0979"/>
    <w:rsid w:val="003E788F"/>
    <w:rsid w:val="003F1B41"/>
    <w:rsid w:val="00400BEF"/>
    <w:rsid w:val="00403610"/>
    <w:rsid w:val="004059FF"/>
    <w:rsid w:val="00406AB7"/>
    <w:rsid w:val="0041704D"/>
    <w:rsid w:val="00422654"/>
    <w:rsid w:val="004270AB"/>
    <w:rsid w:val="00444ECD"/>
    <w:rsid w:val="004463C9"/>
    <w:rsid w:val="00450BDF"/>
    <w:rsid w:val="00451807"/>
    <w:rsid w:val="004553CB"/>
    <w:rsid w:val="00471E44"/>
    <w:rsid w:val="004A1705"/>
    <w:rsid w:val="004B4F87"/>
    <w:rsid w:val="004B763B"/>
    <w:rsid w:val="004D5559"/>
    <w:rsid w:val="004D58FA"/>
    <w:rsid w:val="004D72E3"/>
    <w:rsid w:val="004E1BE5"/>
    <w:rsid w:val="004E1CB8"/>
    <w:rsid w:val="004F4494"/>
    <w:rsid w:val="00500984"/>
    <w:rsid w:val="005238B6"/>
    <w:rsid w:val="00560B54"/>
    <w:rsid w:val="0057072C"/>
    <w:rsid w:val="0057373E"/>
    <w:rsid w:val="005748AC"/>
    <w:rsid w:val="005821B9"/>
    <w:rsid w:val="00592C97"/>
    <w:rsid w:val="005B0454"/>
    <w:rsid w:val="005B3A9F"/>
    <w:rsid w:val="005C1D00"/>
    <w:rsid w:val="005C7793"/>
    <w:rsid w:val="005D1537"/>
    <w:rsid w:val="005E62DD"/>
    <w:rsid w:val="006424A1"/>
    <w:rsid w:val="00654504"/>
    <w:rsid w:val="0066071C"/>
    <w:rsid w:val="0066608C"/>
    <w:rsid w:val="00667074"/>
    <w:rsid w:val="00671136"/>
    <w:rsid w:val="006772E0"/>
    <w:rsid w:val="006852EC"/>
    <w:rsid w:val="00687D4E"/>
    <w:rsid w:val="00690F8E"/>
    <w:rsid w:val="006A07C9"/>
    <w:rsid w:val="006A458F"/>
    <w:rsid w:val="006C54D0"/>
    <w:rsid w:val="006D4EA5"/>
    <w:rsid w:val="006E3060"/>
    <w:rsid w:val="00731B97"/>
    <w:rsid w:val="0073393D"/>
    <w:rsid w:val="0076246E"/>
    <w:rsid w:val="00780076"/>
    <w:rsid w:val="0079200B"/>
    <w:rsid w:val="0079395C"/>
    <w:rsid w:val="007A1DCA"/>
    <w:rsid w:val="007D3785"/>
    <w:rsid w:val="007D5C65"/>
    <w:rsid w:val="007E7790"/>
    <w:rsid w:val="00806BA3"/>
    <w:rsid w:val="00806CEB"/>
    <w:rsid w:val="0080710F"/>
    <w:rsid w:val="00826228"/>
    <w:rsid w:val="00852467"/>
    <w:rsid w:val="00875285"/>
    <w:rsid w:val="008765B8"/>
    <w:rsid w:val="00884C2D"/>
    <w:rsid w:val="008A2D9A"/>
    <w:rsid w:val="008B7BFA"/>
    <w:rsid w:val="008C4094"/>
    <w:rsid w:val="008D0CB5"/>
    <w:rsid w:val="008E4F1D"/>
    <w:rsid w:val="0092530E"/>
    <w:rsid w:val="009327D7"/>
    <w:rsid w:val="0093438A"/>
    <w:rsid w:val="00940A16"/>
    <w:rsid w:val="00943B37"/>
    <w:rsid w:val="00947D49"/>
    <w:rsid w:val="009526F9"/>
    <w:rsid w:val="009600FF"/>
    <w:rsid w:val="00987489"/>
    <w:rsid w:val="009A01A4"/>
    <w:rsid w:val="009A2689"/>
    <w:rsid w:val="009A7E16"/>
    <w:rsid w:val="009B12A1"/>
    <w:rsid w:val="009B5B37"/>
    <w:rsid w:val="009D015A"/>
    <w:rsid w:val="009E6AD7"/>
    <w:rsid w:val="009E7CB0"/>
    <w:rsid w:val="009F78F1"/>
    <w:rsid w:val="00A023F5"/>
    <w:rsid w:val="00A23F55"/>
    <w:rsid w:val="00A45295"/>
    <w:rsid w:val="00A45F3C"/>
    <w:rsid w:val="00A47827"/>
    <w:rsid w:val="00A60224"/>
    <w:rsid w:val="00A642B3"/>
    <w:rsid w:val="00A74C83"/>
    <w:rsid w:val="00A83CA9"/>
    <w:rsid w:val="00AA58B8"/>
    <w:rsid w:val="00AB18F2"/>
    <w:rsid w:val="00AB3CCD"/>
    <w:rsid w:val="00AC5BB9"/>
    <w:rsid w:val="00AF1415"/>
    <w:rsid w:val="00AF6C10"/>
    <w:rsid w:val="00B05628"/>
    <w:rsid w:val="00B15688"/>
    <w:rsid w:val="00B2262E"/>
    <w:rsid w:val="00B40659"/>
    <w:rsid w:val="00B47F11"/>
    <w:rsid w:val="00B53C9C"/>
    <w:rsid w:val="00B877B6"/>
    <w:rsid w:val="00B96EE2"/>
    <w:rsid w:val="00BC6ED0"/>
    <w:rsid w:val="00BD42CF"/>
    <w:rsid w:val="00BD4B9F"/>
    <w:rsid w:val="00BD70DD"/>
    <w:rsid w:val="00C35839"/>
    <w:rsid w:val="00C45686"/>
    <w:rsid w:val="00C608F8"/>
    <w:rsid w:val="00C664FB"/>
    <w:rsid w:val="00CA0551"/>
    <w:rsid w:val="00CC0BBA"/>
    <w:rsid w:val="00CF2B00"/>
    <w:rsid w:val="00D05BA2"/>
    <w:rsid w:val="00D52C54"/>
    <w:rsid w:val="00D550B5"/>
    <w:rsid w:val="00D630F0"/>
    <w:rsid w:val="00D6645D"/>
    <w:rsid w:val="00D8076C"/>
    <w:rsid w:val="00D83CEB"/>
    <w:rsid w:val="00D858E9"/>
    <w:rsid w:val="00DA0A01"/>
    <w:rsid w:val="00DA33B2"/>
    <w:rsid w:val="00DB16F9"/>
    <w:rsid w:val="00DD0F61"/>
    <w:rsid w:val="00DD48D1"/>
    <w:rsid w:val="00DD7416"/>
    <w:rsid w:val="00DE3F56"/>
    <w:rsid w:val="00DE6F76"/>
    <w:rsid w:val="00DE793D"/>
    <w:rsid w:val="00DF394B"/>
    <w:rsid w:val="00E062AD"/>
    <w:rsid w:val="00E1418D"/>
    <w:rsid w:val="00E41A28"/>
    <w:rsid w:val="00E44A05"/>
    <w:rsid w:val="00E54E03"/>
    <w:rsid w:val="00E84239"/>
    <w:rsid w:val="00E94311"/>
    <w:rsid w:val="00E9435C"/>
    <w:rsid w:val="00EA73D2"/>
    <w:rsid w:val="00ED50D5"/>
    <w:rsid w:val="00ED7E2B"/>
    <w:rsid w:val="00EE74D0"/>
    <w:rsid w:val="00F2329D"/>
    <w:rsid w:val="00F25731"/>
    <w:rsid w:val="00F40B7A"/>
    <w:rsid w:val="00F44323"/>
    <w:rsid w:val="00F471BD"/>
    <w:rsid w:val="00F53718"/>
    <w:rsid w:val="00F563CA"/>
    <w:rsid w:val="00F63899"/>
    <w:rsid w:val="00F67E57"/>
    <w:rsid w:val="00F812B1"/>
    <w:rsid w:val="00F83B26"/>
    <w:rsid w:val="00F8504D"/>
    <w:rsid w:val="00FB1B44"/>
    <w:rsid w:val="00FB4892"/>
    <w:rsid w:val="00FC2EDE"/>
    <w:rsid w:val="00FD1C64"/>
    <w:rsid w:val="00FD29B1"/>
    <w:rsid w:val="00FE2BF3"/>
    <w:rsid w:val="00FE5A41"/>
    <w:rsid w:val="00FF296C"/>
    <w:rsid w:val="00FF49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5F666D9"/>
  <w15:chartTrackingRefBased/>
  <w15:docId w15:val="{0B9746F7-6A08-9547-8469-99BBD88348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667074"/>
    <w:rPr>
      <w:rFonts w:ascii="Times New Roman" w:eastAsia="Times New Roman" w:hAnsi="Times New Roman" w:cs="Times New Roman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0227C0"/>
    <w:rPr>
      <w:rFonts w:eastAsiaTheme="minorEastAsia"/>
      <w:lang w:eastAsia="it-I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imandocommento">
    <w:name w:val="annotation reference"/>
    <w:basedOn w:val="Carpredefinitoparagrafo"/>
    <w:uiPriority w:val="99"/>
    <w:semiHidden/>
    <w:unhideWhenUsed/>
    <w:rsid w:val="009526F9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9526F9"/>
    <w:rPr>
      <w:rFonts w:asciiTheme="minorHAnsi" w:eastAsiaTheme="minorEastAsia" w:hAnsiTheme="minorHAnsi" w:cstheme="minorBidi"/>
      <w:sz w:val="20"/>
      <w:szCs w:val="20"/>
      <w:lang w:eastAsia="en-US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9526F9"/>
    <w:rPr>
      <w:rFonts w:eastAsiaTheme="minorEastAsia"/>
      <w:sz w:val="20"/>
      <w:szCs w:val="20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9526F9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9526F9"/>
    <w:rPr>
      <w:rFonts w:eastAsiaTheme="minorEastAsia"/>
      <w:b/>
      <w:bCs/>
      <w:sz w:val="20"/>
      <w:szCs w:val="20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9526F9"/>
    <w:rPr>
      <w:rFonts w:eastAsiaTheme="minorEastAsia"/>
      <w:sz w:val="18"/>
      <w:szCs w:val="18"/>
      <w:lang w:eastAsia="en-US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9526F9"/>
    <w:rPr>
      <w:rFonts w:ascii="Times New Roman" w:eastAsiaTheme="minorEastAsia" w:hAnsi="Times New Roman" w:cs="Times New Roman"/>
      <w:sz w:val="18"/>
      <w:szCs w:val="18"/>
    </w:rPr>
  </w:style>
  <w:style w:type="character" w:customStyle="1" w:styleId="st">
    <w:name w:val="st"/>
    <w:basedOn w:val="Carpredefinitoparagrafo"/>
    <w:rsid w:val="00806CEB"/>
  </w:style>
  <w:style w:type="character" w:customStyle="1" w:styleId="tlid-translation">
    <w:name w:val="tlid-translation"/>
    <w:basedOn w:val="Carpredefinitoparagrafo"/>
    <w:rsid w:val="00D52C54"/>
  </w:style>
  <w:style w:type="paragraph" w:customStyle="1" w:styleId="Default">
    <w:name w:val="Default"/>
    <w:rsid w:val="000412B8"/>
    <w:pPr>
      <w:autoSpaceDE w:val="0"/>
      <w:autoSpaceDN w:val="0"/>
      <w:adjustRightInd w:val="0"/>
    </w:pPr>
    <w:rPr>
      <w:rFonts w:ascii="Times New Roman" w:hAnsi="Times New Roman" w:cs="Times New Roman"/>
      <w:color w:val="000000"/>
    </w:rPr>
  </w:style>
  <w:style w:type="paragraph" w:styleId="Pidipagina">
    <w:name w:val="footer"/>
    <w:basedOn w:val="Normale"/>
    <w:link w:val="PidipaginaCarattere"/>
    <w:uiPriority w:val="99"/>
    <w:unhideWhenUsed/>
    <w:rsid w:val="009A7E16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9A7E16"/>
    <w:rPr>
      <w:rFonts w:ascii="Times New Roman" w:eastAsia="Times New Roman" w:hAnsi="Times New Roman" w:cs="Times New Roman"/>
      <w:lang w:eastAsia="it-IT"/>
    </w:rPr>
  </w:style>
  <w:style w:type="character" w:styleId="Numeropagina">
    <w:name w:val="page number"/>
    <w:basedOn w:val="Carpredefinitoparagrafo"/>
    <w:uiPriority w:val="99"/>
    <w:semiHidden/>
    <w:unhideWhenUsed/>
    <w:rsid w:val="009A7E1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8991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917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313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5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03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783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83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736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624</Words>
  <Characters>3559</Characters>
  <Application>Microsoft Office Word</Application>
  <DocSecurity>0</DocSecurity>
  <Lines>29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angela amigoni</cp:lastModifiedBy>
  <cp:revision>4</cp:revision>
  <dcterms:created xsi:type="dcterms:W3CDTF">2021-07-25T09:07:00Z</dcterms:created>
  <dcterms:modified xsi:type="dcterms:W3CDTF">2021-07-28T12:40:00Z</dcterms:modified>
</cp:coreProperties>
</file>