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ti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EB1D2" w14:textId="171E9D0F" w:rsidR="00205475" w:rsidRPr="00205475" w:rsidRDefault="00205475" w:rsidP="002914B1">
      <w:pPr>
        <w:spacing w:beforeLines="50" w:before="156" w:line="400" w:lineRule="exact"/>
        <w:ind w:firstLineChars="0" w:firstLine="0"/>
        <w:jc w:val="center"/>
        <w:outlineLvl w:val="0"/>
        <w:rPr>
          <w:b/>
          <w:sz w:val="32"/>
          <w:szCs w:val="32"/>
        </w:rPr>
      </w:pPr>
      <w:bookmarkStart w:id="0" w:name="_Toc205461823"/>
      <w:r w:rsidRPr="00205475">
        <w:rPr>
          <w:b/>
          <w:sz w:val="32"/>
          <w:szCs w:val="32"/>
        </w:rPr>
        <w:t>Supplementary</w:t>
      </w:r>
      <w:r w:rsidRPr="00205475">
        <w:rPr>
          <w:rFonts w:hint="eastAsia"/>
          <w:b/>
          <w:sz w:val="32"/>
          <w:szCs w:val="32"/>
        </w:rPr>
        <w:t xml:space="preserve"> </w:t>
      </w:r>
      <w:r w:rsidRPr="00205475">
        <w:rPr>
          <w:b/>
          <w:sz w:val="32"/>
          <w:szCs w:val="32"/>
        </w:rPr>
        <w:t>Materials</w:t>
      </w:r>
      <w:r w:rsidRPr="00205475">
        <w:rPr>
          <w:rFonts w:hint="eastAsia"/>
          <w:b/>
          <w:sz w:val="32"/>
          <w:szCs w:val="32"/>
        </w:rPr>
        <w:t xml:space="preserve"> </w:t>
      </w:r>
      <w:r w:rsidRPr="00205475">
        <w:rPr>
          <w:b/>
          <w:sz w:val="32"/>
          <w:szCs w:val="32"/>
        </w:rPr>
        <w:t>for</w:t>
      </w:r>
      <w:r w:rsidRPr="00205475">
        <w:rPr>
          <w:b/>
          <w:sz w:val="32"/>
          <w:szCs w:val="32"/>
        </w:rPr>
        <w:br/>
      </w:r>
      <w:r w:rsidRPr="00205475">
        <w:rPr>
          <w:bCs/>
          <w:sz w:val="32"/>
          <w:szCs w:val="32"/>
        </w:rPr>
        <w:t>Stress-Equilibrium-Enhanced Physics-Informed Neural Network for Electromagnetic-Mechanical Coupling in</w:t>
      </w:r>
      <w:r w:rsidRPr="00205475">
        <w:rPr>
          <w:rFonts w:hint="eastAsia"/>
          <w:bCs/>
          <w:sz w:val="32"/>
          <w:szCs w:val="32"/>
        </w:rPr>
        <w:t xml:space="preserve"> </w:t>
      </w:r>
      <w:r w:rsidRPr="00205475">
        <w:rPr>
          <w:bCs/>
          <w:sz w:val="32"/>
          <w:szCs w:val="32"/>
        </w:rPr>
        <w:t>Superconductors</w:t>
      </w:r>
      <w:bookmarkEnd w:id="0"/>
    </w:p>
    <w:p w14:paraId="57208768" w14:textId="77777777" w:rsidR="00205475" w:rsidRPr="00205475" w:rsidRDefault="00205475" w:rsidP="00433383">
      <w:pPr>
        <w:pStyle w:val="11"/>
        <w:spacing w:before="0" w:after="0" w:line="360" w:lineRule="auto"/>
        <w:outlineLvl w:val="9"/>
        <w:rPr>
          <w:rFonts w:ascii="Times New Roman" w:hAnsi="Times New Roman" w:cs="Times New Roman"/>
          <w:kern w:val="0"/>
          <w:sz w:val="24"/>
          <w:szCs w:val="24"/>
        </w:rPr>
      </w:pPr>
      <w:bookmarkStart w:id="1" w:name="_Toc205461291"/>
      <w:proofErr w:type="spellStart"/>
      <w:r w:rsidRPr="00205475">
        <w:rPr>
          <w:rFonts w:ascii="Times New Roman" w:hAnsi="Times New Roman" w:cs="Times New Roman"/>
          <w:kern w:val="0"/>
          <w:sz w:val="24"/>
          <w:szCs w:val="24"/>
        </w:rPr>
        <w:t>Dongming</w:t>
      </w:r>
      <w:proofErr w:type="spellEnd"/>
      <w:r w:rsidRPr="00205475">
        <w:rPr>
          <w:rFonts w:ascii="Times New Roman" w:hAnsi="Times New Roman" w:cs="Times New Roman"/>
          <w:kern w:val="0"/>
          <w:sz w:val="24"/>
          <w:szCs w:val="24"/>
        </w:rPr>
        <w:t xml:space="preserve"> An</w:t>
      </w:r>
      <w:r w:rsidRPr="00205475">
        <w:rPr>
          <w:rFonts w:ascii="Times New Roman" w:hAnsi="Times New Roman" w:cs="Times New Roman"/>
          <w:kern w:val="0"/>
          <w:sz w:val="24"/>
          <w:szCs w:val="24"/>
          <w:vertAlign w:val="superscript"/>
        </w:rPr>
        <w:t>1</w:t>
      </w:r>
      <w:r w:rsidRPr="00205475">
        <w:rPr>
          <w:rFonts w:ascii="Times New Roman" w:hAnsi="Times New Roman" w:cs="Times New Roman"/>
          <w:kern w:val="0"/>
          <w:sz w:val="24"/>
          <w:szCs w:val="24"/>
        </w:rPr>
        <w:t xml:space="preserve">, </w:t>
      </w:r>
      <w:proofErr w:type="spellStart"/>
      <w:r w:rsidRPr="00205475">
        <w:rPr>
          <w:rFonts w:ascii="Times New Roman" w:eastAsia="方正仿宋简体" w:hAnsi="Times New Roman" w:cs="Times New Roman"/>
          <w:kern w:val="0"/>
          <w:sz w:val="24"/>
          <w:szCs w:val="24"/>
        </w:rPr>
        <w:t>Pengpeng</w:t>
      </w:r>
      <w:proofErr w:type="spellEnd"/>
      <w:r w:rsidRPr="00205475">
        <w:rPr>
          <w:rFonts w:ascii="Times New Roman" w:eastAsia="方正仿宋简体" w:hAnsi="Times New Roman" w:cs="Times New Roman"/>
          <w:kern w:val="0"/>
          <w:sz w:val="24"/>
          <w:szCs w:val="24"/>
        </w:rPr>
        <w:t xml:space="preserve"> Shi</w:t>
      </w:r>
      <w:r w:rsidRPr="00205475">
        <w:rPr>
          <w:rFonts w:ascii="Times New Roman" w:eastAsia="方正仿宋简体" w:hAnsi="Times New Roman" w:cs="Times New Roman"/>
          <w:kern w:val="0"/>
          <w:sz w:val="24"/>
          <w:szCs w:val="24"/>
          <w:vertAlign w:val="superscript"/>
        </w:rPr>
        <w:t>2, *</w:t>
      </w:r>
      <w:r w:rsidRPr="00205475">
        <w:rPr>
          <w:rFonts w:ascii="Times New Roman" w:eastAsia="方正仿宋简体" w:hAnsi="Times New Roman" w:cs="Times New Roman"/>
          <w:kern w:val="0"/>
          <w:sz w:val="24"/>
          <w:szCs w:val="24"/>
        </w:rPr>
        <w:t xml:space="preserve"> and </w:t>
      </w:r>
      <w:proofErr w:type="spellStart"/>
      <w:r w:rsidRPr="00205475">
        <w:rPr>
          <w:rFonts w:ascii="Times New Roman" w:hAnsi="Times New Roman" w:cs="Times New Roman"/>
          <w:kern w:val="0"/>
          <w:sz w:val="24"/>
          <w:szCs w:val="24"/>
        </w:rPr>
        <w:t>Xiaofan</w:t>
      </w:r>
      <w:proofErr w:type="spellEnd"/>
      <w:r w:rsidRPr="00205475">
        <w:rPr>
          <w:rFonts w:ascii="Times New Roman" w:hAnsi="Times New Roman" w:cs="Times New Roman"/>
          <w:kern w:val="0"/>
          <w:sz w:val="24"/>
          <w:szCs w:val="24"/>
        </w:rPr>
        <w:t xml:space="preserve"> Gou</w:t>
      </w:r>
      <w:r w:rsidRPr="00205475">
        <w:rPr>
          <w:rFonts w:ascii="Times New Roman" w:hAnsi="Times New Roman" w:cs="Times New Roman"/>
          <w:kern w:val="0"/>
          <w:sz w:val="24"/>
          <w:szCs w:val="24"/>
          <w:vertAlign w:val="superscript"/>
        </w:rPr>
        <w:t>1, *</w:t>
      </w:r>
      <w:bookmarkEnd w:id="1"/>
    </w:p>
    <w:p w14:paraId="15F78364" w14:textId="77777777" w:rsidR="00205475" w:rsidRPr="00205475" w:rsidRDefault="00205475" w:rsidP="00205475">
      <w:pPr>
        <w:widowControl/>
        <w:ind w:firstLineChars="0" w:firstLine="0"/>
        <w:jc w:val="center"/>
        <w:rPr>
          <w:i/>
          <w:iCs/>
          <w:kern w:val="0"/>
          <w:szCs w:val="24"/>
        </w:rPr>
      </w:pPr>
      <w:r w:rsidRPr="00205475">
        <w:rPr>
          <w:kern w:val="0"/>
          <w:szCs w:val="24"/>
          <w:vertAlign w:val="superscript"/>
        </w:rPr>
        <w:t>1</w:t>
      </w:r>
      <w:r w:rsidRPr="00205475">
        <w:rPr>
          <w:i/>
          <w:iCs/>
          <w:kern w:val="0"/>
          <w:szCs w:val="24"/>
        </w:rPr>
        <w:t xml:space="preserve">College of Mechanics and Engineering Science, </w:t>
      </w:r>
      <w:proofErr w:type="spellStart"/>
      <w:r w:rsidRPr="00205475">
        <w:rPr>
          <w:i/>
          <w:iCs/>
          <w:kern w:val="0"/>
          <w:szCs w:val="24"/>
        </w:rPr>
        <w:t>Hohai</w:t>
      </w:r>
      <w:proofErr w:type="spellEnd"/>
      <w:r w:rsidRPr="00205475">
        <w:rPr>
          <w:i/>
          <w:iCs/>
          <w:kern w:val="0"/>
          <w:szCs w:val="24"/>
        </w:rPr>
        <w:t xml:space="preserve"> University, Nanjing, 211000, China</w:t>
      </w:r>
    </w:p>
    <w:p w14:paraId="5378484D" w14:textId="77777777" w:rsidR="00205475" w:rsidRPr="00205475" w:rsidRDefault="00205475" w:rsidP="00205475">
      <w:pPr>
        <w:widowControl/>
        <w:adjustRightInd w:val="0"/>
        <w:snapToGrid w:val="0"/>
        <w:ind w:firstLineChars="0" w:firstLine="0"/>
        <w:jc w:val="center"/>
        <w:rPr>
          <w:i/>
          <w:iCs/>
          <w:kern w:val="0"/>
          <w:szCs w:val="24"/>
        </w:rPr>
      </w:pPr>
      <w:r w:rsidRPr="00205475">
        <w:rPr>
          <w:iCs/>
          <w:kern w:val="0"/>
          <w:szCs w:val="24"/>
          <w:vertAlign w:val="superscript"/>
        </w:rPr>
        <w:t>2</w:t>
      </w:r>
      <w:r w:rsidRPr="00205475">
        <w:rPr>
          <w:i/>
          <w:iCs/>
          <w:kern w:val="0"/>
          <w:szCs w:val="24"/>
        </w:rPr>
        <w:t>School of Mathematics and Statistics, Ningxia University, Yinchuan 750021, China</w:t>
      </w:r>
    </w:p>
    <w:p w14:paraId="487A9BEC" w14:textId="77777777" w:rsidR="00205475" w:rsidRPr="00205475" w:rsidRDefault="00205475" w:rsidP="00205475">
      <w:pPr>
        <w:widowControl/>
        <w:adjustRightInd w:val="0"/>
        <w:snapToGrid w:val="0"/>
        <w:ind w:firstLineChars="0" w:firstLine="0"/>
        <w:jc w:val="center"/>
        <w:rPr>
          <w:rFonts w:eastAsiaTheme="minorEastAsia"/>
          <w:i/>
          <w:iCs/>
          <w:kern w:val="0"/>
          <w:szCs w:val="24"/>
        </w:rPr>
      </w:pPr>
      <w:r w:rsidRPr="00205475">
        <w:rPr>
          <w:kern w:val="0"/>
          <w:szCs w:val="24"/>
        </w:rPr>
        <w:t>*</w:t>
      </w:r>
      <w:r w:rsidRPr="00205475">
        <w:rPr>
          <w:szCs w:val="24"/>
        </w:rPr>
        <w:t xml:space="preserve"> </w:t>
      </w:r>
      <w:r w:rsidRPr="00205475">
        <w:rPr>
          <w:b/>
          <w:bCs/>
          <w:szCs w:val="24"/>
        </w:rPr>
        <w:t>Corresponding authors.</w:t>
      </w:r>
      <w:r w:rsidRPr="00205475">
        <w:rPr>
          <w:szCs w:val="24"/>
        </w:rPr>
        <w:t xml:space="preserve"> </w:t>
      </w:r>
      <w:hyperlink r:id="rId8" w:history="1">
        <w:r w:rsidRPr="00205475">
          <w:rPr>
            <w:rStyle w:val="a3"/>
            <w:szCs w:val="24"/>
          </w:rPr>
          <w:t>shipengpeng@xjtu.edu.cn</w:t>
        </w:r>
      </w:hyperlink>
      <w:r w:rsidRPr="00205475">
        <w:rPr>
          <w:rFonts w:eastAsiaTheme="minorEastAsia"/>
          <w:szCs w:val="24"/>
        </w:rPr>
        <w:t xml:space="preserve"> (</w:t>
      </w:r>
      <w:r w:rsidRPr="00205475">
        <w:rPr>
          <w:rFonts w:eastAsia="方正仿宋简体"/>
          <w:kern w:val="0"/>
          <w:szCs w:val="24"/>
        </w:rPr>
        <w:t>P.P. Shi</w:t>
      </w:r>
      <w:r w:rsidRPr="00205475">
        <w:rPr>
          <w:rFonts w:eastAsiaTheme="minorEastAsia"/>
          <w:szCs w:val="24"/>
        </w:rPr>
        <w:t xml:space="preserve">) </w:t>
      </w:r>
      <w:hyperlink r:id="rId9" w:history="1">
        <w:r w:rsidRPr="00205475">
          <w:rPr>
            <w:rStyle w:val="a3"/>
            <w:rFonts w:eastAsia="黑体"/>
            <w:szCs w:val="24"/>
          </w:rPr>
          <w:t>xfgou@hhu.edu.cn</w:t>
        </w:r>
      </w:hyperlink>
      <w:r w:rsidRPr="00205475">
        <w:rPr>
          <w:szCs w:val="24"/>
        </w:rPr>
        <w:t>.</w:t>
      </w:r>
      <w:r w:rsidRPr="00205475">
        <w:rPr>
          <w:rFonts w:eastAsiaTheme="minorEastAsia"/>
          <w:szCs w:val="24"/>
        </w:rPr>
        <w:t xml:space="preserve"> (</w:t>
      </w:r>
      <w:r w:rsidRPr="00205475">
        <w:rPr>
          <w:kern w:val="0"/>
          <w:szCs w:val="24"/>
        </w:rPr>
        <w:t>X.</w:t>
      </w:r>
      <w:r w:rsidRPr="00205475">
        <w:rPr>
          <w:rFonts w:eastAsiaTheme="minorEastAsia"/>
          <w:kern w:val="0"/>
          <w:szCs w:val="24"/>
        </w:rPr>
        <w:t>F.</w:t>
      </w:r>
      <w:r w:rsidRPr="00205475">
        <w:rPr>
          <w:kern w:val="0"/>
          <w:szCs w:val="24"/>
        </w:rPr>
        <w:t xml:space="preserve"> Gou</w:t>
      </w:r>
      <w:r w:rsidRPr="00205475">
        <w:rPr>
          <w:rFonts w:eastAsiaTheme="minorEastAsia"/>
          <w:szCs w:val="24"/>
        </w:rPr>
        <w:t>)</w:t>
      </w:r>
    </w:p>
    <w:p w14:paraId="1D796C2E" w14:textId="77777777" w:rsidR="00205475" w:rsidRDefault="00205475" w:rsidP="00180DFB">
      <w:pPr>
        <w:spacing w:beforeLines="50" w:before="156" w:line="400" w:lineRule="exact"/>
        <w:ind w:firstLineChars="0" w:firstLine="0"/>
        <w:rPr>
          <w:b/>
          <w:szCs w:val="24"/>
        </w:rPr>
      </w:pPr>
    </w:p>
    <w:p w14:paraId="6F3DE29D" w14:textId="77777777" w:rsidR="007B4B5A" w:rsidRDefault="007B4B5A" w:rsidP="00180DFB">
      <w:pPr>
        <w:spacing w:beforeLines="50" w:before="156" w:line="400" w:lineRule="exact"/>
        <w:ind w:firstLineChars="0" w:firstLine="0"/>
        <w:rPr>
          <w:b/>
          <w:szCs w:val="24"/>
        </w:rPr>
      </w:pPr>
    </w:p>
    <w:p w14:paraId="38EAAF0E" w14:textId="1714EEC5" w:rsidR="00205475" w:rsidRPr="00205475" w:rsidRDefault="00205475" w:rsidP="00180DFB">
      <w:pPr>
        <w:spacing w:beforeLines="50" w:before="156" w:line="400" w:lineRule="exact"/>
        <w:ind w:firstLineChars="0" w:firstLine="0"/>
        <w:rPr>
          <w:b/>
          <w:sz w:val="32"/>
          <w:szCs w:val="32"/>
        </w:rPr>
      </w:pPr>
      <w:r w:rsidRPr="00205475">
        <w:rPr>
          <w:rFonts w:hint="eastAsia"/>
          <w:b/>
          <w:sz w:val="32"/>
          <w:szCs w:val="32"/>
        </w:rPr>
        <w:t>Contents</w:t>
      </w:r>
    </w:p>
    <w:p w14:paraId="6E52D225" w14:textId="3CCC7734" w:rsidR="002914B1" w:rsidRPr="002914B1" w:rsidRDefault="002914B1" w:rsidP="002914B1">
      <w:pPr>
        <w:pStyle w:val="TOC1"/>
        <w:rPr>
          <w:rFonts w:asciiTheme="minorHAnsi" w:eastAsiaTheme="minorEastAsia" w:hAnsiTheme="minorHAnsi" w:cstheme="minorBidi" w:hint="eastAsia"/>
          <w14:ligatures w14:val="standardContextual"/>
        </w:rPr>
      </w:pPr>
      <w:r>
        <w:rPr>
          <w:szCs w:val="24"/>
        </w:rPr>
        <w:fldChar w:fldCharType="begin"/>
      </w:r>
      <w:r>
        <w:rPr>
          <w:szCs w:val="24"/>
        </w:rPr>
        <w:instrText xml:space="preserve"> TOC \o "1-2" \h \z \u </w:instrText>
      </w:r>
      <w:r>
        <w:rPr>
          <w:szCs w:val="24"/>
        </w:rPr>
        <w:fldChar w:fldCharType="separate"/>
      </w:r>
      <w:hyperlink w:anchor="_Toc205461824" w:history="1">
        <w:r w:rsidRPr="002914B1">
          <w:rPr>
            <w:rStyle w:val="a3"/>
            <w:rFonts w:hint="eastAsia"/>
            <w:color w:val="0000CC"/>
          </w:rPr>
          <w:t>Part 1: Theo</w:t>
        </w:r>
        <w:r w:rsidRPr="002914B1">
          <w:rPr>
            <w:rStyle w:val="a3"/>
            <w:rFonts w:hint="eastAsia"/>
            <w:color w:val="0000CC"/>
          </w:rPr>
          <w:t>r</w:t>
        </w:r>
        <w:r w:rsidRPr="002914B1">
          <w:rPr>
            <w:rStyle w:val="a3"/>
            <w:rFonts w:hint="eastAsia"/>
            <w:color w:val="0000CC"/>
          </w:rPr>
          <w:t>y</w:t>
        </w:r>
        <w:r w:rsidRPr="002914B1">
          <w:rPr>
            <w:rFonts w:hint="eastAsia"/>
            <w:webHidden/>
          </w:rPr>
          <w:tab/>
        </w:r>
        <w:r w:rsidRPr="002914B1">
          <w:rPr>
            <w:rFonts w:hint="eastAsia"/>
            <w:webHidden/>
          </w:rPr>
          <w:fldChar w:fldCharType="begin"/>
        </w:r>
        <w:r w:rsidRPr="002914B1">
          <w:rPr>
            <w:rFonts w:hint="eastAsia"/>
            <w:webHidden/>
          </w:rPr>
          <w:instrText xml:space="preserve"> </w:instrText>
        </w:r>
        <w:r w:rsidRPr="002914B1">
          <w:rPr>
            <w:webHidden/>
          </w:rPr>
          <w:instrText>PAGEREF _Toc205461824 \h</w:instrText>
        </w:r>
        <w:r w:rsidRPr="002914B1">
          <w:rPr>
            <w:rFonts w:hint="eastAsia"/>
            <w:webHidden/>
          </w:rPr>
          <w:instrText xml:space="preserve"> </w:instrText>
        </w:r>
        <w:r w:rsidRPr="002914B1">
          <w:rPr>
            <w:rFonts w:hint="eastAsia"/>
            <w:webHidden/>
          </w:rPr>
        </w:r>
        <w:r w:rsidRPr="002914B1">
          <w:rPr>
            <w:webHidden/>
          </w:rPr>
          <w:fldChar w:fldCharType="separate"/>
        </w:r>
        <w:r w:rsidRPr="002914B1">
          <w:rPr>
            <w:webHidden/>
          </w:rPr>
          <w:t>2</w:t>
        </w:r>
        <w:r w:rsidRPr="002914B1">
          <w:rPr>
            <w:rFonts w:hint="eastAsia"/>
            <w:webHidden/>
          </w:rPr>
          <w:fldChar w:fldCharType="end"/>
        </w:r>
      </w:hyperlink>
    </w:p>
    <w:p w14:paraId="7A54D08C" w14:textId="1F4CD5C1" w:rsidR="002914B1" w:rsidRPr="002914B1" w:rsidRDefault="002914B1" w:rsidP="002914B1">
      <w:pPr>
        <w:pStyle w:val="TOC2"/>
        <w:rPr>
          <w:rFonts w:asciiTheme="minorHAnsi" w:eastAsiaTheme="minorEastAsia" w:hAnsiTheme="minorHAnsi" w:cstheme="minorBidi" w:hint="eastAsia"/>
          <w:color w:val="0000CC"/>
          <w14:ligatures w14:val="standardContextual"/>
        </w:rPr>
      </w:pPr>
      <w:hyperlink w:anchor="_Toc205461825" w:history="1">
        <w:r w:rsidRPr="002914B1">
          <w:rPr>
            <w:rStyle w:val="a3"/>
            <w:rFonts w:hint="eastAsia"/>
            <w:b w:val="0"/>
            <w:bCs w:val="0"/>
            <w:color w:val="0000CC"/>
          </w:rPr>
          <w:t>A. Fully connected neural network construction</w:t>
        </w:r>
        <w:r w:rsidRPr="002914B1">
          <w:rPr>
            <w:rFonts w:hint="eastAsia"/>
            <w:b w:val="0"/>
            <w:bCs w:val="0"/>
            <w:webHidden/>
            <w:color w:val="0000CC"/>
          </w:rPr>
          <w:tab/>
        </w:r>
        <w:r w:rsidRPr="002914B1">
          <w:rPr>
            <w:rFonts w:hint="eastAsia"/>
            <w:b w:val="0"/>
            <w:bCs w:val="0"/>
            <w:webHidden/>
            <w:color w:val="0000CC"/>
          </w:rPr>
          <w:fldChar w:fldCharType="begin"/>
        </w:r>
        <w:r w:rsidRPr="002914B1">
          <w:rPr>
            <w:rFonts w:hint="eastAsia"/>
            <w:b w:val="0"/>
            <w:bCs w:val="0"/>
            <w:webHidden/>
            <w:color w:val="0000CC"/>
          </w:rPr>
          <w:instrText xml:space="preserve"> </w:instrText>
        </w:r>
        <w:r w:rsidRPr="002914B1">
          <w:rPr>
            <w:b w:val="0"/>
            <w:bCs w:val="0"/>
            <w:webHidden/>
            <w:color w:val="0000CC"/>
          </w:rPr>
          <w:instrText>PAGEREF _Toc205461825 \h</w:instrText>
        </w:r>
        <w:r w:rsidRPr="002914B1">
          <w:rPr>
            <w:rFonts w:hint="eastAsia"/>
            <w:b w:val="0"/>
            <w:bCs w:val="0"/>
            <w:webHidden/>
            <w:color w:val="0000CC"/>
          </w:rPr>
          <w:instrText xml:space="preserve"> </w:instrText>
        </w:r>
        <w:r w:rsidRPr="002914B1">
          <w:rPr>
            <w:rFonts w:hint="eastAsia"/>
            <w:b w:val="0"/>
            <w:bCs w:val="0"/>
            <w:webHidden/>
            <w:color w:val="0000CC"/>
          </w:rPr>
        </w:r>
        <w:r w:rsidRPr="002914B1">
          <w:rPr>
            <w:b w:val="0"/>
            <w:bCs w:val="0"/>
            <w:webHidden/>
            <w:color w:val="0000CC"/>
          </w:rPr>
          <w:fldChar w:fldCharType="separate"/>
        </w:r>
        <w:r w:rsidRPr="002914B1">
          <w:rPr>
            <w:b w:val="0"/>
            <w:bCs w:val="0"/>
            <w:webHidden/>
            <w:color w:val="0000CC"/>
          </w:rPr>
          <w:t>2</w:t>
        </w:r>
        <w:r w:rsidRPr="002914B1">
          <w:rPr>
            <w:rFonts w:hint="eastAsia"/>
            <w:b w:val="0"/>
            <w:bCs w:val="0"/>
            <w:webHidden/>
            <w:color w:val="0000CC"/>
          </w:rPr>
          <w:fldChar w:fldCharType="end"/>
        </w:r>
      </w:hyperlink>
    </w:p>
    <w:p w14:paraId="22D1757C" w14:textId="5F2B442A" w:rsidR="002914B1" w:rsidRPr="002914B1" w:rsidRDefault="002914B1" w:rsidP="002914B1">
      <w:pPr>
        <w:pStyle w:val="TOC1"/>
        <w:rPr>
          <w:rFonts w:asciiTheme="minorHAnsi" w:eastAsiaTheme="minorEastAsia" w:hAnsiTheme="minorHAnsi" w:cstheme="minorBidi" w:hint="eastAsia"/>
          <w14:ligatures w14:val="standardContextual"/>
        </w:rPr>
      </w:pPr>
      <w:hyperlink w:anchor="_Toc205461826" w:history="1">
        <w:r w:rsidRPr="002914B1">
          <w:rPr>
            <w:rStyle w:val="a3"/>
            <w:rFonts w:hint="eastAsia"/>
            <w:color w:val="0000CC"/>
          </w:rPr>
          <w:t>Part 2: Computation</w:t>
        </w:r>
        <w:r w:rsidRPr="002914B1">
          <w:rPr>
            <w:rFonts w:hint="eastAsia"/>
            <w:webHidden/>
          </w:rPr>
          <w:tab/>
        </w:r>
        <w:r w:rsidRPr="002914B1">
          <w:rPr>
            <w:rFonts w:hint="eastAsia"/>
            <w:webHidden/>
          </w:rPr>
          <w:fldChar w:fldCharType="begin"/>
        </w:r>
        <w:r w:rsidRPr="002914B1">
          <w:rPr>
            <w:rFonts w:hint="eastAsia"/>
            <w:webHidden/>
          </w:rPr>
          <w:instrText xml:space="preserve"> </w:instrText>
        </w:r>
        <w:r w:rsidRPr="002914B1">
          <w:rPr>
            <w:webHidden/>
          </w:rPr>
          <w:instrText>PAGEREF _Toc205461826 \h</w:instrText>
        </w:r>
        <w:r w:rsidRPr="002914B1">
          <w:rPr>
            <w:rFonts w:hint="eastAsia"/>
            <w:webHidden/>
          </w:rPr>
          <w:instrText xml:space="preserve"> </w:instrText>
        </w:r>
        <w:r w:rsidRPr="002914B1">
          <w:rPr>
            <w:rFonts w:hint="eastAsia"/>
            <w:webHidden/>
          </w:rPr>
        </w:r>
        <w:r w:rsidRPr="002914B1">
          <w:rPr>
            <w:webHidden/>
          </w:rPr>
          <w:fldChar w:fldCharType="separate"/>
        </w:r>
        <w:r w:rsidRPr="002914B1">
          <w:rPr>
            <w:webHidden/>
          </w:rPr>
          <w:t>3</w:t>
        </w:r>
        <w:r w:rsidRPr="002914B1">
          <w:rPr>
            <w:rFonts w:hint="eastAsia"/>
            <w:webHidden/>
          </w:rPr>
          <w:fldChar w:fldCharType="end"/>
        </w:r>
      </w:hyperlink>
    </w:p>
    <w:p w14:paraId="5894DBCE" w14:textId="0419DE0E" w:rsidR="002914B1" w:rsidRPr="002914B1" w:rsidRDefault="002914B1" w:rsidP="002914B1">
      <w:pPr>
        <w:pStyle w:val="TOC2"/>
        <w:rPr>
          <w:rFonts w:asciiTheme="minorHAnsi" w:eastAsiaTheme="minorEastAsia" w:hAnsiTheme="minorHAnsi" w:cstheme="minorBidi" w:hint="eastAsia"/>
          <w:b w:val="0"/>
          <w:bCs w:val="0"/>
          <w:color w:val="0000CC"/>
          <w14:ligatures w14:val="standardContextual"/>
        </w:rPr>
      </w:pPr>
      <w:hyperlink w:anchor="_Toc205461827" w:history="1">
        <w:r w:rsidRPr="002914B1">
          <w:rPr>
            <w:rStyle w:val="a3"/>
            <w:rFonts w:hint="eastAsia"/>
            <w:b w:val="0"/>
            <w:bCs w:val="0"/>
            <w:color w:val="0000CC"/>
          </w:rPr>
          <w:t>B. Hyperparameter analysis of the ENN</w:t>
        </w:r>
        <w:r w:rsidRPr="002914B1">
          <w:rPr>
            <w:rFonts w:hint="eastAsia"/>
            <w:b w:val="0"/>
            <w:bCs w:val="0"/>
            <w:webHidden/>
            <w:color w:val="0000CC"/>
          </w:rPr>
          <w:tab/>
        </w:r>
        <w:r w:rsidRPr="002914B1">
          <w:rPr>
            <w:rFonts w:hint="eastAsia"/>
            <w:b w:val="0"/>
            <w:bCs w:val="0"/>
            <w:webHidden/>
            <w:color w:val="0000CC"/>
          </w:rPr>
          <w:fldChar w:fldCharType="begin"/>
        </w:r>
        <w:r w:rsidRPr="002914B1">
          <w:rPr>
            <w:rFonts w:hint="eastAsia"/>
            <w:b w:val="0"/>
            <w:bCs w:val="0"/>
            <w:webHidden/>
            <w:color w:val="0000CC"/>
          </w:rPr>
          <w:instrText xml:space="preserve"> </w:instrText>
        </w:r>
        <w:r w:rsidRPr="002914B1">
          <w:rPr>
            <w:b w:val="0"/>
            <w:bCs w:val="0"/>
            <w:webHidden/>
            <w:color w:val="0000CC"/>
          </w:rPr>
          <w:instrText>PAGEREF _Toc205461827 \h</w:instrText>
        </w:r>
        <w:r w:rsidRPr="002914B1">
          <w:rPr>
            <w:rFonts w:hint="eastAsia"/>
            <w:b w:val="0"/>
            <w:bCs w:val="0"/>
            <w:webHidden/>
            <w:color w:val="0000CC"/>
          </w:rPr>
          <w:instrText xml:space="preserve"> </w:instrText>
        </w:r>
        <w:r w:rsidRPr="002914B1">
          <w:rPr>
            <w:rFonts w:hint="eastAsia"/>
            <w:b w:val="0"/>
            <w:bCs w:val="0"/>
            <w:webHidden/>
            <w:color w:val="0000CC"/>
          </w:rPr>
        </w:r>
        <w:r w:rsidRPr="002914B1">
          <w:rPr>
            <w:b w:val="0"/>
            <w:bCs w:val="0"/>
            <w:webHidden/>
            <w:color w:val="0000CC"/>
          </w:rPr>
          <w:fldChar w:fldCharType="separate"/>
        </w:r>
        <w:r w:rsidRPr="002914B1">
          <w:rPr>
            <w:b w:val="0"/>
            <w:bCs w:val="0"/>
            <w:webHidden/>
            <w:color w:val="0000CC"/>
          </w:rPr>
          <w:t>3</w:t>
        </w:r>
        <w:r w:rsidRPr="002914B1">
          <w:rPr>
            <w:rFonts w:hint="eastAsia"/>
            <w:b w:val="0"/>
            <w:bCs w:val="0"/>
            <w:webHidden/>
            <w:color w:val="0000CC"/>
          </w:rPr>
          <w:fldChar w:fldCharType="end"/>
        </w:r>
      </w:hyperlink>
    </w:p>
    <w:p w14:paraId="61C14BCB" w14:textId="035CB8C8" w:rsidR="002914B1" w:rsidRPr="002914B1" w:rsidRDefault="002914B1" w:rsidP="002914B1">
      <w:pPr>
        <w:pStyle w:val="TOC2"/>
        <w:rPr>
          <w:rFonts w:asciiTheme="minorHAnsi" w:eastAsiaTheme="minorEastAsia" w:hAnsiTheme="minorHAnsi" w:cstheme="minorBidi" w:hint="eastAsia"/>
          <w:b w:val="0"/>
          <w:bCs w:val="0"/>
          <w:color w:val="0000CC"/>
          <w14:ligatures w14:val="standardContextual"/>
        </w:rPr>
      </w:pPr>
      <w:hyperlink w:anchor="_Toc205461828" w:history="1">
        <w:r w:rsidRPr="002914B1">
          <w:rPr>
            <w:rStyle w:val="a3"/>
            <w:rFonts w:hint="eastAsia"/>
            <w:b w:val="0"/>
            <w:bCs w:val="0"/>
            <w:color w:val="0000CC"/>
          </w:rPr>
          <w:t>C. Hyperparameter analysis of the MNN</w:t>
        </w:r>
        <w:r w:rsidRPr="002914B1">
          <w:rPr>
            <w:rFonts w:hint="eastAsia"/>
            <w:b w:val="0"/>
            <w:bCs w:val="0"/>
            <w:webHidden/>
            <w:color w:val="0000CC"/>
          </w:rPr>
          <w:tab/>
        </w:r>
        <w:r w:rsidRPr="002914B1">
          <w:rPr>
            <w:rFonts w:hint="eastAsia"/>
            <w:b w:val="0"/>
            <w:bCs w:val="0"/>
            <w:webHidden/>
            <w:color w:val="0000CC"/>
          </w:rPr>
          <w:fldChar w:fldCharType="begin"/>
        </w:r>
        <w:r w:rsidRPr="002914B1">
          <w:rPr>
            <w:rFonts w:hint="eastAsia"/>
            <w:b w:val="0"/>
            <w:bCs w:val="0"/>
            <w:webHidden/>
            <w:color w:val="0000CC"/>
          </w:rPr>
          <w:instrText xml:space="preserve"> </w:instrText>
        </w:r>
        <w:r w:rsidRPr="002914B1">
          <w:rPr>
            <w:b w:val="0"/>
            <w:bCs w:val="0"/>
            <w:webHidden/>
            <w:color w:val="0000CC"/>
          </w:rPr>
          <w:instrText>PAGEREF _Toc205461828 \h</w:instrText>
        </w:r>
        <w:r w:rsidRPr="002914B1">
          <w:rPr>
            <w:rFonts w:hint="eastAsia"/>
            <w:b w:val="0"/>
            <w:bCs w:val="0"/>
            <w:webHidden/>
            <w:color w:val="0000CC"/>
          </w:rPr>
          <w:instrText xml:space="preserve"> </w:instrText>
        </w:r>
        <w:r w:rsidRPr="002914B1">
          <w:rPr>
            <w:rFonts w:hint="eastAsia"/>
            <w:b w:val="0"/>
            <w:bCs w:val="0"/>
            <w:webHidden/>
            <w:color w:val="0000CC"/>
          </w:rPr>
        </w:r>
        <w:r w:rsidRPr="002914B1">
          <w:rPr>
            <w:b w:val="0"/>
            <w:bCs w:val="0"/>
            <w:webHidden/>
            <w:color w:val="0000CC"/>
          </w:rPr>
          <w:fldChar w:fldCharType="separate"/>
        </w:r>
        <w:r w:rsidRPr="002914B1">
          <w:rPr>
            <w:b w:val="0"/>
            <w:bCs w:val="0"/>
            <w:webHidden/>
            <w:color w:val="0000CC"/>
          </w:rPr>
          <w:t>7</w:t>
        </w:r>
        <w:r w:rsidRPr="002914B1">
          <w:rPr>
            <w:rFonts w:hint="eastAsia"/>
            <w:b w:val="0"/>
            <w:bCs w:val="0"/>
            <w:webHidden/>
            <w:color w:val="0000CC"/>
          </w:rPr>
          <w:fldChar w:fldCharType="end"/>
        </w:r>
      </w:hyperlink>
    </w:p>
    <w:p w14:paraId="18780AA8" w14:textId="77777777" w:rsidR="002914B1" w:rsidRDefault="002914B1" w:rsidP="002914B1">
      <w:pPr>
        <w:spacing w:beforeLines="50" w:before="156" w:line="400" w:lineRule="exact"/>
        <w:ind w:firstLine="482"/>
        <w:rPr>
          <w:b/>
          <w:szCs w:val="24"/>
        </w:rPr>
      </w:pPr>
      <w:r>
        <w:rPr>
          <w:b/>
          <w:szCs w:val="24"/>
        </w:rPr>
        <w:fldChar w:fldCharType="end"/>
      </w:r>
      <w:r>
        <w:rPr>
          <w:b/>
          <w:szCs w:val="24"/>
        </w:rPr>
        <w:br w:type="page"/>
      </w:r>
    </w:p>
    <w:p w14:paraId="2CEA975E" w14:textId="2A9B0769" w:rsidR="00433383" w:rsidRDefault="00433383" w:rsidP="002914B1">
      <w:pPr>
        <w:spacing w:beforeLines="50" w:before="156" w:line="400" w:lineRule="exact"/>
        <w:ind w:firstLine="480"/>
        <w:rPr>
          <w:bCs/>
          <w:szCs w:val="24"/>
        </w:rPr>
      </w:pPr>
      <w:r w:rsidRPr="00433383">
        <w:rPr>
          <w:bCs/>
          <w:szCs w:val="24"/>
        </w:rPr>
        <w:lastRenderedPageBreak/>
        <w:t xml:space="preserve">In this supplementary </w:t>
      </w:r>
      <w:r>
        <w:rPr>
          <w:rFonts w:hint="eastAsia"/>
          <w:bCs/>
          <w:szCs w:val="24"/>
        </w:rPr>
        <w:t>material</w:t>
      </w:r>
      <w:r w:rsidRPr="00433383">
        <w:rPr>
          <w:bCs/>
          <w:szCs w:val="24"/>
        </w:rPr>
        <w:t>, we will present further theoretical derivations</w:t>
      </w:r>
      <w:r>
        <w:rPr>
          <w:rFonts w:hint="eastAsia"/>
          <w:bCs/>
          <w:szCs w:val="24"/>
        </w:rPr>
        <w:t xml:space="preserve"> </w:t>
      </w:r>
      <w:r w:rsidRPr="00433383">
        <w:rPr>
          <w:bCs/>
          <w:szCs w:val="24"/>
        </w:rPr>
        <w:t xml:space="preserve">and computational details of the contents in the main text. This supplementary </w:t>
      </w:r>
      <w:r>
        <w:rPr>
          <w:rFonts w:hint="eastAsia"/>
          <w:bCs/>
          <w:szCs w:val="24"/>
        </w:rPr>
        <w:t>material</w:t>
      </w:r>
      <w:r w:rsidRPr="00433383">
        <w:rPr>
          <w:bCs/>
          <w:szCs w:val="24"/>
        </w:rPr>
        <w:t xml:space="preserve"> consists</w:t>
      </w:r>
      <w:r>
        <w:rPr>
          <w:rFonts w:hint="eastAsia"/>
          <w:bCs/>
          <w:szCs w:val="24"/>
        </w:rPr>
        <w:t xml:space="preserve"> </w:t>
      </w:r>
      <w:r w:rsidRPr="00433383">
        <w:rPr>
          <w:bCs/>
          <w:szCs w:val="24"/>
        </w:rPr>
        <w:t>of two parts: theory and computation.</w:t>
      </w:r>
    </w:p>
    <w:p w14:paraId="58C9E7B7" w14:textId="77777777" w:rsidR="002914B1" w:rsidRPr="002914B1" w:rsidRDefault="002914B1" w:rsidP="002914B1">
      <w:pPr>
        <w:spacing w:beforeLines="50" w:before="156" w:line="400" w:lineRule="exact"/>
        <w:ind w:firstLineChars="0" w:firstLine="0"/>
        <w:outlineLvl w:val="0"/>
        <w:rPr>
          <w:rStyle w:val="a3"/>
          <w:b/>
          <w:bCs/>
          <w:color w:val="auto"/>
          <w:sz w:val="28"/>
          <w:szCs w:val="28"/>
          <w:u w:val="none"/>
        </w:rPr>
      </w:pPr>
      <w:bookmarkStart w:id="2" w:name="_Toc205461292"/>
      <w:bookmarkStart w:id="3" w:name="_Toc205461824"/>
      <w:r w:rsidRPr="002914B1">
        <w:rPr>
          <w:rStyle w:val="a3"/>
          <w:rFonts w:hint="eastAsia"/>
          <w:b/>
          <w:bCs/>
          <w:color w:val="auto"/>
          <w:sz w:val="28"/>
          <w:szCs w:val="28"/>
          <w:u w:val="none"/>
        </w:rPr>
        <w:t>Part 1: Theory</w:t>
      </w:r>
      <w:bookmarkEnd w:id="2"/>
      <w:bookmarkEnd w:id="3"/>
    </w:p>
    <w:p w14:paraId="1133FAA8" w14:textId="45D2AAF5" w:rsidR="002914B1" w:rsidRPr="002914B1" w:rsidRDefault="002914B1" w:rsidP="002914B1">
      <w:pPr>
        <w:spacing w:beforeLines="50" w:before="156" w:line="400" w:lineRule="exact"/>
        <w:ind w:firstLineChars="0" w:firstLine="0"/>
        <w:outlineLvl w:val="1"/>
        <w:rPr>
          <w:rFonts w:hint="eastAsia"/>
          <w:b/>
          <w:bCs/>
          <w:sz w:val="28"/>
          <w:szCs w:val="28"/>
        </w:rPr>
      </w:pPr>
      <w:bookmarkStart w:id="4" w:name="_Toc205461293"/>
      <w:bookmarkStart w:id="5" w:name="_Toc205461825"/>
      <w:r>
        <w:rPr>
          <w:rStyle w:val="a3"/>
          <w:rFonts w:hint="eastAsia"/>
          <w:b/>
          <w:bCs/>
          <w:color w:val="auto"/>
          <w:sz w:val="28"/>
          <w:szCs w:val="28"/>
          <w:u w:val="none"/>
        </w:rPr>
        <w:t xml:space="preserve">A. </w:t>
      </w:r>
      <w:r w:rsidRPr="002914B1">
        <w:rPr>
          <w:rStyle w:val="a3"/>
          <w:b/>
          <w:bCs/>
          <w:color w:val="auto"/>
          <w:sz w:val="28"/>
          <w:szCs w:val="28"/>
          <w:u w:val="none"/>
        </w:rPr>
        <w:t>Fully connected neural network construction</w:t>
      </w:r>
      <w:bookmarkEnd w:id="4"/>
      <w:bookmarkEnd w:id="5"/>
    </w:p>
    <w:p w14:paraId="6A415E15" w14:textId="600EF2C3" w:rsidR="00F96D71" w:rsidRPr="00F44EEE" w:rsidRDefault="00F96D71" w:rsidP="00F96D71">
      <w:pPr>
        <w:spacing w:line="300" w:lineRule="auto"/>
        <w:ind w:firstLine="480"/>
        <w:rPr>
          <w:szCs w:val="24"/>
        </w:rPr>
      </w:pPr>
      <w:r w:rsidRPr="00F44EEE">
        <w:rPr>
          <w:szCs w:val="24"/>
        </w:rPr>
        <w:t>The fully connected neural network is a parameterized nested combination of multiple nonlinear functions that aims to achieve a mapping of inputs to target outputs. According to</w:t>
      </w:r>
      <w:r w:rsidRPr="00F44EEE">
        <w:rPr>
          <w:i/>
          <w:iCs/>
          <w:szCs w:val="24"/>
        </w:rPr>
        <w:t xml:space="preserve"> </w:t>
      </w:r>
      <w:r w:rsidRPr="00F44EEE">
        <w:rPr>
          <w:rFonts w:hint="eastAsia"/>
          <w:i/>
          <w:iCs/>
          <w:szCs w:val="24"/>
        </w:rPr>
        <w:t>the</w:t>
      </w:r>
      <w:r w:rsidRPr="00F44EEE">
        <w:rPr>
          <w:i/>
          <w:iCs/>
          <w:szCs w:val="24"/>
        </w:rPr>
        <w:t xml:space="preserve"> universal function approximation theorem</w:t>
      </w:r>
      <w:r w:rsidRPr="00F44EEE">
        <w:rPr>
          <w:szCs w:val="24"/>
        </w:rPr>
        <w:t xml:space="preserve"> </w:t>
      </w:r>
      <w:r w:rsidRPr="00F44EEE">
        <w:rPr>
          <w:szCs w:val="24"/>
        </w:rPr>
        <w:fldChar w:fldCharType="begin"/>
      </w:r>
      <w:r w:rsidR="00433383">
        <w:rPr>
          <w:szCs w:val="24"/>
        </w:rPr>
        <w:instrText xml:space="preserve"> ADDIN EN.CITE &lt;EndNote&gt;&lt;Cite&gt;&lt;Author&gt;Hornik&lt;/Author&gt;&lt;Year&gt;1989&lt;/Year&gt;&lt;RecNum&gt;42&lt;/RecNum&gt;&lt;DisplayText&gt;[1]&lt;/DisplayText&gt;&lt;record&gt;&lt;rec-number&gt;42&lt;/rec-number&gt;&lt;foreign-keys&gt;&lt;key app="EN" db-id="5frrzea2qrvr56edaaxvdp2o9et9sax509rt" timestamp="1733479192"&gt;42&lt;/key&gt;&lt;/foreign-keys&gt;&lt;ref-type name="Journal Article"&gt;17&lt;/ref-type&gt;&lt;contributors&gt;&lt;authors&gt;&lt;author&gt;Hornik, Kurt&lt;/author&gt;&lt;author&gt;Stinchcombe, Maxwell&lt;/author&gt;&lt;author&gt;White, Halbert&lt;/author&gt;&lt;/authors&gt;&lt;/contributors&gt;&lt;titles&gt;&lt;title&gt;Multilayer feedforward networks are universal approximators&lt;/title&gt;&lt;secondary-title&gt;Neural Networks&lt;/secondary-title&gt;&lt;/titles&gt;&lt;periodical&gt;&lt;full-title&gt;Neural Networks&lt;/full-title&gt;&lt;/periodical&gt;&lt;pages&gt;359-366&lt;/pages&gt;&lt;volume&gt;2&lt;/volume&gt;&lt;number&gt;5&lt;/number&gt;&lt;keywords&gt;&lt;keyword&gt;Feedforward networks&lt;/keyword&gt;&lt;keyword&gt;Universal approximation&lt;/keyword&gt;&lt;keyword&gt;Mapping networks&lt;/keyword&gt;&lt;keyword&gt;Network representation capability&lt;/keyword&gt;&lt;keyword&gt;Stone-Weierstrass Theorem&lt;/keyword&gt;&lt;keyword&gt;Squashing functions&lt;/keyword&gt;&lt;keyword&gt;Sigma-Pi networks&lt;/keyword&gt;&lt;keyword&gt;Back-propagation networks&lt;/keyword&gt;&lt;/keywords&gt;&lt;dates&gt;&lt;year&gt;1989&lt;/year&gt;&lt;pub-dates&gt;&lt;date&gt;1989/01/01/&lt;/date&gt;&lt;/pub-dates&gt;&lt;/dates&gt;&lt;isbn&gt;0893-6080&lt;/isbn&gt;&lt;urls&gt;&lt;related-urls&gt;&lt;url&gt;https://www.sciencedirect.com/science/article/pii/0893608089900208&lt;/url&gt;&lt;/related-urls&gt;&lt;/urls&gt;&lt;electronic-resource-num&gt;https://doi.org/10.1016/0893-6080(89)90020-8&lt;/electronic-resource-num&gt;&lt;/record&gt;&lt;/Cite&gt;&lt;/EndNote&gt;</w:instrText>
      </w:r>
      <w:r w:rsidRPr="00F44EEE">
        <w:rPr>
          <w:szCs w:val="24"/>
        </w:rPr>
        <w:fldChar w:fldCharType="separate"/>
      </w:r>
      <w:r w:rsidR="00433383">
        <w:rPr>
          <w:noProof/>
          <w:szCs w:val="24"/>
        </w:rPr>
        <w:t>[1]</w:t>
      </w:r>
      <w:r w:rsidRPr="00F44EEE">
        <w:rPr>
          <w:szCs w:val="24"/>
        </w:rPr>
        <w:fldChar w:fldCharType="end"/>
      </w:r>
      <w:r w:rsidRPr="00F44EEE">
        <w:rPr>
          <w:szCs w:val="24"/>
        </w:rPr>
        <w:t xml:space="preserve">, ANNs can approximate </w:t>
      </w:r>
      <w:r w:rsidRPr="00F44EEE">
        <w:t>arbitrarily</w:t>
      </w:r>
      <w:r w:rsidRPr="00F44EEE">
        <w:rPr>
          <w:szCs w:val="24"/>
        </w:rPr>
        <w:t xml:space="preserve"> complex functions. Consider an </w:t>
      </w:r>
      <w:r w:rsidRPr="00F44EEE">
        <w:rPr>
          <w:i/>
          <w:iCs/>
          <w:szCs w:val="24"/>
        </w:rPr>
        <w:t>L</w:t>
      </w:r>
      <w:r w:rsidRPr="00F44EEE">
        <w:rPr>
          <w:szCs w:val="24"/>
        </w:rPr>
        <w:t xml:space="preserve">-layer neural network with </w:t>
      </w:r>
      <w:r w:rsidRPr="00F44EEE">
        <w:rPr>
          <w:i/>
          <w:iCs/>
          <w:szCs w:val="24"/>
        </w:rPr>
        <w:t>m</w:t>
      </w:r>
      <w:r w:rsidRPr="00F44EEE">
        <w:rPr>
          <w:szCs w:val="24"/>
        </w:rPr>
        <w:t xml:space="preserve"> inputs and </w:t>
      </w:r>
      <w:r w:rsidRPr="00F44EEE">
        <w:rPr>
          <w:i/>
          <w:iCs/>
          <w:szCs w:val="24"/>
        </w:rPr>
        <w:t>p</w:t>
      </w:r>
      <w:r w:rsidRPr="00F44EEE">
        <w:rPr>
          <w:szCs w:val="24"/>
        </w:rPr>
        <w:t xml:space="preserve"> outputs, each hidden layer containing </w:t>
      </w:r>
      <w:r w:rsidRPr="00F44EEE">
        <w:rPr>
          <w:i/>
          <w:iCs/>
          <w:szCs w:val="24"/>
        </w:rPr>
        <w:t>n</w:t>
      </w:r>
      <w:r w:rsidRPr="00F44EEE">
        <w:rPr>
          <w:szCs w:val="24"/>
        </w:rPr>
        <w:t xml:space="preserve"> neurons. During the feedforward propagation, the output of each neuron can be decomposed into two parts. First, the outputs of all neurons from the previous layer are weighted, and the cumulative value with bias is </w:t>
      </w:r>
      <w:r w:rsidRPr="00F44EEE">
        <w:t>calculated</w:t>
      </w:r>
      <w:r w:rsidRPr="00F44EEE">
        <w:rPr>
          <w:szCs w:val="24"/>
        </w:rPr>
        <w:t xml:space="preserve">. Subsequently, a nonlinear output is generated by the activation function. The output </w:t>
      </w:r>
      <w:r w:rsidRPr="00F44EEE">
        <w:rPr>
          <w:rFonts w:hint="eastAsia"/>
          <w:i/>
          <w:iCs/>
          <w:szCs w:val="24"/>
        </w:rPr>
        <w:t>A</w:t>
      </w:r>
      <w:r w:rsidRPr="00F44EEE">
        <w:rPr>
          <w:rFonts w:hint="eastAsia"/>
          <w:i/>
          <w:iCs/>
          <w:szCs w:val="24"/>
          <w:vertAlign w:val="superscript"/>
        </w:rPr>
        <w:t>l</w:t>
      </w:r>
      <w:r w:rsidRPr="00F44EEE">
        <w:rPr>
          <w:rFonts w:hint="eastAsia"/>
          <w:i/>
          <w:iCs/>
          <w:szCs w:val="24"/>
          <w:vertAlign w:val="subscript"/>
        </w:rPr>
        <w:t>i</w:t>
      </w:r>
      <w:r w:rsidRPr="00F44EEE">
        <w:rPr>
          <w:szCs w:val="24"/>
        </w:rPr>
        <w:t xml:space="preserve"> of the </w:t>
      </w:r>
      <w:proofErr w:type="spellStart"/>
      <w:r w:rsidRPr="00F44EEE">
        <w:rPr>
          <w:i/>
          <w:iCs/>
          <w:szCs w:val="24"/>
        </w:rPr>
        <w:t>i</w:t>
      </w:r>
      <w:r w:rsidRPr="00F44EEE">
        <w:rPr>
          <w:szCs w:val="24"/>
        </w:rPr>
        <w:t>th</w:t>
      </w:r>
      <w:proofErr w:type="spellEnd"/>
      <w:r w:rsidRPr="00F44EEE">
        <w:rPr>
          <w:szCs w:val="24"/>
        </w:rPr>
        <w:t xml:space="preserve"> neuron in layer </w:t>
      </w:r>
      <w:r w:rsidRPr="00F44EEE">
        <w:rPr>
          <w:i/>
          <w:iCs/>
          <w:szCs w:val="24"/>
        </w:rPr>
        <w:t>l</w:t>
      </w:r>
      <w:r w:rsidRPr="00F44EEE">
        <w:rPr>
          <w:szCs w:val="24"/>
        </w:rPr>
        <w:t xml:space="preserve"> is </w:t>
      </w:r>
      <w:r w:rsidRPr="00F44EEE">
        <w:t>expressed as</w:t>
      </w:r>
    </w:p>
    <w:tbl>
      <w:tblPr>
        <w:tblW w:w="8618" w:type="dxa"/>
        <w:tblLook w:val="04A0" w:firstRow="1" w:lastRow="0" w:firstColumn="1" w:lastColumn="0" w:noHBand="0" w:noVBand="1"/>
      </w:tblPr>
      <w:tblGrid>
        <w:gridCol w:w="7194"/>
        <w:gridCol w:w="1424"/>
      </w:tblGrid>
      <w:tr w:rsidR="00F96D71" w:rsidRPr="00F44EEE" w14:paraId="0B0B3FB1" w14:textId="77777777" w:rsidTr="008525B4">
        <w:tc>
          <w:tcPr>
            <w:tcW w:w="7194" w:type="dxa"/>
            <w:shd w:val="clear" w:color="auto" w:fill="auto"/>
            <w:vAlign w:val="center"/>
          </w:tcPr>
          <w:p w14:paraId="68C34802" w14:textId="77777777" w:rsidR="00F96D71" w:rsidRPr="00F44EEE" w:rsidRDefault="00F96D71" w:rsidP="008525B4">
            <w:pPr>
              <w:adjustRightInd w:val="0"/>
              <w:snapToGrid w:val="0"/>
              <w:ind w:firstLine="480"/>
              <w:jc w:val="center"/>
              <w:rPr>
                <w:rFonts w:ascii="Calibri" w:hAnsi="Calibri" w:cs="Calibri"/>
                <w:color w:val="000000"/>
                <w:kern w:val="0"/>
                <w:szCs w:val="24"/>
              </w:rPr>
            </w:pPr>
            <w:r w:rsidRPr="00F44EEE">
              <w:rPr>
                <w:rFonts w:ascii="Calibri" w:hAnsi="Calibri" w:cs="Calibri"/>
                <w:color w:val="000000"/>
                <w:kern w:val="0"/>
                <w:position w:val="-30"/>
                <w:szCs w:val="24"/>
              </w:rPr>
              <w:object w:dxaOrig="2200" w:dyaOrig="700" w14:anchorId="48C970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pt;height:36pt" o:ole="">
                  <v:imagedata r:id="rId10" o:title=""/>
                </v:shape>
                <o:OLEObject Type="Embed" ProgID="Equation.DSMT4" ShapeID="_x0000_i1025" DrawAspect="Content" ObjectID="_1816075264" r:id="rId11"/>
              </w:object>
            </w:r>
            <w:r w:rsidRPr="00F44EEE">
              <w:rPr>
                <w:color w:val="000000"/>
                <w:kern w:val="0"/>
                <w:szCs w:val="24"/>
              </w:rPr>
              <w:t>,</w:t>
            </w:r>
          </w:p>
        </w:tc>
        <w:tc>
          <w:tcPr>
            <w:tcW w:w="1424" w:type="dxa"/>
            <w:shd w:val="clear" w:color="auto" w:fill="auto"/>
            <w:vAlign w:val="center"/>
          </w:tcPr>
          <w:p w14:paraId="26AE62A6" w14:textId="27EF82AB" w:rsidR="00F96D71" w:rsidRPr="00F44EEE" w:rsidRDefault="00F96D71" w:rsidP="008525B4">
            <w:pPr>
              <w:adjustRightInd w:val="0"/>
              <w:snapToGrid w:val="0"/>
              <w:ind w:firstLineChars="0" w:firstLine="0"/>
              <w:jc w:val="right"/>
              <w:rPr>
                <w:kern w:val="0"/>
                <w:szCs w:val="24"/>
              </w:rPr>
            </w:pPr>
            <w:r w:rsidRPr="00F44EEE">
              <w:rPr>
                <w:kern w:val="0"/>
                <w:szCs w:val="24"/>
              </w:rPr>
              <w:t>(A</w:t>
            </w:r>
            <w:r w:rsidR="00574B15" w:rsidRPr="00F44EEE">
              <w:rPr>
                <w:kern w:val="0"/>
                <w:szCs w:val="24"/>
              </w:rPr>
              <w:t>.</w:t>
            </w:r>
            <w:r w:rsidRPr="00F44EEE">
              <w:rPr>
                <w:kern w:val="0"/>
                <w:szCs w:val="24"/>
              </w:rPr>
              <w:t>1)</w:t>
            </w:r>
          </w:p>
        </w:tc>
      </w:tr>
    </w:tbl>
    <w:p w14:paraId="465D02C6" w14:textId="77777777" w:rsidR="00F96D71" w:rsidRPr="00F44EEE" w:rsidRDefault="00F96D71" w:rsidP="00F96D71">
      <w:pPr>
        <w:spacing w:line="300" w:lineRule="auto"/>
        <w:ind w:firstLineChars="0" w:firstLine="0"/>
        <w:rPr>
          <w:szCs w:val="24"/>
        </w:rPr>
      </w:pPr>
      <w:r w:rsidRPr="00F44EEE">
        <w:rPr>
          <w:szCs w:val="24"/>
        </w:rPr>
        <w:t xml:space="preserve">where </w:t>
      </w:r>
      <w:r w:rsidRPr="00F44EEE">
        <w:rPr>
          <w:i/>
          <w:iCs/>
          <w:szCs w:val="24"/>
        </w:rPr>
        <w:t>f</w:t>
      </w:r>
      <w:r w:rsidRPr="00F44EEE">
        <w:rPr>
          <w:szCs w:val="24"/>
        </w:rPr>
        <w:t xml:space="preserve"> is the activation function, </w:t>
      </w:r>
      <w:proofErr w:type="spellStart"/>
      <w:r w:rsidRPr="00F44EEE">
        <w:rPr>
          <w:rFonts w:hint="eastAsia"/>
          <w:i/>
          <w:iCs/>
          <w:szCs w:val="24"/>
        </w:rPr>
        <w:t>w</w:t>
      </w:r>
      <w:r w:rsidRPr="00F44EEE">
        <w:rPr>
          <w:rFonts w:hint="eastAsia"/>
          <w:i/>
          <w:iCs/>
          <w:szCs w:val="24"/>
          <w:vertAlign w:val="subscript"/>
        </w:rPr>
        <w:t>ij</w:t>
      </w:r>
      <w:r w:rsidRPr="00F44EEE">
        <w:rPr>
          <w:rFonts w:hint="eastAsia"/>
          <w:i/>
          <w:iCs/>
          <w:szCs w:val="24"/>
          <w:vertAlign w:val="superscript"/>
        </w:rPr>
        <w:t>l</w:t>
      </w:r>
      <w:proofErr w:type="spellEnd"/>
      <w:r w:rsidRPr="00F44EEE">
        <w:rPr>
          <w:szCs w:val="24"/>
        </w:rPr>
        <w:t xml:space="preserve"> is the weight of the </w:t>
      </w:r>
      <w:proofErr w:type="spellStart"/>
      <w:r w:rsidRPr="00F44EEE">
        <w:rPr>
          <w:i/>
          <w:iCs/>
          <w:szCs w:val="24"/>
        </w:rPr>
        <w:t>j</w:t>
      </w:r>
      <w:r w:rsidRPr="00F44EEE">
        <w:rPr>
          <w:szCs w:val="24"/>
        </w:rPr>
        <w:t>th</w:t>
      </w:r>
      <w:proofErr w:type="spellEnd"/>
      <w:r w:rsidRPr="00F44EEE">
        <w:rPr>
          <w:szCs w:val="24"/>
        </w:rPr>
        <w:t xml:space="preserve"> neuron in layer </w:t>
      </w:r>
      <w:r w:rsidRPr="00F44EEE">
        <w:rPr>
          <w:i/>
          <w:iCs/>
          <w:szCs w:val="24"/>
        </w:rPr>
        <w:t>l</w:t>
      </w:r>
      <w:r w:rsidRPr="00F44EEE">
        <w:rPr>
          <w:szCs w:val="24"/>
        </w:rPr>
        <w:t xml:space="preserve">-1 to the </w:t>
      </w:r>
      <w:proofErr w:type="spellStart"/>
      <w:r w:rsidRPr="00F44EEE">
        <w:rPr>
          <w:i/>
          <w:iCs/>
          <w:szCs w:val="24"/>
        </w:rPr>
        <w:t>i</w:t>
      </w:r>
      <w:r w:rsidRPr="00F44EEE">
        <w:rPr>
          <w:szCs w:val="24"/>
        </w:rPr>
        <w:t>th</w:t>
      </w:r>
      <w:proofErr w:type="spellEnd"/>
      <w:r w:rsidRPr="00F44EEE">
        <w:rPr>
          <w:szCs w:val="24"/>
        </w:rPr>
        <w:t xml:space="preserve"> neuron in layer </w:t>
      </w:r>
      <w:r w:rsidRPr="00F44EEE">
        <w:rPr>
          <w:i/>
          <w:iCs/>
          <w:szCs w:val="24"/>
        </w:rPr>
        <w:t>l</w:t>
      </w:r>
      <w:r w:rsidRPr="00F44EEE">
        <w:rPr>
          <w:szCs w:val="24"/>
        </w:rPr>
        <w:t xml:space="preserve">, and </w:t>
      </w:r>
      <w:proofErr w:type="spellStart"/>
      <w:r w:rsidRPr="00F44EEE">
        <w:rPr>
          <w:rFonts w:hint="eastAsia"/>
          <w:i/>
          <w:iCs/>
          <w:szCs w:val="24"/>
        </w:rPr>
        <w:t>b</w:t>
      </w:r>
      <w:r w:rsidRPr="00F44EEE">
        <w:rPr>
          <w:rFonts w:hint="eastAsia"/>
          <w:i/>
          <w:iCs/>
          <w:szCs w:val="24"/>
          <w:vertAlign w:val="subscript"/>
        </w:rPr>
        <w:t>i</w:t>
      </w:r>
      <w:r w:rsidRPr="00F44EEE">
        <w:rPr>
          <w:rFonts w:hint="eastAsia"/>
          <w:i/>
          <w:iCs/>
          <w:szCs w:val="24"/>
          <w:vertAlign w:val="superscript"/>
        </w:rPr>
        <w:t>l</w:t>
      </w:r>
      <w:proofErr w:type="spellEnd"/>
      <w:r w:rsidRPr="00F44EEE">
        <w:rPr>
          <w:szCs w:val="24"/>
        </w:rPr>
        <w:t xml:space="preserve"> is the bias of the </w:t>
      </w:r>
      <w:proofErr w:type="spellStart"/>
      <w:r w:rsidRPr="00F44EEE">
        <w:rPr>
          <w:i/>
          <w:iCs/>
          <w:szCs w:val="24"/>
        </w:rPr>
        <w:t>i</w:t>
      </w:r>
      <w:r w:rsidRPr="00F44EEE">
        <w:rPr>
          <w:szCs w:val="24"/>
        </w:rPr>
        <w:t>th</w:t>
      </w:r>
      <w:proofErr w:type="spellEnd"/>
      <w:r w:rsidRPr="00F44EEE">
        <w:rPr>
          <w:szCs w:val="24"/>
        </w:rPr>
        <w:t xml:space="preserve"> neuron in layer </w:t>
      </w:r>
      <w:r w:rsidRPr="00F44EEE">
        <w:rPr>
          <w:i/>
          <w:iCs/>
          <w:szCs w:val="24"/>
        </w:rPr>
        <w:t>l</w:t>
      </w:r>
      <w:r w:rsidRPr="00F44EEE">
        <w:rPr>
          <w:szCs w:val="24"/>
        </w:rPr>
        <w:t xml:space="preserve">. As the network trainable parameters </w:t>
      </w:r>
      <w:r w:rsidRPr="00F44EEE">
        <w:rPr>
          <w:position w:val="-14"/>
          <w:szCs w:val="24"/>
        </w:rPr>
        <w:object w:dxaOrig="1040" w:dyaOrig="400" w14:anchorId="4501FB7B">
          <v:shape id="_x0000_i1026" type="#_x0000_t75" style="width:51.5pt;height:20.5pt" o:ole="">
            <v:imagedata r:id="rId12" o:title=""/>
          </v:shape>
          <o:OLEObject Type="Embed" ProgID="Equation.DSMT4" ShapeID="_x0000_i1026" DrawAspect="Content" ObjectID="_1816075265" r:id="rId13"/>
        </w:object>
      </w:r>
      <w:r w:rsidRPr="00F44EEE">
        <w:rPr>
          <w:szCs w:val="24"/>
        </w:rPr>
        <w:t xml:space="preserve">, the weight matrix and bias vector of layer </w:t>
      </w:r>
      <w:r w:rsidRPr="00F44EEE">
        <w:rPr>
          <w:i/>
          <w:iCs/>
          <w:szCs w:val="24"/>
        </w:rPr>
        <w:t>l</w:t>
      </w:r>
      <w:r w:rsidRPr="00F44EEE">
        <w:rPr>
          <w:szCs w:val="24"/>
        </w:rPr>
        <w:t xml:space="preserve"> are </w:t>
      </w:r>
      <w:proofErr w:type="spellStart"/>
      <w:r w:rsidRPr="00F44EEE">
        <w:rPr>
          <w:rFonts w:hint="eastAsia"/>
          <w:b/>
          <w:bCs/>
          <w:szCs w:val="24"/>
        </w:rPr>
        <w:t>w</w:t>
      </w:r>
      <w:r w:rsidRPr="00F44EEE">
        <w:rPr>
          <w:rFonts w:hint="eastAsia"/>
          <w:i/>
          <w:iCs/>
          <w:szCs w:val="24"/>
          <w:vertAlign w:val="superscript"/>
        </w:rPr>
        <w:t>l</w:t>
      </w:r>
      <w:proofErr w:type="spellEnd"/>
      <w:r w:rsidRPr="00F44EEE">
        <w:rPr>
          <w:szCs w:val="24"/>
        </w:rPr>
        <w:t xml:space="preserve"> and </w:t>
      </w:r>
      <w:r w:rsidRPr="00F44EEE">
        <w:rPr>
          <w:rFonts w:hint="eastAsia"/>
          <w:b/>
          <w:bCs/>
          <w:szCs w:val="24"/>
        </w:rPr>
        <w:t>b</w:t>
      </w:r>
      <w:r w:rsidRPr="00F44EEE">
        <w:rPr>
          <w:rFonts w:hint="eastAsia"/>
          <w:i/>
          <w:iCs/>
          <w:szCs w:val="24"/>
          <w:vertAlign w:val="superscript"/>
        </w:rPr>
        <w:t>l</w:t>
      </w:r>
      <w:r w:rsidRPr="00F44EEE">
        <w:rPr>
          <w:szCs w:val="24"/>
        </w:rPr>
        <w:t>, respectively. Therefore, the feedforward propagation process of the ANN can be summarized as follows</w:t>
      </w:r>
    </w:p>
    <w:tbl>
      <w:tblPr>
        <w:tblW w:w="8618" w:type="dxa"/>
        <w:tblLook w:val="04A0" w:firstRow="1" w:lastRow="0" w:firstColumn="1" w:lastColumn="0" w:noHBand="0" w:noVBand="1"/>
      </w:tblPr>
      <w:tblGrid>
        <w:gridCol w:w="7194"/>
        <w:gridCol w:w="1424"/>
      </w:tblGrid>
      <w:tr w:rsidR="00F96D71" w:rsidRPr="00F44EEE" w14:paraId="112AEB38" w14:textId="77777777" w:rsidTr="008525B4">
        <w:tc>
          <w:tcPr>
            <w:tcW w:w="7194" w:type="dxa"/>
            <w:shd w:val="clear" w:color="auto" w:fill="auto"/>
            <w:vAlign w:val="center"/>
          </w:tcPr>
          <w:p w14:paraId="794040F7" w14:textId="77777777" w:rsidR="00F96D71" w:rsidRPr="00F44EEE" w:rsidRDefault="00F96D71" w:rsidP="008525B4">
            <w:pPr>
              <w:ind w:firstLine="480"/>
              <w:rPr>
                <w:szCs w:val="24"/>
              </w:rPr>
            </w:pPr>
            <w:r w:rsidRPr="00F44EEE">
              <w:rPr>
                <w:rFonts w:hint="eastAsia"/>
                <w:szCs w:val="24"/>
              </w:rPr>
              <w:t>i</w:t>
            </w:r>
            <w:r w:rsidRPr="00F44EEE">
              <w:rPr>
                <w:szCs w:val="24"/>
              </w:rPr>
              <w:t>nput layer</w:t>
            </w:r>
            <w:r w:rsidRPr="00F44EEE">
              <w:rPr>
                <w:rFonts w:hint="eastAsia"/>
                <w:szCs w:val="24"/>
              </w:rPr>
              <w:t>：</w:t>
            </w:r>
            <w:r w:rsidRPr="00F44EEE">
              <w:rPr>
                <w:rFonts w:ascii="Calibri" w:hAnsi="Calibri" w:cs="Calibri"/>
                <w:color w:val="000000"/>
                <w:kern w:val="0"/>
                <w:position w:val="-12"/>
                <w:szCs w:val="24"/>
              </w:rPr>
              <w:object w:dxaOrig="1600" w:dyaOrig="380" w14:anchorId="78198981">
                <v:shape id="_x0000_i1027" type="#_x0000_t75" style="width:82.5pt;height:20.5pt" o:ole="">
                  <v:imagedata r:id="rId14" o:title=""/>
                </v:shape>
                <o:OLEObject Type="Embed" ProgID="Equation.DSMT4" ShapeID="_x0000_i1027" DrawAspect="Content" ObjectID="_1816075266" r:id="rId15"/>
              </w:object>
            </w:r>
            <w:r w:rsidRPr="00F44EEE">
              <w:rPr>
                <w:color w:val="000000"/>
                <w:kern w:val="0"/>
                <w:szCs w:val="24"/>
              </w:rPr>
              <w:t>,</w:t>
            </w:r>
          </w:p>
          <w:p w14:paraId="3109382C" w14:textId="77777777" w:rsidR="00F96D71" w:rsidRPr="00F44EEE" w:rsidRDefault="00F96D71" w:rsidP="008525B4">
            <w:pPr>
              <w:ind w:firstLine="480"/>
              <w:rPr>
                <w:szCs w:val="24"/>
              </w:rPr>
            </w:pPr>
            <w:r w:rsidRPr="00F44EEE">
              <w:rPr>
                <w:rFonts w:hint="eastAsia"/>
                <w:szCs w:val="24"/>
              </w:rPr>
              <w:t>hidden</w:t>
            </w:r>
            <w:r w:rsidRPr="00F44EEE">
              <w:rPr>
                <w:szCs w:val="24"/>
              </w:rPr>
              <w:t xml:space="preserve"> layer</w:t>
            </w:r>
            <w:r w:rsidRPr="00F44EEE">
              <w:rPr>
                <w:rFonts w:hint="eastAsia"/>
                <w:szCs w:val="24"/>
              </w:rPr>
              <w:t>s</w:t>
            </w:r>
            <w:r w:rsidRPr="00F44EEE">
              <w:rPr>
                <w:rFonts w:hint="eastAsia"/>
                <w:szCs w:val="24"/>
              </w:rPr>
              <w:t>：</w:t>
            </w:r>
            <w:r w:rsidRPr="00F44EEE">
              <w:rPr>
                <w:rFonts w:ascii="Calibri" w:hAnsi="Calibri" w:cs="Calibri"/>
                <w:color w:val="000000"/>
                <w:kern w:val="0"/>
                <w:position w:val="-30"/>
                <w:szCs w:val="24"/>
              </w:rPr>
              <w:object w:dxaOrig="2260" w:dyaOrig="700" w14:anchorId="06BD0251">
                <v:shape id="_x0000_i1028" type="#_x0000_t75" style="width:113pt;height:36pt" o:ole="">
                  <v:imagedata r:id="rId16" o:title=""/>
                </v:shape>
                <o:OLEObject Type="Embed" ProgID="Equation.DSMT4" ShapeID="_x0000_i1028" DrawAspect="Content" ObjectID="_1816075267" r:id="rId17"/>
              </w:object>
            </w:r>
            <w:r w:rsidRPr="00F44EEE">
              <w:rPr>
                <w:color w:val="000000"/>
                <w:kern w:val="0"/>
                <w:szCs w:val="24"/>
              </w:rPr>
              <w:t>,</w:t>
            </w:r>
          </w:p>
          <w:p w14:paraId="49BCADF3" w14:textId="77777777" w:rsidR="00F96D71" w:rsidRPr="00F44EEE" w:rsidRDefault="00F96D71" w:rsidP="008525B4">
            <w:pPr>
              <w:ind w:firstLine="480"/>
              <w:rPr>
                <w:szCs w:val="24"/>
              </w:rPr>
            </w:pPr>
            <w:r w:rsidRPr="00F44EEE">
              <w:rPr>
                <w:rFonts w:hint="eastAsia"/>
                <w:szCs w:val="24"/>
              </w:rPr>
              <w:t>out</w:t>
            </w:r>
            <w:r w:rsidRPr="00F44EEE">
              <w:rPr>
                <w:szCs w:val="24"/>
              </w:rPr>
              <w:t>put layer</w:t>
            </w:r>
            <w:r w:rsidRPr="00F44EEE">
              <w:rPr>
                <w:rFonts w:hint="eastAsia"/>
                <w:szCs w:val="24"/>
              </w:rPr>
              <w:t>：</w:t>
            </w:r>
            <w:r w:rsidRPr="00F44EEE">
              <w:rPr>
                <w:rFonts w:ascii="Calibri" w:hAnsi="Calibri" w:cs="Calibri"/>
                <w:color w:val="000000"/>
                <w:kern w:val="0"/>
                <w:position w:val="-30"/>
                <w:szCs w:val="24"/>
              </w:rPr>
              <w:object w:dxaOrig="3360" w:dyaOrig="700" w14:anchorId="1C0E98FF">
                <v:shape id="_x0000_i1029" type="#_x0000_t75" style="width:169.5pt;height:36pt" o:ole="">
                  <v:imagedata r:id="rId18" o:title=""/>
                </v:shape>
                <o:OLEObject Type="Embed" ProgID="Equation.DSMT4" ShapeID="_x0000_i1029" DrawAspect="Content" ObjectID="_1816075268" r:id="rId19"/>
              </w:object>
            </w:r>
            <w:r w:rsidRPr="00F44EEE">
              <w:rPr>
                <w:color w:val="000000"/>
                <w:kern w:val="0"/>
                <w:szCs w:val="24"/>
              </w:rPr>
              <w:t>.</w:t>
            </w:r>
          </w:p>
        </w:tc>
        <w:tc>
          <w:tcPr>
            <w:tcW w:w="1424" w:type="dxa"/>
            <w:shd w:val="clear" w:color="auto" w:fill="auto"/>
            <w:vAlign w:val="center"/>
          </w:tcPr>
          <w:p w14:paraId="666A256E" w14:textId="57C191B7" w:rsidR="00F96D71" w:rsidRPr="00F44EEE" w:rsidRDefault="00F96D71" w:rsidP="008525B4">
            <w:pPr>
              <w:adjustRightInd w:val="0"/>
              <w:snapToGrid w:val="0"/>
              <w:ind w:firstLineChars="0" w:firstLine="0"/>
              <w:jc w:val="right"/>
              <w:rPr>
                <w:kern w:val="0"/>
                <w:szCs w:val="24"/>
              </w:rPr>
            </w:pPr>
            <w:r w:rsidRPr="00F44EEE">
              <w:rPr>
                <w:kern w:val="0"/>
                <w:szCs w:val="24"/>
              </w:rPr>
              <w:t>(A</w:t>
            </w:r>
            <w:r w:rsidR="00574B15" w:rsidRPr="00F44EEE">
              <w:rPr>
                <w:kern w:val="0"/>
                <w:szCs w:val="24"/>
              </w:rPr>
              <w:t>.</w:t>
            </w:r>
            <w:r w:rsidRPr="00F44EEE">
              <w:rPr>
                <w:kern w:val="0"/>
                <w:szCs w:val="24"/>
              </w:rPr>
              <w:t>2)</w:t>
            </w:r>
          </w:p>
        </w:tc>
      </w:tr>
    </w:tbl>
    <w:p w14:paraId="12D003B2" w14:textId="77777777" w:rsidR="00F96D71" w:rsidRPr="00F44EEE" w:rsidRDefault="00F96D71" w:rsidP="00F96D71">
      <w:pPr>
        <w:spacing w:line="300" w:lineRule="auto"/>
        <w:ind w:firstLine="480"/>
        <w:rPr>
          <w:szCs w:val="24"/>
        </w:rPr>
      </w:pPr>
      <w:r w:rsidRPr="00F44EEE">
        <w:rPr>
          <w:szCs w:val="24"/>
        </w:rPr>
        <w:t xml:space="preserve">It should be noted that the output layer uses a linear function </w:t>
      </w:r>
      <w:r w:rsidRPr="00F44EEE">
        <w:t>to avoid restricting</w:t>
      </w:r>
      <w:r w:rsidRPr="00F44EEE">
        <w:rPr>
          <w:szCs w:val="24"/>
        </w:rPr>
        <w:t xml:space="preserve"> the </w:t>
      </w:r>
      <w:r w:rsidRPr="00F44EEE">
        <w:t>network's output.</w:t>
      </w:r>
      <w:r w:rsidRPr="00F44EEE">
        <w:rPr>
          <w:szCs w:val="24"/>
        </w:rPr>
        <w:t xml:space="preserve"> Using </w:t>
      </w:r>
      <w:r w:rsidRPr="00F44EEE">
        <w:rPr>
          <w:rFonts w:ascii="Euclid Math One" w:hAnsi="Euclid Math One"/>
          <w:szCs w:val="24"/>
        </w:rPr>
        <w:t></w:t>
      </w:r>
      <w:r w:rsidRPr="00F44EEE">
        <w:rPr>
          <w:szCs w:val="24"/>
        </w:rPr>
        <w:t xml:space="preserve"> to represent each independent neural network, and for the superconducting bulk multi-field problem in this paper, the networks of all predicted solutions can be represented as</w:t>
      </w:r>
    </w:p>
    <w:tbl>
      <w:tblPr>
        <w:tblW w:w="8618" w:type="dxa"/>
        <w:tblLook w:val="04A0" w:firstRow="1" w:lastRow="0" w:firstColumn="1" w:lastColumn="0" w:noHBand="0" w:noVBand="1"/>
      </w:tblPr>
      <w:tblGrid>
        <w:gridCol w:w="7194"/>
        <w:gridCol w:w="1424"/>
      </w:tblGrid>
      <w:tr w:rsidR="00F96D71" w:rsidRPr="00F44EEE" w14:paraId="4A6D9152" w14:textId="77777777" w:rsidTr="008525B4">
        <w:tc>
          <w:tcPr>
            <w:tcW w:w="7194" w:type="dxa"/>
            <w:shd w:val="clear" w:color="auto" w:fill="auto"/>
            <w:vAlign w:val="center"/>
          </w:tcPr>
          <w:p w14:paraId="512A8826" w14:textId="04BBE0B0" w:rsidR="00F96D71" w:rsidRPr="00F44EEE" w:rsidRDefault="00F96D71" w:rsidP="008525B4">
            <w:pPr>
              <w:adjustRightInd w:val="0"/>
              <w:snapToGrid w:val="0"/>
              <w:ind w:firstLine="480"/>
              <w:jc w:val="center"/>
              <w:rPr>
                <w:rFonts w:ascii="Calibri" w:hAnsi="Calibri" w:cs="Calibri"/>
                <w:color w:val="000000"/>
                <w:kern w:val="0"/>
                <w:szCs w:val="24"/>
              </w:rPr>
            </w:pPr>
            <w:r w:rsidRPr="00F44EEE">
              <w:rPr>
                <w:rFonts w:ascii="Calibri" w:hAnsi="Calibri" w:cs="Calibri"/>
                <w:color w:val="000000"/>
                <w:kern w:val="0"/>
                <w:position w:val="-90"/>
                <w:szCs w:val="24"/>
              </w:rPr>
              <w:object w:dxaOrig="1939" w:dyaOrig="1939" w14:anchorId="7710319F">
                <v:shape id="_x0000_i1030" type="#_x0000_t75" style="width:97.5pt;height:97.5pt" o:ole="">
                  <v:imagedata r:id="rId20" o:title=""/>
                </v:shape>
                <o:OLEObject Type="Embed" ProgID="Equation.DSMT4" ShapeID="_x0000_i1030" DrawAspect="Content" ObjectID="_1816075269" r:id="rId21"/>
              </w:object>
            </w:r>
            <w:r w:rsidR="0036092D">
              <w:rPr>
                <w:rFonts w:ascii="Calibri" w:hAnsi="Calibri" w:cs="Calibri"/>
                <w:color w:val="000000"/>
                <w:kern w:val="0"/>
                <w:szCs w:val="24"/>
              </w:rPr>
              <w:t>.</w:t>
            </w:r>
          </w:p>
        </w:tc>
        <w:tc>
          <w:tcPr>
            <w:tcW w:w="1424" w:type="dxa"/>
            <w:shd w:val="clear" w:color="auto" w:fill="auto"/>
            <w:vAlign w:val="center"/>
          </w:tcPr>
          <w:p w14:paraId="67B5F464" w14:textId="2A74A3ED" w:rsidR="00F96D71" w:rsidRPr="00F44EEE" w:rsidRDefault="00F96D71" w:rsidP="008525B4">
            <w:pPr>
              <w:adjustRightInd w:val="0"/>
              <w:snapToGrid w:val="0"/>
              <w:ind w:firstLineChars="0" w:firstLine="0"/>
              <w:jc w:val="right"/>
              <w:rPr>
                <w:kern w:val="0"/>
                <w:szCs w:val="24"/>
              </w:rPr>
            </w:pPr>
            <w:r w:rsidRPr="00F44EEE">
              <w:rPr>
                <w:kern w:val="0"/>
                <w:szCs w:val="24"/>
              </w:rPr>
              <w:t>(A</w:t>
            </w:r>
            <w:r w:rsidR="00574B15" w:rsidRPr="00F44EEE">
              <w:rPr>
                <w:kern w:val="0"/>
                <w:szCs w:val="24"/>
              </w:rPr>
              <w:t>.</w:t>
            </w:r>
            <w:r w:rsidRPr="00F44EEE">
              <w:rPr>
                <w:kern w:val="0"/>
                <w:szCs w:val="24"/>
              </w:rPr>
              <w:t>3)</w:t>
            </w:r>
          </w:p>
        </w:tc>
      </w:tr>
    </w:tbl>
    <w:p w14:paraId="595C7911" w14:textId="33BCBF03" w:rsidR="002914B1" w:rsidRPr="002914B1" w:rsidRDefault="002914B1" w:rsidP="002914B1">
      <w:pPr>
        <w:spacing w:beforeLines="50" w:before="156" w:line="400" w:lineRule="exact"/>
        <w:ind w:firstLineChars="0" w:firstLine="0"/>
        <w:outlineLvl w:val="0"/>
        <w:rPr>
          <w:rStyle w:val="a3"/>
          <w:rFonts w:hint="eastAsia"/>
          <w:b/>
          <w:bCs/>
          <w:color w:val="auto"/>
          <w:sz w:val="28"/>
          <w:szCs w:val="28"/>
          <w:u w:val="none"/>
        </w:rPr>
      </w:pPr>
      <w:bookmarkStart w:id="6" w:name="_Toc205461298"/>
      <w:bookmarkStart w:id="7" w:name="_Toc205461294"/>
      <w:bookmarkStart w:id="8" w:name="_Toc205461826"/>
      <w:r w:rsidRPr="002914B1">
        <w:rPr>
          <w:rStyle w:val="a3"/>
          <w:rFonts w:hint="eastAsia"/>
          <w:b/>
          <w:bCs/>
          <w:color w:val="auto"/>
          <w:sz w:val="28"/>
          <w:szCs w:val="28"/>
          <w:u w:val="none"/>
        </w:rPr>
        <w:t>Part 2: Computation</w:t>
      </w:r>
      <w:bookmarkEnd w:id="7"/>
      <w:bookmarkEnd w:id="8"/>
    </w:p>
    <w:p w14:paraId="00141FE0" w14:textId="1AB23B6A" w:rsidR="00A95A82" w:rsidRPr="002B0FC0" w:rsidRDefault="00B214B0" w:rsidP="00A67F96">
      <w:pPr>
        <w:pStyle w:val="2"/>
        <w:numPr>
          <w:ilvl w:val="0"/>
          <w:numId w:val="0"/>
        </w:numPr>
        <w:spacing w:before="120" w:after="120" w:line="240" w:lineRule="auto"/>
        <w:rPr>
          <w:sz w:val="28"/>
          <w:szCs w:val="28"/>
        </w:rPr>
      </w:pPr>
      <w:bookmarkStart w:id="9" w:name="_Toc205461827"/>
      <w:r w:rsidRPr="002B0FC0">
        <w:rPr>
          <w:sz w:val="28"/>
          <w:szCs w:val="28"/>
        </w:rPr>
        <w:t>B</w:t>
      </w:r>
      <w:r w:rsidR="002914B1">
        <w:rPr>
          <w:rFonts w:hint="eastAsia"/>
          <w:sz w:val="28"/>
          <w:szCs w:val="28"/>
        </w:rPr>
        <w:t>.</w:t>
      </w:r>
      <w:r w:rsidR="00CB2383" w:rsidRPr="002B0FC0">
        <w:rPr>
          <w:sz w:val="28"/>
          <w:szCs w:val="28"/>
        </w:rPr>
        <w:t xml:space="preserve"> </w:t>
      </w:r>
      <w:r w:rsidR="00A53BEC" w:rsidRPr="002B0FC0">
        <w:rPr>
          <w:sz w:val="28"/>
          <w:szCs w:val="28"/>
        </w:rPr>
        <w:t xml:space="preserve">Hyperparameter analysis of the </w:t>
      </w:r>
      <w:r w:rsidR="00246C78" w:rsidRPr="002B0FC0">
        <w:rPr>
          <w:sz w:val="28"/>
          <w:szCs w:val="28"/>
        </w:rPr>
        <w:t>ENN</w:t>
      </w:r>
      <w:bookmarkEnd w:id="6"/>
      <w:bookmarkEnd w:id="9"/>
    </w:p>
    <w:p w14:paraId="34560E80" w14:textId="18168AA8" w:rsidR="00574B15" w:rsidRPr="00F44EEE" w:rsidRDefault="00A95A82" w:rsidP="00574B15">
      <w:pPr>
        <w:spacing w:line="300" w:lineRule="auto"/>
        <w:ind w:firstLine="480"/>
      </w:pPr>
      <w:r w:rsidRPr="00F44EEE">
        <w:rPr>
          <w:szCs w:val="24"/>
        </w:rPr>
        <w:t xml:space="preserve">PINN has received wide attention as </w:t>
      </w:r>
      <w:r w:rsidRPr="00F44EEE">
        <w:t>a powerful approach</w:t>
      </w:r>
      <w:r w:rsidRPr="00F44EEE">
        <w:rPr>
          <w:szCs w:val="24"/>
        </w:rPr>
        <w:t xml:space="preserve"> for solving PDEs. However, few studies </w:t>
      </w:r>
      <w:r w:rsidRPr="00F44EEE">
        <w:t>have explored the application of PINN to predict superconducting electromagnetic fields and the mechanical responses under electromagnetic body forces.</w:t>
      </w:r>
      <w:r w:rsidRPr="00F44EEE">
        <w:rPr>
          <w:szCs w:val="24"/>
        </w:rPr>
        <w:t xml:space="preserve"> Therefore, the evaluation of the prediction performance on the superconducting electromagnetic-</w:t>
      </w:r>
      <w:r w:rsidR="00394D1D" w:rsidRPr="00394D1D">
        <w:t xml:space="preserve"> </w:t>
      </w:r>
      <w:r w:rsidR="00394D1D" w:rsidRPr="00F44EEE">
        <w:t>mechanical</w:t>
      </w:r>
      <w:r w:rsidRPr="00F44EEE">
        <w:rPr>
          <w:szCs w:val="24"/>
        </w:rPr>
        <w:t xml:space="preserve"> coupling problem is carried out, </w:t>
      </w:r>
      <w:r w:rsidRPr="00F44EEE">
        <w:t xml:space="preserve">with the aim of </w:t>
      </w:r>
      <w:r w:rsidRPr="00F44EEE">
        <w:rPr>
          <w:rFonts w:hint="eastAsia"/>
        </w:rPr>
        <w:t>determining</w:t>
      </w:r>
      <w:r w:rsidRPr="00F44EEE">
        <w:t xml:space="preserve"> optimal neural network hyperparameter configurations.</w:t>
      </w:r>
      <w:r w:rsidRPr="00F44EEE">
        <w:rPr>
          <w:szCs w:val="24"/>
        </w:rPr>
        <w:t xml:space="preserve"> First, </w:t>
      </w:r>
      <w:r w:rsidR="00574B15" w:rsidRPr="00F44EEE">
        <w:t>the</w:t>
      </w:r>
      <w:r w:rsidRPr="00F44EEE">
        <w:t xml:space="preserve"> default </w:t>
      </w:r>
      <w:r w:rsidR="00246C78" w:rsidRPr="00F44EEE">
        <w:t>ENN</w:t>
      </w:r>
      <w:r w:rsidRPr="00F44EEE">
        <w:t xml:space="preserve"> architecture is established.</w:t>
      </w:r>
      <w:r w:rsidRPr="00F44EEE">
        <w:rPr>
          <w:szCs w:val="24"/>
        </w:rPr>
        <w:t xml:space="preserve"> The network consists of 10 hidden layers, each containing 30 neurons, and </w:t>
      </w:r>
      <w:r w:rsidRPr="00F44EEE">
        <w:t>employs the GELU activation function.</w:t>
      </w:r>
      <w:r w:rsidRPr="00F44EEE">
        <w:rPr>
          <w:szCs w:val="24"/>
        </w:rPr>
        <w:t xml:space="preserve"> The weight of the magnetic field boundary condition loss term is set to 10, the learning rate is set to 1×10</w:t>
      </w:r>
      <w:r w:rsidRPr="00F44EEE">
        <w:rPr>
          <w:szCs w:val="24"/>
          <w:vertAlign w:val="superscript"/>
        </w:rPr>
        <w:t>-4</w:t>
      </w:r>
      <w:r w:rsidRPr="00F44EEE">
        <w:rPr>
          <w:szCs w:val="24"/>
        </w:rPr>
        <w:t xml:space="preserve">, and the </w:t>
      </w:r>
      <w:r w:rsidRPr="00F44EEE">
        <w:rPr>
          <w:rFonts w:hint="eastAsia"/>
          <w:szCs w:val="24"/>
        </w:rPr>
        <w:t>epochs</w:t>
      </w:r>
      <w:r w:rsidRPr="00F44EEE">
        <w:rPr>
          <w:szCs w:val="24"/>
        </w:rPr>
        <w:t xml:space="preserve"> is set to 50,000. The random sampling strategy is </w:t>
      </w:r>
      <w:r w:rsidRPr="00F44EEE">
        <w:t>adopted, selecting</w:t>
      </w:r>
      <w:r w:rsidRPr="00F44EEE">
        <w:rPr>
          <w:szCs w:val="24"/>
        </w:rPr>
        <w:t xml:space="preserve"> 15,000 domain training points and 40,000 boundary training points.</w:t>
      </w:r>
    </w:p>
    <w:p w14:paraId="494C8B5E" w14:textId="4E800BF9" w:rsidR="00A95A82" w:rsidRPr="00F44EEE" w:rsidRDefault="00A95A82" w:rsidP="00A95A82">
      <w:pPr>
        <w:spacing w:afterLines="50" w:after="156" w:line="300" w:lineRule="auto"/>
        <w:ind w:firstLine="480"/>
        <w:rPr>
          <w:szCs w:val="24"/>
        </w:rPr>
      </w:pPr>
      <w:r w:rsidRPr="00F44EEE">
        <w:rPr>
          <w:szCs w:val="24"/>
        </w:rPr>
        <w:t>The selection of activation functions plays a decisive role during the construction of neural networks, as it determines the network's ability to effectively capture the nonlinear characteristics of the complex predicted values. Therefore, the performance of three different activation functions (</w:t>
      </w:r>
      <w:proofErr w:type="spellStart"/>
      <w:r w:rsidRPr="00F44EEE">
        <w:rPr>
          <w:szCs w:val="24"/>
        </w:rPr>
        <w:t>ReLU</w:t>
      </w:r>
      <w:proofErr w:type="spellEnd"/>
      <w:r w:rsidRPr="00F44EEE">
        <w:rPr>
          <w:szCs w:val="24"/>
        </w:rPr>
        <w:t>, Tanh, and GELU) is investigated for electromagnetic field prediction. As illustrated in Fig</w:t>
      </w:r>
      <w:r w:rsidR="00394D1D">
        <w:rPr>
          <w:rFonts w:hint="eastAsia"/>
          <w:szCs w:val="24"/>
        </w:rPr>
        <w:t>ure</w:t>
      </w:r>
      <w:r w:rsidRPr="00F44EEE">
        <w:rPr>
          <w:szCs w:val="24"/>
        </w:rPr>
        <w:t xml:space="preserve"> </w:t>
      </w:r>
      <w:r w:rsidR="00574B15" w:rsidRPr="00F44EEE">
        <w:rPr>
          <w:szCs w:val="24"/>
        </w:rPr>
        <w:t>B1A</w:t>
      </w:r>
      <w:r w:rsidRPr="00F44EEE">
        <w:rPr>
          <w:szCs w:val="24"/>
        </w:rPr>
        <w:t>, these activation functions are mathematically expressed as follows</w:t>
      </w:r>
    </w:p>
    <w:tbl>
      <w:tblPr>
        <w:tblW w:w="8618" w:type="dxa"/>
        <w:tblLook w:val="04A0" w:firstRow="1" w:lastRow="0" w:firstColumn="1" w:lastColumn="0" w:noHBand="0" w:noVBand="1"/>
      </w:tblPr>
      <w:tblGrid>
        <w:gridCol w:w="7194"/>
        <w:gridCol w:w="1424"/>
      </w:tblGrid>
      <w:tr w:rsidR="00A95A82" w:rsidRPr="00F44EEE" w14:paraId="499F2207" w14:textId="77777777" w:rsidTr="008525B4">
        <w:tc>
          <w:tcPr>
            <w:tcW w:w="7194" w:type="dxa"/>
            <w:shd w:val="clear" w:color="auto" w:fill="auto"/>
            <w:vAlign w:val="center"/>
          </w:tcPr>
          <w:p w14:paraId="188B7FC6" w14:textId="36A77690" w:rsidR="00A95A82" w:rsidRPr="00F44EEE" w:rsidRDefault="00A95A82" w:rsidP="008525B4">
            <w:pPr>
              <w:adjustRightInd w:val="0"/>
              <w:snapToGrid w:val="0"/>
              <w:ind w:firstLine="480"/>
              <w:jc w:val="left"/>
              <w:rPr>
                <w:rFonts w:ascii="Calibri" w:hAnsi="Calibri" w:cs="Calibri"/>
                <w:color w:val="000000"/>
                <w:kern w:val="0"/>
                <w:szCs w:val="24"/>
              </w:rPr>
            </w:pPr>
            <w:r w:rsidRPr="00F44EEE">
              <w:rPr>
                <w:rFonts w:ascii="Calibri" w:hAnsi="Calibri" w:cs="Calibri"/>
                <w:color w:val="000000"/>
                <w:kern w:val="0"/>
                <w:position w:val="-68"/>
                <w:szCs w:val="24"/>
              </w:rPr>
              <w:object w:dxaOrig="5120" w:dyaOrig="1440" w14:anchorId="7DDB436A">
                <v:shape id="_x0000_i1031" type="#_x0000_t75" style="width:257pt;height:1in" o:ole="">
                  <v:imagedata r:id="rId22" o:title=""/>
                </v:shape>
                <o:OLEObject Type="Embed" ProgID="Equation.DSMT4" ShapeID="_x0000_i1031" DrawAspect="Content" ObjectID="_1816075270" r:id="rId23"/>
              </w:object>
            </w:r>
            <w:r w:rsidR="0036092D">
              <w:rPr>
                <w:rFonts w:ascii="Calibri" w:hAnsi="Calibri" w:cs="Calibri"/>
                <w:color w:val="000000"/>
                <w:kern w:val="0"/>
                <w:szCs w:val="24"/>
              </w:rPr>
              <w:t>.</w:t>
            </w:r>
          </w:p>
        </w:tc>
        <w:tc>
          <w:tcPr>
            <w:tcW w:w="1424" w:type="dxa"/>
            <w:shd w:val="clear" w:color="auto" w:fill="auto"/>
            <w:vAlign w:val="center"/>
          </w:tcPr>
          <w:p w14:paraId="3AB1949D" w14:textId="32CAC4E0" w:rsidR="00A95A82" w:rsidRPr="00F44EEE" w:rsidRDefault="00A95A82" w:rsidP="008525B4">
            <w:pPr>
              <w:adjustRightInd w:val="0"/>
              <w:snapToGrid w:val="0"/>
              <w:ind w:firstLineChars="0" w:firstLine="0"/>
              <w:jc w:val="right"/>
              <w:rPr>
                <w:kern w:val="0"/>
                <w:szCs w:val="24"/>
              </w:rPr>
            </w:pPr>
            <w:r w:rsidRPr="00F44EEE">
              <w:rPr>
                <w:kern w:val="0"/>
                <w:szCs w:val="24"/>
              </w:rPr>
              <w:t>(</w:t>
            </w:r>
            <w:r w:rsidR="00574B15" w:rsidRPr="00F44EEE">
              <w:rPr>
                <w:kern w:val="0"/>
                <w:szCs w:val="24"/>
              </w:rPr>
              <w:t>B.1</w:t>
            </w:r>
            <w:r w:rsidRPr="00F44EEE">
              <w:rPr>
                <w:kern w:val="0"/>
                <w:szCs w:val="24"/>
              </w:rPr>
              <w:t>)</w:t>
            </w:r>
          </w:p>
        </w:tc>
      </w:tr>
    </w:tbl>
    <w:p w14:paraId="78E93BF5" w14:textId="406EF54F" w:rsidR="00A95A82" w:rsidRPr="00F44EEE" w:rsidRDefault="00444753" w:rsidP="00B31E74">
      <w:pPr>
        <w:ind w:firstLineChars="0" w:firstLine="0"/>
        <w:jc w:val="center"/>
        <w:rPr>
          <w:szCs w:val="24"/>
        </w:rPr>
      </w:pPr>
      <w:r w:rsidRPr="00F44EEE">
        <w:rPr>
          <w:noProof/>
          <w:szCs w:val="24"/>
        </w:rPr>
        <w:lastRenderedPageBreak/>
        <w:drawing>
          <wp:inline distT="0" distB="0" distL="0" distR="0" wp14:anchorId="3D5DF3BC" wp14:editId="602A8D2C">
            <wp:extent cx="5400040" cy="4222750"/>
            <wp:effectExtent l="0" t="0" r="0" b="635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1.tif"/>
                    <pic:cNvPicPr/>
                  </pic:nvPicPr>
                  <pic:blipFill>
                    <a:blip r:embed="rId24"/>
                    <a:stretch>
                      <a:fillRect/>
                    </a:stretch>
                  </pic:blipFill>
                  <pic:spPr>
                    <a:xfrm>
                      <a:off x="0" y="0"/>
                      <a:ext cx="5400040" cy="4222750"/>
                    </a:xfrm>
                    <a:prstGeom prst="rect">
                      <a:avLst/>
                    </a:prstGeom>
                  </pic:spPr>
                </pic:pic>
              </a:graphicData>
            </a:graphic>
          </wp:inline>
        </w:drawing>
      </w:r>
    </w:p>
    <w:p w14:paraId="02640C59" w14:textId="7F34563B" w:rsidR="00A95A82" w:rsidRPr="00F44EEE" w:rsidRDefault="00A95A82" w:rsidP="002B0FC0">
      <w:pPr>
        <w:spacing w:afterLines="50" w:after="156"/>
        <w:ind w:firstLineChars="0" w:firstLine="0"/>
        <w:rPr>
          <w:sz w:val="21"/>
          <w:szCs w:val="21"/>
        </w:rPr>
      </w:pPr>
      <w:r w:rsidRPr="00F44EEE">
        <w:rPr>
          <w:sz w:val="21"/>
          <w:szCs w:val="21"/>
        </w:rPr>
        <w:t xml:space="preserve">Fig. </w:t>
      </w:r>
      <w:r w:rsidR="00B214B0" w:rsidRPr="00F44EEE">
        <w:rPr>
          <w:sz w:val="21"/>
          <w:szCs w:val="21"/>
        </w:rPr>
        <w:t>B</w:t>
      </w:r>
      <w:r w:rsidR="00732798" w:rsidRPr="00F44EEE">
        <w:rPr>
          <w:sz w:val="21"/>
          <w:szCs w:val="21"/>
        </w:rPr>
        <w:t>1</w:t>
      </w:r>
      <w:r w:rsidRPr="00F44EEE">
        <w:rPr>
          <w:sz w:val="21"/>
          <w:szCs w:val="21"/>
        </w:rPr>
        <w:t>. Influence of activation functions on electromagnetic field prediction performance</w:t>
      </w:r>
      <w:r w:rsidR="00732798" w:rsidRPr="00F44EEE">
        <w:rPr>
          <w:sz w:val="21"/>
          <w:szCs w:val="21"/>
        </w:rPr>
        <w:t>.</w:t>
      </w:r>
      <w:r w:rsidRPr="00F44EEE">
        <w:rPr>
          <w:sz w:val="21"/>
          <w:szCs w:val="21"/>
        </w:rPr>
        <w:t xml:space="preserve"> </w:t>
      </w:r>
      <w:r w:rsidRPr="00163E33">
        <w:rPr>
          <w:b/>
          <w:bCs/>
          <w:sz w:val="21"/>
          <w:szCs w:val="21"/>
        </w:rPr>
        <w:t>(</w:t>
      </w:r>
      <w:r w:rsidR="00732798" w:rsidRPr="00163E33">
        <w:rPr>
          <w:b/>
          <w:bCs/>
          <w:sz w:val="21"/>
          <w:szCs w:val="21"/>
        </w:rPr>
        <w:t>A</w:t>
      </w:r>
      <w:r w:rsidRPr="00163E33">
        <w:rPr>
          <w:b/>
          <w:bCs/>
          <w:sz w:val="21"/>
          <w:szCs w:val="21"/>
        </w:rPr>
        <w:t>)</w:t>
      </w:r>
      <w:r w:rsidRPr="00F44EEE">
        <w:rPr>
          <w:sz w:val="21"/>
          <w:szCs w:val="21"/>
        </w:rPr>
        <w:t xml:space="preserve"> Three activation functions. </w:t>
      </w:r>
      <w:r w:rsidR="00732798" w:rsidRPr="00163E33">
        <w:rPr>
          <w:b/>
          <w:bCs/>
          <w:sz w:val="21"/>
          <w:szCs w:val="21"/>
        </w:rPr>
        <w:t>(B-D)</w:t>
      </w:r>
      <w:r w:rsidR="00732798" w:rsidRPr="00F44EEE">
        <w:rPr>
          <w:sz w:val="21"/>
          <w:szCs w:val="21"/>
        </w:rPr>
        <w:t xml:space="preserve"> </w:t>
      </w:r>
      <w:r w:rsidRPr="00F44EEE">
        <w:rPr>
          <w:sz w:val="21"/>
          <w:szCs w:val="21"/>
        </w:rPr>
        <w:t xml:space="preserve">The </w:t>
      </w:r>
      <w:r w:rsidRPr="00F44EEE">
        <w:rPr>
          <w:rFonts w:hint="eastAsia"/>
          <w:i/>
          <w:iCs/>
          <w:sz w:val="21"/>
          <w:szCs w:val="21"/>
        </w:rPr>
        <w:t>L</w:t>
      </w:r>
      <w:r w:rsidRPr="00F44EEE">
        <w:rPr>
          <w:i/>
          <w:iCs/>
          <w:sz w:val="21"/>
          <w:szCs w:val="21"/>
          <w:vertAlign w:val="subscript"/>
        </w:rPr>
        <w:t>2</w:t>
      </w:r>
      <w:r w:rsidRPr="00F44EEE">
        <w:rPr>
          <w:sz w:val="21"/>
          <w:szCs w:val="21"/>
        </w:rPr>
        <w:t xml:space="preserve"> errors of the predicted magnetic field strength </w:t>
      </w:r>
      <w:r w:rsidRPr="00F44EEE">
        <w:rPr>
          <w:i/>
          <w:iCs/>
          <w:sz w:val="21"/>
          <w:szCs w:val="21"/>
        </w:rPr>
        <w:t>H</w:t>
      </w:r>
      <w:r w:rsidRPr="00F44EEE">
        <w:rPr>
          <w:sz w:val="21"/>
          <w:szCs w:val="21"/>
        </w:rPr>
        <w:t xml:space="preserve">, electric field strength </w:t>
      </w:r>
      <w:r w:rsidRPr="00F44EEE">
        <w:rPr>
          <w:i/>
          <w:iCs/>
          <w:sz w:val="21"/>
          <w:szCs w:val="21"/>
        </w:rPr>
        <w:t>E</w:t>
      </w:r>
      <w:r w:rsidRPr="00F44EEE">
        <w:rPr>
          <w:i/>
          <w:iCs/>
          <w:sz w:val="21"/>
          <w:szCs w:val="21"/>
          <w:vertAlign w:val="subscript"/>
        </w:rPr>
        <w:t>x</w:t>
      </w:r>
      <w:r w:rsidR="00732798" w:rsidRPr="00F44EEE">
        <w:rPr>
          <w:sz w:val="21"/>
          <w:szCs w:val="21"/>
        </w:rPr>
        <w:t xml:space="preserve"> and</w:t>
      </w:r>
      <w:r w:rsidRPr="00F44EEE">
        <w:rPr>
          <w:sz w:val="21"/>
          <w:szCs w:val="21"/>
        </w:rPr>
        <w:t xml:space="preserve"> </w:t>
      </w:r>
      <w:r w:rsidRPr="00F44EEE">
        <w:rPr>
          <w:i/>
          <w:iCs/>
          <w:sz w:val="21"/>
          <w:szCs w:val="21"/>
        </w:rPr>
        <w:t>E</w:t>
      </w:r>
      <w:r w:rsidRPr="00F44EEE">
        <w:rPr>
          <w:rFonts w:hint="eastAsia"/>
          <w:i/>
          <w:iCs/>
          <w:sz w:val="21"/>
          <w:szCs w:val="21"/>
          <w:vertAlign w:val="subscript"/>
        </w:rPr>
        <w:t>y</w:t>
      </w:r>
      <w:r w:rsidRPr="00F44EEE">
        <w:rPr>
          <w:sz w:val="21"/>
          <w:szCs w:val="21"/>
        </w:rPr>
        <w:t xml:space="preserve"> with different activation functions, along with the corresponding FEM cloud plots.</w:t>
      </w:r>
    </w:p>
    <w:p w14:paraId="041E13D5" w14:textId="34B8D1A1" w:rsidR="00A95A82" w:rsidRPr="00F44EEE" w:rsidRDefault="00A95A82" w:rsidP="00A95A82">
      <w:pPr>
        <w:spacing w:line="300" w:lineRule="auto"/>
        <w:ind w:firstLine="480"/>
        <w:rPr>
          <w:szCs w:val="24"/>
        </w:rPr>
      </w:pPr>
      <w:r w:rsidRPr="00F44EEE">
        <w:rPr>
          <w:szCs w:val="24"/>
        </w:rPr>
        <w:t>Fig</w:t>
      </w:r>
      <w:r w:rsidR="00394D1D">
        <w:rPr>
          <w:rFonts w:hint="eastAsia"/>
          <w:szCs w:val="24"/>
        </w:rPr>
        <w:t>ures</w:t>
      </w:r>
      <w:r w:rsidRPr="00F44EEE">
        <w:rPr>
          <w:szCs w:val="24"/>
        </w:rPr>
        <w:t xml:space="preserve"> </w:t>
      </w:r>
      <w:r w:rsidR="00574B15" w:rsidRPr="00F44EEE">
        <w:rPr>
          <w:szCs w:val="24"/>
        </w:rPr>
        <w:t>B1B</w:t>
      </w:r>
      <w:r w:rsidRPr="00F44EEE">
        <w:rPr>
          <w:szCs w:val="24"/>
        </w:rPr>
        <w:t>-</w:t>
      </w:r>
      <w:r w:rsidR="00574B15" w:rsidRPr="00F44EEE">
        <w:rPr>
          <w:szCs w:val="24"/>
        </w:rPr>
        <w:t>D</w:t>
      </w:r>
      <w:r w:rsidRPr="00F44EEE">
        <w:rPr>
          <w:szCs w:val="24"/>
        </w:rPr>
        <w:t xml:space="preserve"> show the </w:t>
      </w:r>
      <w:r w:rsidRPr="00F44EEE">
        <w:rPr>
          <w:rFonts w:hint="eastAsia"/>
          <w:i/>
          <w:iCs/>
          <w:szCs w:val="24"/>
        </w:rPr>
        <w:t>L</w:t>
      </w:r>
      <w:r w:rsidRPr="00F44EEE">
        <w:rPr>
          <w:i/>
          <w:iCs/>
          <w:szCs w:val="24"/>
          <w:vertAlign w:val="subscript"/>
        </w:rPr>
        <w:t>2</w:t>
      </w:r>
      <w:r w:rsidRPr="00F44EEE">
        <w:rPr>
          <w:szCs w:val="24"/>
        </w:rPr>
        <w:t xml:space="preserve"> errors of the predicted electromagnetic field using different activation functions, and the FEM results at the end moment are attached to visualize the physical characteristics of the superconducting electromagnetic field problem. Note that the electromagnetic field ranges in the cloud plots are after dimensionless scaling. It can be seen that the magnetic field strength exhibits a single-peak distribution within the range of [0, 10], while the electric field strength exhibits an antisymmetric distribution within the range of [-10, 10]. Facing such complex electromagnetic field distribution, the </w:t>
      </w:r>
      <w:proofErr w:type="spellStart"/>
      <w:r w:rsidRPr="00F44EEE">
        <w:rPr>
          <w:szCs w:val="24"/>
        </w:rPr>
        <w:t>ReLU</w:t>
      </w:r>
      <w:proofErr w:type="spellEnd"/>
      <w:r w:rsidRPr="00F44EEE">
        <w:rPr>
          <w:szCs w:val="24"/>
        </w:rPr>
        <w:t xml:space="preserve"> activation function's zero-output property for negative inputs limits its ability to learn the negative values of the electric field strength, leading to large prediction errors. For the Tanh activation function, it allows for negative outputs, thus enabling learning for both positive and negative electric field strength. However, the Tanh activation function may face the vanishing gradient issue when handling large input values. In contrast, the broader output range of the GELU activation function can effectively mitigates the vanishing gradient issue, leading to </w:t>
      </w:r>
      <w:r w:rsidRPr="00F44EEE">
        <w:rPr>
          <w:szCs w:val="24"/>
        </w:rPr>
        <w:lastRenderedPageBreak/>
        <w:t>smaller prediction errors. Consequently, considering the physical properties of superconducting electromagnetic fields and the range of the predicted values, the GELU activation function is more suitable to deal with such complex nonlinear electromagnetic field problems.</w:t>
      </w:r>
    </w:p>
    <w:p w14:paraId="10EB8376" w14:textId="6EF8E3D8" w:rsidR="00A95A82" w:rsidRPr="00F44EEE" w:rsidRDefault="00444753" w:rsidP="00B31E74">
      <w:pPr>
        <w:ind w:firstLineChars="0" w:firstLine="0"/>
        <w:jc w:val="center"/>
        <w:rPr>
          <w:szCs w:val="24"/>
        </w:rPr>
      </w:pPr>
      <w:r w:rsidRPr="00F44EEE">
        <w:rPr>
          <w:noProof/>
          <w:szCs w:val="24"/>
        </w:rPr>
        <w:drawing>
          <wp:inline distT="0" distB="0" distL="0" distR="0" wp14:anchorId="20D6C765" wp14:editId="72118516">
            <wp:extent cx="5400040" cy="285813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2.tif"/>
                    <pic:cNvPicPr/>
                  </pic:nvPicPr>
                  <pic:blipFill>
                    <a:blip r:embed="rId25"/>
                    <a:stretch>
                      <a:fillRect/>
                    </a:stretch>
                  </pic:blipFill>
                  <pic:spPr>
                    <a:xfrm>
                      <a:off x="0" y="0"/>
                      <a:ext cx="5400040" cy="2858135"/>
                    </a:xfrm>
                    <a:prstGeom prst="rect">
                      <a:avLst/>
                    </a:prstGeom>
                  </pic:spPr>
                </pic:pic>
              </a:graphicData>
            </a:graphic>
          </wp:inline>
        </w:drawing>
      </w:r>
    </w:p>
    <w:p w14:paraId="5D2B1852" w14:textId="684CCDD4" w:rsidR="00A95A82" w:rsidRPr="00F44EEE" w:rsidRDefault="00A95A82" w:rsidP="002B0FC0">
      <w:pPr>
        <w:spacing w:afterLines="50" w:after="156"/>
        <w:ind w:firstLineChars="0" w:firstLine="0"/>
        <w:rPr>
          <w:sz w:val="21"/>
          <w:szCs w:val="21"/>
        </w:rPr>
      </w:pPr>
      <w:r w:rsidRPr="00F44EEE">
        <w:rPr>
          <w:sz w:val="21"/>
          <w:szCs w:val="21"/>
        </w:rPr>
        <w:t xml:space="preserve">Fig. </w:t>
      </w:r>
      <w:r w:rsidR="00B214B0" w:rsidRPr="00F44EEE">
        <w:rPr>
          <w:sz w:val="21"/>
          <w:szCs w:val="21"/>
        </w:rPr>
        <w:t>B</w:t>
      </w:r>
      <w:r w:rsidR="00E73BB7" w:rsidRPr="00F44EEE">
        <w:rPr>
          <w:sz w:val="21"/>
          <w:szCs w:val="21"/>
        </w:rPr>
        <w:t>2</w:t>
      </w:r>
      <w:r w:rsidRPr="00F44EEE">
        <w:rPr>
          <w:sz w:val="21"/>
          <w:szCs w:val="21"/>
        </w:rPr>
        <w:t>. Influence of the loss term weights on the electromagnetic field prediction performance</w:t>
      </w:r>
      <w:r w:rsidR="00E73BB7" w:rsidRPr="00F44EEE">
        <w:rPr>
          <w:sz w:val="21"/>
          <w:szCs w:val="21"/>
        </w:rPr>
        <w:t>.</w:t>
      </w:r>
      <w:r w:rsidRPr="00F44EEE">
        <w:rPr>
          <w:sz w:val="21"/>
          <w:szCs w:val="21"/>
        </w:rPr>
        <w:t xml:space="preserve"> </w:t>
      </w:r>
      <w:r w:rsidR="00E73BB7" w:rsidRPr="00163E33">
        <w:rPr>
          <w:b/>
          <w:bCs/>
          <w:sz w:val="21"/>
          <w:szCs w:val="21"/>
        </w:rPr>
        <w:t>(A-C)</w:t>
      </w:r>
      <w:r w:rsidR="00E73BB7" w:rsidRPr="00F44EEE">
        <w:rPr>
          <w:sz w:val="21"/>
          <w:szCs w:val="21"/>
        </w:rPr>
        <w:t xml:space="preserve"> </w:t>
      </w:r>
      <w:r w:rsidRPr="00F44EEE">
        <w:rPr>
          <w:sz w:val="21"/>
          <w:szCs w:val="21"/>
        </w:rPr>
        <w:t xml:space="preserve">The </w:t>
      </w:r>
      <w:r w:rsidRPr="00F44EEE">
        <w:rPr>
          <w:rFonts w:hint="eastAsia"/>
          <w:i/>
          <w:iCs/>
          <w:sz w:val="21"/>
          <w:szCs w:val="21"/>
        </w:rPr>
        <w:t>L</w:t>
      </w:r>
      <w:r w:rsidRPr="00F44EEE">
        <w:rPr>
          <w:i/>
          <w:iCs/>
          <w:sz w:val="21"/>
          <w:szCs w:val="21"/>
          <w:vertAlign w:val="subscript"/>
        </w:rPr>
        <w:t>2</w:t>
      </w:r>
      <w:r w:rsidRPr="00F44EEE">
        <w:rPr>
          <w:sz w:val="21"/>
          <w:szCs w:val="21"/>
        </w:rPr>
        <w:t xml:space="preserve"> errors of the predicted magnetic field strength </w:t>
      </w:r>
      <w:r w:rsidRPr="00F44EEE">
        <w:rPr>
          <w:i/>
          <w:iCs/>
          <w:sz w:val="21"/>
          <w:szCs w:val="21"/>
        </w:rPr>
        <w:t>H</w:t>
      </w:r>
      <w:r w:rsidRPr="00F44EEE">
        <w:rPr>
          <w:sz w:val="21"/>
          <w:szCs w:val="21"/>
        </w:rPr>
        <w:t xml:space="preserve">, electric field strength </w:t>
      </w:r>
      <w:r w:rsidRPr="00F44EEE">
        <w:rPr>
          <w:i/>
          <w:iCs/>
          <w:sz w:val="21"/>
          <w:szCs w:val="21"/>
        </w:rPr>
        <w:t>E</w:t>
      </w:r>
      <w:r w:rsidRPr="00F44EEE">
        <w:rPr>
          <w:i/>
          <w:iCs/>
          <w:sz w:val="21"/>
          <w:szCs w:val="21"/>
          <w:vertAlign w:val="subscript"/>
        </w:rPr>
        <w:t>x</w:t>
      </w:r>
      <w:r w:rsidRPr="00F44EEE">
        <w:rPr>
          <w:sz w:val="21"/>
          <w:szCs w:val="21"/>
        </w:rPr>
        <w:t xml:space="preserve"> and </w:t>
      </w:r>
      <w:r w:rsidRPr="00F44EEE">
        <w:rPr>
          <w:i/>
          <w:iCs/>
          <w:sz w:val="21"/>
          <w:szCs w:val="21"/>
        </w:rPr>
        <w:t>E</w:t>
      </w:r>
      <w:r w:rsidRPr="00F44EEE">
        <w:rPr>
          <w:rFonts w:hint="eastAsia"/>
          <w:i/>
          <w:iCs/>
          <w:sz w:val="21"/>
          <w:szCs w:val="21"/>
          <w:vertAlign w:val="subscript"/>
        </w:rPr>
        <w:t>y</w:t>
      </w:r>
      <w:r w:rsidRPr="00F44EEE">
        <w:rPr>
          <w:sz w:val="21"/>
          <w:szCs w:val="21"/>
        </w:rPr>
        <w:t xml:space="preserve"> using different weights</w:t>
      </w:r>
      <w:r w:rsidRPr="00F44EEE">
        <w:rPr>
          <w:rFonts w:hint="eastAsia"/>
          <w:sz w:val="21"/>
          <w:szCs w:val="21"/>
        </w:rPr>
        <w:t>.</w:t>
      </w:r>
      <w:r w:rsidRPr="00F44EEE">
        <w:rPr>
          <w:sz w:val="21"/>
          <w:szCs w:val="21"/>
        </w:rPr>
        <w:t xml:space="preserve"> </w:t>
      </w:r>
      <w:bookmarkStart w:id="10" w:name="_Hlk190433250"/>
      <w:r w:rsidR="00E73BB7" w:rsidRPr="00163E33">
        <w:rPr>
          <w:b/>
          <w:bCs/>
          <w:sz w:val="21"/>
          <w:szCs w:val="21"/>
        </w:rPr>
        <w:t>(D-F)</w:t>
      </w:r>
      <w:r w:rsidR="00E73BB7" w:rsidRPr="00F44EEE">
        <w:rPr>
          <w:sz w:val="21"/>
          <w:szCs w:val="21"/>
        </w:rPr>
        <w:t xml:space="preserve"> </w:t>
      </w:r>
      <w:r w:rsidRPr="00F44EEE">
        <w:rPr>
          <w:sz w:val="21"/>
          <w:szCs w:val="21"/>
        </w:rPr>
        <w:t xml:space="preserve">Comparison of the predicted magnetic field strength </w:t>
      </w:r>
      <w:r w:rsidRPr="00F44EEE">
        <w:rPr>
          <w:i/>
          <w:iCs/>
          <w:sz w:val="21"/>
          <w:szCs w:val="21"/>
        </w:rPr>
        <w:t>H</w:t>
      </w:r>
      <w:r w:rsidRPr="00F44EEE">
        <w:rPr>
          <w:sz w:val="21"/>
          <w:szCs w:val="21"/>
        </w:rPr>
        <w:t xml:space="preserve">, electric field strength </w:t>
      </w:r>
      <w:r w:rsidRPr="00F44EEE">
        <w:rPr>
          <w:i/>
          <w:iCs/>
          <w:sz w:val="21"/>
          <w:szCs w:val="21"/>
        </w:rPr>
        <w:t>E</w:t>
      </w:r>
      <w:r w:rsidRPr="00F44EEE">
        <w:rPr>
          <w:i/>
          <w:iCs/>
          <w:sz w:val="21"/>
          <w:szCs w:val="21"/>
          <w:vertAlign w:val="subscript"/>
        </w:rPr>
        <w:t>x</w:t>
      </w:r>
      <w:r w:rsidRPr="00F44EEE">
        <w:rPr>
          <w:sz w:val="21"/>
          <w:szCs w:val="21"/>
        </w:rPr>
        <w:t xml:space="preserve"> and </w:t>
      </w:r>
      <w:r w:rsidRPr="00F44EEE">
        <w:rPr>
          <w:i/>
          <w:iCs/>
          <w:sz w:val="21"/>
          <w:szCs w:val="21"/>
        </w:rPr>
        <w:t>E</w:t>
      </w:r>
      <w:r w:rsidRPr="00F44EEE">
        <w:rPr>
          <w:rFonts w:hint="eastAsia"/>
          <w:i/>
          <w:iCs/>
          <w:sz w:val="21"/>
          <w:szCs w:val="21"/>
          <w:vertAlign w:val="subscript"/>
        </w:rPr>
        <w:t>y</w:t>
      </w:r>
      <w:r w:rsidRPr="00F44EEE">
        <w:rPr>
          <w:sz w:val="21"/>
          <w:szCs w:val="21"/>
        </w:rPr>
        <w:t xml:space="preserve"> with the FEM results along the center line</w:t>
      </w:r>
      <w:bookmarkEnd w:id="10"/>
      <w:r w:rsidRPr="00F44EEE">
        <w:rPr>
          <w:sz w:val="21"/>
          <w:szCs w:val="21"/>
        </w:rPr>
        <w:t>, where the cloud plots represent the FEM results.</w:t>
      </w:r>
    </w:p>
    <w:p w14:paraId="103CC7B0" w14:textId="1406082B" w:rsidR="00A95A82" w:rsidRPr="00F44EEE" w:rsidRDefault="00A95A82" w:rsidP="00A95A82">
      <w:pPr>
        <w:spacing w:line="300" w:lineRule="auto"/>
        <w:ind w:firstLine="480"/>
        <w:rPr>
          <w:szCs w:val="24"/>
        </w:rPr>
      </w:pPr>
      <w:r w:rsidRPr="00F44EEE">
        <w:rPr>
          <w:szCs w:val="24"/>
        </w:rPr>
        <w:t xml:space="preserve">As a multi-task optimization process, PINN balances the contributions of various loss terms to the total loss by adjusting their weights. Therefore, the selection of loss term weights significantly impacts both prediction accuracy and training efficiency. To this end, we evaluate the network prediction performance under </w:t>
      </w:r>
      <w:r w:rsidRPr="00F44EEE">
        <w:rPr>
          <w:rFonts w:hint="eastAsia"/>
          <w:szCs w:val="24"/>
        </w:rPr>
        <w:t>different</w:t>
      </w:r>
      <w:r w:rsidRPr="00F44EEE">
        <w:rPr>
          <w:szCs w:val="24"/>
        </w:rPr>
        <w:t xml:space="preserve"> weights </w:t>
      </w:r>
      <w:r w:rsidRPr="00F44EEE">
        <w:rPr>
          <w:rFonts w:ascii="Symbol" w:hAnsi="Symbol"/>
          <w:i/>
          <w:iCs/>
          <w:szCs w:val="24"/>
        </w:rPr>
        <w:t></w:t>
      </w:r>
      <w:r w:rsidRPr="00F44EEE">
        <w:rPr>
          <w:i/>
          <w:iCs/>
          <w:szCs w:val="24"/>
          <w:vertAlign w:val="subscript"/>
        </w:rPr>
        <w:t>BC</w:t>
      </w:r>
      <w:r w:rsidRPr="00F44EEE">
        <w:rPr>
          <w:szCs w:val="24"/>
        </w:rPr>
        <w:t>=0.1</w:t>
      </w:r>
      <w:r w:rsidRPr="00F44EEE">
        <w:rPr>
          <w:rFonts w:hint="eastAsia"/>
          <w:szCs w:val="24"/>
        </w:rPr>
        <w:t>,</w:t>
      </w:r>
      <w:r w:rsidRPr="00F44EEE">
        <w:rPr>
          <w:szCs w:val="24"/>
        </w:rPr>
        <w:t xml:space="preserve"> </w:t>
      </w:r>
      <w:r w:rsidRPr="00F44EEE">
        <w:rPr>
          <w:rFonts w:hint="eastAsia"/>
          <w:szCs w:val="24"/>
        </w:rPr>
        <w:t>1 and</w:t>
      </w:r>
      <w:r w:rsidRPr="00F44EEE">
        <w:rPr>
          <w:szCs w:val="24"/>
        </w:rPr>
        <w:t xml:space="preserve"> </w:t>
      </w:r>
      <w:r w:rsidRPr="00F44EEE">
        <w:rPr>
          <w:rFonts w:hint="eastAsia"/>
          <w:szCs w:val="24"/>
        </w:rPr>
        <w:t>1</w:t>
      </w:r>
      <w:r w:rsidRPr="00F44EEE">
        <w:rPr>
          <w:szCs w:val="24"/>
        </w:rPr>
        <w:t>0 for the magnetic field boundary condition loss term. Fig</w:t>
      </w:r>
      <w:r w:rsidR="00DC2CA3">
        <w:rPr>
          <w:rFonts w:hint="eastAsia"/>
          <w:szCs w:val="24"/>
        </w:rPr>
        <w:t>ure</w:t>
      </w:r>
      <w:r w:rsidRPr="00F44EEE">
        <w:rPr>
          <w:rFonts w:hint="eastAsia"/>
          <w:szCs w:val="24"/>
        </w:rPr>
        <w:t>s</w:t>
      </w:r>
      <w:r w:rsidRPr="00F44EEE">
        <w:rPr>
          <w:szCs w:val="24"/>
        </w:rPr>
        <w:t xml:space="preserve"> </w:t>
      </w:r>
      <w:r w:rsidR="00574B15" w:rsidRPr="00F44EEE">
        <w:rPr>
          <w:szCs w:val="24"/>
        </w:rPr>
        <w:t>B2A</w:t>
      </w:r>
      <w:r w:rsidRPr="00F44EEE">
        <w:rPr>
          <w:szCs w:val="24"/>
        </w:rPr>
        <w:t>-</w:t>
      </w:r>
      <w:r w:rsidR="00574B15" w:rsidRPr="00F44EEE">
        <w:rPr>
          <w:szCs w:val="24"/>
        </w:rPr>
        <w:t>C</w:t>
      </w:r>
      <w:r w:rsidRPr="00F44EEE">
        <w:rPr>
          <w:szCs w:val="24"/>
        </w:rPr>
        <w:t xml:space="preserve"> give the </w:t>
      </w:r>
      <w:r w:rsidRPr="00F44EEE">
        <w:rPr>
          <w:rFonts w:hint="eastAsia"/>
          <w:i/>
          <w:iCs/>
          <w:szCs w:val="24"/>
        </w:rPr>
        <w:t>L</w:t>
      </w:r>
      <w:r w:rsidRPr="00F44EEE">
        <w:rPr>
          <w:rFonts w:hint="eastAsia"/>
          <w:i/>
          <w:iCs/>
          <w:szCs w:val="24"/>
          <w:vertAlign w:val="subscript"/>
        </w:rPr>
        <w:t>2</w:t>
      </w:r>
      <w:r w:rsidRPr="00F44EEE">
        <w:rPr>
          <w:szCs w:val="24"/>
        </w:rPr>
        <w:t xml:space="preserve"> error of the electromagnetic field predictions with different weights, and the convergence speed of the network is significantly improved with the increase of the boundary condition loss weight. Meanwhile, a comparison of the predicted magnetic and electric field strengths along the center </w:t>
      </w:r>
      <w:r w:rsidRPr="00F44EEE">
        <w:rPr>
          <w:rFonts w:hint="eastAsia"/>
          <w:szCs w:val="24"/>
        </w:rPr>
        <w:t>line</w:t>
      </w:r>
      <w:r w:rsidRPr="00F44EEE">
        <w:rPr>
          <w:szCs w:val="24"/>
        </w:rPr>
        <w:t xml:space="preserve"> with the FEM results is given in Fig</w:t>
      </w:r>
      <w:r w:rsidR="00DC2CA3">
        <w:rPr>
          <w:rFonts w:hint="eastAsia"/>
          <w:szCs w:val="24"/>
        </w:rPr>
        <w:t>ure</w:t>
      </w:r>
      <w:r w:rsidRPr="00F44EEE">
        <w:rPr>
          <w:szCs w:val="24"/>
        </w:rPr>
        <w:t xml:space="preserve">s </w:t>
      </w:r>
      <w:r w:rsidR="00574B15" w:rsidRPr="00F44EEE">
        <w:rPr>
          <w:szCs w:val="24"/>
        </w:rPr>
        <w:t>B2D-F</w:t>
      </w:r>
      <w:r w:rsidRPr="00F44EEE">
        <w:rPr>
          <w:szCs w:val="24"/>
        </w:rPr>
        <w:t xml:space="preserve">. When </w:t>
      </w:r>
      <w:r w:rsidRPr="00F44EEE">
        <w:rPr>
          <w:rFonts w:ascii="Symbol" w:hAnsi="Symbol"/>
          <w:i/>
          <w:iCs/>
          <w:szCs w:val="24"/>
        </w:rPr>
        <w:t></w:t>
      </w:r>
      <w:r w:rsidRPr="00F44EEE">
        <w:rPr>
          <w:i/>
          <w:iCs/>
          <w:szCs w:val="24"/>
          <w:vertAlign w:val="subscript"/>
        </w:rPr>
        <w:t>BC</w:t>
      </w:r>
      <w:r w:rsidRPr="00F44EEE">
        <w:rPr>
          <w:szCs w:val="24"/>
        </w:rPr>
        <w:t xml:space="preserve">=0.1, the optimization of the magnetic field boundary condition is neglected during the training process, resulting in insufficient enforcement of the boundary condition and consequently significant errors in the overall magnetic field distribution. With the increase of </w:t>
      </w:r>
      <w:r w:rsidRPr="00F44EEE">
        <w:rPr>
          <w:rFonts w:ascii="Symbol" w:hAnsi="Symbol"/>
          <w:i/>
          <w:iCs/>
          <w:szCs w:val="24"/>
        </w:rPr>
        <w:t></w:t>
      </w:r>
      <w:r w:rsidRPr="00F44EEE">
        <w:rPr>
          <w:i/>
          <w:iCs/>
          <w:szCs w:val="24"/>
          <w:vertAlign w:val="subscript"/>
        </w:rPr>
        <w:t>BC</w:t>
      </w:r>
      <w:r w:rsidRPr="00F44EEE">
        <w:rPr>
          <w:szCs w:val="24"/>
        </w:rPr>
        <w:t xml:space="preserve">, the satisfaction of the magnetic field boundary condition improves, leading to a close agreement between the predicted electromagnetic field distribution and the FEM results. </w:t>
      </w:r>
      <w:r w:rsidRPr="00F44EEE">
        <w:rPr>
          <w:szCs w:val="24"/>
        </w:rPr>
        <w:lastRenderedPageBreak/>
        <w:t xml:space="preserve">Therefore, the weight </w:t>
      </w:r>
      <w:r w:rsidRPr="00F44EEE">
        <w:rPr>
          <w:rFonts w:ascii="Symbol" w:hAnsi="Symbol"/>
          <w:i/>
          <w:iCs/>
          <w:szCs w:val="24"/>
        </w:rPr>
        <w:t></w:t>
      </w:r>
      <w:r w:rsidRPr="00F44EEE">
        <w:rPr>
          <w:i/>
          <w:iCs/>
          <w:szCs w:val="24"/>
          <w:vertAlign w:val="subscript"/>
        </w:rPr>
        <w:t>BC</w:t>
      </w:r>
      <w:r w:rsidRPr="00F44EEE">
        <w:rPr>
          <w:szCs w:val="24"/>
        </w:rPr>
        <w:t xml:space="preserve"> is set to 10 to ensure the boundary magnetic field accuracy and to improve the overall predict</w:t>
      </w:r>
      <w:r w:rsidRPr="00F44EEE">
        <w:rPr>
          <w:rFonts w:hint="eastAsia"/>
          <w:szCs w:val="24"/>
        </w:rPr>
        <w:t>ion</w:t>
      </w:r>
      <w:r w:rsidRPr="00F44EEE">
        <w:rPr>
          <w:szCs w:val="24"/>
        </w:rPr>
        <w:t xml:space="preserve"> performance of the electromagnetic field.</w:t>
      </w:r>
    </w:p>
    <w:p w14:paraId="06C557C0" w14:textId="01BD6F23" w:rsidR="00A95A82" w:rsidRPr="00F44EEE" w:rsidRDefault="00A95A82" w:rsidP="002B0FC0">
      <w:pPr>
        <w:spacing w:beforeLines="50" w:before="156" w:afterLines="50" w:after="156"/>
        <w:ind w:firstLineChars="0" w:firstLine="0"/>
        <w:jc w:val="center"/>
        <w:rPr>
          <w:sz w:val="21"/>
          <w:szCs w:val="21"/>
        </w:rPr>
      </w:pPr>
      <w:bookmarkStart w:id="11" w:name="_Hlk184032301"/>
      <w:r w:rsidRPr="00F44EEE">
        <w:rPr>
          <w:sz w:val="21"/>
          <w:szCs w:val="21"/>
        </w:rPr>
        <w:t xml:space="preserve">Table </w:t>
      </w:r>
      <w:r w:rsidR="00B214B0" w:rsidRPr="00F44EEE">
        <w:rPr>
          <w:sz w:val="21"/>
          <w:szCs w:val="21"/>
        </w:rPr>
        <w:t>B</w:t>
      </w:r>
      <w:r w:rsidR="00E73BB7" w:rsidRPr="00F44EEE">
        <w:rPr>
          <w:sz w:val="21"/>
          <w:szCs w:val="21"/>
        </w:rPr>
        <w:t>1</w:t>
      </w:r>
      <w:r w:rsidRPr="00F44EEE">
        <w:rPr>
          <w:sz w:val="21"/>
          <w:szCs w:val="21"/>
        </w:rPr>
        <w:t xml:space="preserve">. </w:t>
      </w:r>
      <w:r w:rsidRPr="00F44EEE">
        <w:rPr>
          <w:rFonts w:hint="eastAsia"/>
          <w:i/>
          <w:iCs/>
          <w:sz w:val="21"/>
          <w:szCs w:val="21"/>
        </w:rPr>
        <w:t>L</w:t>
      </w:r>
      <w:r w:rsidRPr="00F44EEE">
        <w:rPr>
          <w:i/>
          <w:iCs/>
          <w:sz w:val="21"/>
          <w:szCs w:val="21"/>
          <w:vertAlign w:val="subscript"/>
        </w:rPr>
        <w:t>2</w:t>
      </w:r>
      <w:r w:rsidRPr="00F44EEE">
        <w:rPr>
          <w:sz w:val="21"/>
          <w:szCs w:val="21"/>
        </w:rPr>
        <w:t xml:space="preserve"> errors of magnetic and electric field strengths predicted by network structures with different number of layers and neurons</w:t>
      </w:r>
    </w:p>
    <w:bookmarkEnd w:id="11"/>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1214"/>
        <w:gridCol w:w="1215"/>
        <w:gridCol w:w="1215"/>
        <w:gridCol w:w="283"/>
        <w:gridCol w:w="1215"/>
        <w:gridCol w:w="1215"/>
      </w:tblGrid>
      <w:tr w:rsidR="00A95A82" w:rsidRPr="00F44EEE" w14:paraId="6CAA92D9" w14:textId="77777777" w:rsidTr="00E73BB7">
        <w:trPr>
          <w:jc w:val="center"/>
        </w:trPr>
        <w:tc>
          <w:tcPr>
            <w:tcW w:w="680" w:type="dxa"/>
            <w:tcBorders>
              <w:top w:val="single" w:sz="18" w:space="0" w:color="auto"/>
            </w:tcBorders>
            <w:vAlign w:val="center"/>
          </w:tcPr>
          <w:p w14:paraId="5BC405B0" w14:textId="77777777" w:rsidR="00A95A82" w:rsidRPr="00F44EEE" w:rsidRDefault="00A95A82" w:rsidP="00E73BB7">
            <w:pPr>
              <w:spacing w:line="300" w:lineRule="auto"/>
              <w:ind w:firstLineChars="0" w:firstLine="0"/>
              <w:jc w:val="center"/>
              <w:rPr>
                <w:szCs w:val="24"/>
              </w:rPr>
            </w:pPr>
          </w:p>
        </w:tc>
        <w:tc>
          <w:tcPr>
            <w:tcW w:w="1214" w:type="dxa"/>
            <w:tcBorders>
              <w:top w:val="single" w:sz="18" w:space="0" w:color="auto"/>
            </w:tcBorders>
            <w:vAlign w:val="center"/>
          </w:tcPr>
          <w:p w14:paraId="0A1B1FD6" w14:textId="77777777" w:rsidR="00A95A82" w:rsidRPr="00F44EEE" w:rsidRDefault="00A95A82" w:rsidP="008525B4">
            <w:pPr>
              <w:spacing w:line="300" w:lineRule="auto"/>
              <w:ind w:firstLineChars="0" w:firstLine="0"/>
              <w:jc w:val="center"/>
              <w:rPr>
                <w:sz w:val="21"/>
                <w:szCs w:val="21"/>
              </w:rPr>
            </w:pPr>
            <w:r w:rsidRPr="00F44EEE">
              <w:rPr>
                <w:rFonts w:hint="eastAsia"/>
                <w:sz w:val="21"/>
                <w:szCs w:val="21"/>
              </w:rPr>
              <w:t>Default</w:t>
            </w:r>
          </w:p>
        </w:tc>
        <w:tc>
          <w:tcPr>
            <w:tcW w:w="2430" w:type="dxa"/>
            <w:gridSpan w:val="2"/>
            <w:tcBorders>
              <w:top w:val="single" w:sz="18" w:space="0" w:color="auto"/>
              <w:bottom w:val="single" w:sz="8" w:space="0" w:color="auto"/>
            </w:tcBorders>
            <w:vAlign w:val="center"/>
          </w:tcPr>
          <w:p w14:paraId="4DA101A0" w14:textId="77777777" w:rsidR="00A95A82" w:rsidRPr="00F44EEE" w:rsidRDefault="00A95A82" w:rsidP="008525B4">
            <w:pPr>
              <w:spacing w:line="300" w:lineRule="auto"/>
              <w:ind w:firstLineChars="0" w:firstLine="0"/>
              <w:jc w:val="center"/>
              <w:rPr>
                <w:sz w:val="21"/>
                <w:szCs w:val="21"/>
              </w:rPr>
            </w:pPr>
            <w:r w:rsidRPr="00F44EEE">
              <w:rPr>
                <w:rFonts w:hint="eastAsia"/>
                <w:sz w:val="21"/>
                <w:szCs w:val="21"/>
              </w:rPr>
              <w:t>Layer</w:t>
            </w:r>
            <w:r w:rsidRPr="00F44EEE">
              <w:rPr>
                <w:sz w:val="21"/>
                <w:szCs w:val="21"/>
              </w:rPr>
              <w:t xml:space="preserve"> </w:t>
            </w:r>
            <w:r w:rsidRPr="00F44EEE">
              <w:rPr>
                <w:rFonts w:hint="eastAsia"/>
                <w:sz w:val="21"/>
                <w:szCs w:val="21"/>
              </w:rPr>
              <w:t>width</w:t>
            </w:r>
          </w:p>
        </w:tc>
        <w:tc>
          <w:tcPr>
            <w:tcW w:w="283" w:type="dxa"/>
            <w:tcBorders>
              <w:top w:val="single" w:sz="18" w:space="0" w:color="auto"/>
            </w:tcBorders>
            <w:vAlign w:val="center"/>
          </w:tcPr>
          <w:p w14:paraId="34C82966" w14:textId="77777777" w:rsidR="00A95A82" w:rsidRPr="00F44EEE" w:rsidRDefault="00A95A82" w:rsidP="008525B4">
            <w:pPr>
              <w:spacing w:line="300" w:lineRule="auto"/>
              <w:ind w:firstLineChars="0" w:firstLine="0"/>
              <w:jc w:val="center"/>
              <w:rPr>
                <w:sz w:val="21"/>
                <w:szCs w:val="21"/>
              </w:rPr>
            </w:pPr>
          </w:p>
        </w:tc>
        <w:tc>
          <w:tcPr>
            <w:tcW w:w="2430" w:type="dxa"/>
            <w:gridSpan w:val="2"/>
            <w:tcBorders>
              <w:top w:val="single" w:sz="18" w:space="0" w:color="auto"/>
              <w:bottom w:val="single" w:sz="8" w:space="0" w:color="auto"/>
            </w:tcBorders>
            <w:vAlign w:val="center"/>
          </w:tcPr>
          <w:p w14:paraId="7DE8F276" w14:textId="77777777" w:rsidR="00A95A82" w:rsidRPr="00F44EEE" w:rsidRDefault="00A95A82" w:rsidP="008525B4">
            <w:pPr>
              <w:spacing w:line="300" w:lineRule="auto"/>
              <w:ind w:firstLineChars="0" w:firstLine="0"/>
              <w:jc w:val="center"/>
              <w:rPr>
                <w:sz w:val="21"/>
                <w:szCs w:val="21"/>
              </w:rPr>
            </w:pPr>
            <w:r w:rsidRPr="00F44EEE">
              <w:rPr>
                <w:rFonts w:hint="eastAsia"/>
                <w:sz w:val="21"/>
                <w:szCs w:val="21"/>
              </w:rPr>
              <w:t>Net</w:t>
            </w:r>
            <w:r w:rsidRPr="00F44EEE">
              <w:rPr>
                <w:sz w:val="21"/>
                <w:szCs w:val="21"/>
              </w:rPr>
              <w:t xml:space="preserve"> </w:t>
            </w:r>
            <w:r w:rsidRPr="00F44EEE">
              <w:rPr>
                <w:rFonts w:hint="eastAsia"/>
                <w:sz w:val="21"/>
                <w:szCs w:val="21"/>
              </w:rPr>
              <w:t>depth</w:t>
            </w:r>
          </w:p>
        </w:tc>
      </w:tr>
      <w:tr w:rsidR="00A95A82" w:rsidRPr="00F44EEE" w14:paraId="30B477AE" w14:textId="77777777" w:rsidTr="00E73BB7">
        <w:trPr>
          <w:jc w:val="center"/>
        </w:trPr>
        <w:tc>
          <w:tcPr>
            <w:tcW w:w="680" w:type="dxa"/>
            <w:tcBorders>
              <w:bottom w:val="single" w:sz="8" w:space="0" w:color="auto"/>
            </w:tcBorders>
            <w:vAlign w:val="center"/>
          </w:tcPr>
          <w:p w14:paraId="66D083F1" w14:textId="77777777" w:rsidR="00A95A82" w:rsidRPr="00F44EEE" w:rsidRDefault="00A95A82" w:rsidP="00E73BB7">
            <w:pPr>
              <w:spacing w:line="300" w:lineRule="auto"/>
              <w:ind w:firstLineChars="0" w:firstLine="0"/>
              <w:jc w:val="center"/>
              <w:rPr>
                <w:szCs w:val="24"/>
              </w:rPr>
            </w:pPr>
          </w:p>
        </w:tc>
        <w:tc>
          <w:tcPr>
            <w:tcW w:w="1214" w:type="dxa"/>
            <w:tcBorders>
              <w:bottom w:val="single" w:sz="8" w:space="0" w:color="auto"/>
            </w:tcBorders>
            <w:vAlign w:val="center"/>
          </w:tcPr>
          <w:p w14:paraId="6862B128" w14:textId="77777777" w:rsidR="00A95A82" w:rsidRPr="00F44EEE" w:rsidRDefault="00A95A82" w:rsidP="008525B4">
            <w:pPr>
              <w:spacing w:line="300" w:lineRule="auto"/>
              <w:ind w:firstLineChars="0" w:firstLine="0"/>
              <w:jc w:val="center"/>
              <w:rPr>
                <w:sz w:val="21"/>
                <w:szCs w:val="21"/>
              </w:rPr>
            </w:pPr>
            <w:r w:rsidRPr="00F44EEE">
              <w:rPr>
                <w:rFonts w:hint="eastAsia"/>
                <w:sz w:val="21"/>
                <w:szCs w:val="21"/>
              </w:rPr>
              <w:t>1</w:t>
            </w:r>
            <w:r w:rsidRPr="00F44EEE">
              <w:rPr>
                <w:sz w:val="21"/>
                <w:szCs w:val="21"/>
              </w:rPr>
              <w:t>0×30</w:t>
            </w:r>
          </w:p>
        </w:tc>
        <w:tc>
          <w:tcPr>
            <w:tcW w:w="1215" w:type="dxa"/>
            <w:tcBorders>
              <w:top w:val="single" w:sz="8" w:space="0" w:color="auto"/>
              <w:bottom w:val="single" w:sz="8" w:space="0" w:color="auto"/>
            </w:tcBorders>
            <w:vAlign w:val="center"/>
          </w:tcPr>
          <w:p w14:paraId="2D3327FF" w14:textId="77777777" w:rsidR="00A95A82" w:rsidRPr="00F44EEE" w:rsidRDefault="00A95A82" w:rsidP="008525B4">
            <w:pPr>
              <w:spacing w:line="300" w:lineRule="auto"/>
              <w:ind w:firstLineChars="0" w:firstLine="0"/>
              <w:jc w:val="center"/>
              <w:rPr>
                <w:sz w:val="21"/>
                <w:szCs w:val="21"/>
              </w:rPr>
            </w:pPr>
            <w:r w:rsidRPr="00F44EEE">
              <w:rPr>
                <w:sz w:val="21"/>
                <w:szCs w:val="21"/>
              </w:rPr>
              <w:t>5×30</w:t>
            </w:r>
          </w:p>
        </w:tc>
        <w:tc>
          <w:tcPr>
            <w:tcW w:w="1215" w:type="dxa"/>
            <w:tcBorders>
              <w:top w:val="single" w:sz="8" w:space="0" w:color="auto"/>
              <w:bottom w:val="single" w:sz="8" w:space="0" w:color="auto"/>
            </w:tcBorders>
            <w:vAlign w:val="center"/>
          </w:tcPr>
          <w:p w14:paraId="1E921AA9" w14:textId="77777777" w:rsidR="00A95A82" w:rsidRPr="00F44EEE" w:rsidRDefault="00A95A82" w:rsidP="008525B4">
            <w:pPr>
              <w:spacing w:line="300" w:lineRule="auto"/>
              <w:ind w:firstLineChars="0" w:firstLine="0"/>
              <w:jc w:val="center"/>
              <w:rPr>
                <w:sz w:val="21"/>
                <w:szCs w:val="21"/>
              </w:rPr>
            </w:pPr>
            <w:r w:rsidRPr="00F44EEE">
              <w:rPr>
                <w:sz w:val="21"/>
                <w:szCs w:val="21"/>
              </w:rPr>
              <w:t>15×30</w:t>
            </w:r>
          </w:p>
        </w:tc>
        <w:tc>
          <w:tcPr>
            <w:tcW w:w="283" w:type="dxa"/>
            <w:tcBorders>
              <w:bottom w:val="single" w:sz="8" w:space="0" w:color="auto"/>
            </w:tcBorders>
            <w:vAlign w:val="center"/>
          </w:tcPr>
          <w:p w14:paraId="661581A3" w14:textId="77777777" w:rsidR="00A95A82" w:rsidRPr="00F44EEE" w:rsidRDefault="00A95A82" w:rsidP="008525B4">
            <w:pPr>
              <w:spacing w:line="300" w:lineRule="auto"/>
              <w:ind w:firstLineChars="0" w:firstLine="0"/>
              <w:jc w:val="center"/>
              <w:rPr>
                <w:sz w:val="21"/>
                <w:szCs w:val="21"/>
              </w:rPr>
            </w:pPr>
          </w:p>
        </w:tc>
        <w:tc>
          <w:tcPr>
            <w:tcW w:w="1215" w:type="dxa"/>
            <w:tcBorders>
              <w:top w:val="single" w:sz="8" w:space="0" w:color="auto"/>
              <w:bottom w:val="single" w:sz="8" w:space="0" w:color="auto"/>
            </w:tcBorders>
            <w:vAlign w:val="center"/>
          </w:tcPr>
          <w:p w14:paraId="621B258D" w14:textId="77777777" w:rsidR="00A95A82" w:rsidRPr="00F44EEE" w:rsidRDefault="00A95A82" w:rsidP="008525B4">
            <w:pPr>
              <w:spacing w:line="300" w:lineRule="auto"/>
              <w:ind w:firstLineChars="0" w:firstLine="0"/>
              <w:jc w:val="center"/>
              <w:rPr>
                <w:sz w:val="21"/>
                <w:szCs w:val="21"/>
              </w:rPr>
            </w:pPr>
            <w:r w:rsidRPr="00F44EEE">
              <w:rPr>
                <w:rFonts w:hint="eastAsia"/>
                <w:sz w:val="21"/>
                <w:szCs w:val="21"/>
              </w:rPr>
              <w:t>1</w:t>
            </w:r>
            <w:r w:rsidRPr="00F44EEE">
              <w:rPr>
                <w:sz w:val="21"/>
                <w:szCs w:val="21"/>
              </w:rPr>
              <w:t>0×10</w:t>
            </w:r>
          </w:p>
        </w:tc>
        <w:tc>
          <w:tcPr>
            <w:tcW w:w="1215" w:type="dxa"/>
            <w:tcBorders>
              <w:top w:val="single" w:sz="8" w:space="0" w:color="auto"/>
              <w:bottom w:val="single" w:sz="8" w:space="0" w:color="auto"/>
            </w:tcBorders>
            <w:vAlign w:val="center"/>
          </w:tcPr>
          <w:p w14:paraId="467C7C2C" w14:textId="77777777" w:rsidR="00A95A82" w:rsidRPr="00F44EEE" w:rsidRDefault="00A95A82" w:rsidP="008525B4">
            <w:pPr>
              <w:spacing w:line="300" w:lineRule="auto"/>
              <w:ind w:firstLineChars="0" w:firstLine="0"/>
              <w:jc w:val="center"/>
              <w:rPr>
                <w:sz w:val="21"/>
                <w:szCs w:val="21"/>
              </w:rPr>
            </w:pPr>
            <w:r w:rsidRPr="00F44EEE">
              <w:rPr>
                <w:rFonts w:hint="eastAsia"/>
                <w:sz w:val="21"/>
                <w:szCs w:val="21"/>
              </w:rPr>
              <w:t>1</w:t>
            </w:r>
            <w:r w:rsidRPr="00F44EEE">
              <w:rPr>
                <w:sz w:val="21"/>
                <w:szCs w:val="21"/>
              </w:rPr>
              <w:t>0×40</w:t>
            </w:r>
          </w:p>
        </w:tc>
      </w:tr>
      <w:tr w:rsidR="00A95A82" w:rsidRPr="00F44EEE" w14:paraId="4FED41B9" w14:textId="77777777" w:rsidTr="00E73BB7">
        <w:trPr>
          <w:jc w:val="center"/>
        </w:trPr>
        <w:tc>
          <w:tcPr>
            <w:tcW w:w="680" w:type="dxa"/>
            <w:tcBorders>
              <w:top w:val="single" w:sz="8" w:space="0" w:color="auto"/>
            </w:tcBorders>
            <w:vAlign w:val="center"/>
          </w:tcPr>
          <w:p w14:paraId="166023EF" w14:textId="5EDDFEDC" w:rsidR="00A95A82" w:rsidRPr="00F44EEE" w:rsidRDefault="00A95A82" w:rsidP="00E73BB7">
            <w:pPr>
              <w:spacing w:line="300" w:lineRule="auto"/>
              <w:ind w:firstLineChars="0" w:firstLine="0"/>
              <w:jc w:val="center"/>
              <w:rPr>
                <w:szCs w:val="24"/>
              </w:rPr>
            </w:pPr>
            <w:r w:rsidRPr="00F44EEE">
              <w:rPr>
                <w:rFonts w:hint="eastAsia"/>
                <w:i/>
                <w:iCs/>
                <w:sz w:val="21"/>
                <w:szCs w:val="21"/>
              </w:rPr>
              <w:t>H</w:t>
            </w:r>
          </w:p>
        </w:tc>
        <w:tc>
          <w:tcPr>
            <w:tcW w:w="1214" w:type="dxa"/>
            <w:tcBorders>
              <w:top w:val="single" w:sz="8" w:space="0" w:color="auto"/>
            </w:tcBorders>
            <w:vAlign w:val="center"/>
          </w:tcPr>
          <w:p w14:paraId="014F3383" w14:textId="77777777" w:rsidR="00A95A82" w:rsidRPr="00F44EEE" w:rsidRDefault="00A95A82" w:rsidP="008525B4">
            <w:pPr>
              <w:spacing w:line="300" w:lineRule="auto"/>
              <w:ind w:firstLineChars="0" w:firstLine="0"/>
              <w:jc w:val="center"/>
              <w:rPr>
                <w:sz w:val="21"/>
                <w:szCs w:val="21"/>
              </w:rPr>
            </w:pPr>
            <w:r w:rsidRPr="00F44EEE">
              <w:rPr>
                <w:rFonts w:hint="eastAsia"/>
                <w:sz w:val="21"/>
                <w:szCs w:val="21"/>
              </w:rPr>
              <w:t>0</w:t>
            </w:r>
            <w:r w:rsidRPr="00F44EEE">
              <w:rPr>
                <w:sz w:val="21"/>
                <w:szCs w:val="21"/>
              </w:rPr>
              <w:t>.39%</w:t>
            </w:r>
          </w:p>
        </w:tc>
        <w:tc>
          <w:tcPr>
            <w:tcW w:w="1215" w:type="dxa"/>
            <w:tcBorders>
              <w:top w:val="single" w:sz="8" w:space="0" w:color="auto"/>
            </w:tcBorders>
            <w:vAlign w:val="center"/>
          </w:tcPr>
          <w:p w14:paraId="5677D818" w14:textId="77777777" w:rsidR="00A95A82" w:rsidRPr="00F44EEE" w:rsidRDefault="00A95A82" w:rsidP="008525B4">
            <w:pPr>
              <w:spacing w:line="300" w:lineRule="auto"/>
              <w:ind w:firstLineChars="0" w:firstLine="0"/>
              <w:jc w:val="center"/>
              <w:rPr>
                <w:sz w:val="21"/>
                <w:szCs w:val="21"/>
              </w:rPr>
            </w:pPr>
            <w:r w:rsidRPr="00F44EEE">
              <w:rPr>
                <w:rFonts w:hint="eastAsia"/>
                <w:sz w:val="21"/>
                <w:szCs w:val="21"/>
              </w:rPr>
              <w:t>0</w:t>
            </w:r>
            <w:r w:rsidRPr="00F44EEE">
              <w:rPr>
                <w:sz w:val="21"/>
                <w:szCs w:val="21"/>
              </w:rPr>
              <w:t>.71%</w:t>
            </w:r>
          </w:p>
        </w:tc>
        <w:tc>
          <w:tcPr>
            <w:tcW w:w="1215" w:type="dxa"/>
            <w:tcBorders>
              <w:top w:val="single" w:sz="8" w:space="0" w:color="auto"/>
            </w:tcBorders>
            <w:vAlign w:val="center"/>
          </w:tcPr>
          <w:p w14:paraId="4EA9F0B4" w14:textId="77777777" w:rsidR="00A95A82" w:rsidRPr="00F44EEE" w:rsidRDefault="00A95A82" w:rsidP="008525B4">
            <w:pPr>
              <w:spacing w:line="300" w:lineRule="auto"/>
              <w:ind w:firstLineChars="0" w:firstLine="0"/>
              <w:jc w:val="center"/>
              <w:rPr>
                <w:sz w:val="21"/>
                <w:szCs w:val="21"/>
              </w:rPr>
            </w:pPr>
            <w:r w:rsidRPr="00F44EEE">
              <w:rPr>
                <w:rFonts w:hint="eastAsia"/>
                <w:sz w:val="21"/>
                <w:szCs w:val="21"/>
              </w:rPr>
              <w:t>0</w:t>
            </w:r>
            <w:r w:rsidRPr="00F44EEE">
              <w:rPr>
                <w:sz w:val="21"/>
                <w:szCs w:val="21"/>
              </w:rPr>
              <w:t>.30%</w:t>
            </w:r>
          </w:p>
        </w:tc>
        <w:tc>
          <w:tcPr>
            <w:tcW w:w="283" w:type="dxa"/>
            <w:tcBorders>
              <w:top w:val="single" w:sz="8" w:space="0" w:color="auto"/>
            </w:tcBorders>
            <w:vAlign w:val="center"/>
          </w:tcPr>
          <w:p w14:paraId="6884027A" w14:textId="77777777" w:rsidR="00A95A82" w:rsidRPr="00F44EEE" w:rsidRDefault="00A95A82" w:rsidP="008525B4">
            <w:pPr>
              <w:spacing w:line="300" w:lineRule="auto"/>
              <w:ind w:firstLineChars="0" w:firstLine="0"/>
              <w:jc w:val="center"/>
              <w:rPr>
                <w:sz w:val="21"/>
                <w:szCs w:val="21"/>
              </w:rPr>
            </w:pPr>
          </w:p>
        </w:tc>
        <w:tc>
          <w:tcPr>
            <w:tcW w:w="1215" w:type="dxa"/>
            <w:tcBorders>
              <w:top w:val="single" w:sz="8" w:space="0" w:color="auto"/>
            </w:tcBorders>
            <w:vAlign w:val="center"/>
          </w:tcPr>
          <w:p w14:paraId="2B600166" w14:textId="77777777" w:rsidR="00A95A82" w:rsidRPr="00F44EEE" w:rsidRDefault="00A95A82" w:rsidP="008525B4">
            <w:pPr>
              <w:spacing w:line="300" w:lineRule="auto"/>
              <w:ind w:firstLineChars="0" w:firstLine="0"/>
              <w:jc w:val="center"/>
              <w:rPr>
                <w:sz w:val="21"/>
                <w:szCs w:val="21"/>
              </w:rPr>
            </w:pPr>
            <w:r w:rsidRPr="00F44EEE">
              <w:rPr>
                <w:rFonts w:hint="eastAsia"/>
                <w:sz w:val="21"/>
                <w:szCs w:val="21"/>
              </w:rPr>
              <w:t>0</w:t>
            </w:r>
            <w:r w:rsidRPr="00F44EEE">
              <w:rPr>
                <w:sz w:val="21"/>
                <w:szCs w:val="21"/>
              </w:rPr>
              <w:t>.93%</w:t>
            </w:r>
          </w:p>
        </w:tc>
        <w:tc>
          <w:tcPr>
            <w:tcW w:w="1215" w:type="dxa"/>
            <w:tcBorders>
              <w:top w:val="single" w:sz="8" w:space="0" w:color="auto"/>
            </w:tcBorders>
            <w:vAlign w:val="center"/>
          </w:tcPr>
          <w:p w14:paraId="1D22824B" w14:textId="77777777" w:rsidR="00A95A82" w:rsidRPr="00F44EEE" w:rsidRDefault="00A95A82" w:rsidP="008525B4">
            <w:pPr>
              <w:spacing w:line="300" w:lineRule="auto"/>
              <w:ind w:firstLineChars="0" w:firstLine="0"/>
              <w:jc w:val="center"/>
              <w:rPr>
                <w:sz w:val="21"/>
                <w:szCs w:val="21"/>
              </w:rPr>
            </w:pPr>
            <w:r w:rsidRPr="00F44EEE">
              <w:rPr>
                <w:rFonts w:hint="eastAsia"/>
                <w:sz w:val="21"/>
                <w:szCs w:val="21"/>
              </w:rPr>
              <w:t>0</w:t>
            </w:r>
            <w:r w:rsidRPr="00F44EEE">
              <w:rPr>
                <w:sz w:val="21"/>
                <w:szCs w:val="21"/>
              </w:rPr>
              <w:t>.66%</w:t>
            </w:r>
          </w:p>
        </w:tc>
      </w:tr>
      <w:tr w:rsidR="00A95A82" w:rsidRPr="00F44EEE" w14:paraId="4D982613" w14:textId="77777777" w:rsidTr="00E73BB7">
        <w:trPr>
          <w:jc w:val="center"/>
        </w:trPr>
        <w:tc>
          <w:tcPr>
            <w:tcW w:w="680" w:type="dxa"/>
            <w:vAlign w:val="center"/>
          </w:tcPr>
          <w:p w14:paraId="5BFF452D" w14:textId="05873390" w:rsidR="00A95A82" w:rsidRPr="00F44EEE" w:rsidRDefault="00A95A82" w:rsidP="00E73BB7">
            <w:pPr>
              <w:spacing w:line="300" w:lineRule="auto"/>
              <w:ind w:firstLineChars="0" w:firstLine="0"/>
              <w:jc w:val="center"/>
              <w:rPr>
                <w:szCs w:val="24"/>
              </w:rPr>
            </w:pPr>
            <w:r w:rsidRPr="00F44EEE">
              <w:rPr>
                <w:i/>
                <w:iCs/>
                <w:sz w:val="21"/>
                <w:szCs w:val="21"/>
              </w:rPr>
              <w:t>E</w:t>
            </w:r>
            <w:r w:rsidRPr="00F44EEE">
              <w:rPr>
                <w:rFonts w:hint="eastAsia"/>
                <w:i/>
                <w:iCs/>
                <w:sz w:val="21"/>
                <w:szCs w:val="21"/>
                <w:vertAlign w:val="subscript"/>
              </w:rPr>
              <w:t>x</w:t>
            </w:r>
          </w:p>
        </w:tc>
        <w:tc>
          <w:tcPr>
            <w:tcW w:w="1214" w:type="dxa"/>
            <w:vAlign w:val="center"/>
          </w:tcPr>
          <w:p w14:paraId="6B0DA98F" w14:textId="77777777" w:rsidR="00A95A82" w:rsidRPr="00F44EEE" w:rsidRDefault="00A95A82" w:rsidP="008525B4">
            <w:pPr>
              <w:spacing w:line="300" w:lineRule="auto"/>
              <w:ind w:firstLineChars="0" w:firstLine="0"/>
              <w:jc w:val="center"/>
              <w:rPr>
                <w:sz w:val="21"/>
                <w:szCs w:val="21"/>
              </w:rPr>
            </w:pPr>
            <w:r w:rsidRPr="00F44EEE">
              <w:rPr>
                <w:rFonts w:hint="eastAsia"/>
                <w:sz w:val="21"/>
                <w:szCs w:val="21"/>
              </w:rPr>
              <w:t>5</w:t>
            </w:r>
            <w:r w:rsidRPr="00F44EEE">
              <w:rPr>
                <w:sz w:val="21"/>
                <w:szCs w:val="21"/>
              </w:rPr>
              <w:t>.76%</w:t>
            </w:r>
          </w:p>
        </w:tc>
        <w:tc>
          <w:tcPr>
            <w:tcW w:w="1215" w:type="dxa"/>
            <w:vAlign w:val="center"/>
          </w:tcPr>
          <w:p w14:paraId="062EC777" w14:textId="77777777" w:rsidR="00A95A82" w:rsidRPr="00F44EEE" w:rsidRDefault="00A95A82" w:rsidP="008525B4">
            <w:pPr>
              <w:spacing w:line="300" w:lineRule="auto"/>
              <w:ind w:firstLineChars="0" w:firstLine="0"/>
              <w:jc w:val="center"/>
              <w:rPr>
                <w:sz w:val="21"/>
                <w:szCs w:val="21"/>
              </w:rPr>
            </w:pPr>
            <w:r w:rsidRPr="00F44EEE">
              <w:rPr>
                <w:rFonts w:hint="eastAsia"/>
                <w:sz w:val="21"/>
                <w:szCs w:val="21"/>
              </w:rPr>
              <w:t>6</w:t>
            </w:r>
            <w:r w:rsidRPr="00F44EEE">
              <w:rPr>
                <w:sz w:val="21"/>
                <w:szCs w:val="21"/>
              </w:rPr>
              <w:t>.95%</w:t>
            </w:r>
          </w:p>
        </w:tc>
        <w:tc>
          <w:tcPr>
            <w:tcW w:w="1215" w:type="dxa"/>
            <w:vAlign w:val="center"/>
          </w:tcPr>
          <w:p w14:paraId="4BA6E517" w14:textId="77777777" w:rsidR="00A95A82" w:rsidRPr="00F44EEE" w:rsidRDefault="00A95A82" w:rsidP="008525B4">
            <w:pPr>
              <w:spacing w:line="300" w:lineRule="auto"/>
              <w:ind w:firstLineChars="0" w:firstLine="0"/>
              <w:jc w:val="center"/>
              <w:rPr>
                <w:sz w:val="21"/>
                <w:szCs w:val="21"/>
              </w:rPr>
            </w:pPr>
            <w:r w:rsidRPr="00F44EEE">
              <w:rPr>
                <w:rFonts w:hint="eastAsia"/>
                <w:sz w:val="21"/>
                <w:szCs w:val="21"/>
              </w:rPr>
              <w:t>4</w:t>
            </w:r>
            <w:r w:rsidRPr="00F44EEE">
              <w:rPr>
                <w:sz w:val="21"/>
                <w:szCs w:val="21"/>
              </w:rPr>
              <w:t>.67%</w:t>
            </w:r>
          </w:p>
        </w:tc>
        <w:tc>
          <w:tcPr>
            <w:tcW w:w="283" w:type="dxa"/>
            <w:vAlign w:val="center"/>
          </w:tcPr>
          <w:p w14:paraId="5CAF7A6C" w14:textId="77777777" w:rsidR="00A95A82" w:rsidRPr="00F44EEE" w:rsidRDefault="00A95A82" w:rsidP="008525B4">
            <w:pPr>
              <w:spacing w:line="300" w:lineRule="auto"/>
              <w:ind w:firstLineChars="0" w:firstLine="0"/>
              <w:jc w:val="center"/>
              <w:rPr>
                <w:sz w:val="21"/>
                <w:szCs w:val="21"/>
              </w:rPr>
            </w:pPr>
          </w:p>
        </w:tc>
        <w:tc>
          <w:tcPr>
            <w:tcW w:w="1215" w:type="dxa"/>
            <w:vAlign w:val="center"/>
          </w:tcPr>
          <w:p w14:paraId="52F85D9F" w14:textId="77777777" w:rsidR="00A95A82" w:rsidRPr="00F44EEE" w:rsidRDefault="00A95A82" w:rsidP="008525B4">
            <w:pPr>
              <w:spacing w:line="300" w:lineRule="auto"/>
              <w:ind w:firstLineChars="0" w:firstLine="0"/>
              <w:jc w:val="center"/>
              <w:rPr>
                <w:sz w:val="21"/>
                <w:szCs w:val="21"/>
              </w:rPr>
            </w:pPr>
            <w:r w:rsidRPr="00F44EEE">
              <w:rPr>
                <w:rFonts w:hint="eastAsia"/>
                <w:sz w:val="21"/>
                <w:szCs w:val="21"/>
              </w:rPr>
              <w:t>1</w:t>
            </w:r>
            <w:r w:rsidRPr="00F44EEE">
              <w:rPr>
                <w:sz w:val="21"/>
                <w:szCs w:val="21"/>
              </w:rPr>
              <w:t>8.96%</w:t>
            </w:r>
          </w:p>
        </w:tc>
        <w:tc>
          <w:tcPr>
            <w:tcW w:w="1215" w:type="dxa"/>
            <w:vAlign w:val="center"/>
          </w:tcPr>
          <w:p w14:paraId="1D2C752E" w14:textId="77777777" w:rsidR="00A95A82" w:rsidRPr="00F44EEE" w:rsidRDefault="00A95A82" w:rsidP="008525B4">
            <w:pPr>
              <w:spacing w:line="300" w:lineRule="auto"/>
              <w:ind w:firstLineChars="0" w:firstLine="0"/>
              <w:jc w:val="center"/>
              <w:rPr>
                <w:sz w:val="21"/>
                <w:szCs w:val="21"/>
              </w:rPr>
            </w:pPr>
            <w:r w:rsidRPr="00F44EEE">
              <w:rPr>
                <w:sz w:val="21"/>
                <w:szCs w:val="21"/>
              </w:rPr>
              <w:t>11.61%</w:t>
            </w:r>
          </w:p>
        </w:tc>
      </w:tr>
      <w:tr w:rsidR="00A95A82" w:rsidRPr="00F44EEE" w14:paraId="000D80D8" w14:textId="77777777" w:rsidTr="00E73BB7">
        <w:trPr>
          <w:jc w:val="center"/>
        </w:trPr>
        <w:tc>
          <w:tcPr>
            <w:tcW w:w="680" w:type="dxa"/>
            <w:tcBorders>
              <w:bottom w:val="single" w:sz="18" w:space="0" w:color="auto"/>
            </w:tcBorders>
            <w:vAlign w:val="center"/>
          </w:tcPr>
          <w:p w14:paraId="60F981DD" w14:textId="2ED1D588" w:rsidR="00A95A82" w:rsidRPr="00F44EEE" w:rsidRDefault="00A95A82" w:rsidP="00E73BB7">
            <w:pPr>
              <w:spacing w:line="300" w:lineRule="auto"/>
              <w:ind w:firstLineChars="0" w:firstLine="0"/>
              <w:jc w:val="center"/>
              <w:rPr>
                <w:szCs w:val="24"/>
              </w:rPr>
            </w:pPr>
            <w:r w:rsidRPr="00F44EEE">
              <w:rPr>
                <w:i/>
                <w:iCs/>
                <w:sz w:val="21"/>
                <w:szCs w:val="21"/>
              </w:rPr>
              <w:t>E</w:t>
            </w:r>
            <w:r w:rsidRPr="00F44EEE">
              <w:rPr>
                <w:rFonts w:hint="eastAsia"/>
                <w:i/>
                <w:iCs/>
                <w:sz w:val="21"/>
                <w:szCs w:val="21"/>
                <w:vertAlign w:val="subscript"/>
              </w:rPr>
              <w:t>y</w:t>
            </w:r>
          </w:p>
        </w:tc>
        <w:tc>
          <w:tcPr>
            <w:tcW w:w="1214" w:type="dxa"/>
            <w:tcBorders>
              <w:bottom w:val="single" w:sz="18" w:space="0" w:color="auto"/>
            </w:tcBorders>
            <w:vAlign w:val="center"/>
          </w:tcPr>
          <w:p w14:paraId="5EF7E8C1" w14:textId="77777777" w:rsidR="00A95A82" w:rsidRPr="00F44EEE" w:rsidRDefault="00A95A82" w:rsidP="008525B4">
            <w:pPr>
              <w:spacing w:line="300" w:lineRule="auto"/>
              <w:ind w:firstLineChars="0" w:firstLine="0"/>
              <w:jc w:val="center"/>
              <w:rPr>
                <w:sz w:val="21"/>
                <w:szCs w:val="21"/>
              </w:rPr>
            </w:pPr>
            <w:r w:rsidRPr="00F44EEE">
              <w:rPr>
                <w:rFonts w:hint="eastAsia"/>
                <w:sz w:val="21"/>
                <w:szCs w:val="21"/>
              </w:rPr>
              <w:t>6</w:t>
            </w:r>
            <w:r w:rsidRPr="00F44EEE">
              <w:rPr>
                <w:sz w:val="21"/>
                <w:szCs w:val="21"/>
              </w:rPr>
              <w:t>.60%</w:t>
            </w:r>
          </w:p>
        </w:tc>
        <w:tc>
          <w:tcPr>
            <w:tcW w:w="1215" w:type="dxa"/>
            <w:tcBorders>
              <w:bottom w:val="single" w:sz="18" w:space="0" w:color="auto"/>
            </w:tcBorders>
            <w:vAlign w:val="center"/>
          </w:tcPr>
          <w:p w14:paraId="67A91C69" w14:textId="77777777" w:rsidR="00A95A82" w:rsidRPr="00F44EEE" w:rsidRDefault="00A95A82" w:rsidP="008525B4">
            <w:pPr>
              <w:spacing w:line="300" w:lineRule="auto"/>
              <w:ind w:firstLineChars="0" w:firstLine="0"/>
              <w:jc w:val="center"/>
              <w:rPr>
                <w:sz w:val="21"/>
                <w:szCs w:val="21"/>
              </w:rPr>
            </w:pPr>
            <w:r w:rsidRPr="00F44EEE">
              <w:rPr>
                <w:rFonts w:hint="eastAsia"/>
                <w:sz w:val="21"/>
                <w:szCs w:val="21"/>
              </w:rPr>
              <w:t>1</w:t>
            </w:r>
            <w:r w:rsidRPr="00F44EEE">
              <w:rPr>
                <w:sz w:val="21"/>
                <w:szCs w:val="21"/>
              </w:rPr>
              <w:t>0.74%</w:t>
            </w:r>
          </w:p>
        </w:tc>
        <w:tc>
          <w:tcPr>
            <w:tcW w:w="1215" w:type="dxa"/>
            <w:tcBorders>
              <w:bottom w:val="single" w:sz="18" w:space="0" w:color="auto"/>
            </w:tcBorders>
            <w:vAlign w:val="center"/>
          </w:tcPr>
          <w:p w14:paraId="5DB3E25A" w14:textId="77777777" w:rsidR="00A95A82" w:rsidRPr="00F44EEE" w:rsidRDefault="00A95A82" w:rsidP="008525B4">
            <w:pPr>
              <w:spacing w:line="300" w:lineRule="auto"/>
              <w:ind w:firstLineChars="0" w:firstLine="0"/>
              <w:jc w:val="center"/>
              <w:rPr>
                <w:sz w:val="21"/>
                <w:szCs w:val="21"/>
              </w:rPr>
            </w:pPr>
            <w:r w:rsidRPr="00F44EEE">
              <w:rPr>
                <w:rFonts w:hint="eastAsia"/>
                <w:sz w:val="21"/>
                <w:szCs w:val="21"/>
              </w:rPr>
              <w:t>3</w:t>
            </w:r>
            <w:r w:rsidRPr="00F44EEE">
              <w:rPr>
                <w:sz w:val="21"/>
                <w:szCs w:val="21"/>
              </w:rPr>
              <w:t>.96%</w:t>
            </w:r>
          </w:p>
        </w:tc>
        <w:tc>
          <w:tcPr>
            <w:tcW w:w="283" w:type="dxa"/>
            <w:tcBorders>
              <w:bottom w:val="single" w:sz="18" w:space="0" w:color="auto"/>
            </w:tcBorders>
            <w:vAlign w:val="center"/>
          </w:tcPr>
          <w:p w14:paraId="58FF7A59" w14:textId="77777777" w:rsidR="00A95A82" w:rsidRPr="00F44EEE" w:rsidRDefault="00A95A82" w:rsidP="008525B4">
            <w:pPr>
              <w:spacing w:line="300" w:lineRule="auto"/>
              <w:ind w:firstLineChars="0" w:firstLine="0"/>
              <w:jc w:val="center"/>
              <w:rPr>
                <w:sz w:val="21"/>
                <w:szCs w:val="21"/>
              </w:rPr>
            </w:pPr>
          </w:p>
        </w:tc>
        <w:tc>
          <w:tcPr>
            <w:tcW w:w="1215" w:type="dxa"/>
            <w:tcBorders>
              <w:bottom w:val="single" w:sz="18" w:space="0" w:color="auto"/>
            </w:tcBorders>
            <w:vAlign w:val="center"/>
          </w:tcPr>
          <w:p w14:paraId="5C059880" w14:textId="77777777" w:rsidR="00A95A82" w:rsidRPr="00F44EEE" w:rsidRDefault="00A95A82" w:rsidP="008525B4">
            <w:pPr>
              <w:spacing w:line="300" w:lineRule="auto"/>
              <w:ind w:firstLineChars="0" w:firstLine="0"/>
              <w:jc w:val="center"/>
              <w:rPr>
                <w:sz w:val="21"/>
                <w:szCs w:val="21"/>
              </w:rPr>
            </w:pPr>
            <w:r w:rsidRPr="00F44EEE">
              <w:rPr>
                <w:rFonts w:hint="eastAsia"/>
                <w:sz w:val="21"/>
                <w:szCs w:val="21"/>
              </w:rPr>
              <w:t>1</w:t>
            </w:r>
            <w:r w:rsidRPr="00F44EEE">
              <w:rPr>
                <w:sz w:val="21"/>
                <w:szCs w:val="21"/>
              </w:rPr>
              <w:t>9.36%</w:t>
            </w:r>
          </w:p>
        </w:tc>
        <w:tc>
          <w:tcPr>
            <w:tcW w:w="1215" w:type="dxa"/>
            <w:tcBorders>
              <w:bottom w:val="single" w:sz="18" w:space="0" w:color="auto"/>
            </w:tcBorders>
            <w:vAlign w:val="center"/>
          </w:tcPr>
          <w:p w14:paraId="5DB83D1E" w14:textId="77777777" w:rsidR="00A95A82" w:rsidRPr="00F44EEE" w:rsidRDefault="00A95A82" w:rsidP="008525B4">
            <w:pPr>
              <w:spacing w:line="300" w:lineRule="auto"/>
              <w:ind w:firstLineChars="0" w:firstLine="0"/>
              <w:jc w:val="center"/>
              <w:rPr>
                <w:sz w:val="21"/>
                <w:szCs w:val="21"/>
              </w:rPr>
            </w:pPr>
            <w:r w:rsidRPr="00F44EEE">
              <w:rPr>
                <w:sz w:val="21"/>
                <w:szCs w:val="21"/>
              </w:rPr>
              <w:t>11.45%</w:t>
            </w:r>
          </w:p>
        </w:tc>
      </w:tr>
    </w:tbl>
    <w:p w14:paraId="2AEDFC95" w14:textId="01229C32" w:rsidR="00A95A82" w:rsidRDefault="00A95A82" w:rsidP="00A95A82">
      <w:pPr>
        <w:spacing w:beforeLines="50" w:before="156" w:line="300" w:lineRule="auto"/>
        <w:ind w:firstLine="480"/>
        <w:rPr>
          <w:szCs w:val="24"/>
        </w:rPr>
      </w:pPr>
      <w:r w:rsidRPr="00F44EEE">
        <w:rPr>
          <w:szCs w:val="24"/>
        </w:rPr>
        <w:t xml:space="preserve">In addition, the influence of network width and depth on the electromagnetic field prediction is also considered. Table </w:t>
      </w:r>
      <w:r w:rsidR="00574B15" w:rsidRPr="00F44EEE">
        <w:rPr>
          <w:szCs w:val="24"/>
        </w:rPr>
        <w:t>B1</w:t>
      </w:r>
      <w:r w:rsidRPr="00F44EEE">
        <w:rPr>
          <w:szCs w:val="24"/>
        </w:rPr>
        <w:t xml:space="preserve"> summarizes the </w:t>
      </w:r>
      <w:r w:rsidRPr="00F44EEE">
        <w:rPr>
          <w:rFonts w:hint="eastAsia"/>
          <w:i/>
          <w:iCs/>
          <w:szCs w:val="24"/>
        </w:rPr>
        <w:t>L</w:t>
      </w:r>
      <w:r w:rsidRPr="00F44EEE">
        <w:rPr>
          <w:i/>
          <w:iCs/>
          <w:szCs w:val="24"/>
          <w:vertAlign w:val="subscript"/>
        </w:rPr>
        <w:t>2</w:t>
      </w:r>
      <w:r w:rsidRPr="00F44EEE">
        <w:rPr>
          <w:szCs w:val="24"/>
        </w:rPr>
        <w:t xml:space="preserve"> errors of different network structures, both shallow and narrow network structures exhibit larger errors compared to the default 10 × 30 network configuration. As the network width increased from 10 to 15 layers, the prediction accuracy is improved. However, the increase in the neurons does not lead to more accurate predictions. Therefore, the 15×30 </w:t>
      </w:r>
      <w:r w:rsidRPr="00F44EEE">
        <w:rPr>
          <w:rFonts w:hint="eastAsia"/>
          <w:szCs w:val="24"/>
        </w:rPr>
        <w:t>network</w:t>
      </w:r>
      <w:r w:rsidRPr="00F44EEE">
        <w:rPr>
          <w:szCs w:val="24"/>
        </w:rPr>
        <w:t xml:space="preserve"> structure is selected as the optimal network configuration.</w:t>
      </w:r>
    </w:p>
    <w:p w14:paraId="2BBBCA15" w14:textId="3DF54D26" w:rsidR="00061353" w:rsidRPr="002B0FC0" w:rsidRDefault="00B214B0" w:rsidP="00A67F96">
      <w:pPr>
        <w:pStyle w:val="2"/>
        <w:numPr>
          <w:ilvl w:val="0"/>
          <w:numId w:val="0"/>
        </w:numPr>
        <w:spacing w:before="120" w:after="120" w:line="240" w:lineRule="auto"/>
        <w:rPr>
          <w:sz w:val="28"/>
          <w:szCs w:val="28"/>
        </w:rPr>
      </w:pPr>
      <w:bookmarkStart w:id="12" w:name="_Toc205461299"/>
      <w:bookmarkStart w:id="13" w:name="_Toc205461828"/>
      <w:r w:rsidRPr="002B0FC0">
        <w:rPr>
          <w:sz w:val="28"/>
          <w:szCs w:val="28"/>
        </w:rPr>
        <w:t>C</w:t>
      </w:r>
      <w:r w:rsidR="00061353" w:rsidRPr="002B0FC0">
        <w:rPr>
          <w:rFonts w:hint="eastAsia"/>
          <w:sz w:val="28"/>
          <w:szCs w:val="28"/>
        </w:rPr>
        <w:t>.</w:t>
      </w:r>
      <w:r w:rsidR="00061353" w:rsidRPr="002B0FC0">
        <w:rPr>
          <w:sz w:val="28"/>
          <w:szCs w:val="28"/>
        </w:rPr>
        <w:t xml:space="preserve"> </w:t>
      </w:r>
      <w:r w:rsidR="00574B15" w:rsidRPr="002B0FC0">
        <w:rPr>
          <w:sz w:val="28"/>
          <w:szCs w:val="28"/>
        </w:rPr>
        <w:t xml:space="preserve">Hyperparameter analysis of the </w:t>
      </w:r>
      <w:r w:rsidR="00C320A5" w:rsidRPr="002B0FC0">
        <w:rPr>
          <w:sz w:val="28"/>
          <w:szCs w:val="28"/>
        </w:rPr>
        <w:t>MNN</w:t>
      </w:r>
      <w:bookmarkEnd w:id="12"/>
      <w:bookmarkEnd w:id="13"/>
    </w:p>
    <w:p w14:paraId="01DE0234" w14:textId="5091330E" w:rsidR="00A95A82" w:rsidRPr="00F44EEE" w:rsidRDefault="00A95A82" w:rsidP="00A95A82">
      <w:pPr>
        <w:spacing w:beforeLines="50" w:before="156" w:line="300" w:lineRule="auto"/>
        <w:ind w:firstLine="480"/>
        <w:rPr>
          <w:szCs w:val="24"/>
        </w:rPr>
      </w:pPr>
      <w:r w:rsidRPr="00F44EEE">
        <w:rPr>
          <w:szCs w:val="24"/>
        </w:rPr>
        <w:t xml:space="preserve">For the </w:t>
      </w:r>
      <w:r w:rsidR="00C320A5" w:rsidRPr="00F44EEE">
        <w:rPr>
          <w:szCs w:val="24"/>
        </w:rPr>
        <w:t>MNN</w:t>
      </w:r>
      <w:r w:rsidRPr="00F44EEE">
        <w:rPr>
          <w:szCs w:val="24"/>
        </w:rPr>
        <w:t xml:space="preserve">, the influence of hyperparameters on the mechanical behavior prediction is also analyzed. Due to the different physical units between the energy and equilibrium equation loss terms, selecting an appropriate maximum weight </w:t>
      </w:r>
      <w:r w:rsidRPr="00F44EEE">
        <w:rPr>
          <w:rFonts w:ascii="Symbol" w:hAnsi="Symbol"/>
          <w:i/>
          <w:iCs/>
          <w:szCs w:val="24"/>
        </w:rPr>
        <w:t></w:t>
      </w:r>
      <w:r w:rsidRPr="00F44EEE">
        <w:rPr>
          <w:rFonts w:ascii="Symbol" w:hAnsi="Symbol"/>
          <w:i/>
          <w:iCs/>
          <w:szCs w:val="24"/>
        </w:rPr>
        <w:t></w:t>
      </w:r>
      <w:proofErr w:type="spellStart"/>
      <w:r w:rsidRPr="00F44EEE">
        <w:rPr>
          <w:i/>
          <w:iCs/>
          <w:szCs w:val="24"/>
          <w:vertAlign w:val="superscript"/>
        </w:rPr>
        <w:t>max</w:t>
      </w:r>
      <w:r w:rsidRPr="00F44EEE">
        <w:rPr>
          <w:i/>
          <w:iCs/>
          <w:szCs w:val="24"/>
          <w:vertAlign w:val="subscript"/>
        </w:rPr>
        <w:t>EQ</w:t>
      </w:r>
      <w:proofErr w:type="spellEnd"/>
      <w:r w:rsidRPr="00F44EEE">
        <w:rPr>
          <w:szCs w:val="24"/>
        </w:rPr>
        <w:t xml:space="preserve"> </w:t>
      </w:r>
      <w:r w:rsidRPr="00F44EEE">
        <w:rPr>
          <w:rFonts w:hint="eastAsia"/>
          <w:szCs w:val="24"/>
        </w:rPr>
        <w:t>for</w:t>
      </w:r>
      <w:r w:rsidRPr="00F44EEE">
        <w:rPr>
          <w:szCs w:val="24"/>
        </w:rPr>
        <w:t xml:space="preserve"> the equilibrium equation loss term is crucial to reduce the training bias. To determine the optimal weight, the electromagnetic force at </w:t>
      </w:r>
      <w:r w:rsidRPr="00F44EEE">
        <w:rPr>
          <w:i/>
          <w:iCs/>
          <w:szCs w:val="24"/>
        </w:rPr>
        <w:t>t</w:t>
      </w:r>
      <w:r w:rsidRPr="00F44EEE">
        <w:rPr>
          <w:szCs w:val="24"/>
        </w:rPr>
        <w:t xml:space="preserve"> = 0.03s is selected, and the displacement and stress fields predicted by </w:t>
      </w:r>
      <w:proofErr w:type="spellStart"/>
      <w:r w:rsidRPr="00F44EEE">
        <w:rPr>
          <w:szCs w:val="24"/>
        </w:rPr>
        <w:t>SeDEM</w:t>
      </w:r>
      <w:proofErr w:type="spellEnd"/>
      <w:r w:rsidRPr="00F44EEE">
        <w:rPr>
          <w:szCs w:val="24"/>
        </w:rPr>
        <w:t xml:space="preserve"> using different maximum weights are compared. The network structure consists of 10 hidden layers, with 20 neurons per layer. The activation function is selected as Tanh and the </w:t>
      </w:r>
      <w:r w:rsidRPr="00F44EEE">
        <w:rPr>
          <w:rFonts w:hint="eastAsia"/>
          <w:szCs w:val="24"/>
        </w:rPr>
        <w:t>epochs</w:t>
      </w:r>
      <w:r w:rsidRPr="00F44EEE">
        <w:rPr>
          <w:szCs w:val="24"/>
        </w:rPr>
        <w:t xml:space="preserve"> is set to 20,000. The varied learning rate </w:t>
      </w:r>
      <w:r w:rsidRPr="00F44EEE">
        <w:rPr>
          <w:rFonts w:hint="eastAsia"/>
          <w:szCs w:val="24"/>
        </w:rPr>
        <w:t>is</w:t>
      </w:r>
      <w:r w:rsidRPr="00F44EEE">
        <w:rPr>
          <w:szCs w:val="24"/>
        </w:rPr>
        <w:t xml:space="preserve"> employed (1×10</w:t>
      </w:r>
      <w:r w:rsidRPr="00F44EEE">
        <w:rPr>
          <w:szCs w:val="24"/>
          <w:vertAlign w:val="superscript"/>
        </w:rPr>
        <w:t>-4</w:t>
      </w:r>
      <w:r w:rsidRPr="00F44EEE">
        <w:rPr>
          <w:szCs w:val="24"/>
        </w:rPr>
        <w:t xml:space="preserve"> for the initial 10,000 </w:t>
      </w:r>
      <w:r w:rsidRPr="00F44EEE">
        <w:rPr>
          <w:rFonts w:hint="eastAsia"/>
          <w:szCs w:val="24"/>
        </w:rPr>
        <w:t>epochs</w:t>
      </w:r>
      <w:r w:rsidRPr="00F44EEE">
        <w:rPr>
          <w:szCs w:val="24"/>
        </w:rPr>
        <w:t>, then decreasing to 5×10</w:t>
      </w:r>
      <w:r w:rsidRPr="00F44EEE">
        <w:rPr>
          <w:szCs w:val="24"/>
          <w:vertAlign w:val="superscript"/>
        </w:rPr>
        <w:t>-5</w:t>
      </w:r>
      <w:r w:rsidRPr="00F44EEE">
        <w:rPr>
          <w:szCs w:val="24"/>
        </w:rPr>
        <w:t xml:space="preserve">). In the dynamic weight mechanism, the initial 3,000 </w:t>
      </w:r>
      <w:r w:rsidRPr="00F44EEE">
        <w:rPr>
          <w:rFonts w:hint="eastAsia"/>
          <w:szCs w:val="24"/>
        </w:rPr>
        <w:t>epoch</w:t>
      </w:r>
      <w:r w:rsidRPr="00F44EEE">
        <w:rPr>
          <w:szCs w:val="24"/>
        </w:rPr>
        <w:t>s focus exclusively on optimizing the total potential energy loss term. During the subsequent stage (3,000 to 6,000 epochs), a linearly increasing weight is applied to the equilibrium equation loss term. Additionally, 30,000 training points are randomly sampled within the domain</w:t>
      </w:r>
      <w:r w:rsidRPr="00F44EEE">
        <w:rPr>
          <w:rFonts w:hint="eastAsia"/>
          <w:szCs w:val="24"/>
        </w:rPr>
        <w:t>.</w:t>
      </w:r>
    </w:p>
    <w:p w14:paraId="3D0746C1" w14:textId="24F7F67C" w:rsidR="00A95A82" w:rsidRPr="00F44EEE" w:rsidRDefault="00444753" w:rsidP="00B31E74">
      <w:pPr>
        <w:spacing w:beforeLines="50" w:before="156"/>
        <w:ind w:firstLineChars="0" w:firstLine="0"/>
        <w:jc w:val="center"/>
        <w:rPr>
          <w:szCs w:val="24"/>
        </w:rPr>
      </w:pPr>
      <w:r w:rsidRPr="00F44EEE">
        <w:rPr>
          <w:noProof/>
          <w:szCs w:val="24"/>
        </w:rPr>
        <w:lastRenderedPageBreak/>
        <w:drawing>
          <wp:inline distT="0" distB="0" distL="0" distR="0" wp14:anchorId="34360CC5" wp14:editId="61558A2E">
            <wp:extent cx="5327650" cy="4950460"/>
            <wp:effectExtent l="0" t="0" r="6350" b="254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3.tif"/>
                    <pic:cNvPicPr/>
                  </pic:nvPicPr>
                  <pic:blipFill rotWithShape="1">
                    <a:blip r:embed="rId26"/>
                    <a:srcRect r="1340"/>
                    <a:stretch/>
                  </pic:blipFill>
                  <pic:spPr bwMode="auto">
                    <a:xfrm>
                      <a:off x="0" y="0"/>
                      <a:ext cx="5327650" cy="4950460"/>
                    </a:xfrm>
                    <a:prstGeom prst="rect">
                      <a:avLst/>
                    </a:prstGeom>
                    <a:ln>
                      <a:noFill/>
                    </a:ln>
                    <a:extLst>
                      <a:ext uri="{53640926-AAD7-44D8-BBD7-CCE9431645EC}">
                        <a14:shadowObscured xmlns:a14="http://schemas.microsoft.com/office/drawing/2010/main"/>
                      </a:ext>
                    </a:extLst>
                  </pic:spPr>
                </pic:pic>
              </a:graphicData>
            </a:graphic>
          </wp:inline>
        </w:drawing>
      </w:r>
    </w:p>
    <w:p w14:paraId="2E0EB6B1" w14:textId="66D8D8E6" w:rsidR="00A95A82" w:rsidRPr="00F44EEE" w:rsidRDefault="00A95A82" w:rsidP="00B31E74">
      <w:pPr>
        <w:spacing w:afterLines="50" w:after="156"/>
        <w:ind w:firstLineChars="0" w:firstLine="0"/>
        <w:rPr>
          <w:sz w:val="21"/>
          <w:szCs w:val="21"/>
        </w:rPr>
      </w:pPr>
      <w:r w:rsidRPr="00F44EEE">
        <w:rPr>
          <w:sz w:val="21"/>
          <w:szCs w:val="21"/>
        </w:rPr>
        <w:t xml:space="preserve">Fig. </w:t>
      </w:r>
      <w:r w:rsidR="00B214B0" w:rsidRPr="00F44EEE">
        <w:rPr>
          <w:sz w:val="21"/>
          <w:szCs w:val="21"/>
        </w:rPr>
        <w:t>C</w:t>
      </w:r>
      <w:r w:rsidR="00E73BB7" w:rsidRPr="00F44EEE">
        <w:rPr>
          <w:sz w:val="21"/>
          <w:szCs w:val="21"/>
        </w:rPr>
        <w:t>1</w:t>
      </w:r>
      <w:r w:rsidRPr="00F44EEE">
        <w:rPr>
          <w:sz w:val="21"/>
          <w:szCs w:val="21"/>
        </w:rPr>
        <w:t>. Influence of the maximum weight of the equilibrium equation loss term on the predicted displacement and stress fields</w:t>
      </w:r>
      <w:r w:rsidR="00E73BB7" w:rsidRPr="00F44EEE">
        <w:rPr>
          <w:sz w:val="21"/>
          <w:szCs w:val="21"/>
        </w:rPr>
        <w:t xml:space="preserve">. </w:t>
      </w:r>
      <w:r w:rsidR="00E73BB7" w:rsidRPr="00163E33">
        <w:rPr>
          <w:b/>
          <w:bCs/>
          <w:sz w:val="21"/>
          <w:szCs w:val="21"/>
        </w:rPr>
        <w:t>(A)</w:t>
      </w:r>
      <w:r w:rsidR="00E73BB7" w:rsidRPr="00F44EEE">
        <w:rPr>
          <w:sz w:val="21"/>
          <w:szCs w:val="21"/>
        </w:rPr>
        <w:t xml:space="preserve"> and </w:t>
      </w:r>
      <w:r w:rsidR="00E73BB7" w:rsidRPr="00163E33">
        <w:rPr>
          <w:rFonts w:hint="eastAsia"/>
          <w:b/>
          <w:bCs/>
          <w:sz w:val="21"/>
          <w:szCs w:val="21"/>
        </w:rPr>
        <w:t>(</w:t>
      </w:r>
      <w:r w:rsidR="00E73BB7" w:rsidRPr="00163E33">
        <w:rPr>
          <w:b/>
          <w:bCs/>
          <w:sz w:val="21"/>
          <w:szCs w:val="21"/>
        </w:rPr>
        <w:t>C)</w:t>
      </w:r>
      <w:r w:rsidRPr="00F44EEE">
        <w:rPr>
          <w:sz w:val="21"/>
          <w:szCs w:val="21"/>
        </w:rPr>
        <w:t xml:space="preserve"> Comparison of the predicted displacement </w:t>
      </w:r>
      <w:r w:rsidRPr="00F44EEE">
        <w:rPr>
          <w:i/>
          <w:iCs/>
          <w:sz w:val="21"/>
          <w:szCs w:val="21"/>
        </w:rPr>
        <w:t>u</w:t>
      </w:r>
      <w:r w:rsidRPr="00F44EEE">
        <w:rPr>
          <w:sz w:val="21"/>
          <w:szCs w:val="21"/>
        </w:rPr>
        <w:t xml:space="preserve"> </w:t>
      </w:r>
      <w:r w:rsidRPr="00F44EEE">
        <w:rPr>
          <w:rFonts w:hint="eastAsia"/>
          <w:sz w:val="21"/>
          <w:szCs w:val="21"/>
        </w:rPr>
        <w:t>and</w:t>
      </w:r>
      <w:r w:rsidRPr="00F44EEE">
        <w:rPr>
          <w:sz w:val="21"/>
          <w:szCs w:val="21"/>
        </w:rPr>
        <w:t xml:space="preserve"> stress </w:t>
      </w:r>
      <w:r w:rsidRPr="00F44EEE">
        <w:rPr>
          <w:rFonts w:ascii="Symbol" w:hAnsi="Symbol"/>
          <w:i/>
          <w:iCs/>
          <w:sz w:val="21"/>
          <w:szCs w:val="21"/>
        </w:rPr>
        <w:t></w:t>
      </w:r>
      <w:r w:rsidRPr="00F44EEE">
        <w:rPr>
          <w:rFonts w:hint="eastAsia"/>
          <w:i/>
          <w:iCs/>
          <w:sz w:val="21"/>
          <w:szCs w:val="21"/>
          <w:vertAlign w:val="subscript"/>
        </w:rPr>
        <w:t>y</w:t>
      </w:r>
      <w:r w:rsidRPr="00F44EEE">
        <w:rPr>
          <w:sz w:val="21"/>
          <w:szCs w:val="21"/>
        </w:rPr>
        <w:t xml:space="preserve"> </w:t>
      </w:r>
      <w:r w:rsidRPr="00F44EEE">
        <w:rPr>
          <w:rFonts w:hint="eastAsia"/>
          <w:sz w:val="21"/>
          <w:szCs w:val="21"/>
        </w:rPr>
        <w:t>using</w:t>
      </w:r>
      <w:r w:rsidRPr="00F44EEE">
        <w:rPr>
          <w:sz w:val="21"/>
          <w:szCs w:val="21"/>
        </w:rPr>
        <w:t xml:space="preserve"> different maximum weights with the FEM results</w:t>
      </w:r>
      <w:r w:rsidRPr="00F44EEE">
        <w:rPr>
          <w:rFonts w:hint="eastAsia"/>
          <w:sz w:val="21"/>
          <w:szCs w:val="21"/>
        </w:rPr>
        <w:t>.</w:t>
      </w:r>
      <w:r w:rsidRPr="00F44EEE">
        <w:rPr>
          <w:sz w:val="21"/>
          <w:szCs w:val="21"/>
        </w:rPr>
        <w:t xml:space="preserve"> </w:t>
      </w:r>
      <w:r w:rsidR="00E73BB7" w:rsidRPr="00163E33">
        <w:rPr>
          <w:b/>
          <w:bCs/>
          <w:sz w:val="21"/>
          <w:szCs w:val="21"/>
        </w:rPr>
        <w:t>(B)</w:t>
      </w:r>
      <w:r w:rsidR="00E73BB7" w:rsidRPr="00F44EEE">
        <w:rPr>
          <w:sz w:val="21"/>
          <w:szCs w:val="21"/>
        </w:rPr>
        <w:t xml:space="preserve"> and </w:t>
      </w:r>
      <w:r w:rsidR="00E73BB7" w:rsidRPr="00163E33">
        <w:rPr>
          <w:rFonts w:hint="eastAsia"/>
          <w:b/>
          <w:bCs/>
          <w:sz w:val="21"/>
          <w:szCs w:val="21"/>
        </w:rPr>
        <w:t>(</w:t>
      </w:r>
      <w:r w:rsidR="00E73BB7" w:rsidRPr="00163E33">
        <w:rPr>
          <w:b/>
          <w:bCs/>
          <w:sz w:val="21"/>
          <w:szCs w:val="21"/>
        </w:rPr>
        <w:t>D)</w:t>
      </w:r>
      <w:r w:rsidR="00E73BB7" w:rsidRPr="00F44EEE">
        <w:rPr>
          <w:sz w:val="21"/>
          <w:szCs w:val="21"/>
        </w:rPr>
        <w:t xml:space="preserve"> </w:t>
      </w:r>
      <w:r w:rsidRPr="00F44EEE">
        <w:rPr>
          <w:sz w:val="21"/>
          <w:szCs w:val="21"/>
        </w:rPr>
        <w:t xml:space="preserve">Comparison of the predicted displacement </w:t>
      </w:r>
      <w:r w:rsidRPr="00F44EEE">
        <w:rPr>
          <w:i/>
          <w:iCs/>
          <w:sz w:val="21"/>
          <w:szCs w:val="21"/>
        </w:rPr>
        <w:t>u</w:t>
      </w:r>
      <w:r w:rsidRPr="00F44EEE">
        <w:rPr>
          <w:sz w:val="21"/>
          <w:szCs w:val="21"/>
        </w:rPr>
        <w:t xml:space="preserve"> and stress </w:t>
      </w:r>
      <w:r w:rsidRPr="00F44EEE">
        <w:rPr>
          <w:rFonts w:ascii="Symbol" w:hAnsi="Symbol"/>
          <w:i/>
          <w:iCs/>
          <w:sz w:val="21"/>
          <w:szCs w:val="21"/>
        </w:rPr>
        <w:t></w:t>
      </w:r>
      <w:r w:rsidRPr="00F44EEE">
        <w:rPr>
          <w:rFonts w:hint="eastAsia"/>
          <w:i/>
          <w:iCs/>
          <w:sz w:val="21"/>
          <w:szCs w:val="21"/>
          <w:vertAlign w:val="subscript"/>
        </w:rPr>
        <w:t>y</w:t>
      </w:r>
      <w:r w:rsidRPr="00F44EEE">
        <w:rPr>
          <w:sz w:val="21"/>
          <w:szCs w:val="21"/>
        </w:rPr>
        <w:t xml:space="preserve"> </w:t>
      </w:r>
      <w:r w:rsidRPr="00F44EEE">
        <w:rPr>
          <w:rFonts w:hint="eastAsia"/>
          <w:sz w:val="21"/>
          <w:szCs w:val="21"/>
        </w:rPr>
        <w:t>with</w:t>
      </w:r>
      <w:r w:rsidRPr="00F44EEE">
        <w:rPr>
          <w:sz w:val="21"/>
          <w:szCs w:val="21"/>
        </w:rPr>
        <w:t xml:space="preserve"> </w:t>
      </w:r>
      <w:r w:rsidRPr="00F44EEE">
        <w:rPr>
          <w:rFonts w:hint="eastAsia"/>
          <w:sz w:val="21"/>
          <w:szCs w:val="21"/>
        </w:rPr>
        <w:t>the</w:t>
      </w:r>
      <w:r w:rsidRPr="00F44EEE">
        <w:rPr>
          <w:sz w:val="21"/>
          <w:szCs w:val="21"/>
        </w:rPr>
        <w:t xml:space="preserve"> FEM results along the center line.</w:t>
      </w:r>
    </w:p>
    <w:p w14:paraId="4DD8020F" w14:textId="72D3CDE4" w:rsidR="00A95A82" w:rsidRPr="00F44EEE" w:rsidRDefault="00A95A82" w:rsidP="00C2134E">
      <w:pPr>
        <w:spacing w:line="300" w:lineRule="auto"/>
        <w:ind w:firstLine="480"/>
        <w:rPr>
          <w:rFonts w:hint="eastAsia"/>
        </w:rPr>
      </w:pPr>
      <w:r w:rsidRPr="00F44EEE">
        <w:t>Fig</w:t>
      </w:r>
      <w:r w:rsidR="00DC2CA3">
        <w:rPr>
          <w:rFonts w:hint="eastAsia"/>
        </w:rPr>
        <w:t>ure</w:t>
      </w:r>
      <w:r w:rsidRPr="00F44EEE">
        <w:t xml:space="preserve"> </w:t>
      </w:r>
      <w:r w:rsidR="00FF26E9" w:rsidRPr="00F44EEE">
        <w:t>C1A</w:t>
      </w:r>
      <w:r w:rsidRPr="00F44EEE">
        <w:t xml:space="preserve"> shows the FEM results and the </w:t>
      </w:r>
      <w:proofErr w:type="spellStart"/>
      <w:r w:rsidRPr="00F44EEE">
        <w:t>SeDEM</w:t>
      </w:r>
      <w:proofErr w:type="spellEnd"/>
      <w:r w:rsidRPr="00F44EEE">
        <w:t xml:space="preserve"> prediction</w:t>
      </w:r>
      <w:r w:rsidRPr="00F44EEE">
        <w:rPr>
          <w:rFonts w:hint="eastAsia"/>
        </w:rPr>
        <w:t>s</w:t>
      </w:r>
      <w:r w:rsidRPr="00F44EEE">
        <w:t xml:space="preserve"> for the displacement </w:t>
      </w:r>
      <w:r w:rsidRPr="00F44EEE">
        <w:rPr>
          <w:i/>
          <w:iCs/>
        </w:rPr>
        <w:t>u</w:t>
      </w:r>
      <w:r w:rsidRPr="00F44EEE">
        <w:t xml:space="preserve"> with three different weights. It is evident that the </w:t>
      </w:r>
      <w:proofErr w:type="spellStart"/>
      <w:r w:rsidRPr="00F44EEE">
        <w:t>SeDEM</w:t>
      </w:r>
      <w:proofErr w:type="spellEnd"/>
      <w:r w:rsidRPr="00F44EEE">
        <w:t xml:space="preserve"> predictions with different weights all accurately capture the distribution </w:t>
      </w:r>
      <w:r w:rsidRPr="00F44EEE">
        <w:rPr>
          <w:rFonts w:hint="eastAsia"/>
        </w:rPr>
        <w:t>of</w:t>
      </w:r>
      <w:r w:rsidRPr="00F44EEE">
        <w:t xml:space="preserve"> displacement </w:t>
      </w:r>
      <w:r w:rsidRPr="00F44EEE">
        <w:rPr>
          <w:i/>
          <w:iCs/>
        </w:rPr>
        <w:t>u</w:t>
      </w:r>
      <w:r w:rsidRPr="00F44EEE">
        <w:t xml:space="preserve">. However, slight discrepancies </w:t>
      </w:r>
      <w:r w:rsidRPr="00F44EEE">
        <w:rPr>
          <w:rFonts w:hint="eastAsia"/>
        </w:rPr>
        <w:t>between</w:t>
      </w:r>
      <w:r w:rsidRPr="00F44EEE">
        <w:t xml:space="preserve"> </w:t>
      </w:r>
      <w:r w:rsidRPr="00F44EEE">
        <w:rPr>
          <w:rFonts w:hint="eastAsia"/>
        </w:rPr>
        <w:t>the</w:t>
      </w:r>
      <w:r w:rsidRPr="00F44EEE">
        <w:t xml:space="preserve"> </w:t>
      </w:r>
      <w:r w:rsidRPr="00F44EEE">
        <w:rPr>
          <w:rFonts w:hint="eastAsia"/>
        </w:rPr>
        <w:t>predictions</w:t>
      </w:r>
      <w:r w:rsidRPr="00F44EEE">
        <w:t xml:space="preserve"> </w:t>
      </w:r>
      <w:r w:rsidRPr="00F44EEE">
        <w:rPr>
          <w:rFonts w:hint="eastAsia"/>
        </w:rPr>
        <w:t>and</w:t>
      </w:r>
      <w:r w:rsidRPr="00F44EEE">
        <w:t xml:space="preserve"> FEM </w:t>
      </w:r>
      <w:r w:rsidRPr="00F44EEE">
        <w:rPr>
          <w:rFonts w:hint="eastAsia"/>
        </w:rPr>
        <w:t>results</w:t>
      </w:r>
      <w:r w:rsidRPr="00F44EEE">
        <w:t xml:space="preserve"> are observed on the right side for</w:t>
      </w:r>
      <w:r w:rsidRPr="00F44EEE">
        <w:rPr>
          <w:rFonts w:ascii="Symbol" w:hAnsi="Symbol"/>
          <w:i/>
          <w:iCs/>
          <w:szCs w:val="24"/>
        </w:rPr>
        <w:t></w:t>
      </w:r>
      <w:r w:rsidRPr="00F44EEE">
        <w:rPr>
          <w:rFonts w:ascii="Symbol" w:hAnsi="Symbol"/>
          <w:i/>
          <w:iCs/>
          <w:szCs w:val="24"/>
        </w:rPr>
        <w:t></w:t>
      </w:r>
      <w:proofErr w:type="spellStart"/>
      <w:r w:rsidRPr="00F44EEE">
        <w:rPr>
          <w:i/>
          <w:iCs/>
          <w:szCs w:val="24"/>
          <w:vertAlign w:val="superscript"/>
        </w:rPr>
        <w:t>max</w:t>
      </w:r>
      <w:r w:rsidRPr="00F44EEE">
        <w:rPr>
          <w:i/>
          <w:iCs/>
          <w:szCs w:val="24"/>
          <w:vertAlign w:val="subscript"/>
        </w:rPr>
        <w:t>EQ</w:t>
      </w:r>
      <w:proofErr w:type="spellEnd"/>
      <w:r w:rsidRPr="00F44EEE">
        <w:t xml:space="preserve">=10 and 1000. For further quantitative analysis, the displacement results along the center </w:t>
      </w:r>
      <w:r w:rsidRPr="00F44EEE">
        <w:rPr>
          <w:rFonts w:hint="eastAsia"/>
        </w:rPr>
        <w:t>line</w:t>
      </w:r>
      <w:r w:rsidRPr="00F44EEE">
        <w:t xml:space="preserve"> are compared, as shown in Fig</w:t>
      </w:r>
      <w:r w:rsidR="00DC2CA3">
        <w:rPr>
          <w:rFonts w:hint="eastAsia"/>
        </w:rPr>
        <w:t>ure</w:t>
      </w:r>
      <w:r w:rsidRPr="00F44EEE">
        <w:t xml:space="preserve"> </w:t>
      </w:r>
      <w:r w:rsidR="00FF26E9" w:rsidRPr="00F44EEE">
        <w:t>C1B</w:t>
      </w:r>
      <w:r w:rsidRPr="00F44EEE">
        <w:t>. F</w:t>
      </w:r>
      <w:r w:rsidRPr="00F44EEE">
        <w:rPr>
          <w:rFonts w:hint="eastAsia"/>
        </w:rPr>
        <w:t>or</w:t>
      </w:r>
      <w:r w:rsidRPr="00F44EEE">
        <w:t xml:space="preserve"> </w:t>
      </w:r>
      <w:r w:rsidRPr="00F44EEE">
        <w:rPr>
          <w:rFonts w:ascii="Symbol" w:hAnsi="Symbol"/>
          <w:i/>
          <w:iCs/>
          <w:szCs w:val="24"/>
        </w:rPr>
        <w:t></w:t>
      </w:r>
      <w:proofErr w:type="spellStart"/>
      <w:r w:rsidRPr="00F44EEE">
        <w:rPr>
          <w:i/>
          <w:iCs/>
          <w:szCs w:val="24"/>
          <w:vertAlign w:val="superscript"/>
        </w:rPr>
        <w:t>max</w:t>
      </w:r>
      <w:r w:rsidRPr="00F44EEE">
        <w:rPr>
          <w:i/>
          <w:iCs/>
          <w:szCs w:val="24"/>
          <w:vertAlign w:val="subscript"/>
        </w:rPr>
        <w:t>EQ</w:t>
      </w:r>
      <w:proofErr w:type="spellEnd"/>
      <w:r w:rsidRPr="00F44EEE">
        <w:t>=10 and 1000, the predicted displacements at the right boundary exhibit indeed a certain deviation from the FEM results. Next, the focus turns to the prediction performance of the stress field. Fig</w:t>
      </w:r>
      <w:r w:rsidR="00DC2CA3">
        <w:rPr>
          <w:rFonts w:hint="eastAsia"/>
        </w:rPr>
        <w:t>ure</w:t>
      </w:r>
      <w:r w:rsidRPr="00F44EEE">
        <w:t xml:space="preserve"> </w:t>
      </w:r>
      <w:r w:rsidR="00FF26E9" w:rsidRPr="00F44EEE">
        <w:t>C1C</w:t>
      </w:r>
      <w:r w:rsidRPr="00F44EEE">
        <w:t xml:space="preserve"> shows the FEM results and the prediction of the stress </w:t>
      </w:r>
      <w:r w:rsidRPr="00F44EEE">
        <w:rPr>
          <w:rFonts w:ascii="Symbol" w:hAnsi="Symbol"/>
          <w:i/>
          <w:iCs/>
          <w:szCs w:val="24"/>
        </w:rPr>
        <w:t></w:t>
      </w:r>
      <w:r w:rsidRPr="00F44EEE">
        <w:rPr>
          <w:rFonts w:hint="eastAsia"/>
          <w:i/>
          <w:iCs/>
          <w:szCs w:val="24"/>
          <w:vertAlign w:val="subscript"/>
        </w:rPr>
        <w:t>y</w:t>
      </w:r>
      <w:r w:rsidRPr="00F44EEE">
        <w:rPr>
          <w:rFonts w:hint="eastAsia"/>
        </w:rPr>
        <w:t>.</w:t>
      </w:r>
      <w:r w:rsidRPr="00F44EEE">
        <w:t xml:space="preserve"> When the weight is small (</w:t>
      </w:r>
      <w:r w:rsidRPr="00F44EEE">
        <w:rPr>
          <w:rFonts w:ascii="Symbol" w:hAnsi="Symbol"/>
          <w:i/>
          <w:iCs/>
          <w:szCs w:val="24"/>
        </w:rPr>
        <w:t></w:t>
      </w:r>
      <w:proofErr w:type="spellStart"/>
      <w:r w:rsidRPr="00F44EEE">
        <w:rPr>
          <w:i/>
          <w:iCs/>
          <w:szCs w:val="24"/>
          <w:vertAlign w:val="superscript"/>
        </w:rPr>
        <w:t>max</w:t>
      </w:r>
      <w:r w:rsidRPr="00F44EEE">
        <w:rPr>
          <w:i/>
          <w:iCs/>
          <w:szCs w:val="24"/>
          <w:vertAlign w:val="subscript"/>
        </w:rPr>
        <w:t>EQ</w:t>
      </w:r>
      <w:proofErr w:type="spellEnd"/>
      <w:r w:rsidRPr="00F44EEE">
        <w:t xml:space="preserve"> =10), insufficient optimization of the equilibrium equation loss term during </w:t>
      </w:r>
      <w:r w:rsidRPr="00F44EEE">
        <w:lastRenderedPageBreak/>
        <w:t xml:space="preserve">training leads to </w:t>
      </w:r>
      <w:r w:rsidRPr="00F44EEE">
        <w:rPr>
          <w:rFonts w:hint="eastAsia"/>
        </w:rPr>
        <w:t>the</w:t>
      </w:r>
      <w:r w:rsidRPr="00F44EEE">
        <w:t xml:space="preserve"> oscillation in the central stress concentration region. In contrast, when the weight is too large (</w:t>
      </w:r>
      <w:r w:rsidRPr="00F44EEE">
        <w:rPr>
          <w:rFonts w:ascii="Symbol" w:hAnsi="Symbol"/>
          <w:i/>
          <w:iCs/>
          <w:szCs w:val="24"/>
        </w:rPr>
        <w:t></w:t>
      </w:r>
      <w:proofErr w:type="spellStart"/>
      <w:r w:rsidRPr="00F44EEE">
        <w:rPr>
          <w:i/>
          <w:iCs/>
          <w:szCs w:val="24"/>
          <w:vertAlign w:val="superscript"/>
        </w:rPr>
        <w:t>max</w:t>
      </w:r>
      <w:r w:rsidRPr="00F44EEE">
        <w:rPr>
          <w:i/>
          <w:iCs/>
          <w:szCs w:val="24"/>
          <w:vertAlign w:val="subscript"/>
        </w:rPr>
        <w:t>EQ</w:t>
      </w:r>
      <w:proofErr w:type="spellEnd"/>
      <w:r w:rsidRPr="00F44EEE">
        <w:t xml:space="preserve"> =10), the training is overly focused on optimizing the equilibrium equation loss term, weakening the contribution of the total potential energy and consequently reducing the stress prediction accuracy at the boundary. Fig</w:t>
      </w:r>
      <w:r w:rsidR="00DC2CA3">
        <w:rPr>
          <w:rFonts w:hint="eastAsia"/>
        </w:rPr>
        <w:t>ure</w:t>
      </w:r>
      <w:r w:rsidRPr="00F44EEE">
        <w:t xml:space="preserve"> </w:t>
      </w:r>
      <w:r w:rsidR="00FF26E9" w:rsidRPr="00F44EEE">
        <w:t>C1D</w:t>
      </w:r>
      <w:r w:rsidRPr="00F44EEE">
        <w:t xml:space="preserve"> illustrates the predicted stress </w:t>
      </w:r>
      <w:r w:rsidRPr="00F44EEE">
        <w:rPr>
          <w:rFonts w:ascii="Symbol" w:hAnsi="Symbol"/>
          <w:i/>
          <w:iCs/>
          <w:szCs w:val="24"/>
        </w:rPr>
        <w:t></w:t>
      </w:r>
      <w:r w:rsidRPr="00F44EEE">
        <w:rPr>
          <w:rFonts w:hint="eastAsia"/>
          <w:i/>
          <w:iCs/>
          <w:szCs w:val="24"/>
          <w:vertAlign w:val="subscript"/>
        </w:rPr>
        <w:t>y</w:t>
      </w:r>
      <w:r w:rsidRPr="00F44EEE">
        <w:t xml:space="preserve"> along the center </w:t>
      </w:r>
      <w:r w:rsidRPr="00F44EEE">
        <w:rPr>
          <w:rFonts w:hint="eastAsia"/>
        </w:rPr>
        <w:t>line</w:t>
      </w:r>
      <w:r w:rsidRPr="00F44EEE">
        <w:t>, further confirming this trend. Therefore, considering both the local stress field distribution and the overall prediction accuracy, 100 is selected as the optimal maximum weight.</w:t>
      </w:r>
      <w:r w:rsidR="00C2134E">
        <w:br w:type="page"/>
      </w:r>
    </w:p>
    <w:p w14:paraId="5F10FDB6" w14:textId="2D705DA5" w:rsidR="00F00965" w:rsidRPr="00433383" w:rsidRDefault="00433383" w:rsidP="00F44EEE">
      <w:pPr>
        <w:spacing w:line="300" w:lineRule="auto"/>
        <w:ind w:firstLineChars="0" w:firstLine="0"/>
        <w:rPr>
          <w:rFonts w:eastAsia="黑体"/>
          <w:b/>
          <w:sz w:val="28"/>
          <w:szCs w:val="28"/>
        </w:rPr>
      </w:pPr>
      <w:r w:rsidRPr="00433383">
        <w:rPr>
          <w:rFonts w:eastAsia="黑体"/>
          <w:b/>
          <w:sz w:val="28"/>
          <w:szCs w:val="28"/>
        </w:rPr>
        <w:lastRenderedPageBreak/>
        <w:t>References</w:t>
      </w:r>
    </w:p>
    <w:p w14:paraId="510729B6" w14:textId="10B85589" w:rsidR="00433383" w:rsidRPr="00433383" w:rsidRDefault="00F00965" w:rsidP="00433383">
      <w:pPr>
        <w:pStyle w:val="EndNoteBibliography"/>
        <w:ind w:left="422" w:hangingChars="200" w:hanging="422"/>
      </w:pPr>
      <w:r w:rsidRPr="008008D2">
        <w:rPr>
          <w:rFonts w:eastAsia="黑体"/>
          <w:b/>
          <w:sz w:val="21"/>
          <w:szCs w:val="21"/>
        </w:rPr>
        <w:fldChar w:fldCharType="begin"/>
      </w:r>
      <w:r w:rsidRPr="008008D2">
        <w:rPr>
          <w:rFonts w:eastAsia="黑体"/>
          <w:b/>
          <w:sz w:val="21"/>
          <w:szCs w:val="21"/>
        </w:rPr>
        <w:instrText xml:space="preserve"> ADDIN EN.REFLIST </w:instrText>
      </w:r>
      <w:r w:rsidRPr="008008D2">
        <w:rPr>
          <w:rFonts w:eastAsia="黑体"/>
          <w:b/>
          <w:sz w:val="21"/>
          <w:szCs w:val="21"/>
        </w:rPr>
        <w:fldChar w:fldCharType="separate"/>
      </w:r>
      <w:r w:rsidR="00433383" w:rsidRPr="00433383">
        <w:t>1.</w:t>
      </w:r>
      <w:r w:rsidR="00433383" w:rsidRPr="00433383">
        <w:tab/>
        <w:t xml:space="preserve">Hornik K, Stinchcombe M, White H. Multilayer feedforward networks are universal approximators. </w:t>
      </w:r>
      <w:r w:rsidR="00433383" w:rsidRPr="00433383">
        <w:rPr>
          <w:i/>
        </w:rPr>
        <w:t>Neural Networks</w:t>
      </w:r>
      <w:r w:rsidR="00433383" w:rsidRPr="00433383">
        <w:t xml:space="preserve">. 1989; </w:t>
      </w:r>
      <w:r w:rsidR="00433383" w:rsidRPr="00433383">
        <w:rPr>
          <w:b/>
        </w:rPr>
        <w:t>2</w:t>
      </w:r>
      <w:r w:rsidR="00433383" w:rsidRPr="00433383">
        <w:t xml:space="preserve">(5): 359-366. doi: </w:t>
      </w:r>
      <w:hyperlink r:id="rId27" w:history="1">
        <w:r w:rsidR="00433383" w:rsidRPr="00433383">
          <w:rPr>
            <w:rStyle w:val="a3"/>
          </w:rPr>
          <w:t>https://doi.org/10.1016/0893-6080(89)90020-8</w:t>
        </w:r>
      </w:hyperlink>
    </w:p>
    <w:p w14:paraId="6AC3220D" w14:textId="3F69985E" w:rsidR="000A7A20" w:rsidRDefault="00F00965" w:rsidP="00433383">
      <w:pPr>
        <w:ind w:firstLineChars="94" w:firstLine="198"/>
        <w:rPr>
          <w:rFonts w:eastAsia="黑体"/>
          <w:b/>
          <w:szCs w:val="24"/>
        </w:rPr>
      </w:pPr>
      <w:r w:rsidRPr="008008D2">
        <w:rPr>
          <w:rFonts w:eastAsia="黑体"/>
          <w:b/>
          <w:sz w:val="21"/>
          <w:szCs w:val="21"/>
        </w:rPr>
        <w:fldChar w:fldCharType="end"/>
      </w:r>
    </w:p>
    <w:sectPr w:rsidR="000A7A20" w:rsidSect="00167532">
      <w:headerReference w:type="even" r:id="rId28"/>
      <w:headerReference w:type="default" r:id="rId29"/>
      <w:footerReference w:type="even" r:id="rId30"/>
      <w:footerReference w:type="default" r:id="rId31"/>
      <w:headerReference w:type="first" r:id="rId32"/>
      <w:footerReference w:type="first" r:id="rId33"/>
      <w:pgSz w:w="11906" w:h="16838"/>
      <w:pgMar w:top="1701" w:right="1701" w:bottom="1701"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7C4F2" w14:textId="77777777" w:rsidR="00DA0445" w:rsidRDefault="00DA0445" w:rsidP="00FF77D7">
      <w:pPr>
        <w:ind w:firstLine="480"/>
      </w:pPr>
      <w:r>
        <w:separator/>
      </w:r>
    </w:p>
  </w:endnote>
  <w:endnote w:type="continuationSeparator" w:id="0">
    <w:p w14:paraId="41F7E655" w14:textId="77777777" w:rsidR="00DA0445" w:rsidRDefault="00DA0445" w:rsidP="00FF77D7">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宋体"/>
    <w:charset w:val="86"/>
    <w:family w:val="auto"/>
    <w:pitch w:val="default"/>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Euclid Math One">
    <w:panose1 w:val="05050601010101010101"/>
    <w:charset w:val="02"/>
    <w:family w:val="roman"/>
    <w:pitch w:val="variable"/>
    <w:sig w:usb0="8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E9B76" w14:textId="77777777" w:rsidR="006207AC" w:rsidRDefault="006207AC">
    <w:pPr>
      <w:pStyle w:val="a6"/>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1518049"/>
      <w:docPartObj>
        <w:docPartGallery w:val="Page Numbers (Bottom of Page)"/>
        <w:docPartUnique/>
      </w:docPartObj>
    </w:sdtPr>
    <w:sdtContent>
      <w:sdt>
        <w:sdtPr>
          <w:id w:val="1728636285"/>
          <w:docPartObj>
            <w:docPartGallery w:val="Page Numbers (Top of Page)"/>
            <w:docPartUnique/>
          </w:docPartObj>
        </w:sdtPr>
        <w:sdtContent>
          <w:p w14:paraId="258054D2" w14:textId="65189B78" w:rsidR="006207AC" w:rsidRDefault="006207AC">
            <w:pPr>
              <w:pStyle w:val="a6"/>
              <w:ind w:firstLine="360"/>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77D5F5DE" w14:textId="77777777" w:rsidR="006207AC" w:rsidRDefault="006207AC">
    <w:pPr>
      <w:pStyle w:val="a6"/>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589D3" w14:textId="77777777" w:rsidR="006207AC" w:rsidRDefault="006207AC">
    <w:pPr>
      <w:pStyle w:val="a6"/>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2629E" w14:textId="77777777" w:rsidR="00DA0445" w:rsidRDefault="00DA0445" w:rsidP="00FF77D7">
      <w:pPr>
        <w:ind w:firstLine="480"/>
      </w:pPr>
      <w:r>
        <w:separator/>
      </w:r>
    </w:p>
  </w:footnote>
  <w:footnote w:type="continuationSeparator" w:id="0">
    <w:p w14:paraId="1F6C0BB9" w14:textId="77777777" w:rsidR="00DA0445" w:rsidRDefault="00DA0445" w:rsidP="00FF77D7">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04A17" w14:textId="77777777" w:rsidR="006207AC" w:rsidRDefault="006207AC">
    <w:pPr>
      <w:pStyle w:val="a4"/>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1ED11" w14:textId="77777777" w:rsidR="006207AC" w:rsidRDefault="006207AC">
    <w:pPr>
      <w:pStyle w:val="a4"/>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413A2" w14:textId="77777777" w:rsidR="006207AC" w:rsidRDefault="006207AC">
    <w:pPr>
      <w:pStyle w:val="a4"/>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04ECA"/>
    <w:multiLevelType w:val="hybridMultilevel"/>
    <w:tmpl w:val="BC3CD6BA"/>
    <w:lvl w:ilvl="0" w:tplc="8138B12A">
      <w:start w:val="1"/>
      <w:numFmt w:val="decimal"/>
      <w:suff w:val="space"/>
      <w:lvlText w:val="[%1]"/>
      <w:lvlJc w:val="left"/>
      <w:pPr>
        <w:ind w:left="420" w:hanging="4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AE47B0C"/>
    <w:multiLevelType w:val="multilevel"/>
    <w:tmpl w:val="401027F0"/>
    <w:lvl w:ilvl="0">
      <w:start w:val="1"/>
      <w:numFmt w:val="decimal"/>
      <w:pStyle w:val="2"/>
      <w:lvlText w:val="%1."/>
      <w:lvlJc w:val="left"/>
      <w:pPr>
        <w:ind w:left="420" w:hanging="420"/>
      </w:pPr>
      <w:rPr>
        <w:rFonts w:ascii="Times New Roman" w:hAnsi="Times New Roman" w:cs="Times New Roman" w:hint="default"/>
        <w:b/>
        <w:i w:val="0"/>
        <w:sz w:val="32"/>
        <w:szCs w:val="32"/>
      </w:rPr>
    </w:lvl>
    <w:lvl w:ilvl="1">
      <w:start w:val="1"/>
      <w:numFmt w:val="decimal"/>
      <w:pStyle w:val="3"/>
      <w:lvlText w:val="%1.%2."/>
      <w:lvlJc w:val="left"/>
      <w:pPr>
        <w:ind w:left="212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16cid:durableId="583758969">
    <w:abstractNumId w:val="1"/>
  </w:num>
  <w:num w:numId="2" w16cid:durableId="375398821">
    <w:abstractNumId w:val="0"/>
  </w:num>
  <w:num w:numId="3" w16cid:durableId="209239102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0172153">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939078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27319">
    <w:abstractNumId w:val="1"/>
  </w:num>
  <w:num w:numId="7" w16cid:durableId="1846550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ional Science Rev&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frrzea2qrvr56edaaxvdp2o9et9sax509rt&quot;&gt;我的EndNote数据库&lt;record-ids&gt;&lt;item&gt;42&lt;/item&gt;&lt;/record-ids&gt;&lt;/item&gt;&lt;/Libraries&gt;"/>
  </w:docVars>
  <w:rsids>
    <w:rsidRoot w:val="00AB7F72"/>
    <w:rsid w:val="00003D00"/>
    <w:rsid w:val="000121CE"/>
    <w:rsid w:val="000130B5"/>
    <w:rsid w:val="00013C70"/>
    <w:rsid w:val="00015AC1"/>
    <w:rsid w:val="0002110A"/>
    <w:rsid w:val="00025CFE"/>
    <w:rsid w:val="00026B1F"/>
    <w:rsid w:val="00027488"/>
    <w:rsid w:val="00030398"/>
    <w:rsid w:val="00035969"/>
    <w:rsid w:val="00036F71"/>
    <w:rsid w:val="00037571"/>
    <w:rsid w:val="00040626"/>
    <w:rsid w:val="00041DC2"/>
    <w:rsid w:val="00042B59"/>
    <w:rsid w:val="00043948"/>
    <w:rsid w:val="00046510"/>
    <w:rsid w:val="000470B4"/>
    <w:rsid w:val="00047FBD"/>
    <w:rsid w:val="00050C11"/>
    <w:rsid w:val="00053B4E"/>
    <w:rsid w:val="00054D85"/>
    <w:rsid w:val="000566AD"/>
    <w:rsid w:val="0005798F"/>
    <w:rsid w:val="00057C0B"/>
    <w:rsid w:val="00061353"/>
    <w:rsid w:val="00061A0F"/>
    <w:rsid w:val="00061D44"/>
    <w:rsid w:val="00062C55"/>
    <w:rsid w:val="00063C0F"/>
    <w:rsid w:val="0006411B"/>
    <w:rsid w:val="00065C15"/>
    <w:rsid w:val="000665A3"/>
    <w:rsid w:val="00066645"/>
    <w:rsid w:val="0007174E"/>
    <w:rsid w:val="00072213"/>
    <w:rsid w:val="00072740"/>
    <w:rsid w:val="00072EA5"/>
    <w:rsid w:val="000746F3"/>
    <w:rsid w:val="000756E9"/>
    <w:rsid w:val="000764C7"/>
    <w:rsid w:val="0008029C"/>
    <w:rsid w:val="00080D70"/>
    <w:rsid w:val="00081291"/>
    <w:rsid w:val="0008139C"/>
    <w:rsid w:val="00083BE8"/>
    <w:rsid w:val="0009120A"/>
    <w:rsid w:val="00093914"/>
    <w:rsid w:val="000945F9"/>
    <w:rsid w:val="000A09F6"/>
    <w:rsid w:val="000A19A7"/>
    <w:rsid w:val="000A1BED"/>
    <w:rsid w:val="000A228C"/>
    <w:rsid w:val="000A24DB"/>
    <w:rsid w:val="000A2A86"/>
    <w:rsid w:val="000A2DB6"/>
    <w:rsid w:val="000A2F0A"/>
    <w:rsid w:val="000A329E"/>
    <w:rsid w:val="000A3DA9"/>
    <w:rsid w:val="000A4752"/>
    <w:rsid w:val="000A55BA"/>
    <w:rsid w:val="000A6B1D"/>
    <w:rsid w:val="000A7A20"/>
    <w:rsid w:val="000B33DF"/>
    <w:rsid w:val="000B55B3"/>
    <w:rsid w:val="000B57E9"/>
    <w:rsid w:val="000B59BD"/>
    <w:rsid w:val="000C3074"/>
    <w:rsid w:val="000C33F0"/>
    <w:rsid w:val="000C54A6"/>
    <w:rsid w:val="000D0B97"/>
    <w:rsid w:val="000D1379"/>
    <w:rsid w:val="000D1B55"/>
    <w:rsid w:val="000D46B6"/>
    <w:rsid w:val="000D552F"/>
    <w:rsid w:val="000D5E26"/>
    <w:rsid w:val="000D61A6"/>
    <w:rsid w:val="000D69AD"/>
    <w:rsid w:val="000D706C"/>
    <w:rsid w:val="000E03B5"/>
    <w:rsid w:val="000E0822"/>
    <w:rsid w:val="000E345E"/>
    <w:rsid w:val="000E3A32"/>
    <w:rsid w:val="000E4CB6"/>
    <w:rsid w:val="000E71C6"/>
    <w:rsid w:val="000E73E1"/>
    <w:rsid w:val="000F002E"/>
    <w:rsid w:val="000F13D7"/>
    <w:rsid w:val="000F3008"/>
    <w:rsid w:val="000F5046"/>
    <w:rsid w:val="000F5FC7"/>
    <w:rsid w:val="001060BC"/>
    <w:rsid w:val="00106A01"/>
    <w:rsid w:val="0011088E"/>
    <w:rsid w:val="00110E01"/>
    <w:rsid w:val="00112F84"/>
    <w:rsid w:val="001155E2"/>
    <w:rsid w:val="00120D72"/>
    <w:rsid w:val="00121952"/>
    <w:rsid w:val="00121CE8"/>
    <w:rsid w:val="00122447"/>
    <w:rsid w:val="0012282C"/>
    <w:rsid w:val="00123ED3"/>
    <w:rsid w:val="00125777"/>
    <w:rsid w:val="00127B8B"/>
    <w:rsid w:val="001308CC"/>
    <w:rsid w:val="001334C8"/>
    <w:rsid w:val="00133BB8"/>
    <w:rsid w:val="00134F61"/>
    <w:rsid w:val="001355CF"/>
    <w:rsid w:val="00135967"/>
    <w:rsid w:val="00135B57"/>
    <w:rsid w:val="00137A5D"/>
    <w:rsid w:val="00142AA0"/>
    <w:rsid w:val="00142FB0"/>
    <w:rsid w:val="001430B1"/>
    <w:rsid w:val="001448C2"/>
    <w:rsid w:val="0014766B"/>
    <w:rsid w:val="00147D08"/>
    <w:rsid w:val="00152A72"/>
    <w:rsid w:val="00152E0D"/>
    <w:rsid w:val="00163CBC"/>
    <w:rsid w:val="00163E33"/>
    <w:rsid w:val="00165DE9"/>
    <w:rsid w:val="00167532"/>
    <w:rsid w:val="00174B7C"/>
    <w:rsid w:val="00175061"/>
    <w:rsid w:val="00176C1A"/>
    <w:rsid w:val="00180533"/>
    <w:rsid w:val="00180DFB"/>
    <w:rsid w:val="0018249B"/>
    <w:rsid w:val="00183BDB"/>
    <w:rsid w:val="00187EEE"/>
    <w:rsid w:val="001901E2"/>
    <w:rsid w:val="0019091C"/>
    <w:rsid w:val="001A0D71"/>
    <w:rsid w:val="001A1AA1"/>
    <w:rsid w:val="001A2346"/>
    <w:rsid w:val="001A672B"/>
    <w:rsid w:val="001B1D07"/>
    <w:rsid w:val="001B3187"/>
    <w:rsid w:val="001B4C53"/>
    <w:rsid w:val="001B5426"/>
    <w:rsid w:val="001B6A5F"/>
    <w:rsid w:val="001C31A3"/>
    <w:rsid w:val="001C3769"/>
    <w:rsid w:val="001C4703"/>
    <w:rsid w:val="001C64FF"/>
    <w:rsid w:val="001C7EA3"/>
    <w:rsid w:val="001D07C0"/>
    <w:rsid w:val="001D35C3"/>
    <w:rsid w:val="001D6005"/>
    <w:rsid w:val="001D64A5"/>
    <w:rsid w:val="001D7ACE"/>
    <w:rsid w:val="001E1D94"/>
    <w:rsid w:val="001E25BC"/>
    <w:rsid w:val="001E2D22"/>
    <w:rsid w:val="001E5209"/>
    <w:rsid w:val="001E58E8"/>
    <w:rsid w:val="001E594A"/>
    <w:rsid w:val="001F3FF8"/>
    <w:rsid w:val="001F4BBA"/>
    <w:rsid w:val="001F5070"/>
    <w:rsid w:val="00204794"/>
    <w:rsid w:val="0020493F"/>
    <w:rsid w:val="00205475"/>
    <w:rsid w:val="0020562C"/>
    <w:rsid w:val="00210771"/>
    <w:rsid w:val="002116E2"/>
    <w:rsid w:val="00211BB2"/>
    <w:rsid w:val="0021250D"/>
    <w:rsid w:val="0021388E"/>
    <w:rsid w:val="0021605F"/>
    <w:rsid w:val="00217209"/>
    <w:rsid w:val="00217818"/>
    <w:rsid w:val="00220ED9"/>
    <w:rsid w:val="002213F9"/>
    <w:rsid w:val="002218F2"/>
    <w:rsid w:val="002237C8"/>
    <w:rsid w:val="00224250"/>
    <w:rsid w:val="002265B4"/>
    <w:rsid w:val="00226809"/>
    <w:rsid w:val="0022746E"/>
    <w:rsid w:val="00231A64"/>
    <w:rsid w:val="00233A81"/>
    <w:rsid w:val="00236B93"/>
    <w:rsid w:val="00240798"/>
    <w:rsid w:val="00243991"/>
    <w:rsid w:val="00244689"/>
    <w:rsid w:val="00244B5C"/>
    <w:rsid w:val="00245F90"/>
    <w:rsid w:val="00246C78"/>
    <w:rsid w:val="00250C75"/>
    <w:rsid w:val="002511B1"/>
    <w:rsid w:val="00252FBA"/>
    <w:rsid w:val="00257A1C"/>
    <w:rsid w:val="00260194"/>
    <w:rsid w:val="00261732"/>
    <w:rsid w:val="00262903"/>
    <w:rsid w:val="00264B4D"/>
    <w:rsid w:val="00264ED2"/>
    <w:rsid w:val="00265931"/>
    <w:rsid w:val="00266185"/>
    <w:rsid w:val="00267578"/>
    <w:rsid w:val="00273378"/>
    <w:rsid w:val="00273D93"/>
    <w:rsid w:val="002755FC"/>
    <w:rsid w:val="00275DE3"/>
    <w:rsid w:val="00276077"/>
    <w:rsid w:val="00277F57"/>
    <w:rsid w:val="002816E4"/>
    <w:rsid w:val="00282CB1"/>
    <w:rsid w:val="00290316"/>
    <w:rsid w:val="00291004"/>
    <w:rsid w:val="002914B1"/>
    <w:rsid w:val="0029324B"/>
    <w:rsid w:val="00296617"/>
    <w:rsid w:val="0029711E"/>
    <w:rsid w:val="002A146E"/>
    <w:rsid w:val="002A19B6"/>
    <w:rsid w:val="002A1A96"/>
    <w:rsid w:val="002A2389"/>
    <w:rsid w:val="002A2E3C"/>
    <w:rsid w:val="002A4959"/>
    <w:rsid w:val="002A5C08"/>
    <w:rsid w:val="002B0760"/>
    <w:rsid w:val="002B0FC0"/>
    <w:rsid w:val="002B27DE"/>
    <w:rsid w:val="002B2BBA"/>
    <w:rsid w:val="002B3A89"/>
    <w:rsid w:val="002B75D9"/>
    <w:rsid w:val="002C3F50"/>
    <w:rsid w:val="002C77E2"/>
    <w:rsid w:val="002D09A9"/>
    <w:rsid w:val="002D1996"/>
    <w:rsid w:val="002D20A5"/>
    <w:rsid w:val="002D27B2"/>
    <w:rsid w:val="002D2B5F"/>
    <w:rsid w:val="002D6F24"/>
    <w:rsid w:val="002D6FD6"/>
    <w:rsid w:val="002E1903"/>
    <w:rsid w:val="002E2852"/>
    <w:rsid w:val="002E3C4C"/>
    <w:rsid w:val="002E571F"/>
    <w:rsid w:val="002E5B43"/>
    <w:rsid w:val="002E7C8C"/>
    <w:rsid w:val="002F0D33"/>
    <w:rsid w:val="002F5A22"/>
    <w:rsid w:val="00300007"/>
    <w:rsid w:val="0030109C"/>
    <w:rsid w:val="003026A6"/>
    <w:rsid w:val="00306EC3"/>
    <w:rsid w:val="0030705E"/>
    <w:rsid w:val="00307B94"/>
    <w:rsid w:val="00307C5E"/>
    <w:rsid w:val="00310815"/>
    <w:rsid w:val="00311302"/>
    <w:rsid w:val="0031145C"/>
    <w:rsid w:val="00312900"/>
    <w:rsid w:val="003129F9"/>
    <w:rsid w:val="00314DE7"/>
    <w:rsid w:val="00315606"/>
    <w:rsid w:val="0031789D"/>
    <w:rsid w:val="003200D4"/>
    <w:rsid w:val="003245D4"/>
    <w:rsid w:val="00324790"/>
    <w:rsid w:val="00324922"/>
    <w:rsid w:val="00326572"/>
    <w:rsid w:val="00327D8F"/>
    <w:rsid w:val="00330206"/>
    <w:rsid w:val="003312F4"/>
    <w:rsid w:val="00331D3D"/>
    <w:rsid w:val="0033259D"/>
    <w:rsid w:val="00334DAB"/>
    <w:rsid w:val="00337143"/>
    <w:rsid w:val="00340550"/>
    <w:rsid w:val="00344986"/>
    <w:rsid w:val="00345EEE"/>
    <w:rsid w:val="00346948"/>
    <w:rsid w:val="00351668"/>
    <w:rsid w:val="003532B8"/>
    <w:rsid w:val="00353831"/>
    <w:rsid w:val="00354E41"/>
    <w:rsid w:val="00355569"/>
    <w:rsid w:val="00360767"/>
    <w:rsid w:val="0036092D"/>
    <w:rsid w:val="00360A51"/>
    <w:rsid w:val="0036164A"/>
    <w:rsid w:val="003622DE"/>
    <w:rsid w:val="003665C8"/>
    <w:rsid w:val="00372CC2"/>
    <w:rsid w:val="00372D9A"/>
    <w:rsid w:val="00376B8C"/>
    <w:rsid w:val="00380E8B"/>
    <w:rsid w:val="0038389F"/>
    <w:rsid w:val="00384217"/>
    <w:rsid w:val="00384D1F"/>
    <w:rsid w:val="00385095"/>
    <w:rsid w:val="00387003"/>
    <w:rsid w:val="00390FA4"/>
    <w:rsid w:val="00392C2B"/>
    <w:rsid w:val="00394D1D"/>
    <w:rsid w:val="003A4CF0"/>
    <w:rsid w:val="003A4F2C"/>
    <w:rsid w:val="003A68AA"/>
    <w:rsid w:val="003B344A"/>
    <w:rsid w:val="003B3553"/>
    <w:rsid w:val="003B3600"/>
    <w:rsid w:val="003B3CD8"/>
    <w:rsid w:val="003B4B11"/>
    <w:rsid w:val="003B5B54"/>
    <w:rsid w:val="003B637C"/>
    <w:rsid w:val="003C1511"/>
    <w:rsid w:val="003C1F3B"/>
    <w:rsid w:val="003C50C8"/>
    <w:rsid w:val="003C660A"/>
    <w:rsid w:val="003C7BC5"/>
    <w:rsid w:val="003D0314"/>
    <w:rsid w:val="003D0B38"/>
    <w:rsid w:val="003D2460"/>
    <w:rsid w:val="003D45D8"/>
    <w:rsid w:val="003E06BF"/>
    <w:rsid w:val="003E1211"/>
    <w:rsid w:val="003E2800"/>
    <w:rsid w:val="003E4B06"/>
    <w:rsid w:val="003F006F"/>
    <w:rsid w:val="003F0F08"/>
    <w:rsid w:val="004031E6"/>
    <w:rsid w:val="00406194"/>
    <w:rsid w:val="00407167"/>
    <w:rsid w:val="00410497"/>
    <w:rsid w:val="0041049E"/>
    <w:rsid w:val="004110E5"/>
    <w:rsid w:val="00411B76"/>
    <w:rsid w:val="0041478F"/>
    <w:rsid w:val="004151F0"/>
    <w:rsid w:val="0041572C"/>
    <w:rsid w:val="00417423"/>
    <w:rsid w:val="004215A7"/>
    <w:rsid w:val="0042290A"/>
    <w:rsid w:val="00422FC3"/>
    <w:rsid w:val="0042334A"/>
    <w:rsid w:val="004253EE"/>
    <w:rsid w:val="004259BA"/>
    <w:rsid w:val="004266F7"/>
    <w:rsid w:val="00427035"/>
    <w:rsid w:val="00427760"/>
    <w:rsid w:val="00433383"/>
    <w:rsid w:val="00434446"/>
    <w:rsid w:val="00434457"/>
    <w:rsid w:val="0043478D"/>
    <w:rsid w:val="00434D4D"/>
    <w:rsid w:val="00435225"/>
    <w:rsid w:val="00435DF9"/>
    <w:rsid w:val="00436F29"/>
    <w:rsid w:val="004374A3"/>
    <w:rsid w:val="00437EB1"/>
    <w:rsid w:val="00442216"/>
    <w:rsid w:val="00443BCD"/>
    <w:rsid w:val="00443D75"/>
    <w:rsid w:val="00444753"/>
    <w:rsid w:val="0044533C"/>
    <w:rsid w:val="004476BC"/>
    <w:rsid w:val="00450A96"/>
    <w:rsid w:val="00453548"/>
    <w:rsid w:val="004539DE"/>
    <w:rsid w:val="00455A23"/>
    <w:rsid w:val="00455EBD"/>
    <w:rsid w:val="00460BB2"/>
    <w:rsid w:val="0046157D"/>
    <w:rsid w:val="00462900"/>
    <w:rsid w:val="00463362"/>
    <w:rsid w:val="004651DE"/>
    <w:rsid w:val="00465D32"/>
    <w:rsid w:val="00467987"/>
    <w:rsid w:val="00470C7A"/>
    <w:rsid w:val="00473916"/>
    <w:rsid w:val="004751E1"/>
    <w:rsid w:val="00477646"/>
    <w:rsid w:val="00480A98"/>
    <w:rsid w:val="004810B0"/>
    <w:rsid w:val="004815D9"/>
    <w:rsid w:val="004851E6"/>
    <w:rsid w:val="004877B7"/>
    <w:rsid w:val="004922A0"/>
    <w:rsid w:val="004927BD"/>
    <w:rsid w:val="004939AC"/>
    <w:rsid w:val="00495A49"/>
    <w:rsid w:val="00497207"/>
    <w:rsid w:val="004A2350"/>
    <w:rsid w:val="004A412A"/>
    <w:rsid w:val="004A586D"/>
    <w:rsid w:val="004A5FF0"/>
    <w:rsid w:val="004A7080"/>
    <w:rsid w:val="004A7D91"/>
    <w:rsid w:val="004B009B"/>
    <w:rsid w:val="004B1D6B"/>
    <w:rsid w:val="004B6125"/>
    <w:rsid w:val="004B6B42"/>
    <w:rsid w:val="004C0E74"/>
    <w:rsid w:val="004C2CD9"/>
    <w:rsid w:val="004C3EC9"/>
    <w:rsid w:val="004C6121"/>
    <w:rsid w:val="004C756D"/>
    <w:rsid w:val="004D3B07"/>
    <w:rsid w:val="004D4163"/>
    <w:rsid w:val="004D4612"/>
    <w:rsid w:val="004D6D06"/>
    <w:rsid w:val="004D7A3A"/>
    <w:rsid w:val="004E33B3"/>
    <w:rsid w:val="004E6F20"/>
    <w:rsid w:val="004E752D"/>
    <w:rsid w:val="004F0C82"/>
    <w:rsid w:val="004F3294"/>
    <w:rsid w:val="004F39A2"/>
    <w:rsid w:val="004F40F1"/>
    <w:rsid w:val="004F4686"/>
    <w:rsid w:val="004F6A94"/>
    <w:rsid w:val="00502247"/>
    <w:rsid w:val="00504981"/>
    <w:rsid w:val="00505325"/>
    <w:rsid w:val="00506F5A"/>
    <w:rsid w:val="00510DE9"/>
    <w:rsid w:val="005126D5"/>
    <w:rsid w:val="00516920"/>
    <w:rsid w:val="00520589"/>
    <w:rsid w:val="005218AB"/>
    <w:rsid w:val="005246E2"/>
    <w:rsid w:val="005262B9"/>
    <w:rsid w:val="0052694E"/>
    <w:rsid w:val="005279B8"/>
    <w:rsid w:val="00527CB8"/>
    <w:rsid w:val="005327B9"/>
    <w:rsid w:val="00532822"/>
    <w:rsid w:val="005358E0"/>
    <w:rsid w:val="005424B8"/>
    <w:rsid w:val="00544812"/>
    <w:rsid w:val="00544FD2"/>
    <w:rsid w:val="00552386"/>
    <w:rsid w:val="00553E8D"/>
    <w:rsid w:val="00555D2E"/>
    <w:rsid w:val="005561CA"/>
    <w:rsid w:val="005568EC"/>
    <w:rsid w:val="00560CF3"/>
    <w:rsid w:val="00561CC4"/>
    <w:rsid w:val="00566C91"/>
    <w:rsid w:val="00570776"/>
    <w:rsid w:val="00571DB3"/>
    <w:rsid w:val="00572954"/>
    <w:rsid w:val="00574B15"/>
    <w:rsid w:val="00575B31"/>
    <w:rsid w:val="00577AC6"/>
    <w:rsid w:val="00584581"/>
    <w:rsid w:val="00584653"/>
    <w:rsid w:val="00585F69"/>
    <w:rsid w:val="005914DA"/>
    <w:rsid w:val="005948AD"/>
    <w:rsid w:val="0059605D"/>
    <w:rsid w:val="00597156"/>
    <w:rsid w:val="00597FF6"/>
    <w:rsid w:val="005A4DDE"/>
    <w:rsid w:val="005A64DC"/>
    <w:rsid w:val="005A7DDC"/>
    <w:rsid w:val="005B1C53"/>
    <w:rsid w:val="005B3171"/>
    <w:rsid w:val="005B3B1C"/>
    <w:rsid w:val="005B482F"/>
    <w:rsid w:val="005B6EAC"/>
    <w:rsid w:val="005B7567"/>
    <w:rsid w:val="005C09AF"/>
    <w:rsid w:val="005C4A58"/>
    <w:rsid w:val="005C4A66"/>
    <w:rsid w:val="005C5B44"/>
    <w:rsid w:val="005C77C6"/>
    <w:rsid w:val="005D0747"/>
    <w:rsid w:val="005D17B0"/>
    <w:rsid w:val="005D1829"/>
    <w:rsid w:val="005D24A4"/>
    <w:rsid w:val="005D2609"/>
    <w:rsid w:val="005D30B6"/>
    <w:rsid w:val="005D4A1B"/>
    <w:rsid w:val="005D5434"/>
    <w:rsid w:val="005D5F92"/>
    <w:rsid w:val="005E280B"/>
    <w:rsid w:val="005E4EA9"/>
    <w:rsid w:val="005E5B22"/>
    <w:rsid w:val="005E69E8"/>
    <w:rsid w:val="005F162F"/>
    <w:rsid w:val="005F49AE"/>
    <w:rsid w:val="005F5765"/>
    <w:rsid w:val="005F7F46"/>
    <w:rsid w:val="00601A5E"/>
    <w:rsid w:val="0060318F"/>
    <w:rsid w:val="00603471"/>
    <w:rsid w:val="00604BDB"/>
    <w:rsid w:val="00611F76"/>
    <w:rsid w:val="00614F79"/>
    <w:rsid w:val="00617221"/>
    <w:rsid w:val="006207AC"/>
    <w:rsid w:val="0062204F"/>
    <w:rsid w:val="0062335F"/>
    <w:rsid w:val="0062498F"/>
    <w:rsid w:val="006259B6"/>
    <w:rsid w:val="00627409"/>
    <w:rsid w:val="006328B7"/>
    <w:rsid w:val="0063494D"/>
    <w:rsid w:val="006371B2"/>
    <w:rsid w:val="006373B9"/>
    <w:rsid w:val="00637C5E"/>
    <w:rsid w:val="00637D8A"/>
    <w:rsid w:val="00642E9F"/>
    <w:rsid w:val="00650B83"/>
    <w:rsid w:val="006528C6"/>
    <w:rsid w:val="00652AE0"/>
    <w:rsid w:val="006564D5"/>
    <w:rsid w:val="00657B47"/>
    <w:rsid w:val="0066282F"/>
    <w:rsid w:val="00662A6B"/>
    <w:rsid w:val="00664768"/>
    <w:rsid w:val="00665E86"/>
    <w:rsid w:val="00665FFD"/>
    <w:rsid w:val="00666E3F"/>
    <w:rsid w:val="00667136"/>
    <w:rsid w:val="00670E87"/>
    <w:rsid w:val="0067497C"/>
    <w:rsid w:val="00676B5B"/>
    <w:rsid w:val="00677293"/>
    <w:rsid w:val="006817F7"/>
    <w:rsid w:val="00682678"/>
    <w:rsid w:val="00682E88"/>
    <w:rsid w:val="00685246"/>
    <w:rsid w:val="00690A9F"/>
    <w:rsid w:val="006926B1"/>
    <w:rsid w:val="00692B24"/>
    <w:rsid w:val="00695AF9"/>
    <w:rsid w:val="006978E3"/>
    <w:rsid w:val="006A3182"/>
    <w:rsid w:val="006A48E1"/>
    <w:rsid w:val="006A66C7"/>
    <w:rsid w:val="006A6FF1"/>
    <w:rsid w:val="006A72E4"/>
    <w:rsid w:val="006B0291"/>
    <w:rsid w:val="006B0821"/>
    <w:rsid w:val="006B279E"/>
    <w:rsid w:val="006B2ECC"/>
    <w:rsid w:val="006B4254"/>
    <w:rsid w:val="006B5A4B"/>
    <w:rsid w:val="006B7834"/>
    <w:rsid w:val="006C1155"/>
    <w:rsid w:val="006C39B6"/>
    <w:rsid w:val="006C505F"/>
    <w:rsid w:val="006C5BBB"/>
    <w:rsid w:val="006C6DC7"/>
    <w:rsid w:val="006C77CD"/>
    <w:rsid w:val="006D0F20"/>
    <w:rsid w:val="006D199A"/>
    <w:rsid w:val="006D46A2"/>
    <w:rsid w:val="006D4E9D"/>
    <w:rsid w:val="006D5147"/>
    <w:rsid w:val="006D532F"/>
    <w:rsid w:val="006D5D6C"/>
    <w:rsid w:val="006E0FEE"/>
    <w:rsid w:val="006E1D0C"/>
    <w:rsid w:val="006E30C7"/>
    <w:rsid w:val="006E3788"/>
    <w:rsid w:val="006E5334"/>
    <w:rsid w:val="006E6AF5"/>
    <w:rsid w:val="006F233F"/>
    <w:rsid w:val="006F573F"/>
    <w:rsid w:val="006F5A72"/>
    <w:rsid w:val="006F737D"/>
    <w:rsid w:val="00701F68"/>
    <w:rsid w:val="0070346C"/>
    <w:rsid w:val="00704CF5"/>
    <w:rsid w:val="00712F95"/>
    <w:rsid w:val="00715715"/>
    <w:rsid w:val="0072074F"/>
    <w:rsid w:val="0072306B"/>
    <w:rsid w:val="007247B2"/>
    <w:rsid w:val="007251EA"/>
    <w:rsid w:val="00725FCE"/>
    <w:rsid w:val="00726143"/>
    <w:rsid w:val="0072625F"/>
    <w:rsid w:val="007304D6"/>
    <w:rsid w:val="00732412"/>
    <w:rsid w:val="00732798"/>
    <w:rsid w:val="00733227"/>
    <w:rsid w:val="007340D5"/>
    <w:rsid w:val="00734DCF"/>
    <w:rsid w:val="00736254"/>
    <w:rsid w:val="00736573"/>
    <w:rsid w:val="00736692"/>
    <w:rsid w:val="00736B99"/>
    <w:rsid w:val="00737F7C"/>
    <w:rsid w:val="007400BB"/>
    <w:rsid w:val="00740D7E"/>
    <w:rsid w:val="00742EE3"/>
    <w:rsid w:val="00744EFA"/>
    <w:rsid w:val="007464F3"/>
    <w:rsid w:val="00750D62"/>
    <w:rsid w:val="00753280"/>
    <w:rsid w:val="00754CF2"/>
    <w:rsid w:val="00754D95"/>
    <w:rsid w:val="0075681B"/>
    <w:rsid w:val="00760D44"/>
    <w:rsid w:val="00764D45"/>
    <w:rsid w:val="00764EA1"/>
    <w:rsid w:val="0076521B"/>
    <w:rsid w:val="007705E1"/>
    <w:rsid w:val="00771F34"/>
    <w:rsid w:val="007722E0"/>
    <w:rsid w:val="00772B97"/>
    <w:rsid w:val="00772E78"/>
    <w:rsid w:val="007744F6"/>
    <w:rsid w:val="007771F2"/>
    <w:rsid w:val="0078047F"/>
    <w:rsid w:val="00782AE8"/>
    <w:rsid w:val="0078336A"/>
    <w:rsid w:val="007836D0"/>
    <w:rsid w:val="007843A6"/>
    <w:rsid w:val="00784651"/>
    <w:rsid w:val="00784B58"/>
    <w:rsid w:val="0078754C"/>
    <w:rsid w:val="00787961"/>
    <w:rsid w:val="0079091C"/>
    <w:rsid w:val="00790FF6"/>
    <w:rsid w:val="007918A4"/>
    <w:rsid w:val="0079235F"/>
    <w:rsid w:val="00797025"/>
    <w:rsid w:val="007A0BF2"/>
    <w:rsid w:val="007A2A4A"/>
    <w:rsid w:val="007A5058"/>
    <w:rsid w:val="007A6D34"/>
    <w:rsid w:val="007A6DE1"/>
    <w:rsid w:val="007B2096"/>
    <w:rsid w:val="007B27BD"/>
    <w:rsid w:val="007B2857"/>
    <w:rsid w:val="007B3CC9"/>
    <w:rsid w:val="007B4B5A"/>
    <w:rsid w:val="007B5E90"/>
    <w:rsid w:val="007B6022"/>
    <w:rsid w:val="007B768C"/>
    <w:rsid w:val="007C22B1"/>
    <w:rsid w:val="007C329E"/>
    <w:rsid w:val="007C4E77"/>
    <w:rsid w:val="007C64E0"/>
    <w:rsid w:val="007D0AFB"/>
    <w:rsid w:val="007D34DF"/>
    <w:rsid w:val="007D3FA4"/>
    <w:rsid w:val="007E03D5"/>
    <w:rsid w:val="007E1ED8"/>
    <w:rsid w:val="007E298F"/>
    <w:rsid w:val="007E2E52"/>
    <w:rsid w:val="007E3DC0"/>
    <w:rsid w:val="007E58BC"/>
    <w:rsid w:val="007E7576"/>
    <w:rsid w:val="007E7DEF"/>
    <w:rsid w:val="007F0BAB"/>
    <w:rsid w:val="007F451B"/>
    <w:rsid w:val="008008D2"/>
    <w:rsid w:val="00802870"/>
    <w:rsid w:val="00804449"/>
    <w:rsid w:val="00804E3D"/>
    <w:rsid w:val="00811AF9"/>
    <w:rsid w:val="008157B1"/>
    <w:rsid w:val="008165D6"/>
    <w:rsid w:val="00820031"/>
    <w:rsid w:val="008251CF"/>
    <w:rsid w:val="0083188B"/>
    <w:rsid w:val="0083337D"/>
    <w:rsid w:val="008347FA"/>
    <w:rsid w:val="00834BF4"/>
    <w:rsid w:val="00836DDF"/>
    <w:rsid w:val="0084019F"/>
    <w:rsid w:val="00840A0C"/>
    <w:rsid w:val="00842DAA"/>
    <w:rsid w:val="00843E86"/>
    <w:rsid w:val="00844741"/>
    <w:rsid w:val="0084507C"/>
    <w:rsid w:val="00847D0C"/>
    <w:rsid w:val="00852095"/>
    <w:rsid w:val="008525B4"/>
    <w:rsid w:val="00852F96"/>
    <w:rsid w:val="008610F3"/>
    <w:rsid w:val="00866C06"/>
    <w:rsid w:val="0086743D"/>
    <w:rsid w:val="00872853"/>
    <w:rsid w:val="0087416C"/>
    <w:rsid w:val="008904EB"/>
    <w:rsid w:val="0089092B"/>
    <w:rsid w:val="00891159"/>
    <w:rsid w:val="008919D0"/>
    <w:rsid w:val="00892097"/>
    <w:rsid w:val="008932C1"/>
    <w:rsid w:val="00893667"/>
    <w:rsid w:val="00893994"/>
    <w:rsid w:val="00894568"/>
    <w:rsid w:val="00896720"/>
    <w:rsid w:val="008972A2"/>
    <w:rsid w:val="00897BCB"/>
    <w:rsid w:val="00897F15"/>
    <w:rsid w:val="008A0B7F"/>
    <w:rsid w:val="008A2FB8"/>
    <w:rsid w:val="008A3B15"/>
    <w:rsid w:val="008A4BE9"/>
    <w:rsid w:val="008A5A48"/>
    <w:rsid w:val="008A63A2"/>
    <w:rsid w:val="008A6750"/>
    <w:rsid w:val="008A7738"/>
    <w:rsid w:val="008B1BC4"/>
    <w:rsid w:val="008B50A3"/>
    <w:rsid w:val="008B56A1"/>
    <w:rsid w:val="008B6B1A"/>
    <w:rsid w:val="008B732E"/>
    <w:rsid w:val="008C1A45"/>
    <w:rsid w:val="008C20BC"/>
    <w:rsid w:val="008C2278"/>
    <w:rsid w:val="008C292D"/>
    <w:rsid w:val="008C3701"/>
    <w:rsid w:val="008C4083"/>
    <w:rsid w:val="008C4B77"/>
    <w:rsid w:val="008C5D45"/>
    <w:rsid w:val="008D0B78"/>
    <w:rsid w:val="008D19C2"/>
    <w:rsid w:val="008D1DEC"/>
    <w:rsid w:val="008D3FF9"/>
    <w:rsid w:val="008D4E82"/>
    <w:rsid w:val="008D527C"/>
    <w:rsid w:val="008E0558"/>
    <w:rsid w:val="008E15E3"/>
    <w:rsid w:val="008E5981"/>
    <w:rsid w:val="008F2D2E"/>
    <w:rsid w:val="008F395A"/>
    <w:rsid w:val="008F50DC"/>
    <w:rsid w:val="008F77F3"/>
    <w:rsid w:val="008F7FC6"/>
    <w:rsid w:val="00902E2A"/>
    <w:rsid w:val="00902FD7"/>
    <w:rsid w:val="00903082"/>
    <w:rsid w:val="0090417E"/>
    <w:rsid w:val="00904231"/>
    <w:rsid w:val="0090429D"/>
    <w:rsid w:val="0090487D"/>
    <w:rsid w:val="009053DA"/>
    <w:rsid w:val="009058C9"/>
    <w:rsid w:val="00905C0E"/>
    <w:rsid w:val="0091178C"/>
    <w:rsid w:val="009132FF"/>
    <w:rsid w:val="00915261"/>
    <w:rsid w:val="00916440"/>
    <w:rsid w:val="00917478"/>
    <w:rsid w:val="009202A7"/>
    <w:rsid w:val="009223C2"/>
    <w:rsid w:val="009230AF"/>
    <w:rsid w:val="009242B4"/>
    <w:rsid w:val="00924391"/>
    <w:rsid w:val="009267FF"/>
    <w:rsid w:val="00930FB2"/>
    <w:rsid w:val="00931289"/>
    <w:rsid w:val="00932C5A"/>
    <w:rsid w:val="0093359A"/>
    <w:rsid w:val="009343B0"/>
    <w:rsid w:val="009347BB"/>
    <w:rsid w:val="00934F4B"/>
    <w:rsid w:val="00935485"/>
    <w:rsid w:val="00936D15"/>
    <w:rsid w:val="00937524"/>
    <w:rsid w:val="00937DB5"/>
    <w:rsid w:val="00940448"/>
    <w:rsid w:val="0094215D"/>
    <w:rsid w:val="0094714C"/>
    <w:rsid w:val="00947C0F"/>
    <w:rsid w:val="009500F6"/>
    <w:rsid w:val="00950DA5"/>
    <w:rsid w:val="009515A1"/>
    <w:rsid w:val="00951BE7"/>
    <w:rsid w:val="00952753"/>
    <w:rsid w:val="009551AE"/>
    <w:rsid w:val="00957622"/>
    <w:rsid w:val="00960AFA"/>
    <w:rsid w:val="00960F1A"/>
    <w:rsid w:val="00961CE4"/>
    <w:rsid w:val="00961CEB"/>
    <w:rsid w:val="00963432"/>
    <w:rsid w:val="00963594"/>
    <w:rsid w:val="00964209"/>
    <w:rsid w:val="009713C8"/>
    <w:rsid w:val="00971466"/>
    <w:rsid w:val="009722E7"/>
    <w:rsid w:val="00973191"/>
    <w:rsid w:val="00977752"/>
    <w:rsid w:val="00980EE1"/>
    <w:rsid w:val="009819D3"/>
    <w:rsid w:val="00982CC7"/>
    <w:rsid w:val="00985358"/>
    <w:rsid w:val="00985469"/>
    <w:rsid w:val="00986FD8"/>
    <w:rsid w:val="0099014B"/>
    <w:rsid w:val="009917E8"/>
    <w:rsid w:val="00992527"/>
    <w:rsid w:val="00993273"/>
    <w:rsid w:val="009942DC"/>
    <w:rsid w:val="00996730"/>
    <w:rsid w:val="009A201C"/>
    <w:rsid w:val="009A4E60"/>
    <w:rsid w:val="009A5A18"/>
    <w:rsid w:val="009A6A2D"/>
    <w:rsid w:val="009B0351"/>
    <w:rsid w:val="009B23E4"/>
    <w:rsid w:val="009B5D5A"/>
    <w:rsid w:val="009B6926"/>
    <w:rsid w:val="009B6BF9"/>
    <w:rsid w:val="009B7176"/>
    <w:rsid w:val="009B7181"/>
    <w:rsid w:val="009C1385"/>
    <w:rsid w:val="009C1A3F"/>
    <w:rsid w:val="009C1D37"/>
    <w:rsid w:val="009C46A1"/>
    <w:rsid w:val="009D4DF9"/>
    <w:rsid w:val="009D5C9B"/>
    <w:rsid w:val="009D6A0F"/>
    <w:rsid w:val="009D74A4"/>
    <w:rsid w:val="009E074E"/>
    <w:rsid w:val="009E084C"/>
    <w:rsid w:val="009E0B99"/>
    <w:rsid w:val="009E4133"/>
    <w:rsid w:val="009E6EFF"/>
    <w:rsid w:val="009F3141"/>
    <w:rsid w:val="009F32DE"/>
    <w:rsid w:val="009F4BDF"/>
    <w:rsid w:val="009F6C35"/>
    <w:rsid w:val="00A01253"/>
    <w:rsid w:val="00A027DB"/>
    <w:rsid w:val="00A02826"/>
    <w:rsid w:val="00A03886"/>
    <w:rsid w:val="00A06DB5"/>
    <w:rsid w:val="00A07EB5"/>
    <w:rsid w:val="00A07FF9"/>
    <w:rsid w:val="00A12501"/>
    <w:rsid w:val="00A13FEA"/>
    <w:rsid w:val="00A158FE"/>
    <w:rsid w:val="00A15E81"/>
    <w:rsid w:val="00A20558"/>
    <w:rsid w:val="00A20C50"/>
    <w:rsid w:val="00A20D7F"/>
    <w:rsid w:val="00A22DAC"/>
    <w:rsid w:val="00A2590D"/>
    <w:rsid w:val="00A30C38"/>
    <w:rsid w:val="00A32C2C"/>
    <w:rsid w:val="00A341E5"/>
    <w:rsid w:val="00A35DC6"/>
    <w:rsid w:val="00A37E01"/>
    <w:rsid w:val="00A41FCF"/>
    <w:rsid w:val="00A4215D"/>
    <w:rsid w:val="00A436B0"/>
    <w:rsid w:val="00A43CD6"/>
    <w:rsid w:val="00A44AD7"/>
    <w:rsid w:val="00A463D8"/>
    <w:rsid w:val="00A50B37"/>
    <w:rsid w:val="00A5114D"/>
    <w:rsid w:val="00A53BEC"/>
    <w:rsid w:val="00A5400D"/>
    <w:rsid w:val="00A553C3"/>
    <w:rsid w:val="00A55FD0"/>
    <w:rsid w:val="00A616B0"/>
    <w:rsid w:val="00A61DD4"/>
    <w:rsid w:val="00A62A6E"/>
    <w:rsid w:val="00A63345"/>
    <w:rsid w:val="00A645D6"/>
    <w:rsid w:val="00A64ABC"/>
    <w:rsid w:val="00A67F96"/>
    <w:rsid w:val="00A70210"/>
    <w:rsid w:val="00A71779"/>
    <w:rsid w:val="00A726E1"/>
    <w:rsid w:val="00A736B7"/>
    <w:rsid w:val="00A76709"/>
    <w:rsid w:val="00A80861"/>
    <w:rsid w:val="00A81E89"/>
    <w:rsid w:val="00A83A0A"/>
    <w:rsid w:val="00A85030"/>
    <w:rsid w:val="00A90BF5"/>
    <w:rsid w:val="00A92846"/>
    <w:rsid w:val="00A93BE1"/>
    <w:rsid w:val="00A948F0"/>
    <w:rsid w:val="00A95A82"/>
    <w:rsid w:val="00A96463"/>
    <w:rsid w:val="00A977FC"/>
    <w:rsid w:val="00A97C23"/>
    <w:rsid w:val="00AA0B93"/>
    <w:rsid w:val="00AA0E39"/>
    <w:rsid w:val="00AA299E"/>
    <w:rsid w:val="00AA3590"/>
    <w:rsid w:val="00AA60F5"/>
    <w:rsid w:val="00AA71AF"/>
    <w:rsid w:val="00AA7F86"/>
    <w:rsid w:val="00AB0CDA"/>
    <w:rsid w:val="00AB0DD9"/>
    <w:rsid w:val="00AB2A1D"/>
    <w:rsid w:val="00AB3A97"/>
    <w:rsid w:val="00AB7F72"/>
    <w:rsid w:val="00AC07CB"/>
    <w:rsid w:val="00AC0B08"/>
    <w:rsid w:val="00AC1583"/>
    <w:rsid w:val="00AC1644"/>
    <w:rsid w:val="00AC1C5F"/>
    <w:rsid w:val="00AC30AC"/>
    <w:rsid w:val="00AC42D4"/>
    <w:rsid w:val="00AC5144"/>
    <w:rsid w:val="00AC7924"/>
    <w:rsid w:val="00AD2071"/>
    <w:rsid w:val="00AD3B06"/>
    <w:rsid w:val="00AD4406"/>
    <w:rsid w:val="00AD77EB"/>
    <w:rsid w:val="00AE068A"/>
    <w:rsid w:val="00AE0F81"/>
    <w:rsid w:val="00AE1386"/>
    <w:rsid w:val="00AE5301"/>
    <w:rsid w:val="00AE5742"/>
    <w:rsid w:val="00AE5957"/>
    <w:rsid w:val="00AE6E25"/>
    <w:rsid w:val="00AE7886"/>
    <w:rsid w:val="00AF0649"/>
    <w:rsid w:val="00AF1498"/>
    <w:rsid w:val="00AF2C67"/>
    <w:rsid w:val="00AF444C"/>
    <w:rsid w:val="00AF5416"/>
    <w:rsid w:val="00B00C98"/>
    <w:rsid w:val="00B13018"/>
    <w:rsid w:val="00B13578"/>
    <w:rsid w:val="00B13CCD"/>
    <w:rsid w:val="00B15360"/>
    <w:rsid w:val="00B16110"/>
    <w:rsid w:val="00B16434"/>
    <w:rsid w:val="00B16C00"/>
    <w:rsid w:val="00B16DBF"/>
    <w:rsid w:val="00B214B0"/>
    <w:rsid w:val="00B23AE8"/>
    <w:rsid w:val="00B256E6"/>
    <w:rsid w:val="00B25820"/>
    <w:rsid w:val="00B309E6"/>
    <w:rsid w:val="00B31E74"/>
    <w:rsid w:val="00B33582"/>
    <w:rsid w:val="00B35A52"/>
    <w:rsid w:val="00B361C5"/>
    <w:rsid w:val="00B37633"/>
    <w:rsid w:val="00B438F6"/>
    <w:rsid w:val="00B44627"/>
    <w:rsid w:val="00B4464C"/>
    <w:rsid w:val="00B45227"/>
    <w:rsid w:val="00B46502"/>
    <w:rsid w:val="00B466FB"/>
    <w:rsid w:val="00B47B6B"/>
    <w:rsid w:val="00B50A0B"/>
    <w:rsid w:val="00B522A3"/>
    <w:rsid w:val="00B52C02"/>
    <w:rsid w:val="00B53A16"/>
    <w:rsid w:val="00B56EB1"/>
    <w:rsid w:val="00B57E7D"/>
    <w:rsid w:val="00B615FC"/>
    <w:rsid w:val="00B623D5"/>
    <w:rsid w:val="00B62662"/>
    <w:rsid w:val="00B71B42"/>
    <w:rsid w:val="00B72230"/>
    <w:rsid w:val="00B74E20"/>
    <w:rsid w:val="00B751B7"/>
    <w:rsid w:val="00B75303"/>
    <w:rsid w:val="00B7640A"/>
    <w:rsid w:val="00B8044B"/>
    <w:rsid w:val="00B80A3D"/>
    <w:rsid w:val="00B80AE9"/>
    <w:rsid w:val="00B810F2"/>
    <w:rsid w:val="00B83664"/>
    <w:rsid w:val="00B838A3"/>
    <w:rsid w:val="00B86808"/>
    <w:rsid w:val="00B873CD"/>
    <w:rsid w:val="00B9240D"/>
    <w:rsid w:val="00B95E88"/>
    <w:rsid w:val="00BA1A77"/>
    <w:rsid w:val="00BA48BC"/>
    <w:rsid w:val="00BA5AB5"/>
    <w:rsid w:val="00BB26E2"/>
    <w:rsid w:val="00BB341C"/>
    <w:rsid w:val="00BB3F4E"/>
    <w:rsid w:val="00BB4D48"/>
    <w:rsid w:val="00BB55B7"/>
    <w:rsid w:val="00BC739D"/>
    <w:rsid w:val="00BC7D84"/>
    <w:rsid w:val="00BC7F18"/>
    <w:rsid w:val="00BD24CC"/>
    <w:rsid w:val="00BD3E2B"/>
    <w:rsid w:val="00BD41D0"/>
    <w:rsid w:val="00BE06EA"/>
    <w:rsid w:val="00BE5557"/>
    <w:rsid w:val="00BE72A2"/>
    <w:rsid w:val="00BF1062"/>
    <w:rsid w:val="00BF2DC9"/>
    <w:rsid w:val="00BF3343"/>
    <w:rsid w:val="00BF40B1"/>
    <w:rsid w:val="00BF562D"/>
    <w:rsid w:val="00BF7CE5"/>
    <w:rsid w:val="00C004BE"/>
    <w:rsid w:val="00C00628"/>
    <w:rsid w:val="00C01851"/>
    <w:rsid w:val="00C03F1D"/>
    <w:rsid w:val="00C056ED"/>
    <w:rsid w:val="00C10644"/>
    <w:rsid w:val="00C1322D"/>
    <w:rsid w:val="00C1492B"/>
    <w:rsid w:val="00C14DC1"/>
    <w:rsid w:val="00C20B2C"/>
    <w:rsid w:val="00C2111C"/>
    <w:rsid w:val="00C2134E"/>
    <w:rsid w:val="00C25804"/>
    <w:rsid w:val="00C25D39"/>
    <w:rsid w:val="00C26D6D"/>
    <w:rsid w:val="00C26E7C"/>
    <w:rsid w:val="00C27B1C"/>
    <w:rsid w:val="00C320A5"/>
    <w:rsid w:val="00C33B5C"/>
    <w:rsid w:val="00C36DEC"/>
    <w:rsid w:val="00C401D3"/>
    <w:rsid w:val="00C40509"/>
    <w:rsid w:val="00C411F9"/>
    <w:rsid w:val="00C41F0D"/>
    <w:rsid w:val="00C444C2"/>
    <w:rsid w:val="00C47744"/>
    <w:rsid w:val="00C47C27"/>
    <w:rsid w:val="00C54366"/>
    <w:rsid w:val="00C55A81"/>
    <w:rsid w:val="00C56425"/>
    <w:rsid w:val="00C56B46"/>
    <w:rsid w:val="00C60679"/>
    <w:rsid w:val="00C61063"/>
    <w:rsid w:val="00C613E6"/>
    <w:rsid w:val="00C63592"/>
    <w:rsid w:val="00C63E84"/>
    <w:rsid w:val="00C65D2B"/>
    <w:rsid w:val="00C71E10"/>
    <w:rsid w:val="00C72BB0"/>
    <w:rsid w:val="00C733AB"/>
    <w:rsid w:val="00C747B4"/>
    <w:rsid w:val="00C747DD"/>
    <w:rsid w:val="00C75A41"/>
    <w:rsid w:val="00C76CB5"/>
    <w:rsid w:val="00C80F70"/>
    <w:rsid w:val="00C83D56"/>
    <w:rsid w:val="00C8529D"/>
    <w:rsid w:val="00C85E00"/>
    <w:rsid w:val="00C910B1"/>
    <w:rsid w:val="00C958F6"/>
    <w:rsid w:val="00CA0A54"/>
    <w:rsid w:val="00CA1F13"/>
    <w:rsid w:val="00CA2B02"/>
    <w:rsid w:val="00CA52FE"/>
    <w:rsid w:val="00CA5C13"/>
    <w:rsid w:val="00CA6281"/>
    <w:rsid w:val="00CB22F9"/>
    <w:rsid w:val="00CB2383"/>
    <w:rsid w:val="00CB24AA"/>
    <w:rsid w:val="00CB5E01"/>
    <w:rsid w:val="00CC059A"/>
    <w:rsid w:val="00CC0E11"/>
    <w:rsid w:val="00CC2332"/>
    <w:rsid w:val="00CC2EB2"/>
    <w:rsid w:val="00CC563A"/>
    <w:rsid w:val="00CD21D6"/>
    <w:rsid w:val="00CD221A"/>
    <w:rsid w:val="00CD295E"/>
    <w:rsid w:val="00CD2F42"/>
    <w:rsid w:val="00CE244E"/>
    <w:rsid w:val="00CE2F92"/>
    <w:rsid w:val="00CE4DFD"/>
    <w:rsid w:val="00CE5B7C"/>
    <w:rsid w:val="00CE5CC8"/>
    <w:rsid w:val="00CF0EEA"/>
    <w:rsid w:val="00CF2CB3"/>
    <w:rsid w:val="00CF47B9"/>
    <w:rsid w:val="00CF65D0"/>
    <w:rsid w:val="00CF709B"/>
    <w:rsid w:val="00D009B8"/>
    <w:rsid w:val="00D024FE"/>
    <w:rsid w:val="00D05852"/>
    <w:rsid w:val="00D05A92"/>
    <w:rsid w:val="00D0612E"/>
    <w:rsid w:val="00D07242"/>
    <w:rsid w:val="00D072F1"/>
    <w:rsid w:val="00D108E7"/>
    <w:rsid w:val="00D11815"/>
    <w:rsid w:val="00D17BD8"/>
    <w:rsid w:val="00D2241A"/>
    <w:rsid w:val="00D22D33"/>
    <w:rsid w:val="00D25611"/>
    <w:rsid w:val="00D30812"/>
    <w:rsid w:val="00D31844"/>
    <w:rsid w:val="00D31FC5"/>
    <w:rsid w:val="00D350EF"/>
    <w:rsid w:val="00D365BD"/>
    <w:rsid w:val="00D36C4B"/>
    <w:rsid w:val="00D37825"/>
    <w:rsid w:val="00D47894"/>
    <w:rsid w:val="00D52FA2"/>
    <w:rsid w:val="00D54419"/>
    <w:rsid w:val="00D545DD"/>
    <w:rsid w:val="00D56284"/>
    <w:rsid w:val="00D5730A"/>
    <w:rsid w:val="00D60F5C"/>
    <w:rsid w:val="00D7151A"/>
    <w:rsid w:val="00D7355C"/>
    <w:rsid w:val="00D73F9A"/>
    <w:rsid w:val="00D73FB5"/>
    <w:rsid w:val="00D75B02"/>
    <w:rsid w:val="00D76389"/>
    <w:rsid w:val="00D767DD"/>
    <w:rsid w:val="00D76D85"/>
    <w:rsid w:val="00D778FB"/>
    <w:rsid w:val="00D8029B"/>
    <w:rsid w:val="00D81182"/>
    <w:rsid w:val="00D82B61"/>
    <w:rsid w:val="00D83B48"/>
    <w:rsid w:val="00D83E60"/>
    <w:rsid w:val="00D84892"/>
    <w:rsid w:val="00D85CE2"/>
    <w:rsid w:val="00D85F5B"/>
    <w:rsid w:val="00D8656E"/>
    <w:rsid w:val="00D87AF6"/>
    <w:rsid w:val="00D92F8F"/>
    <w:rsid w:val="00D93110"/>
    <w:rsid w:val="00D95A53"/>
    <w:rsid w:val="00D95FE9"/>
    <w:rsid w:val="00D967A7"/>
    <w:rsid w:val="00DA0445"/>
    <w:rsid w:val="00DA2990"/>
    <w:rsid w:val="00DA350F"/>
    <w:rsid w:val="00DA3727"/>
    <w:rsid w:val="00DA3B1A"/>
    <w:rsid w:val="00DA3DAC"/>
    <w:rsid w:val="00DA42A5"/>
    <w:rsid w:val="00DB41C7"/>
    <w:rsid w:val="00DC1A29"/>
    <w:rsid w:val="00DC2CA3"/>
    <w:rsid w:val="00DC377F"/>
    <w:rsid w:val="00DC5A37"/>
    <w:rsid w:val="00DC5FA1"/>
    <w:rsid w:val="00DC6B7C"/>
    <w:rsid w:val="00DD0353"/>
    <w:rsid w:val="00DD1475"/>
    <w:rsid w:val="00DD233A"/>
    <w:rsid w:val="00DD61F7"/>
    <w:rsid w:val="00DE1DF9"/>
    <w:rsid w:val="00DE619C"/>
    <w:rsid w:val="00DE70FB"/>
    <w:rsid w:val="00DE7E45"/>
    <w:rsid w:val="00DF02B9"/>
    <w:rsid w:val="00DF1E6A"/>
    <w:rsid w:val="00DF3AEE"/>
    <w:rsid w:val="00DF5C20"/>
    <w:rsid w:val="00DF5EFE"/>
    <w:rsid w:val="00E008FC"/>
    <w:rsid w:val="00E020BF"/>
    <w:rsid w:val="00E02486"/>
    <w:rsid w:val="00E050D5"/>
    <w:rsid w:val="00E10C65"/>
    <w:rsid w:val="00E12249"/>
    <w:rsid w:val="00E15036"/>
    <w:rsid w:val="00E15888"/>
    <w:rsid w:val="00E1627E"/>
    <w:rsid w:val="00E16821"/>
    <w:rsid w:val="00E17F40"/>
    <w:rsid w:val="00E207E1"/>
    <w:rsid w:val="00E21F58"/>
    <w:rsid w:val="00E2433B"/>
    <w:rsid w:val="00E243C2"/>
    <w:rsid w:val="00E24711"/>
    <w:rsid w:val="00E25302"/>
    <w:rsid w:val="00E2661B"/>
    <w:rsid w:val="00E31903"/>
    <w:rsid w:val="00E32E13"/>
    <w:rsid w:val="00E35068"/>
    <w:rsid w:val="00E3532B"/>
    <w:rsid w:val="00E36A72"/>
    <w:rsid w:val="00E405A1"/>
    <w:rsid w:val="00E44CAB"/>
    <w:rsid w:val="00E47CE1"/>
    <w:rsid w:val="00E5227E"/>
    <w:rsid w:val="00E53547"/>
    <w:rsid w:val="00E54FDA"/>
    <w:rsid w:val="00E56985"/>
    <w:rsid w:val="00E6067A"/>
    <w:rsid w:val="00E608F6"/>
    <w:rsid w:val="00E63A63"/>
    <w:rsid w:val="00E63D88"/>
    <w:rsid w:val="00E63FCA"/>
    <w:rsid w:val="00E64E8B"/>
    <w:rsid w:val="00E65B47"/>
    <w:rsid w:val="00E664EF"/>
    <w:rsid w:val="00E7091C"/>
    <w:rsid w:val="00E714E1"/>
    <w:rsid w:val="00E71B8D"/>
    <w:rsid w:val="00E71F6F"/>
    <w:rsid w:val="00E73BB7"/>
    <w:rsid w:val="00E762C4"/>
    <w:rsid w:val="00E830E6"/>
    <w:rsid w:val="00E83A08"/>
    <w:rsid w:val="00E84C8F"/>
    <w:rsid w:val="00E853D1"/>
    <w:rsid w:val="00E93947"/>
    <w:rsid w:val="00E94A82"/>
    <w:rsid w:val="00E96691"/>
    <w:rsid w:val="00E96698"/>
    <w:rsid w:val="00E96EAA"/>
    <w:rsid w:val="00E96F1E"/>
    <w:rsid w:val="00EA049F"/>
    <w:rsid w:val="00EA0E4A"/>
    <w:rsid w:val="00EA24C8"/>
    <w:rsid w:val="00EA354B"/>
    <w:rsid w:val="00EA3F52"/>
    <w:rsid w:val="00EA6D3E"/>
    <w:rsid w:val="00EA7F83"/>
    <w:rsid w:val="00EB0653"/>
    <w:rsid w:val="00EB116A"/>
    <w:rsid w:val="00EB21DF"/>
    <w:rsid w:val="00EB32BC"/>
    <w:rsid w:val="00EB3624"/>
    <w:rsid w:val="00EB3723"/>
    <w:rsid w:val="00EB38F5"/>
    <w:rsid w:val="00EB3DD2"/>
    <w:rsid w:val="00EB4BE8"/>
    <w:rsid w:val="00EB5EA8"/>
    <w:rsid w:val="00EB6876"/>
    <w:rsid w:val="00EB7FE2"/>
    <w:rsid w:val="00EC2478"/>
    <w:rsid w:val="00EC406A"/>
    <w:rsid w:val="00EC4E4A"/>
    <w:rsid w:val="00EC7B29"/>
    <w:rsid w:val="00ED26C5"/>
    <w:rsid w:val="00ED4CD8"/>
    <w:rsid w:val="00ED573E"/>
    <w:rsid w:val="00EE2533"/>
    <w:rsid w:val="00EE4EF1"/>
    <w:rsid w:val="00EE79DF"/>
    <w:rsid w:val="00EF0029"/>
    <w:rsid w:val="00EF5766"/>
    <w:rsid w:val="00EF5A86"/>
    <w:rsid w:val="00EF5B54"/>
    <w:rsid w:val="00EF77C2"/>
    <w:rsid w:val="00F00965"/>
    <w:rsid w:val="00F019F6"/>
    <w:rsid w:val="00F1029A"/>
    <w:rsid w:val="00F102D7"/>
    <w:rsid w:val="00F15082"/>
    <w:rsid w:val="00F168D7"/>
    <w:rsid w:val="00F16A33"/>
    <w:rsid w:val="00F207ED"/>
    <w:rsid w:val="00F21827"/>
    <w:rsid w:val="00F27620"/>
    <w:rsid w:val="00F300FE"/>
    <w:rsid w:val="00F30A33"/>
    <w:rsid w:val="00F30FFE"/>
    <w:rsid w:val="00F322FD"/>
    <w:rsid w:val="00F3306D"/>
    <w:rsid w:val="00F33831"/>
    <w:rsid w:val="00F34B1E"/>
    <w:rsid w:val="00F35CC4"/>
    <w:rsid w:val="00F37208"/>
    <w:rsid w:val="00F4086B"/>
    <w:rsid w:val="00F41964"/>
    <w:rsid w:val="00F44EEE"/>
    <w:rsid w:val="00F46CAF"/>
    <w:rsid w:val="00F50E90"/>
    <w:rsid w:val="00F51B27"/>
    <w:rsid w:val="00F5446A"/>
    <w:rsid w:val="00F545CC"/>
    <w:rsid w:val="00F570C4"/>
    <w:rsid w:val="00F579E2"/>
    <w:rsid w:val="00F62BE5"/>
    <w:rsid w:val="00F65118"/>
    <w:rsid w:val="00F6573C"/>
    <w:rsid w:val="00F65BED"/>
    <w:rsid w:val="00F67ADE"/>
    <w:rsid w:val="00F714ED"/>
    <w:rsid w:val="00F717C3"/>
    <w:rsid w:val="00F734D7"/>
    <w:rsid w:val="00F73B68"/>
    <w:rsid w:val="00F7501A"/>
    <w:rsid w:val="00F76AE7"/>
    <w:rsid w:val="00F8037D"/>
    <w:rsid w:val="00F80535"/>
    <w:rsid w:val="00F81C95"/>
    <w:rsid w:val="00F82F5E"/>
    <w:rsid w:val="00F84FCE"/>
    <w:rsid w:val="00F85FD7"/>
    <w:rsid w:val="00F93F5D"/>
    <w:rsid w:val="00F952F6"/>
    <w:rsid w:val="00F96D71"/>
    <w:rsid w:val="00F9779B"/>
    <w:rsid w:val="00FA20EA"/>
    <w:rsid w:val="00FA32C8"/>
    <w:rsid w:val="00FA510F"/>
    <w:rsid w:val="00FA5B22"/>
    <w:rsid w:val="00FB1179"/>
    <w:rsid w:val="00FB3119"/>
    <w:rsid w:val="00FB415F"/>
    <w:rsid w:val="00FB45B4"/>
    <w:rsid w:val="00FB497A"/>
    <w:rsid w:val="00FC0009"/>
    <w:rsid w:val="00FC16D1"/>
    <w:rsid w:val="00FC1AFB"/>
    <w:rsid w:val="00FC2417"/>
    <w:rsid w:val="00FC6886"/>
    <w:rsid w:val="00FD1BDB"/>
    <w:rsid w:val="00FD5E30"/>
    <w:rsid w:val="00FD7425"/>
    <w:rsid w:val="00FE07E9"/>
    <w:rsid w:val="00FE0C19"/>
    <w:rsid w:val="00FE2A44"/>
    <w:rsid w:val="00FE332B"/>
    <w:rsid w:val="00FE37A7"/>
    <w:rsid w:val="00FF14C8"/>
    <w:rsid w:val="00FF26E9"/>
    <w:rsid w:val="00FF4F7C"/>
    <w:rsid w:val="00FF5CAB"/>
    <w:rsid w:val="00FF60C5"/>
    <w:rsid w:val="00FF77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48E860"/>
  <w15:chartTrackingRefBased/>
  <w15:docId w15:val="{3B7AC5CD-4EE2-43E4-BBD6-0212C3B9B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241A"/>
    <w:pPr>
      <w:widowControl w:val="0"/>
      <w:ind w:firstLineChars="200" w:firstLine="200"/>
      <w:jc w:val="both"/>
    </w:pPr>
    <w:rPr>
      <w:rFonts w:ascii="Times New Roman" w:eastAsia="宋体" w:hAnsi="Times New Roman" w:cs="Times New Roman"/>
      <w:sz w:val="24"/>
    </w:rPr>
  </w:style>
  <w:style w:type="paragraph" w:styleId="1">
    <w:name w:val="heading 1"/>
    <w:basedOn w:val="a"/>
    <w:next w:val="a"/>
    <w:link w:val="10"/>
    <w:uiPriority w:val="9"/>
    <w:qFormat/>
    <w:rsid w:val="00167532"/>
    <w:pPr>
      <w:keepNext/>
      <w:keepLines/>
      <w:spacing w:before="340" w:after="330" w:line="578" w:lineRule="auto"/>
      <w:ind w:firstLineChars="0" w:firstLine="0"/>
      <w:outlineLvl w:val="0"/>
    </w:pPr>
    <w:rPr>
      <w:rFonts w:asciiTheme="minorHAnsi" w:hAnsiTheme="minorHAnsi" w:cstheme="minorBidi"/>
      <w:b/>
      <w:bCs/>
      <w:kern w:val="44"/>
      <w:sz w:val="44"/>
      <w:szCs w:val="44"/>
    </w:rPr>
  </w:style>
  <w:style w:type="paragraph" w:styleId="20">
    <w:name w:val="heading 2"/>
    <w:basedOn w:val="a"/>
    <w:next w:val="a"/>
    <w:link w:val="21"/>
    <w:uiPriority w:val="9"/>
    <w:unhideWhenUsed/>
    <w:qFormat/>
    <w:rsid w:val="000A7A20"/>
    <w:pPr>
      <w:keepNext/>
      <w:keepLines/>
      <w:spacing w:before="260" w:after="260" w:line="416" w:lineRule="auto"/>
      <w:ind w:firstLineChars="0" w:firstLine="0"/>
      <w:outlineLvl w:val="1"/>
    </w:pPr>
    <w:rPr>
      <w:rFonts w:asciiTheme="majorHAnsi" w:eastAsiaTheme="majorEastAsia" w:hAnsiTheme="majorHAnsi" w:cstheme="majorBidi"/>
      <w:b/>
      <w:bCs/>
      <w:sz w:val="32"/>
      <w:szCs w:val="32"/>
    </w:rPr>
  </w:style>
  <w:style w:type="paragraph" w:styleId="30">
    <w:name w:val="heading 3"/>
    <w:basedOn w:val="a"/>
    <w:next w:val="a"/>
    <w:link w:val="31"/>
    <w:uiPriority w:val="9"/>
    <w:unhideWhenUsed/>
    <w:qFormat/>
    <w:rsid w:val="008610F3"/>
    <w:pPr>
      <w:keepNext/>
      <w:keepLines/>
      <w:spacing w:before="260" w:after="260" w:line="416" w:lineRule="auto"/>
      <w:ind w:firstLineChars="0" w:firstLine="0"/>
      <w:outlineLvl w:val="2"/>
    </w:pPr>
    <w:rPr>
      <w:rFonts w:cstheme="minorBidi"/>
      <w:b/>
      <w:bCs/>
      <w:szCs w:val="32"/>
    </w:rPr>
  </w:style>
  <w:style w:type="paragraph" w:styleId="4">
    <w:name w:val="heading 4"/>
    <w:basedOn w:val="a"/>
    <w:next w:val="a"/>
    <w:link w:val="40"/>
    <w:uiPriority w:val="9"/>
    <w:unhideWhenUsed/>
    <w:qFormat/>
    <w:rsid w:val="00FA5B22"/>
    <w:pPr>
      <w:keepNext/>
      <w:keepLines/>
      <w:spacing w:before="280" w:after="290" w:line="376" w:lineRule="auto"/>
      <w:outlineLvl w:val="3"/>
    </w:pPr>
    <w:rPr>
      <w:rFonts w:eastAsia="黑体" w:cstheme="majorBidi"/>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2">
    <w:name w:val="样式2"/>
    <w:basedOn w:val="a1"/>
    <w:rsid w:val="008E0558"/>
    <w:rPr>
      <w:rFonts w:ascii="Times New Roman" w:eastAsia="宋体" w:hAnsi="Times New Roman" w:cs="Times New Roman"/>
      <w:kern w:val="0"/>
      <w:sz w:val="20"/>
      <w:szCs w:val="20"/>
    </w:rPr>
    <w:tblPr>
      <w:tblInd w:w="0" w:type="nil"/>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 w:type="paragraph" w:customStyle="1" w:styleId="11">
    <w:name w:val="样式1"/>
    <w:basedOn w:val="1"/>
    <w:link w:val="12"/>
    <w:qFormat/>
    <w:rsid w:val="00167532"/>
    <w:pPr>
      <w:jc w:val="center"/>
    </w:pPr>
    <w:rPr>
      <w:rFonts w:ascii="黑体" w:eastAsia="黑体" w:hAnsi="黑体"/>
      <w:b w:val="0"/>
      <w:sz w:val="32"/>
      <w:szCs w:val="32"/>
    </w:rPr>
  </w:style>
  <w:style w:type="character" w:styleId="a3">
    <w:name w:val="Hyperlink"/>
    <w:uiPriority w:val="99"/>
    <w:unhideWhenUsed/>
    <w:qFormat/>
    <w:rsid w:val="000A7A20"/>
    <w:rPr>
      <w:color w:val="0000FF"/>
      <w:u w:val="single"/>
    </w:rPr>
  </w:style>
  <w:style w:type="character" w:customStyle="1" w:styleId="10">
    <w:name w:val="标题 1 字符"/>
    <w:basedOn w:val="a0"/>
    <w:link w:val="1"/>
    <w:uiPriority w:val="9"/>
    <w:rsid w:val="00167532"/>
    <w:rPr>
      <w:b/>
      <w:bCs/>
      <w:kern w:val="44"/>
      <w:sz w:val="44"/>
      <w:szCs w:val="44"/>
    </w:rPr>
  </w:style>
  <w:style w:type="character" w:customStyle="1" w:styleId="12">
    <w:name w:val="样式1 字符"/>
    <w:basedOn w:val="10"/>
    <w:link w:val="11"/>
    <w:rsid w:val="00167532"/>
    <w:rPr>
      <w:rFonts w:ascii="黑体" w:eastAsia="黑体" w:hAnsi="黑体"/>
      <w:b w:val="0"/>
      <w:bCs/>
      <w:kern w:val="44"/>
      <w:sz w:val="32"/>
      <w:szCs w:val="32"/>
    </w:rPr>
  </w:style>
  <w:style w:type="character" w:customStyle="1" w:styleId="23">
    <w:name w:val="论文标题2 字符"/>
    <w:link w:val="2"/>
    <w:locked/>
    <w:rsid w:val="000A7A20"/>
    <w:rPr>
      <w:rFonts w:ascii="Times New Roman" w:eastAsia="黑体" w:hAnsi="Times New Roman" w:cs="Times New Roman"/>
      <w:b/>
      <w:bCs/>
      <w:sz w:val="32"/>
      <w:szCs w:val="30"/>
    </w:rPr>
  </w:style>
  <w:style w:type="paragraph" w:customStyle="1" w:styleId="2">
    <w:name w:val="论文标题2"/>
    <w:basedOn w:val="20"/>
    <w:link w:val="23"/>
    <w:qFormat/>
    <w:rsid w:val="000A7A20"/>
    <w:pPr>
      <w:numPr>
        <w:numId w:val="1"/>
      </w:numPr>
      <w:spacing w:line="576" w:lineRule="auto"/>
      <w:jc w:val="left"/>
    </w:pPr>
    <w:rPr>
      <w:rFonts w:ascii="Times New Roman" w:eastAsia="黑体" w:hAnsi="Times New Roman" w:cs="Times New Roman"/>
      <w:szCs w:val="30"/>
    </w:rPr>
  </w:style>
  <w:style w:type="paragraph" w:customStyle="1" w:styleId="3">
    <w:name w:val="论文标题3"/>
    <w:basedOn w:val="30"/>
    <w:qFormat/>
    <w:rsid w:val="000A7A20"/>
    <w:pPr>
      <w:numPr>
        <w:ilvl w:val="1"/>
        <w:numId w:val="1"/>
      </w:numPr>
      <w:spacing w:line="576" w:lineRule="auto"/>
      <w:jc w:val="left"/>
    </w:pPr>
    <w:rPr>
      <w:rFonts w:eastAsia="黑体" w:cs="Times New Roman"/>
      <w:szCs w:val="30"/>
    </w:rPr>
  </w:style>
  <w:style w:type="character" w:customStyle="1" w:styleId="21">
    <w:name w:val="标题 2 字符"/>
    <w:basedOn w:val="a0"/>
    <w:link w:val="20"/>
    <w:uiPriority w:val="9"/>
    <w:rsid w:val="000A7A20"/>
    <w:rPr>
      <w:rFonts w:asciiTheme="majorHAnsi" w:eastAsiaTheme="majorEastAsia" w:hAnsiTheme="majorHAnsi" w:cstheme="majorBidi"/>
      <w:b/>
      <w:bCs/>
      <w:sz w:val="32"/>
      <w:szCs w:val="32"/>
    </w:rPr>
  </w:style>
  <w:style w:type="character" w:customStyle="1" w:styleId="31">
    <w:name w:val="标题 3 字符"/>
    <w:basedOn w:val="a0"/>
    <w:link w:val="30"/>
    <w:uiPriority w:val="9"/>
    <w:rsid w:val="008610F3"/>
    <w:rPr>
      <w:rFonts w:ascii="Times New Roman" w:eastAsia="宋体" w:hAnsi="Times New Roman"/>
      <w:b/>
      <w:bCs/>
      <w:sz w:val="24"/>
      <w:szCs w:val="32"/>
    </w:rPr>
  </w:style>
  <w:style w:type="paragraph" w:styleId="a4">
    <w:name w:val="header"/>
    <w:basedOn w:val="a"/>
    <w:link w:val="a5"/>
    <w:uiPriority w:val="99"/>
    <w:unhideWhenUsed/>
    <w:rsid w:val="00FF77D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FF77D7"/>
    <w:rPr>
      <w:rFonts w:ascii="Times New Roman" w:eastAsia="宋体" w:hAnsi="Times New Roman" w:cs="Times New Roman"/>
      <w:sz w:val="18"/>
      <w:szCs w:val="18"/>
    </w:rPr>
  </w:style>
  <w:style w:type="paragraph" w:styleId="a6">
    <w:name w:val="footer"/>
    <w:basedOn w:val="a"/>
    <w:link w:val="a7"/>
    <w:uiPriority w:val="99"/>
    <w:unhideWhenUsed/>
    <w:rsid w:val="00FF77D7"/>
    <w:pPr>
      <w:tabs>
        <w:tab w:val="center" w:pos="4153"/>
        <w:tab w:val="right" w:pos="8306"/>
      </w:tabs>
      <w:snapToGrid w:val="0"/>
      <w:jc w:val="left"/>
    </w:pPr>
    <w:rPr>
      <w:sz w:val="18"/>
      <w:szCs w:val="18"/>
    </w:rPr>
  </w:style>
  <w:style w:type="character" w:customStyle="1" w:styleId="a7">
    <w:name w:val="页脚 字符"/>
    <w:basedOn w:val="a0"/>
    <w:link w:val="a6"/>
    <w:uiPriority w:val="99"/>
    <w:rsid w:val="00FF77D7"/>
    <w:rPr>
      <w:rFonts w:ascii="Times New Roman" w:eastAsia="宋体" w:hAnsi="Times New Roman" w:cs="Times New Roman"/>
      <w:sz w:val="18"/>
      <w:szCs w:val="18"/>
    </w:rPr>
  </w:style>
  <w:style w:type="character" w:customStyle="1" w:styleId="40">
    <w:name w:val="标题 4 字符"/>
    <w:basedOn w:val="a0"/>
    <w:link w:val="4"/>
    <w:uiPriority w:val="9"/>
    <w:rsid w:val="00FA5B22"/>
    <w:rPr>
      <w:rFonts w:ascii="Times New Roman" w:eastAsia="黑体" w:hAnsi="Times New Roman" w:cstheme="majorBidi"/>
      <w:b/>
      <w:bCs/>
      <w:sz w:val="28"/>
      <w:szCs w:val="28"/>
    </w:rPr>
  </w:style>
  <w:style w:type="table" w:styleId="a8">
    <w:name w:val="Table Grid"/>
    <w:basedOn w:val="a1"/>
    <w:uiPriority w:val="39"/>
    <w:rsid w:val="00B258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893667"/>
    <w:rPr>
      <w:color w:val="808080"/>
    </w:rPr>
  </w:style>
  <w:style w:type="paragraph" w:styleId="aa">
    <w:name w:val="Date"/>
    <w:basedOn w:val="a"/>
    <w:next w:val="a"/>
    <w:link w:val="ab"/>
    <w:uiPriority w:val="99"/>
    <w:semiHidden/>
    <w:unhideWhenUsed/>
    <w:rsid w:val="00611F76"/>
    <w:pPr>
      <w:ind w:leftChars="2500" w:left="100"/>
    </w:pPr>
  </w:style>
  <w:style w:type="character" w:customStyle="1" w:styleId="ab">
    <w:name w:val="日期 字符"/>
    <w:basedOn w:val="a0"/>
    <w:link w:val="aa"/>
    <w:uiPriority w:val="99"/>
    <w:semiHidden/>
    <w:rsid w:val="00611F76"/>
    <w:rPr>
      <w:rFonts w:ascii="Times New Roman" w:eastAsia="宋体" w:hAnsi="Times New Roman" w:cs="Times New Roman"/>
      <w:sz w:val="24"/>
    </w:rPr>
  </w:style>
  <w:style w:type="paragraph" w:styleId="ac">
    <w:name w:val="List Paragraph"/>
    <w:basedOn w:val="a"/>
    <w:uiPriority w:val="34"/>
    <w:qFormat/>
    <w:rsid w:val="00B33582"/>
    <w:pPr>
      <w:ind w:firstLine="420"/>
    </w:pPr>
    <w:rPr>
      <w:rFonts w:asciiTheme="minorHAnsi" w:eastAsiaTheme="minorEastAsia" w:hAnsiTheme="minorHAnsi" w:cstheme="minorBidi"/>
      <w:sz w:val="21"/>
    </w:rPr>
  </w:style>
  <w:style w:type="paragraph" w:styleId="ad">
    <w:name w:val="Normal (Web)"/>
    <w:basedOn w:val="a"/>
    <w:uiPriority w:val="99"/>
    <w:unhideWhenUsed/>
    <w:rsid w:val="009917E8"/>
    <w:pPr>
      <w:widowControl/>
      <w:spacing w:before="100" w:beforeAutospacing="1" w:after="100" w:afterAutospacing="1"/>
      <w:ind w:firstLineChars="0" w:firstLine="0"/>
      <w:jc w:val="left"/>
    </w:pPr>
    <w:rPr>
      <w:rFonts w:ascii="宋体" w:hAnsi="宋体" w:cs="宋体"/>
      <w:kern w:val="0"/>
      <w:szCs w:val="24"/>
    </w:rPr>
  </w:style>
  <w:style w:type="paragraph" w:customStyle="1" w:styleId="EndNoteBibliographyTitle">
    <w:name w:val="EndNote Bibliography Title"/>
    <w:basedOn w:val="a"/>
    <w:link w:val="EndNoteBibliographyTitle0"/>
    <w:rsid w:val="005A4DDE"/>
    <w:pPr>
      <w:jc w:val="center"/>
    </w:pPr>
    <w:rPr>
      <w:noProof/>
    </w:rPr>
  </w:style>
  <w:style w:type="character" w:customStyle="1" w:styleId="EndNoteBibliographyTitle0">
    <w:name w:val="EndNote Bibliography Title 字符"/>
    <w:basedOn w:val="a0"/>
    <w:link w:val="EndNoteBibliographyTitle"/>
    <w:rsid w:val="005A4DDE"/>
    <w:rPr>
      <w:rFonts w:ascii="Times New Roman" w:eastAsia="宋体" w:hAnsi="Times New Roman" w:cs="Times New Roman"/>
      <w:noProof/>
      <w:sz w:val="24"/>
    </w:rPr>
  </w:style>
  <w:style w:type="paragraph" w:customStyle="1" w:styleId="EndNoteBibliography">
    <w:name w:val="EndNote Bibliography"/>
    <w:basedOn w:val="a"/>
    <w:link w:val="EndNoteBibliography0"/>
    <w:rsid w:val="005A4DDE"/>
    <w:rPr>
      <w:noProof/>
    </w:rPr>
  </w:style>
  <w:style w:type="character" w:customStyle="1" w:styleId="EndNoteBibliography0">
    <w:name w:val="EndNote Bibliography 字符"/>
    <w:basedOn w:val="a0"/>
    <w:link w:val="EndNoteBibliography"/>
    <w:rsid w:val="005A4DDE"/>
    <w:rPr>
      <w:rFonts w:ascii="Times New Roman" w:eastAsia="宋体" w:hAnsi="Times New Roman" w:cs="Times New Roman"/>
      <w:noProof/>
      <w:sz w:val="24"/>
    </w:rPr>
  </w:style>
  <w:style w:type="character" w:customStyle="1" w:styleId="katex-mathml">
    <w:name w:val="katex-mathml"/>
    <w:basedOn w:val="a0"/>
    <w:rsid w:val="00F65118"/>
  </w:style>
  <w:style w:type="character" w:customStyle="1" w:styleId="mord">
    <w:name w:val="mord"/>
    <w:basedOn w:val="a0"/>
    <w:rsid w:val="00F65118"/>
  </w:style>
  <w:style w:type="character" w:customStyle="1" w:styleId="vlist-s">
    <w:name w:val="vlist-s"/>
    <w:basedOn w:val="a0"/>
    <w:rsid w:val="00F65118"/>
  </w:style>
  <w:style w:type="character" w:customStyle="1" w:styleId="mbin">
    <w:name w:val="mbin"/>
    <w:basedOn w:val="a0"/>
    <w:rsid w:val="0006411B"/>
  </w:style>
  <w:style w:type="character" w:customStyle="1" w:styleId="mopen">
    <w:name w:val="mopen"/>
    <w:basedOn w:val="a0"/>
    <w:rsid w:val="0006411B"/>
  </w:style>
  <w:style w:type="character" w:customStyle="1" w:styleId="mclose">
    <w:name w:val="mclose"/>
    <w:basedOn w:val="a0"/>
    <w:rsid w:val="0006411B"/>
  </w:style>
  <w:style w:type="character" w:customStyle="1" w:styleId="mpunct">
    <w:name w:val="mpunct"/>
    <w:basedOn w:val="a0"/>
    <w:rsid w:val="00435DF9"/>
  </w:style>
  <w:style w:type="character" w:customStyle="1" w:styleId="mrel">
    <w:name w:val="mrel"/>
    <w:basedOn w:val="a0"/>
    <w:rsid w:val="00435DF9"/>
  </w:style>
  <w:style w:type="character" w:styleId="ae">
    <w:name w:val="Strong"/>
    <w:basedOn w:val="a0"/>
    <w:uiPriority w:val="22"/>
    <w:qFormat/>
    <w:rsid w:val="005D24A4"/>
    <w:rPr>
      <w:b/>
      <w:bCs/>
    </w:rPr>
  </w:style>
  <w:style w:type="paragraph" w:styleId="af">
    <w:name w:val="Balloon Text"/>
    <w:basedOn w:val="a"/>
    <w:link w:val="af0"/>
    <w:uiPriority w:val="99"/>
    <w:semiHidden/>
    <w:unhideWhenUsed/>
    <w:rsid w:val="00CB24AA"/>
    <w:rPr>
      <w:sz w:val="18"/>
      <w:szCs w:val="18"/>
    </w:rPr>
  </w:style>
  <w:style w:type="character" w:customStyle="1" w:styleId="af0">
    <w:name w:val="批注框文本 字符"/>
    <w:basedOn w:val="a0"/>
    <w:link w:val="af"/>
    <w:uiPriority w:val="99"/>
    <w:semiHidden/>
    <w:rsid w:val="00CB24AA"/>
    <w:rPr>
      <w:rFonts w:ascii="Times New Roman" w:eastAsia="宋体" w:hAnsi="Times New Roman" w:cs="Times New Roman"/>
      <w:sz w:val="18"/>
      <w:szCs w:val="18"/>
    </w:rPr>
  </w:style>
  <w:style w:type="character" w:customStyle="1" w:styleId="mspace">
    <w:name w:val="mspace"/>
    <w:basedOn w:val="a0"/>
    <w:rsid w:val="007B27BD"/>
  </w:style>
  <w:style w:type="paragraph" w:styleId="af1">
    <w:name w:val="Revision"/>
    <w:hidden/>
    <w:uiPriority w:val="99"/>
    <w:semiHidden/>
    <w:rsid w:val="00180DFB"/>
    <w:rPr>
      <w:rFonts w:ascii="Times New Roman" w:eastAsia="宋体" w:hAnsi="Times New Roman" w:cs="Times New Roman"/>
      <w:sz w:val="24"/>
    </w:rPr>
  </w:style>
  <w:style w:type="character" w:styleId="af2">
    <w:name w:val="Unresolved Mention"/>
    <w:basedOn w:val="a0"/>
    <w:uiPriority w:val="99"/>
    <w:semiHidden/>
    <w:unhideWhenUsed/>
    <w:rsid w:val="00453548"/>
    <w:rPr>
      <w:color w:val="605E5C"/>
      <w:shd w:val="clear" w:color="auto" w:fill="E1DFDD"/>
    </w:rPr>
  </w:style>
  <w:style w:type="paragraph" w:styleId="TOC1">
    <w:name w:val="toc 1"/>
    <w:basedOn w:val="a"/>
    <w:next w:val="a"/>
    <w:autoRedefine/>
    <w:uiPriority w:val="39"/>
    <w:unhideWhenUsed/>
    <w:rsid w:val="002914B1"/>
    <w:pPr>
      <w:tabs>
        <w:tab w:val="right" w:leader="dot" w:pos="8494"/>
      </w:tabs>
      <w:ind w:firstLineChars="0" w:firstLine="0"/>
      <w:jc w:val="left"/>
    </w:pPr>
    <w:rPr>
      <w:b/>
      <w:bCs/>
      <w:noProof/>
      <w:color w:val="0000CC"/>
      <w:sz w:val="28"/>
      <w:szCs w:val="28"/>
    </w:rPr>
  </w:style>
  <w:style w:type="paragraph" w:styleId="TOC2">
    <w:name w:val="toc 2"/>
    <w:basedOn w:val="a"/>
    <w:next w:val="a"/>
    <w:autoRedefine/>
    <w:uiPriority w:val="39"/>
    <w:unhideWhenUsed/>
    <w:rsid w:val="002914B1"/>
    <w:pPr>
      <w:tabs>
        <w:tab w:val="right" w:leader="dot" w:pos="8494"/>
      </w:tabs>
      <w:ind w:firstLineChars="0" w:firstLine="0"/>
      <w:jc w:val="left"/>
    </w:pPr>
    <w:rPr>
      <w:b/>
      <w:bCs/>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04946">
      <w:bodyDiv w:val="1"/>
      <w:marLeft w:val="0"/>
      <w:marRight w:val="0"/>
      <w:marTop w:val="0"/>
      <w:marBottom w:val="0"/>
      <w:divBdr>
        <w:top w:val="none" w:sz="0" w:space="0" w:color="auto"/>
        <w:left w:val="none" w:sz="0" w:space="0" w:color="auto"/>
        <w:bottom w:val="none" w:sz="0" w:space="0" w:color="auto"/>
        <w:right w:val="none" w:sz="0" w:space="0" w:color="auto"/>
      </w:divBdr>
      <w:divsChild>
        <w:div w:id="1624724846">
          <w:marLeft w:val="0"/>
          <w:marRight w:val="0"/>
          <w:marTop w:val="0"/>
          <w:marBottom w:val="0"/>
          <w:divBdr>
            <w:top w:val="none" w:sz="0" w:space="0" w:color="auto"/>
            <w:left w:val="none" w:sz="0" w:space="0" w:color="auto"/>
            <w:bottom w:val="none" w:sz="0" w:space="0" w:color="auto"/>
            <w:right w:val="none" w:sz="0" w:space="0" w:color="auto"/>
          </w:divBdr>
          <w:divsChild>
            <w:div w:id="519977700">
              <w:marLeft w:val="0"/>
              <w:marRight w:val="0"/>
              <w:marTop w:val="0"/>
              <w:marBottom w:val="0"/>
              <w:divBdr>
                <w:top w:val="none" w:sz="0" w:space="0" w:color="auto"/>
                <w:left w:val="none" w:sz="0" w:space="0" w:color="auto"/>
                <w:bottom w:val="none" w:sz="0" w:space="0" w:color="auto"/>
                <w:right w:val="none" w:sz="0" w:space="0" w:color="auto"/>
              </w:divBdr>
              <w:divsChild>
                <w:div w:id="2084601368">
                  <w:marLeft w:val="0"/>
                  <w:marRight w:val="0"/>
                  <w:marTop w:val="0"/>
                  <w:marBottom w:val="0"/>
                  <w:divBdr>
                    <w:top w:val="none" w:sz="0" w:space="0" w:color="auto"/>
                    <w:left w:val="none" w:sz="0" w:space="0" w:color="auto"/>
                    <w:bottom w:val="none" w:sz="0" w:space="0" w:color="auto"/>
                    <w:right w:val="none" w:sz="0" w:space="0" w:color="auto"/>
                  </w:divBdr>
                  <w:divsChild>
                    <w:div w:id="1949385552">
                      <w:marLeft w:val="0"/>
                      <w:marRight w:val="0"/>
                      <w:marTop w:val="0"/>
                      <w:marBottom w:val="0"/>
                      <w:divBdr>
                        <w:top w:val="none" w:sz="0" w:space="0" w:color="auto"/>
                        <w:left w:val="none" w:sz="0" w:space="0" w:color="auto"/>
                        <w:bottom w:val="none" w:sz="0" w:space="0" w:color="auto"/>
                        <w:right w:val="none" w:sz="0" w:space="0" w:color="auto"/>
                      </w:divBdr>
                      <w:divsChild>
                        <w:div w:id="1816265007">
                          <w:marLeft w:val="0"/>
                          <w:marRight w:val="0"/>
                          <w:marTop w:val="0"/>
                          <w:marBottom w:val="0"/>
                          <w:divBdr>
                            <w:top w:val="none" w:sz="0" w:space="0" w:color="auto"/>
                            <w:left w:val="none" w:sz="0" w:space="0" w:color="auto"/>
                            <w:bottom w:val="none" w:sz="0" w:space="0" w:color="auto"/>
                            <w:right w:val="none" w:sz="0" w:space="0" w:color="auto"/>
                          </w:divBdr>
                          <w:divsChild>
                            <w:div w:id="130515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59898">
      <w:bodyDiv w:val="1"/>
      <w:marLeft w:val="0"/>
      <w:marRight w:val="0"/>
      <w:marTop w:val="0"/>
      <w:marBottom w:val="0"/>
      <w:divBdr>
        <w:top w:val="none" w:sz="0" w:space="0" w:color="auto"/>
        <w:left w:val="none" w:sz="0" w:space="0" w:color="auto"/>
        <w:bottom w:val="none" w:sz="0" w:space="0" w:color="auto"/>
        <w:right w:val="none" w:sz="0" w:space="0" w:color="auto"/>
      </w:divBdr>
    </w:div>
    <w:div w:id="140581500">
      <w:bodyDiv w:val="1"/>
      <w:marLeft w:val="0"/>
      <w:marRight w:val="0"/>
      <w:marTop w:val="0"/>
      <w:marBottom w:val="0"/>
      <w:divBdr>
        <w:top w:val="none" w:sz="0" w:space="0" w:color="auto"/>
        <w:left w:val="none" w:sz="0" w:space="0" w:color="auto"/>
        <w:bottom w:val="none" w:sz="0" w:space="0" w:color="auto"/>
        <w:right w:val="none" w:sz="0" w:space="0" w:color="auto"/>
      </w:divBdr>
    </w:div>
    <w:div w:id="168914420">
      <w:bodyDiv w:val="1"/>
      <w:marLeft w:val="0"/>
      <w:marRight w:val="0"/>
      <w:marTop w:val="0"/>
      <w:marBottom w:val="0"/>
      <w:divBdr>
        <w:top w:val="none" w:sz="0" w:space="0" w:color="auto"/>
        <w:left w:val="none" w:sz="0" w:space="0" w:color="auto"/>
        <w:bottom w:val="none" w:sz="0" w:space="0" w:color="auto"/>
        <w:right w:val="none" w:sz="0" w:space="0" w:color="auto"/>
      </w:divBdr>
    </w:div>
    <w:div w:id="196940350">
      <w:bodyDiv w:val="1"/>
      <w:marLeft w:val="0"/>
      <w:marRight w:val="0"/>
      <w:marTop w:val="0"/>
      <w:marBottom w:val="0"/>
      <w:divBdr>
        <w:top w:val="none" w:sz="0" w:space="0" w:color="auto"/>
        <w:left w:val="none" w:sz="0" w:space="0" w:color="auto"/>
        <w:bottom w:val="none" w:sz="0" w:space="0" w:color="auto"/>
        <w:right w:val="none" w:sz="0" w:space="0" w:color="auto"/>
      </w:divBdr>
    </w:div>
    <w:div w:id="252780340">
      <w:bodyDiv w:val="1"/>
      <w:marLeft w:val="0"/>
      <w:marRight w:val="0"/>
      <w:marTop w:val="0"/>
      <w:marBottom w:val="0"/>
      <w:divBdr>
        <w:top w:val="none" w:sz="0" w:space="0" w:color="auto"/>
        <w:left w:val="none" w:sz="0" w:space="0" w:color="auto"/>
        <w:bottom w:val="none" w:sz="0" w:space="0" w:color="auto"/>
        <w:right w:val="none" w:sz="0" w:space="0" w:color="auto"/>
      </w:divBdr>
    </w:div>
    <w:div w:id="299266985">
      <w:bodyDiv w:val="1"/>
      <w:marLeft w:val="0"/>
      <w:marRight w:val="0"/>
      <w:marTop w:val="0"/>
      <w:marBottom w:val="0"/>
      <w:divBdr>
        <w:top w:val="none" w:sz="0" w:space="0" w:color="auto"/>
        <w:left w:val="none" w:sz="0" w:space="0" w:color="auto"/>
        <w:bottom w:val="none" w:sz="0" w:space="0" w:color="auto"/>
        <w:right w:val="none" w:sz="0" w:space="0" w:color="auto"/>
      </w:divBdr>
    </w:div>
    <w:div w:id="322590441">
      <w:bodyDiv w:val="1"/>
      <w:marLeft w:val="0"/>
      <w:marRight w:val="0"/>
      <w:marTop w:val="0"/>
      <w:marBottom w:val="0"/>
      <w:divBdr>
        <w:top w:val="none" w:sz="0" w:space="0" w:color="auto"/>
        <w:left w:val="none" w:sz="0" w:space="0" w:color="auto"/>
        <w:bottom w:val="none" w:sz="0" w:space="0" w:color="auto"/>
        <w:right w:val="none" w:sz="0" w:space="0" w:color="auto"/>
      </w:divBdr>
    </w:div>
    <w:div w:id="324473279">
      <w:bodyDiv w:val="1"/>
      <w:marLeft w:val="0"/>
      <w:marRight w:val="0"/>
      <w:marTop w:val="0"/>
      <w:marBottom w:val="0"/>
      <w:divBdr>
        <w:top w:val="none" w:sz="0" w:space="0" w:color="auto"/>
        <w:left w:val="none" w:sz="0" w:space="0" w:color="auto"/>
        <w:bottom w:val="none" w:sz="0" w:space="0" w:color="auto"/>
        <w:right w:val="none" w:sz="0" w:space="0" w:color="auto"/>
      </w:divBdr>
    </w:div>
    <w:div w:id="363752568">
      <w:bodyDiv w:val="1"/>
      <w:marLeft w:val="0"/>
      <w:marRight w:val="0"/>
      <w:marTop w:val="0"/>
      <w:marBottom w:val="0"/>
      <w:divBdr>
        <w:top w:val="none" w:sz="0" w:space="0" w:color="auto"/>
        <w:left w:val="none" w:sz="0" w:space="0" w:color="auto"/>
        <w:bottom w:val="none" w:sz="0" w:space="0" w:color="auto"/>
        <w:right w:val="none" w:sz="0" w:space="0" w:color="auto"/>
      </w:divBdr>
    </w:div>
    <w:div w:id="377702875">
      <w:bodyDiv w:val="1"/>
      <w:marLeft w:val="0"/>
      <w:marRight w:val="0"/>
      <w:marTop w:val="0"/>
      <w:marBottom w:val="0"/>
      <w:divBdr>
        <w:top w:val="none" w:sz="0" w:space="0" w:color="auto"/>
        <w:left w:val="none" w:sz="0" w:space="0" w:color="auto"/>
        <w:bottom w:val="none" w:sz="0" w:space="0" w:color="auto"/>
        <w:right w:val="none" w:sz="0" w:space="0" w:color="auto"/>
      </w:divBdr>
    </w:div>
    <w:div w:id="488248271">
      <w:bodyDiv w:val="1"/>
      <w:marLeft w:val="0"/>
      <w:marRight w:val="0"/>
      <w:marTop w:val="0"/>
      <w:marBottom w:val="0"/>
      <w:divBdr>
        <w:top w:val="none" w:sz="0" w:space="0" w:color="auto"/>
        <w:left w:val="none" w:sz="0" w:space="0" w:color="auto"/>
        <w:bottom w:val="none" w:sz="0" w:space="0" w:color="auto"/>
        <w:right w:val="none" w:sz="0" w:space="0" w:color="auto"/>
      </w:divBdr>
    </w:div>
    <w:div w:id="491335107">
      <w:bodyDiv w:val="1"/>
      <w:marLeft w:val="0"/>
      <w:marRight w:val="0"/>
      <w:marTop w:val="0"/>
      <w:marBottom w:val="0"/>
      <w:divBdr>
        <w:top w:val="none" w:sz="0" w:space="0" w:color="auto"/>
        <w:left w:val="none" w:sz="0" w:space="0" w:color="auto"/>
        <w:bottom w:val="none" w:sz="0" w:space="0" w:color="auto"/>
        <w:right w:val="none" w:sz="0" w:space="0" w:color="auto"/>
      </w:divBdr>
    </w:div>
    <w:div w:id="586501548">
      <w:bodyDiv w:val="1"/>
      <w:marLeft w:val="0"/>
      <w:marRight w:val="0"/>
      <w:marTop w:val="0"/>
      <w:marBottom w:val="0"/>
      <w:divBdr>
        <w:top w:val="none" w:sz="0" w:space="0" w:color="auto"/>
        <w:left w:val="none" w:sz="0" w:space="0" w:color="auto"/>
        <w:bottom w:val="none" w:sz="0" w:space="0" w:color="auto"/>
        <w:right w:val="none" w:sz="0" w:space="0" w:color="auto"/>
      </w:divBdr>
    </w:div>
    <w:div w:id="771441204">
      <w:bodyDiv w:val="1"/>
      <w:marLeft w:val="0"/>
      <w:marRight w:val="0"/>
      <w:marTop w:val="0"/>
      <w:marBottom w:val="0"/>
      <w:divBdr>
        <w:top w:val="none" w:sz="0" w:space="0" w:color="auto"/>
        <w:left w:val="none" w:sz="0" w:space="0" w:color="auto"/>
        <w:bottom w:val="none" w:sz="0" w:space="0" w:color="auto"/>
        <w:right w:val="none" w:sz="0" w:space="0" w:color="auto"/>
      </w:divBdr>
    </w:div>
    <w:div w:id="777338556">
      <w:bodyDiv w:val="1"/>
      <w:marLeft w:val="0"/>
      <w:marRight w:val="0"/>
      <w:marTop w:val="0"/>
      <w:marBottom w:val="0"/>
      <w:divBdr>
        <w:top w:val="none" w:sz="0" w:space="0" w:color="auto"/>
        <w:left w:val="none" w:sz="0" w:space="0" w:color="auto"/>
        <w:bottom w:val="none" w:sz="0" w:space="0" w:color="auto"/>
        <w:right w:val="none" w:sz="0" w:space="0" w:color="auto"/>
      </w:divBdr>
    </w:div>
    <w:div w:id="951978407">
      <w:bodyDiv w:val="1"/>
      <w:marLeft w:val="0"/>
      <w:marRight w:val="0"/>
      <w:marTop w:val="0"/>
      <w:marBottom w:val="0"/>
      <w:divBdr>
        <w:top w:val="none" w:sz="0" w:space="0" w:color="auto"/>
        <w:left w:val="none" w:sz="0" w:space="0" w:color="auto"/>
        <w:bottom w:val="none" w:sz="0" w:space="0" w:color="auto"/>
        <w:right w:val="none" w:sz="0" w:space="0" w:color="auto"/>
      </w:divBdr>
    </w:div>
    <w:div w:id="1055160130">
      <w:bodyDiv w:val="1"/>
      <w:marLeft w:val="0"/>
      <w:marRight w:val="0"/>
      <w:marTop w:val="0"/>
      <w:marBottom w:val="0"/>
      <w:divBdr>
        <w:top w:val="none" w:sz="0" w:space="0" w:color="auto"/>
        <w:left w:val="none" w:sz="0" w:space="0" w:color="auto"/>
        <w:bottom w:val="none" w:sz="0" w:space="0" w:color="auto"/>
        <w:right w:val="none" w:sz="0" w:space="0" w:color="auto"/>
      </w:divBdr>
    </w:div>
    <w:div w:id="1135293442">
      <w:bodyDiv w:val="1"/>
      <w:marLeft w:val="0"/>
      <w:marRight w:val="0"/>
      <w:marTop w:val="0"/>
      <w:marBottom w:val="0"/>
      <w:divBdr>
        <w:top w:val="none" w:sz="0" w:space="0" w:color="auto"/>
        <w:left w:val="none" w:sz="0" w:space="0" w:color="auto"/>
        <w:bottom w:val="none" w:sz="0" w:space="0" w:color="auto"/>
        <w:right w:val="none" w:sz="0" w:space="0" w:color="auto"/>
      </w:divBdr>
    </w:div>
    <w:div w:id="1210917640">
      <w:bodyDiv w:val="1"/>
      <w:marLeft w:val="0"/>
      <w:marRight w:val="0"/>
      <w:marTop w:val="0"/>
      <w:marBottom w:val="0"/>
      <w:divBdr>
        <w:top w:val="none" w:sz="0" w:space="0" w:color="auto"/>
        <w:left w:val="none" w:sz="0" w:space="0" w:color="auto"/>
        <w:bottom w:val="none" w:sz="0" w:space="0" w:color="auto"/>
        <w:right w:val="none" w:sz="0" w:space="0" w:color="auto"/>
      </w:divBdr>
    </w:div>
    <w:div w:id="1311516648">
      <w:bodyDiv w:val="1"/>
      <w:marLeft w:val="0"/>
      <w:marRight w:val="0"/>
      <w:marTop w:val="0"/>
      <w:marBottom w:val="0"/>
      <w:divBdr>
        <w:top w:val="none" w:sz="0" w:space="0" w:color="auto"/>
        <w:left w:val="none" w:sz="0" w:space="0" w:color="auto"/>
        <w:bottom w:val="none" w:sz="0" w:space="0" w:color="auto"/>
        <w:right w:val="none" w:sz="0" w:space="0" w:color="auto"/>
      </w:divBdr>
    </w:div>
    <w:div w:id="1347903457">
      <w:bodyDiv w:val="1"/>
      <w:marLeft w:val="0"/>
      <w:marRight w:val="0"/>
      <w:marTop w:val="0"/>
      <w:marBottom w:val="0"/>
      <w:divBdr>
        <w:top w:val="none" w:sz="0" w:space="0" w:color="auto"/>
        <w:left w:val="none" w:sz="0" w:space="0" w:color="auto"/>
        <w:bottom w:val="none" w:sz="0" w:space="0" w:color="auto"/>
        <w:right w:val="none" w:sz="0" w:space="0" w:color="auto"/>
      </w:divBdr>
    </w:div>
    <w:div w:id="1348478553">
      <w:bodyDiv w:val="1"/>
      <w:marLeft w:val="0"/>
      <w:marRight w:val="0"/>
      <w:marTop w:val="0"/>
      <w:marBottom w:val="0"/>
      <w:divBdr>
        <w:top w:val="none" w:sz="0" w:space="0" w:color="auto"/>
        <w:left w:val="none" w:sz="0" w:space="0" w:color="auto"/>
        <w:bottom w:val="none" w:sz="0" w:space="0" w:color="auto"/>
        <w:right w:val="none" w:sz="0" w:space="0" w:color="auto"/>
      </w:divBdr>
    </w:div>
    <w:div w:id="1500847752">
      <w:bodyDiv w:val="1"/>
      <w:marLeft w:val="0"/>
      <w:marRight w:val="0"/>
      <w:marTop w:val="0"/>
      <w:marBottom w:val="0"/>
      <w:divBdr>
        <w:top w:val="none" w:sz="0" w:space="0" w:color="auto"/>
        <w:left w:val="none" w:sz="0" w:space="0" w:color="auto"/>
        <w:bottom w:val="none" w:sz="0" w:space="0" w:color="auto"/>
        <w:right w:val="none" w:sz="0" w:space="0" w:color="auto"/>
      </w:divBdr>
    </w:div>
    <w:div w:id="150912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image" Target="media/image10.tif"/><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image" Target="media/image9.tif"/><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8.tif"/><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header" Target="header1.xml"/><Relationship Id="rId10" Type="http://schemas.openxmlformats.org/officeDocument/2006/relationships/image" Target="media/image1.wmf"/><Relationship Id="rId19" Type="http://schemas.openxmlformats.org/officeDocument/2006/relationships/oleObject" Target="embeddings/oleObject5.bin"/><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file:///C:\Users\ShiPP\Documents\WeChat%20Files\wxid_84qpb8hrjwxu22\FileStorage\File\2024-03\xfgou@hhu.edu.cn" TargetMode="Externa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hyperlink" Target="https://doi.org/10.1016/0893-6080(89)90020-8"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mailto:shipengpeng@xjt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D4CF1-0ECF-4EBF-A893-D73FA645C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2824</TotalTime>
  <Pages>9</Pages>
  <Words>2039</Words>
  <Characters>11624</Characters>
  <Application>Microsoft Office Word</Application>
  <DocSecurity>0</DocSecurity>
  <Lines>96</Lines>
  <Paragraphs>27</Paragraphs>
  <ScaleCrop>false</ScaleCrop>
  <Company/>
  <LinksUpToDate>false</LinksUpToDate>
  <CharactersWithSpaces>13636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1255402205@qq.com</dc:creator>
  <cp:keywords/>
  <dc:description/>
  <cp:lastModifiedBy>Alex An</cp:lastModifiedBy>
  <cp:revision>74</cp:revision>
  <dcterms:created xsi:type="dcterms:W3CDTF">2025-06-26T05:18:00Z</dcterms:created>
  <dcterms:modified xsi:type="dcterms:W3CDTF">2025-08-07T04:33:00Z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