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1F4B1A" w14:textId="77777777" w:rsidR="003C50E1" w:rsidRDefault="00F32BF9">
      <w:pPr>
        <w:widowControl/>
        <w:spacing w:line="360" w:lineRule="auto"/>
        <w:jc w:val="center"/>
        <w:rPr>
          <w:rFonts w:cs="Times New Roman"/>
          <w:sz w:val="28"/>
          <w:szCs w:val="32"/>
        </w:rPr>
      </w:pPr>
      <w:r>
        <w:rPr>
          <w:rFonts w:cs="Times New Roman"/>
          <w:sz w:val="28"/>
          <w:szCs w:val="32"/>
        </w:rPr>
        <w:t>Supplementary Information</w:t>
      </w:r>
    </w:p>
    <w:p w14:paraId="6090DB84" w14:textId="77777777" w:rsidR="003C50E1" w:rsidRDefault="003C50E1">
      <w:pPr>
        <w:widowControl/>
        <w:spacing w:line="360" w:lineRule="auto"/>
        <w:jc w:val="center"/>
        <w:rPr>
          <w:rFonts w:cs="Times New Roman"/>
          <w:szCs w:val="28"/>
        </w:rPr>
      </w:pPr>
    </w:p>
    <w:p w14:paraId="793F2BEB" w14:textId="5D44AAF9" w:rsidR="003C50E1" w:rsidRPr="00986793" w:rsidRDefault="00F32BF9">
      <w:pPr>
        <w:widowControl/>
        <w:spacing w:line="360" w:lineRule="auto"/>
        <w:jc w:val="center"/>
        <w:rPr>
          <w:rFonts w:cs="Times New Roman"/>
          <w:b/>
          <w:bCs/>
          <w:sz w:val="28"/>
          <w:szCs w:val="28"/>
        </w:rPr>
      </w:pPr>
      <w:r w:rsidRPr="00986793">
        <w:rPr>
          <w:rFonts w:cs="Times New Roman"/>
          <w:b/>
          <w:bCs/>
          <w:sz w:val="28"/>
          <w:szCs w:val="28"/>
        </w:rPr>
        <w:t xml:space="preserve">Decoupling heat and ion transport with </w:t>
      </w:r>
      <w:proofErr w:type="spellStart"/>
      <w:r w:rsidRPr="00986793">
        <w:rPr>
          <w:rFonts w:cs="Times New Roman"/>
          <w:b/>
          <w:bCs/>
          <w:sz w:val="28"/>
          <w:szCs w:val="28"/>
        </w:rPr>
        <w:t>supercapacitor</w:t>
      </w:r>
      <w:proofErr w:type="spellEnd"/>
      <w:r w:rsidRPr="00986793">
        <w:rPr>
          <w:rFonts w:cs="Times New Roman"/>
          <w:b/>
          <w:bCs/>
          <w:sz w:val="28"/>
          <w:szCs w:val="28"/>
        </w:rPr>
        <w:t>-mediation</w:t>
      </w:r>
      <w:r w:rsidR="00986793">
        <w:rPr>
          <w:rFonts w:cs="Times New Roman"/>
          <w:b/>
          <w:bCs/>
          <w:sz w:val="28"/>
          <w:szCs w:val="28"/>
        </w:rPr>
        <w:t xml:space="preserve"> </w:t>
      </w:r>
      <w:r w:rsidRPr="00986793">
        <w:rPr>
          <w:rFonts w:cs="Times New Roman"/>
          <w:b/>
          <w:bCs/>
          <w:sz w:val="28"/>
          <w:szCs w:val="28"/>
        </w:rPr>
        <w:t xml:space="preserve">in cold-source-free </w:t>
      </w:r>
      <w:proofErr w:type="spellStart"/>
      <w:r w:rsidRPr="00986793">
        <w:rPr>
          <w:rFonts w:cs="Times New Roman"/>
          <w:b/>
          <w:bCs/>
          <w:sz w:val="28"/>
          <w:szCs w:val="28"/>
        </w:rPr>
        <w:t>thermogalvanic</w:t>
      </w:r>
      <w:proofErr w:type="spellEnd"/>
      <w:r w:rsidRPr="00986793">
        <w:rPr>
          <w:rFonts w:cs="Times New Roman"/>
          <w:b/>
          <w:bCs/>
          <w:sz w:val="28"/>
          <w:szCs w:val="28"/>
        </w:rPr>
        <w:t xml:space="preserve"> cells</w:t>
      </w:r>
    </w:p>
    <w:p w14:paraId="0784DCF2" w14:textId="77777777" w:rsidR="003C50E1" w:rsidRDefault="003C50E1">
      <w:pPr>
        <w:widowControl/>
        <w:spacing w:line="360" w:lineRule="auto"/>
        <w:jc w:val="center"/>
        <w:rPr>
          <w:rFonts w:cs="Times New Roman"/>
          <w:szCs w:val="28"/>
        </w:rPr>
      </w:pPr>
    </w:p>
    <w:p w14:paraId="5E74C84E" w14:textId="77777777" w:rsidR="00986793" w:rsidRDefault="00986793" w:rsidP="00986793">
      <w:pPr>
        <w:spacing w:line="360" w:lineRule="auto"/>
        <w:ind w:rightChars="20" w:right="48"/>
        <w:jc w:val="left"/>
        <w:rPr>
          <w:rFonts w:cs="Times New Roman"/>
          <w:color w:val="000000" w:themeColor="text1"/>
          <w:szCs w:val="24"/>
          <w:lang w:val="de-DE"/>
        </w:rPr>
      </w:pPr>
      <w:r>
        <w:rPr>
          <w:rFonts w:cs="Times New Roman"/>
          <w:bCs/>
          <w:color w:val="000000" w:themeColor="text1"/>
          <w:szCs w:val="24"/>
          <w:lang w:val="de-DE"/>
        </w:rPr>
        <w:t>Jun Zhang</w:t>
      </w:r>
      <w:r>
        <w:rPr>
          <w:rFonts w:cs="Times New Roman"/>
          <w:bCs/>
          <w:color w:val="000000" w:themeColor="text1"/>
          <w:szCs w:val="24"/>
          <w:vertAlign w:val="superscript"/>
          <w:lang w:val="de-DE"/>
        </w:rPr>
        <w:t>*</w:t>
      </w:r>
      <w:r>
        <w:rPr>
          <w:rFonts w:cs="Times New Roman"/>
          <w:color w:val="000000" w:themeColor="text1"/>
          <w:szCs w:val="24"/>
        </w:rPr>
        <w:t xml:space="preserve">, </w:t>
      </w:r>
      <w:r>
        <w:rPr>
          <w:rFonts w:cs="Times New Roman"/>
          <w:bCs/>
          <w:color w:val="000000" w:themeColor="text1"/>
          <w:szCs w:val="24"/>
          <w:lang w:val="de-DE"/>
        </w:rPr>
        <w:t>Jili Zheng</w:t>
      </w:r>
      <w:r>
        <w:rPr>
          <w:rFonts w:cs="Times New Roman"/>
          <w:color w:val="000000" w:themeColor="text1"/>
          <w:szCs w:val="24"/>
        </w:rPr>
        <w:t xml:space="preserve">, </w:t>
      </w:r>
      <w:proofErr w:type="spellStart"/>
      <w:r>
        <w:rPr>
          <w:rFonts w:cs="Times New Roman"/>
          <w:color w:val="000000" w:themeColor="text1"/>
          <w:szCs w:val="24"/>
        </w:rPr>
        <w:t>Xiaotian</w:t>
      </w:r>
      <w:proofErr w:type="spellEnd"/>
      <w:r>
        <w:rPr>
          <w:rFonts w:cs="Times New Roman"/>
          <w:color w:val="000000" w:themeColor="text1"/>
          <w:szCs w:val="24"/>
        </w:rPr>
        <w:t xml:space="preserve"> Li, </w:t>
      </w:r>
      <w:proofErr w:type="spellStart"/>
      <w:r>
        <w:rPr>
          <w:rFonts w:cs="Times New Roman"/>
          <w:color w:val="000000" w:themeColor="text1"/>
          <w:szCs w:val="24"/>
        </w:rPr>
        <w:t>Xiqiao</w:t>
      </w:r>
      <w:proofErr w:type="spellEnd"/>
      <w:r>
        <w:rPr>
          <w:rFonts w:cs="Times New Roman"/>
          <w:color w:val="000000" w:themeColor="text1"/>
          <w:szCs w:val="24"/>
        </w:rPr>
        <w:t xml:space="preserve"> Cheng, </w:t>
      </w:r>
      <w:proofErr w:type="spellStart"/>
      <w:r>
        <w:rPr>
          <w:rFonts w:cs="Times New Roman"/>
          <w:color w:val="000000" w:themeColor="text1"/>
          <w:szCs w:val="24"/>
        </w:rPr>
        <w:t>Shiwei</w:t>
      </w:r>
      <w:proofErr w:type="spellEnd"/>
      <w:r>
        <w:rPr>
          <w:rFonts w:cs="Times New Roman"/>
          <w:color w:val="000000" w:themeColor="text1"/>
          <w:szCs w:val="24"/>
        </w:rPr>
        <w:t xml:space="preserve"> Zhang, </w:t>
      </w:r>
      <w:proofErr w:type="spellStart"/>
      <w:r>
        <w:rPr>
          <w:rFonts w:cs="Times New Roman" w:hint="eastAsia"/>
          <w:color w:val="000000" w:themeColor="text1"/>
          <w:szCs w:val="24"/>
        </w:rPr>
        <w:t>X</w:t>
      </w:r>
      <w:r>
        <w:rPr>
          <w:rFonts w:cs="Times New Roman"/>
          <w:color w:val="000000" w:themeColor="text1"/>
          <w:szCs w:val="24"/>
        </w:rPr>
        <w:t>i</w:t>
      </w:r>
      <w:r>
        <w:rPr>
          <w:rFonts w:cs="Times New Roman" w:hint="eastAsia"/>
          <w:color w:val="000000" w:themeColor="text1"/>
          <w:szCs w:val="24"/>
        </w:rPr>
        <w:t>nyu</w:t>
      </w:r>
      <w:proofErr w:type="spellEnd"/>
      <w:r>
        <w:rPr>
          <w:rFonts w:cs="Times New Roman"/>
          <w:color w:val="000000" w:themeColor="text1"/>
          <w:szCs w:val="24"/>
        </w:rPr>
        <w:t xml:space="preserve"> Zh</w:t>
      </w:r>
      <w:r>
        <w:rPr>
          <w:rFonts w:cs="Times New Roman" w:hint="eastAsia"/>
          <w:color w:val="000000" w:themeColor="text1"/>
          <w:szCs w:val="24"/>
        </w:rPr>
        <w:t>ou</w:t>
      </w:r>
      <w:r>
        <w:rPr>
          <w:rFonts w:cs="Times New Roman"/>
          <w:color w:val="000000" w:themeColor="text1"/>
          <w:szCs w:val="24"/>
        </w:rPr>
        <w:t xml:space="preserve">, </w:t>
      </w:r>
      <w:r>
        <w:rPr>
          <w:rFonts w:cs="Times New Roman"/>
          <w:bCs/>
          <w:color w:val="000000" w:themeColor="text1"/>
          <w:szCs w:val="24"/>
          <w:lang w:val="de-DE"/>
        </w:rPr>
        <w:t>Miao Du</w:t>
      </w:r>
      <w:r>
        <w:rPr>
          <w:rFonts w:cs="Times New Roman"/>
          <w:bCs/>
          <w:color w:val="000000" w:themeColor="text1"/>
          <w:szCs w:val="24"/>
          <w:vertAlign w:val="superscript"/>
          <w:lang w:val="de-DE"/>
        </w:rPr>
        <w:t>*</w:t>
      </w:r>
    </w:p>
    <w:p w14:paraId="41354EB9" w14:textId="77777777" w:rsidR="00986793" w:rsidRDefault="00986793" w:rsidP="00986793">
      <w:pPr>
        <w:spacing w:line="360" w:lineRule="auto"/>
        <w:ind w:rightChars="20" w:right="48"/>
        <w:jc w:val="left"/>
        <w:rPr>
          <w:rFonts w:cs="Times New Roman"/>
          <w:color w:val="000000" w:themeColor="text1"/>
          <w:szCs w:val="24"/>
          <w:lang w:val="de-DE"/>
        </w:rPr>
      </w:pPr>
    </w:p>
    <w:p w14:paraId="3519E8BF" w14:textId="77777777" w:rsidR="00986793" w:rsidRDefault="00986793" w:rsidP="00986793">
      <w:pPr>
        <w:spacing w:line="360" w:lineRule="auto"/>
        <w:ind w:rightChars="20" w:right="48"/>
        <w:jc w:val="left"/>
        <w:rPr>
          <w:rFonts w:cs="Times New Roman"/>
          <w:i/>
          <w:color w:val="000000" w:themeColor="text1"/>
          <w:szCs w:val="24"/>
        </w:rPr>
      </w:pPr>
      <w:r>
        <w:rPr>
          <w:rFonts w:cs="Times New Roman"/>
          <w:i/>
          <w:color w:val="000000" w:themeColor="text1"/>
          <w:szCs w:val="24"/>
        </w:rPr>
        <w:t>College of New Energy, Collaborative Innovation Center for New Energy Vehicle of Henan Province, Zhengzhou University of Light Industry, Zhengzhou 450002, China</w:t>
      </w:r>
    </w:p>
    <w:p w14:paraId="3E02C38D" w14:textId="77777777" w:rsidR="00986793" w:rsidRDefault="00986793" w:rsidP="00986793">
      <w:pPr>
        <w:rPr>
          <w:rFonts w:cs="Times New Roman"/>
          <w:szCs w:val="24"/>
        </w:rPr>
      </w:pPr>
    </w:p>
    <w:p w14:paraId="679EE06D" w14:textId="0B14BBBD" w:rsidR="00986793" w:rsidRDefault="00986793" w:rsidP="00986793">
      <w:pPr>
        <w:widowControl/>
        <w:spacing w:line="360" w:lineRule="auto"/>
        <w:jc w:val="left"/>
        <w:rPr>
          <w:rFonts w:cs="Times New Roman"/>
          <w:color w:val="000000" w:themeColor="text1"/>
          <w:szCs w:val="24"/>
        </w:rPr>
      </w:pPr>
      <w:r>
        <w:rPr>
          <w:rFonts w:cs="Times New Roman"/>
          <w:color w:val="000000" w:themeColor="text1"/>
          <w:szCs w:val="24"/>
        </w:rPr>
        <w:t>*Corresponding author. Tel.: +86-0371-6362-4381; fax: +86-0371-6362-4381; E-mail address: zhangjun@zzuli.edu.cn (J. Zhang), dumiao@zzuli.edu.cn (M. Du).</w:t>
      </w:r>
    </w:p>
    <w:p w14:paraId="526639BB" w14:textId="77777777" w:rsidR="003C50E1" w:rsidRDefault="00F32BF9">
      <w:pPr>
        <w:widowControl/>
        <w:spacing w:line="240" w:lineRule="auto"/>
        <w:jc w:val="left"/>
        <w:rPr>
          <w:rFonts w:cs="Times New Roman"/>
          <w:color w:val="000000" w:themeColor="text1"/>
          <w:szCs w:val="24"/>
        </w:rPr>
      </w:pPr>
      <w:r>
        <w:rPr>
          <w:rFonts w:cs="Times New Roman"/>
          <w:color w:val="000000" w:themeColor="text1"/>
          <w:szCs w:val="24"/>
        </w:rPr>
        <w:br w:type="page"/>
      </w:r>
    </w:p>
    <w:p w14:paraId="36C18EEE" w14:textId="77777777" w:rsidR="003C50E1" w:rsidRDefault="00F32BF9">
      <w:pPr>
        <w:spacing w:line="360" w:lineRule="auto"/>
        <w:rPr>
          <w:rFonts w:cs="Times New Roman"/>
          <w:b/>
          <w:bCs/>
        </w:rPr>
      </w:pPr>
      <w:r>
        <w:rPr>
          <w:rFonts w:cs="Times New Roman"/>
          <w:b/>
          <w:bCs/>
        </w:rPr>
        <w:lastRenderedPageBreak/>
        <w:t>Table of Contents</w:t>
      </w:r>
    </w:p>
    <w:p w14:paraId="3A950BB1" w14:textId="77777777" w:rsidR="003C50E1" w:rsidRDefault="00F32BF9">
      <w:pPr>
        <w:pStyle w:val="11"/>
        <w:rPr>
          <w14:ligatures w14:val="standardContextual"/>
        </w:rPr>
      </w:pPr>
      <w:bookmarkStart w:id="0" w:name="OLE_LINK6"/>
      <w:r>
        <w:rPr>
          <w:rFonts w:eastAsia="宋体"/>
        </w:rPr>
        <w:t>Supplementary</w:t>
      </w:r>
      <w:bookmarkEnd w:id="0"/>
      <w:r>
        <w:rPr>
          <w:rFonts w:eastAsia="宋体"/>
        </w:rPr>
        <w:t xml:space="preserve"> </w:t>
      </w:r>
      <w:r>
        <w:rPr>
          <w:rFonts w:eastAsia="宋体"/>
        </w:rPr>
        <w:fldChar w:fldCharType="begin"/>
      </w:r>
      <w:r>
        <w:rPr>
          <w:rFonts w:eastAsia="宋体"/>
        </w:rPr>
        <w:instrText xml:space="preserve"> TOC \o "1-3" \h \z \u </w:instrText>
      </w:r>
      <w:r>
        <w:rPr>
          <w:rFonts w:eastAsia="宋体"/>
        </w:rPr>
        <w:fldChar w:fldCharType="separate"/>
      </w:r>
      <w:hyperlink w:anchor="_Toc172305011" w:history="1">
        <w:r>
          <w:rPr>
            <w:rStyle w:val="a8"/>
          </w:rPr>
          <w:t>Method</w:t>
        </w:r>
        <w:r>
          <w:tab/>
        </w:r>
        <w:r>
          <w:fldChar w:fldCharType="begin"/>
        </w:r>
        <w:r>
          <w:instrText xml:space="preserve"> PAGEREF _Toc172305011 \h </w:instrText>
        </w:r>
        <w:r>
          <w:fldChar w:fldCharType="separate"/>
        </w:r>
        <w:r>
          <w:t>3</w:t>
        </w:r>
        <w:r>
          <w:fldChar w:fldCharType="end"/>
        </w:r>
      </w:hyperlink>
    </w:p>
    <w:p w14:paraId="02EE46DE" w14:textId="77777777" w:rsidR="003C50E1" w:rsidRDefault="00F32BF9">
      <w:pPr>
        <w:pStyle w:val="11"/>
        <w:rPr>
          <w14:ligatures w14:val="standardContextual"/>
        </w:rPr>
      </w:pPr>
      <w:bookmarkStart w:id="1" w:name="OLE_LINK5"/>
      <w:r>
        <w:t>Supplementary</w:t>
      </w:r>
      <w:bookmarkEnd w:id="1"/>
      <w:r>
        <w:fldChar w:fldCharType="begin"/>
      </w:r>
      <w:r>
        <w:instrText xml:space="preserve"> HYPERLINK \l "_Toc172305012" </w:instrText>
      </w:r>
      <w:r>
        <w:fldChar w:fldCharType="separate"/>
      </w:r>
      <w:r>
        <w:rPr>
          <w:rStyle w:val="a8"/>
          <w:rFonts w:eastAsia="宋体"/>
          <w:sz w:val="24"/>
        </w:rPr>
        <w:t xml:space="preserve"> </w:t>
      </w:r>
      <w:r>
        <w:rPr>
          <w:rStyle w:val="a8"/>
        </w:rPr>
        <w:t xml:space="preserve">Figures </w:t>
      </w:r>
      <w:r>
        <w:rPr>
          <w:rStyle w:val="a8"/>
          <w:rFonts w:eastAsia="宋体"/>
        </w:rPr>
        <w:t>S1-S25</w:t>
      </w:r>
      <w:r>
        <w:rPr>
          <w:rStyle w:val="a8"/>
        </w:rPr>
        <w:tab/>
      </w:r>
      <w:r>
        <w:rPr>
          <w:rStyle w:val="a8"/>
        </w:rPr>
        <w:fldChar w:fldCharType="begin"/>
      </w:r>
      <w:r>
        <w:rPr>
          <w:rStyle w:val="a8"/>
        </w:rPr>
        <w:instrText xml:space="preserve"> PAGEREF _Toc172305012 \h </w:instrText>
      </w:r>
      <w:r>
        <w:rPr>
          <w:rStyle w:val="a8"/>
        </w:rPr>
      </w:r>
      <w:r>
        <w:rPr>
          <w:rStyle w:val="a8"/>
        </w:rPr>
        <w:fldChar w:fldCharType="separate"/>
      </w:r>
      <w:r>
        <w:rPr>
          <w:rStyle w:val="a8"/>
        </w:rPr>
        <w:t>7</w:t>
      </w:r>
      <w:r>
        <w:rPr>
          <w:rStyle w:val="a8"/>
        </w:rPr>
        <w:fldChar w:fldCharType="end"/>
      </w:r>
      <w:r>
        <w:fldChar w:fldCharType="end"/>
      </w:r>
    </w:p>
    <w:p w14:paraId="0A2163A8" w14:textId="77777777" w:rsidR="003C50E1" w:rsidRDefault="00F32BF9">
      <w:pPr>
        <w:pStyle w:val="11"/>
        <w:rPr>
          <w14:ligatures w14:val="standardContextual"/>
        </w:rPr>
      </w:pPr>
      <w:r>
        <w:t>Supplementary</w:t>
      </w:r>
      <w:r>
        <w:rPr>
          <w:rFonts w:eastAsia="宋体"/>
          <w:sz w:val="24"/>
        </w:rPr>
        <w:t xml:space="preserve"> </w:t>
      </w:r>
      <w:r>
        <w:t xml:space="preserve">Tables </w:t>
      </w:r>
      <w:hyperlink w:anchor="_Toc172305013" w:history="1">
        <w:r>
          <w:rPr>
            <w:rStyle w:val="a8"/>
            <w:rFonts w:eastAsia="宋体"/>
          </w:rPr>
          <w:t>S1-S4</w:t>
        </w:r>
        <w:r>
          <w:tab/>
        </w:r>
        <w:r>
          <w:fldChar w:fldCharType="begin"/>
        </w:r>
        <w:r>
          <w:instrText xml:space="preserve"> PAGEREF _Toc172305013 \h </w:instrText>
        </w:r>
        <w:r>
          <w:fldChar w:fldCharType="separate"/>
        </w:r>
        <w:r>
          <w:t>32</w:t>
        </w:r>
        <w:r>
          <w:fldChar w:fldCharType="end"/>
        </w:r>
      </w:hyperlink>
    </w:p>
    <w:p w14:paraId="3DF8CF91" w14:textId="77777777" w:rsidR="003C50E1" w:rsidRDefault="00F32BF9">
      <w:pPr>
        <w:pStyle w:val="11"/>
        <w:rPr>
          <w14:ligatures w14:val="standardContextual"/>
        </w:rPr>
      </w:pPr>
      <w:r>
        <w:t xml:space="preserve">Supplementary </w:t>
      </w:r>
      <w:hyperlink w:anchor="_Toc172305014" w:history="1">
        <w:r>
          <w:rPr>
            <w:rStyle w:val="a8"/>
          </w:rPr>
          <w:t>References</w:t>
        </w:r>
        <w:r>
          <w:tab/>
        </w:r>
        <w:r>
          <w:fldChar w:fldCharType="begin"/>
        </w:r>
        <w:r>
          <w:instrText xml:space="preserve"> PAGEREF _Toc172305014 \h </w:instrText>
        </w:r>
        <w:r>
          <w:fldChar w:fldCharType="separate"/>
        </w:r>
        <w:r>
          <w:t>36</w:t>
        </w:r>
        <w:r>
          <w:fldChar w:fldCharType="end"/>
        </w:r>
      </w:hyperlink>
    </w:p>
    <w:p w14:paraId="0D3FCC9B" w14:textId="77777777" w:rsidR="003C50E1" w:rsidRDefault="00F32BF9">
      <w:pPr>
        <w:spacing w:line="360" w:lineRule="auto"/>
        <w:rPr>
          <w:rFonts w:cs="Times New Roman"/>
        </w:rPr>
      </w:pPr>
      <w:r>
        <w:rPr>
          <w:rFonts w:cs="Times New Roman"/>
        </w:rPr>
        <w:fldChar w:fldCharType="end"/>
      </w:r>
    </w:p>
    <w:p w14:paraId="6398FFD1" w14:textId="77777777" w:rsidR="003C50E1" w:rsidRDefault="00F32BF9">
      <w:pPr>
        <w:widowControl/>
        <w:spacing w:line="360" w:lineRule="auto"/>
        <w:jc w:val="left"/>
        <w:rPr>
          <w:rFonts w:cs="Times New Roman"/>
        </w:rPr>
      </w:pPr>
      <w:r>
        <w:rPr>
          <w:rFonts w:cs="Times New Roman"/>
        </w:rPr>
        <w:br w:type="page"/>
      </w:r>
    </w:p>
    <w:p w14:paraId="7F9AE6E3" w14:textId="77777777" w:rsidR="003C50E1" w:rsidRDefault="00F32BF9">
      <w:pPr>
        <w:pStyle w:val="1"/>
        <w:spacing w:line="360" w:lineRule="auto"/>
        <w:rPr>
          <w:rFonts w:ascii="Times New Roman" w:eastAsia="宋体" w:hAnsi="Times New Roman" w:cs="Times New Roman"/>
          <w:sz w:val="28"/>
          <w:szCs w:val="28"/>
        </w:rPr>
      </w:pPr>
      <w:bookmarkStart w:id="2" w:name="_Toc172305011"/>
      <w:r>
        <w:rPr>
          <w:rFonts w:ascii="Times New Roman" w:hAnsi="Times New Roman" w:cs="Times New Roman"/>
          <w:sz w:val="28"/>
          <w:szCs w:val="28"/>
        </w:rPr>
        <w:lastRenderedPageBreak/>
        <w:t>Supplementary Method</w:t>
      </w:r>
      <w:bookmarkEnd w:id="2"/>
    </w:p>
    <w:p w14:paraId="74989D3B" w14:textId="77777777" w:rsidR="003C50E1" w:rsidRDefault="00F32BF9">
      <w:pPr>
        <w:numPr>
          <w:ilvl w:val="0"/>
          <w:numId w:val="1"/>
        </w:numPr>
        <w:spacing w:line="360" w:lineRule="auto"/>
        <w:ind w:firstLineChars="200" w:firstLine="480"/>
        <w:rPr>
          <w:rFonts w:cs="Times New Roman"/>
        </w:rPr>
      </w:pPr>
      <w:r>
        <w:rPr>
          <w:rFonts w:cs="Times New Roman"/>
        </w:rPr>
        <w:t>Preparation of Capacitor Electrodes</w:t>
      </w:r>
    </w:p>
    <w:p w14:paraId="1DD4C98F" w14:textId="77777777" w:rsidR="003C50E1" w:rsidRDefault="00F32BF9">
      <w:pPr>
        <w:spacing w:line="360" w:lineRule="auto"/>
        <w:ind w:firstLineChars="200" w:firstLine="480"/>
        <w:rPr>
          <w:rFonts w:cs="Times New Roman"/>
        </w:rPr>
      </w:pPr>
      <w:r>
        <w:rPr>
          <w:rFonts w:cs="Times New Roman"/>
        </w:rPr>
        <w:t>The capacitor powder was mixed with PTFE at a mass ratio of 9:1 in an appropriate amount of ethanol solution to form a homogeneous slurry. The slurry was thoroughly stirred, pressed onto a titanium mesh (3 × 3 cm) at a pressure of 10 MPa for 30 minutes, and then dried to obtain the capacitor electrode (AC).</w:t>
      </w:r>
    </w:p>
    <w:p w14:paraId="074546CC" w14:textId="77777777" w:rsidR="003C50E1" w:rsidRDefault="00F32BF9">
      <w:pPr>
        <w:spacing w:line="360" w:lineRule="auto"/>
        <w:ind w:firstLineChars="200" w:firstLine="480"/>
        <w:rPr>
          <w:rFonts w:cs="Times New Roman"/>
        </w:rPr>
      </w:pPr>
      <w:r>
        <w:rPr>
          <w:rFonts w:cs="Times New Roman"/>
        </w:rPr>
        <w:t>2. Preparation of Ti</w:t>
      </w:r>
      <w:r>
        <w:rPr>
          <w:rFonts w:cs="Times New Roman"/>
          <w:vertAlign w:val="subscript"/>
        </w:rPr>
        <w:t>3</w:t>
      </w:r>
      <w:r>
        <w:rPr>
          <w:rFonts w:cs="Times New Roman"/>
        </w:rPr>
        <w:t>C</w:t>
      </w:r>
      <w:r>
        <w:rPr>
          <w:rFonts w:cs="Times New Roman"/>
          <w:vertAlign w:val="subscript"/>
        </w:rPr>
        <w:t>2</w:t>
      </w:r>
    </w:p>
    <w:p w14:paraId="07B9BD68" w14:textId="77777777" w:rsidR="003C50E1" w:rsidRDefault="00F32BF9">
      <w:pPr>
        <w:spacing w:line="360" w:lineRule="auto"/>
        <w:ind w:firstLineChars="200" w:firstLine="480"/>
        <w:rPr>
          <w:rFonts w:cs="Times New Roman"/>
        </w:rPr>
      </w:pPr>
      <w:r>
        <w:rPr>
          <w:rFonts w:cs="Times New Roman"/>
        </w:rPr>
        <w:t>Ti</w:t>
      </w:r>
      <w:r>
        <w:rPr>
          <w:rFonts w:cs="Times New Roman"/>
          <w:vertAlign w:val="subscript"/>
        </w:rPr>
        <w:t>3</w:t>
      </w:r>
      <w:r>
        <w:rPr>
          <w:rFonts w:cs="Times New Roman"/>
        </w:rPr>
        <w:t>C</w:t>
      </w:r>
      <w:r>
        <w:rPr>
          <w:rFonts w:cs="Times New Roman"/>
          <w:vertAlign w:val="subscript"/>
        </w:rPr>
        <w:t>2</w:t>
      </w:r>
      <w:r>
        <w:rPr>
          <w:rFonts w:cs="Times New Roman"/>
        </w:rPr>
        <w:t xml:space="preserve"> </w:t>
      </w:r>
      <w:proofErr w:type="spellStart"/>
      <w:r>
        <w:rPr>
          <w:rFonts w:cs="Times New Roman"/>
        </w:rPr>
        <w:t>MXene</w:t>
      </w:r>
      <w:proofErr w:type="spellEnd"/>
      <w:r>
        <w:rPr>
          <w:rFonts w:cs="Times New Roman"/>
        </w:rPr>
        <w:t xml:space="preserve"> was prepared from Ti</w:t>
      </w:r>
      <w:r>
        <w:rPr>
          <w:rFonts w:cs="Times New Roman"/>
          <w:vertAlign w:val="subscript"/>
        </w:rPr>
        <w:t>3</w:t>
      </w:r>
      <w:r>
        <w:rPr>
          <w:rFonts w:cs="Times New Roman"/>
        </w:rPr>
        <w:t>AlC</w:t>
      </w:r>
      <w:r>
        <w:rPr>
          <w:rFonts w:cs="Times New Roman"/>
          <w:vertAlign w:val="subscript"/>
        </w:rPr>
        <w:t>2</w:t>
      </w:r>
      <w:r>
        <w:rPr>
          <w:rFonts w:cs="Times New Roman"/>
        </w:rPr>
        <w:t xml:space="preserve"> by selectively etching the Al layer. Specifically, 5 g of Ti</w:t>
      </w:r>
      <w:r>
        <w:rPr>
          <w:rFonts w:cs="Times New Roman"/>
          <w:vertAlign w:val="subscript"/>
        </w:rPr>
        <w:t>3</w:t>
      </w:r>
      <w:r>
        <w:rPr>
          <w:rFonts w:cs="Times New Roman"/>
        </w:rPr>
        <w:t>AlC</w:t>
      </w:r>
      <w:r>
        <w:rPr>
          <w:rFonts w:cs="Times New Roman"/>
          <w:vertAlign w:val="subscript"/>
        </w:rPr>
        <w:t>2</w:t>
      </w:r>
      <w:r>
        <w:rPr>
          <w:rFonts w:cs="Times New Roman"/>
        </w:rPr>
        <w:t xml:space="preserve"> powder was immersed in 50 mL of an etchant solution containing 50% HF with magnetic stirring for 24 hours. The resulting Ti</w:t>
      </w:r>
      <w:r>
        <w:rPr>
          <w:rFonts w:cs="Times New Roman"/>
          <w:vertAlign w:val="subscript"/>
        </w:rPr>
        <w:t>3</w:t>
      </w:r>
      <w:r>
        <w:rPr>
          <w:rFonts w:cs="Times New Roman"/>
        </w:rPr>
        <w:t>C</w:t>
      </w:r>
      <w:r>
        <w:rPr>
          <w:rFonts w:cs="Times New Roman"/>
          <w:vertAlign w:val="subscript"/>
        </w:rPr>
        <w:t>2</w:t>
      </w:r>
      <w:r>
        <w:rPr>
          <w:rFonts w:cs="Times New Roman"/>
        </w:rPr>
        <w:t xml:space="preserve"> </w:t>
      </w:r>
      <w:proofErr w:type="spellStart"/>
      <w:r>
        <w:rPr>
          <w:rFonts w:cs="Times New Roman"/>
        </w:rPr>
        <w:t>MXene</w:t>
      </w:r>
      <w:proofErr w:type="spellEnd"/>
      <w:r>
        <w:rPr>
          <w:rFonts w:cs="Times New Roman"/>
        </w:rPr>
        <w:t xml:space="preserve"> powder was then filtered and washed with distilled water until the pH exceeded 6. Finally, the obtained Ti</w:t>
      </w:r>
      <w:r>
        <w:rPr>
          <w:rFonts w:cs="Times New Roman"/>
          <w:vertAlign w:val="subscript"/>
        </w:rPr>
        <w:t>3</w:t>
      </w:r>
      <w:r>
        <w:rPr>
          <w:rFonts w:cs="Times New Roman"/>
        </w:rPr>
        <w:t>C</w:t>
      </w:r>
      <w:r>
        <w:rPr>
          <w:rFonts w:cs="Times New Roman"/>
          <w:vertAlign w:val="subscript"/>
        </w:rPr>
        <w:t>2</w:t>
      </w:r>
      <w:r>
        <w:rPr>
          <w:rFonts w:cs="Times New Roman"/>
        </w:rPr>
        <w:t xml:space="preserve"> powder was dried overnight in a vacuum oven at 60 °C.</w:t>
      </w:r>
    </w:p>
    <w:p w14:paraId="7BA3E238" w14:textId="77777777" w:rsidR="003C50E1" w:rsidRDefault="00F32BF9">
      <w:pPr>
        <w:spacing w:line="360" w:lineRule="auto"/>
        <w:ind w:firstLineChars="200" w:firstLine="480"/>
        <w:rPr>
          <w:rFonts w:cs="Times New Roman"/>
        </w:rPr>
      </w:pPr>
      <w:r>
        <w:rPr>
          <w:rFonts w:cs="Times New Roman"/>
        </w:rPr>
        <w:t>3. Inductively Coupled Plasma Optical Emission Spectrometer (ICP-OES)</w:t>
      </w:r>
    </w:p>
    <w:p w14:paraId="592A7B53" w14:textId="77777777" w:rsidR="003C50E1" w:rsidRDefault="00F32BF9">
      <w:pPr>
        <w:spacing w:line="360" w:lineRule="auto"/>
        <w:ind w:firstLineChars="200" w:firstLine="480"/>
        <w:rPr>
          <w:rFonts w:cs="Times New Roman"/>
        </w:rPr>
      </w:pPr>
      <w:r>
        <w:rPr>
          <w:rFonts w:cs="Times New Roman"/>
        </w:rPr>
        <w:t>The concentration of K</w:t>
      </w:r>
      <w:r>
        <w:rPr>
          <w:rFonts w:cs="Times New Roman"/>
          <w:vertAlign w:val="superscript"/>
        </w:rPr>
        <w:t>+</w:t>
      </w:r>
      <w:r>
        <w:rPr>
          <w:rFonts w:cs="Times New Roman"/>
        </w:rPr>
        <w:t xml:space="preserve"> ions in the capacitor chamber was determined using an Agilent 720ES Inductively Coupled Plasma Optical Emission Spectrometer. The specific testing parameters are listed in Table S1.</w:t>
      </w:r>
    </w:p>
    <w:p w14:paraId="4DC9F817" w14:textId="77777777" w:rsidR="003C50E1" w:rsidRDefault="00F32BF9">
      <w:pPr>
        <w:spacing w:line="360" w:lineRule="auto"/>
        <w:ind w:firstLineChars="200" w:firstLine="480"/>
        <w:rPr>
          <w:rFonts w:cs="Times New Roman"/>
        </w:rPr>
      </w:pPr>
      <w:r>
        <w:rPr>
          <w:rFonts w:cs="Times New Roman"/>
        </w:rPr>
        <w:t>4.</w:t>
      </w:r>
      <w:r>
        <w:rPr>
          <w:rFonts w:cs="Times New Roman"/>
          <w:color w:val="333333"/>
          <w:sz w:val="21"/>
          <w:szCs w:val="21"/>
          <w:shd w:val="clear" w:color="auto" w:fill="FFFFFF"/>
        </w:rPr>
        <w:t xml:space="preserve"> </w:t>
      </w:r>
      <w:r>
        <w:rPr>
          <w:rFonts w:cs="Times New Roman"/>
        </w:rPr>
        <w:t>Ion Chromatography (IC)</w:t>
      </w:r>
    </w:p>
    <w:p w14:paraId="583F7B7F" w14:textId="77777777" w:rsidR="003C50E1" w:rsidRDefault="00F32BF9">
      <w:pPr>
        <w:spacing w:line="360" w:lineRule="auto"/>
        <w:ind w:firstLineChars="200" w:firstLine="480"/>
        <w:rPr>
          <w:rFonts w:cs="Times New Roman"/>
        </w:rPr>
      </w:pPr>
      <w:r>
        <w:rPr>
          <w:rFonts w:cs="Times New Roman"/>
        </w:rPr>
        <w:t>The concentration of Cl⁻ ions in the capacitor chamber was determined using a DIONEX AQUION RFIC Ion Chromatograph. The specific testing parameters are listed in Table S2.</w:t>
      </w:r>
    </w:p>
    <w:p w14:paraId="16719B9E" w14:textId="77777777" w:rsidR="003C50E1" w:rsidRDefault="00F32BF9">
      <w:pPr>
        <w:spacing w:line="360" w:lineRule="auto"/>
        <w:ind w:firstLineChars="200" w:firstLine="480"/>
        <w:rPr>
          <w:rFonts w:cs="Times New Roman"/>
        </w:rPr>
      </w:pPr>
      <w:r>
        <w:rPr>
          <w:rFonts w:cs="Times New Roman"/>
        </w:rPr>
        <w:t>5. Microstructural Morphology Analysis (SEM)</w:t>
      </w:r>
    </w:p>
    <w:p w14:paraId="1F6BC621" w14:textId="77777777" w:rsidR="003C50E1" w:rsidRDefault="00F32BF9">
      <w:pPr>
        <w:spacing w:line="360" w:lineRule="auto"/>
        <w:ind w:firstLineChars="200" w:firstLine="480"/>
        <w:rPr>
          <w:rFonts w:cs="Times New Roman"/>
        </w:rPr>
      </w:pPr>
      <w:bookmarkStart w:id="3" w:name="_Hlk169947784"/>
      <w:r>
        <w:rPr>
          <w:rFonts w:cs="Times New Roman"/>
        </w:rPr>
        <w:t>To observe the microstructure and morphology of the capacitor powder, field emission scanning electron microscopy (FESEM) characterization was performed using a JSM-7001F instrument at an accelerating voltage of 10 kV and different magnifications.</w:t>
      </w:r>
      <w:bookmarkEnd w:id="3"/>
    </w:p>
    <w:p w14:paraId="049CAFA4" w14:textId="77777777" w:rsidR="003C50E1" w:rsidRDefault="00F32BF9">
      <w:pPr>
        <w:spacing w:line="360" w:lineRule="auto"/>
        <w:ind w:firstLineChars="200" w:firstLine="480"/>
        <w:rPr>
          <w:rFonts w:cs="Times New Roman"/>
        </w:rPr>
      </w:pPr>
      <w:r>
        <w:rPr>
          <w:rFonts w:cs="Times New Roman"/>
        </w:rPr>
        <w:t>6. Elemental Composition Analysis (XPS)</w:t>
      </w:r>
    </w:p>
    <w:p w14:paraId="0A0ADD48" w14:textId="77777777" w:rsidR="003C50E1" w:rsidRDefault="00F32BF9">
      <w:pPr>
        <w:spacing w:line="360" w:lineRule="auto"/>
        <w:ind w:firstLineChars="200" w:firstLine="480"/>
        <w:rPr>
          <w:rFonts w:cs="Times New Roman"/>
        </w:rPr>
      </w:pPr>
      <w:r>
        <w:rPr>
          <w:rFonts w:cs="Times New Roman"/>
        </w:rPr>
        <w:t xml:space="preserve">To investigate the potential adsorption of K⁺ and Cl⁻ on the surface of the capacitor powder before and after the reaction, X-ray photoelectron spectroscopy (XPS) analysis </w:t>
      </w:r>
      <w:r>
        <w:rPr>
          <w:rFonts w:cs="Times New Roman"/>
        </w:rPr>
        <w:lastRenderedPageBreak/>
        <w:t>was conducted to determine the elemental composition, content, and chemical states. The analysis of C, K, and Cl elements on the capacitor powder before and after the reaction was performed using a Thermo Scientific ESCALAB Xi X-ray photoelectron spectrometer.</w:t>
      </w:r>
    </w:p>
    <w:p w14:paraId="5DD7B732" w14:textId="77777777" w:rsidR="003C50E1" w:rsidRDefault="00F32BF9">
      <w:pPr>
        <w:spacing w:line="360" w:lineRule="auto"/>
        <w:ind w:firstLineChars="200" w:firstLine="480"/>
        <w:rPr>
          <w:rFonts w:cs="Times New Roman"/>
        </w:rPr>
      </w:pPr>
      <w:r>
        <w:rPr>
          <w:rFonts w:cs="Times New Roman"/>
        </w:rPr>
        <w:t>7. Energy Dispersive Spectrometer (EDS)</w:t>
      </w:r>
    </w:p>
    <w:p w14:paraId="379BE12A" w14:textId="77777777" w:rsidR="003C50E1" w:rsidRDefault="00F32BF9">
      <w:pPr>
        <w:spacing w:line="360" w:lineRule="auto"/>
        <w:ind w:firstLineChars="200" w:firstLine="480"/>
        <w:rPr>
          <w:rFonts w:cs="Times New Roman"/>
        </w:rPr>
      </w:pPr>
      <w:r>
        <w:rPr>
          <w:rFonts w:cs="Times New Roman"/>
        </w:rPr>
        <w:t>To further investigate the adsorption of K⁺ and Cl⁻ on the surface of the capacitor powder before and after the reaction, Energy Dispersive X-ray Spectroscopy (EDS) analysis was performed using an EDAX Element spectrometer to analyze the composition and content of elements such as C, K, and Cl on the capacitor powder after adsorption.</w:t>
      </w:r>
    </w:p>
    <w:p w14:paraId="7219E697" w14:textId="77777777" w:rsidR="003C50E1" w:rsidRDefault="00F32BF9">
      <w:pPr>
        <w:spacing w:line="360" w:lineRule="auto"/>
        <w:ind w:firstLineChars="200" w:firstLine="480"/>
        <w:rPr>
          <w:rFonts w:cs="Times New Roman"/>
        </w:rPr>
      </w:pPr>
      <w:r>
        <w:rPr>
          <w:rFonts w:cs="Times New Roman"/>
        </w:rPr>
        <w:t>8. Cyclic Voltammetry (CV) Tests</w:t>
      </w:r>
    </w:p>
    <w:p w14:paraId="66B022FE" w14:textId="77777777" w:rsidR="003C50E1" w:rsidRDefault="00F32BF9">
      <w:pPr>
        <w:spacing w:line="360" w:lineRule="auto"/>
        <w:ind w:firstLineChars="200" w:firstLine="480"/>
        <w:rPr>
          <w:rFonts w:cs="Times New Roman"/>
        </w:rPr>
      </w:pPr>
      <w:r>
        <w:rPr>
          <w:rFonts w:cs="Times New Roman"/>
        </w:rPr>
        <w:t>Cyclic voltammetry (CV) tests were performed to investigate the redox characteristics and reversibility of the potassium ferricyanide/ferrocyanide (</w:t>
      </w:r>
      <w:proofErr w:type="gramStart"/>
      <w:r>
        <w:rPr>
          <w:rFonts w:cs="Times New Roman"/>
        </w:rPr>
        <w:t>Fe(</w:t>
      </w:r>
      <w:proofErr w:type="gramEnd"/>
      <w:r>
        <w:rPr>
          <w:rFonts w:cs="Times New Roman"/>
        </w:rPr>
        <w:t>CN)</w:t>
      </w:r>
      <w:r>
        <w:rPr>
          <w:rFonts w:cs="Times New Roman"/>
          <w:vertAlign w:val="subscript"/>
        </w:rPr>
        <w:t>6</w:t>
      </w:r>
      <w:r>
        <w:rPr>
          <w:rFonts w:cs="Times New Roman"/>
          <w:vertAlign w:val="superscript"/>
        </w:rPr>
        <w:t>3-/4-</w:t>
      </w:r>
      <w:r>
        <w:rPr>
          <w:rFonts w:cs="Times New Roman"/>
        </w:rPr>
        <w:t xml:space="preserve">) couple. The measurements were carried out using a three-electrode system in a mixed solution containing 0.005 M / 0.005 M </w:t>
      </w:r>
      <w:proofErr w:type="gramStart"/>
      <w:r>
        <w:rPr>
          <w:rFonts w:cs="Times New Roman"/>
        </w:rPr>
        <w:t>Fe(</w:t>
      </w:r>
      <w:proofErr w:type="gramEnd"/>
      <w:r>
        <w:rPr>
          <w:rFonts w:cs="Times New Roman"/>
        </w:rPr>
        <w:t>CN)</w:t>
      </w:r>
      <w:r>
        <w:rPr>
          <w:rFonts w:cs="Times New Roman"/>
          <w:vertAlign w:val="subscript"/>
        </w:rPr>
        <w:t>6</w:t>
      </w:r>
      <w:r>
        <w:rPr>
          <w:rFonts w:cs="Times New Roman"/>
          <w:vertAlign w:val="superscript"/>
        </w:rPr>
        <w:t>3-/4-</w:t>
      </w:r>
      <w:r>
        <w:rPr>
          <w:rFonts w:cs="Times New Roman"/>
        </w:rPr>
        <w:t>. A carbon cloth served as the working electrode, a Pt mesh as the counter electrode, and an Ag/AgCl electrode as the reference electrode. The potential was scanned between -0.4 V and 0.8 V at a scan rate of 50 mV s⁻</w:t>
      </w:r>
      <w:r>
        <w:rPr>
          <w:rFonts w:cs="Times New Roman"/>
          <w:vertAlign w:val="superscript"/>
        </w:rPr>
        <w:t>1</w:t>
      </w:r>
      <w:r>
        <w:rPr>
          <w:rFonts w:cs="Times New Roman"/>
        </w:rPr>
        <w:t xml:space="preserve">. To assess the redox stability, the </w:t>
      </w:r>
      <w:proofErr w:type="gramStart"/>
      <w:r>
        <w:rPr>
          <w:rFonts w:cs="Times New Roman"/>
        </w:rPr>
        <w:t>Fe(</w:t>
      </w:r>
      <w:proofErr w:type="gramEnd"/>
      <w:r>
        <w:rPr>
          <w:rFonts w:cs="Times New Roman"/>
        </w:rPr>
        <w:t>CN)</w:t>
      </w:r>
      <w:r>
        <w:rPr>
          <w:rFonts w:cs="Times New Roman"/>
          <w:vertAlign w:val="subscript"/>
        </w:rPr>
        <w:t>6</w:t>
      </w:r>
      <w:r>
        <w:rPr>
          <w:rFonts w:cs="Times New Roman"/>
          <w:vertAlign w:val="superscript"/>
        </w:rPr>
        <w:t>3-/4-</w:t>
      </w:r>
      <w:r>
        <w:rPr>
          <w:rFonts w:cs="Times New Roman"/>
        </w:rPr>
        <w:t xml:space="preserve"> couple was subjected to 2000 CV cycles under identical conditions, with tests conducted before and after this cycling procedure.</w:t>
      </w:r>
    </w:p>
    <w:p w14:paraId="0E3B5919" w14:textId="77777777" w:rsidR="003C50E1" w:rsidRDefault="00F32BF9">
      <w:pPr>
        <w:spacing w:line="360" w:lineRule="auto"/>
        <w:ind w:firstLineChars="200" w:firstLine="480"/>
        <w:rPr>
          <w:rFonts w:cs="Times New Roman"/>
        </w:rPr>
      </w:pPr>
      <w:r>
        <w:rPr>
          <w:rFonts w:cs="Times New Roman"/>
        </w:rPr>
        <w:t xml:space="preserve">In a two-electrode system, cyclic voltammetry measurements were conducted using a mixed solution of 0.2 M / 0.2 M </w:t>
      </w:r>
      <w:proofErr w:type="gramStart"/>
      <w:r>
        <w:rPr>
          <w:rFonts w:cs="Times New Roman"/>
        </w:rPr>
        <w:t>Fe(</w:t>
      </w:r>
      <w:proofErr w:type="gramEnd"/>
      <w:r>
        <w:rPr>
          <w:rFonts w:cs="Times New Roman"/>
        </w:rPr>
        <w:t>CN)</w:t>
      </w:r>
      <w:r>
        <w:rPr>
          <w:rFonts w:cs="Times New Roman"/>
          <w:vertAlign w:val="subscript"/>
        </w:rPr>
        <w:t>6</w:t>
      </w:r>
      <w:r>
        <w:rPr>
          <w:rFonts w:cs="Times New Roman"/>
          <w:vertAlign w:val="superscript"/>
        </w:rPr>
        <w:t>3-/4-</w:t>
      </w:r>
      <w:r>
        <w:rPr>
          <w:rFonts w:cs="Times New Roman"/>
        </w:rPr>
        <w:t>. A carbon cloth acted as the working electrode, while a Pt mesh served as both the counter and reference electrode. The potential was scanned from -0.6 V to 0.6 V at a scan rate of 50 mV s⁻</w:t>
      </w:r>
      <w:r>
        <w:rPr>
          <w:rFonts w:cs="Times New Roman"/>
          <w:vertAlign w:val="superscript"/>
        </w:rPr>
        <w:t>1</w:t>
      </w:r>
      <w:r>
        <w:rPr>
          <w:rFonts w:cs="Times New Roman"/>
        </w:rPr>
        <w:t>.</w:t>
      </w:r>
    </w:p>
    <w:p w14:paraId="15D5BA00" w14:textId="77777777" w:rsidR="003C50E1" w:rsidRDefault="00F32BF9">
      <w:pPr>
        <w:spacing w:line="360" w:lineRule="auto"/>
        <w:ind w:firstLineChars="200" w:firstLine="480"/>
        <w:rPr>
          <w:rFonts w:cs="Times New Roman"/>
        </w:rPr>
      </w:pPr>
      <w:r>
        <w:rPr>
          <w:rFonts w:cs="Times New Roman"/>
        </w:rPr>
        <w:t xml:space="preserve">To evaluate the adsorption capability of the capacitor powder, cyclic voltammetry (CV) tests were conducted in a three-electrode system. The electrolyte was 1 M </w:t>
      </w:r>
      <w:proofErr w:type="spellStart"/>
      <w:r>
        <w:rPr>
          <w:rFonts w:cs="Times New Roman"/>
        </w:rPr>
        <w:t>KCl</w:t>
      </w:r>
      <w:proofErr w:type="spellEnd"/>
      <w:r>
        <w:rPr>
          <w:rFonts w:cs="Times New Roman"/>
        </w:rPr>
        <w:t>, using the capacitor electrode as the working electrode and a Pt mesh as the counter electrode. The potential was scanned from 0.1 V to 0.5 V at a scan rate of 50 mV s⁻</w:t>
      </w:r>
      <w:r>
        <w:rPr>
          <w:rFonts w:cs="Times New Roman"/>
          <w:vertAlign w:val="superscript"/>
        </w:rPr>
        <w:t>1</w:t>
      </w:r>
      <w:r>
        <w:rPr>
          <w:rFonts w:cs="Times New Roman"/>
        </w:rPr>
        <w:t xml:space="preserve">. Furthermore, to investigate the change in capacitance before and after ion adsorption, the CV curves of the capacitor powder were recorded under identical conditions both </w:t>
      </w:r>
      <w:r>
        <w:rPr>
          <w:rFonts w:cs="Times New Roman"/>
        </w:rPr>
        <w:lastRenderedPageBreak/>
        <w:t>before and after the reaction.</w:t>
      </w:r>
    </w:p>
    <w:p w14:paraId="434D4207" w14:textId="77777777" w:rsidR="003C50E1" w:rsidRDefault="00F32BF9">
      <w:pPr>
        <w:spacing w:line="360" w:lineRule="auto"/>
        <w:ind w:firstLineChars="200" w:firstLine="480"/>
        <w:rPr>
          <w:rFonts w:cs="Times New Roman"/>
        </w:rPr>
      </w:pPr>
      <w:r>
        <w:rPr>
          <w:rFonts w:cs="Times New Roman"/>
        </w:rPr>
        <w:t>9. Galvanostatic charge-discharge (GCD)</w:t>
      </w:r>
    </w:p>
    <w:p w14:paraId="05EAF0F2" w14:textId="77777777" w:rsidR="003C50E1" w:rsidRDefault="00F32BF9">
      <w:pPr>
        <w:spacing w:line="360" w:lineRule="auto"/>
        <w:ind w:firstLineChars="200" w:firstLine="480"/>
        <w:rPr>
          <w:rFonts w:cs="Times New Roman"/>
        </w:rPr>
      </w:pPr>
      <w:r>
        <w:rPr>
          <w:rFonts w:cs="Times New Roman"/>
        </w:rPr>
        <w:t xml:space="preserve">Galvanostatic charge-discharge (GCD) tests were conducted to evaluate the specific capacitance of the capacitor powder. A three-electrode system was used, with 1 M </w:t>
      </w:r>
      <w:proofErr w:type="spellStart"/>
      <w:r>
        <w:rPr>
          <w:rFonts w:cs="Times New Roman"/>
        </w:rPr>
        <w:t>KCl</w:t>
      </w:r>
      <w:proofErr w:type="spellEnd"/>
      <w:r>
        <w:rPr>
          <w:rFonts w:cs="Times New Roman"/>
        </w:rPr>
        <w:t xml:space="preserve"> as the electrolyte, the capacitor electrode as the working electrode, a Pt mesh as the counter electrode, and an Ag/AgCl reference electrode. The voltage window was set to 0.8 V. GCD curves at different current densities were obtained by applying different constant currents.</w:t>
      </w:r>
    </w:p>
    <w:p w14:paraId="212A24B2" w14:textId="77777777" w:rsidR="003C50E1" w:rsidRDefault="00F32BF9">
      <w:pPr>
        <w:spacing w:line="360" w:lineRule="auto"/>
        <w:ind w:firstLineChars="200" w:firstLine="480"/>
        <w:rPr>
          <w:rFonts w:cs="Times New Roman"/>
        </w:rPr>
      </w:pPr>
      <w:r>
        <w:rPr>
          <w:rFonts w:cs="Times New Roman"/>
        </w:rPr>
        <w:t>The specific capacitance of the capacitor powder was calculated from the GCD curves using Equation (1).</w:t>
      </w:r>
    </w:p>
    <w:p w14:paraId="68CE7DA7" w14:textId="77777777" w:rsidR="003C50E1" w:rsidRDefault="00B738BC">
      <w:pPr>
        <w:spacing w:line="360" w:lineRule="auto"/>
        <w:ind w:firstLineChars="200" w:firstLine="480"/>
        <w:jc w:val="right"/>
        <w:rPr>
          <w:rFonts w:cs="Times New Roman"/>
        </w:rPr>
      </w:pPr>
      <m:oMath>
        <m:sSub>
          <m:sSubPr>
            <m:ctrlPr>
              <w:rPr>
                <w:rFonts w:ascii="Cambria Math" w:hAnsi="Cambria Math" w:cs="Times New Roman"/>
              </w:rPr>
            </m:ctrlPr>
          </m:sSubPr>
          <m:e>
            <m:r>
              <w:rPr>
                <w:rFonts w:ascii="Cambria Math" w:hAnsi="Cambria Math" w:cs="Times New Roman"/>
              </w:rPr>
              <m:t>C</m:t>
            </m:r>
          </m:e>
          <m:sub>
            <m:r>
              <m:rPr>
                <m:sty m:val="p"/>
              </m:rPr>
              <w:rPr>
                <w:rFonts w:ascii="Cambria Math" w:hAnsi="Cambria Math" w:cs="Times New Roman"/>
              </w:rPr>
              <m:t>sp</m:t>
            </m:r>
          </m:sub>
        </m:sSub>
        <m:r>
          <w:rPr>
            <w:rFonts w:ascii="Cambria Math" w:hAnsi="Cambria Math" w:cs="Times New Roman"/>
          </w:rPr>
          <m:t>=</m:t>
        </m:r>
        <m:f>
          <m:fPr>
            <m:ctrlPr>
              <w:rPr>
                <w:rFonts w:ascii="Cambria Math" w:hAnsi="Cambria Math" w:cs="Times New Roman"/>
              </w:rPr>
            </m:ctrlPr>
          </m:fPr>
          <m:num>
            <w:bookmarkStart w:id="4" w:name="OLE_LINK4"/>
            <m:r>
              <w:rPr>
                <w:rFonts w:ascii="Cambria Math" w:hAnsi="Cambria Math" w:cs="Times New Roman"/>
              </w:rPr>
              <m:t>IΔt</m:t>
            </m:r>
          </m:num>
          <m:den>
            <m:r>
              <w:rPr>
                <w:rFonts w:ascii="Cambria Math" w:hAnsi="Cambria Math" w:cs="Times New Roman"/>
              </w:rPr>
              <m:t>mΔV</m:t>
            </m:r>
            <w:bookmarkEnd w:id="4"/>
          </m:den>
        </m:f>
      </m:oMath>
      <w:r w:rsidR="00F32BF9">
        <w:rPr>
          <w:rFonts w:cs="Times New Roman"/>
        </w:rPr>
        <w:t xml:space="preserve">                             (S1)</w:t>
      </w:r>
    </w:p>
    <w:p w14:paraId="54B76A53" w14:textId="77777777" w:rsidR="003C50E1" w:rsidRDefault="00F32BF9">
      <w:pPr>
        <w:spacing w:line="360" w:lineRule="auto"/>
        <w:ind w:firstLineChars="200" w:firstLine="480"/>
        <w:rPr>
          <w:rFonts w:cs="Times New Roman"/>
        </w:rPr>
      </w:pPr>
      <w:r>
        <w:rPr>
          <w:rFonts w:cs="Times New Roman"/>
        </w:rPr>
        <w:t>Where </w:t>
      </w:r>
      <m:oMath>
        <m:r>
          <w:rPr>
            <w:rFonts w:ascii="Cambria Math" w:hAnsi="Cambria Math" w:cs="Times New Roman"/>
          </w:rPr>
          <m:t>ΔV</m:t>
        </m:r>
      </m:oMath>
      <w:r>
        <w:rPr>
          <w:rFonts w:cs="Times New Roman"/>
        </w:rPr>
        <w:t xml:space="preserve"> is potential window (V), </w:t>
      </w:r>
      <m:oMath>
        <m:r>
          <w:rPr>
            <w:rFonts w:ascii="Cambria Math" w:hAnsi="Cambria Math" w:cs="Times New Roman"/>
          </w:rPr>
          <m:t>m</m:t>
        </m:r>
      </m:oMath>
      <w:r>
        <w:rPr>
          <w:rFonts w:cs="Times New Roman"/>
        </w:rPr>
        <w:t xml:space="preserve"> is the mass of the active material (mg),</w:t>
      </w:r>
      <w:r>
        <w:rPr>
          <w:rFonts w:cs="Times New Roman"/>
          <w:b/>
          <w:bCs/>
          <w:i/>
          <w:iCs/>
          <w:color w:val="1F1F1F"/>
        </w:rPr>
        <w:t xml:space="preserve"> </w:t>
      </w:r>
      <m:oMath>
        <m:r>
          <w:rPr>
            <w:rFonts w:ascii="Cambria Math" w:hAnsi="Cambria Math" w:cs="Times New Roman"/>
          </w:rPr>
          <m:t>I</m:t>
        </m:r>
      </m:oMath>
      <w:r>
        <w:rPr>
          <w:rFonts w:cs="Times New Roman"/>
        </w:rPr>
        <w:t> is the discharge current density (A) and</w:t>
      </w:r>
      <w:r>
        <w:rPr>
          <w:rFonts w:cs="Times New Roman"/>
          <w:b/>
          <w:bCs/>
          <w:i/>
          <w:iCs/>
        </w:rPr>
        <w:t xml:space="preserve"> </w:t>
      </w:r>
      <m:oMath>
        <m:r>
          <w:rPr>
            <w:rFonts w:ascii="Cambria Math" w:hAnsi="Cambria Math" w:cs="Times New Roman"/>
          </w:rPr>
          <m:t>Δt</m:t>
        </m:r>
      </m:oMath>
      <w:r>
        <w:rPr>
          <w:rFonts w:cs="Times New Roman"/>
          <w:b/>
          <w:bCs/>
          <w:i/>
          <w:iCs/>
        </w:rPr>
        <w:t xml:space="preserve"> </w:t>
      </w:r>
      <w:r>
        <w:rPr>
          <w:rFonts w:cs="Times New Roman"/>
        </w:rPr>
        <w:t>(s) is the discharge time.</w:t>
      </w:r>
    </w:p>
    <w:p w14:paraId="1B76D942" w14:textId="77777777" w:rsidR="003C50E1" w:rsidRDefault="00F32BF9">
      <w:pPr>
        <w:spacing w:line="360" w:lineRule="auto"/>
        <w:ind w:firstLineChars="200" w:firstLine="480"/>
        <w:rPr>
          <w:rFonts w:cs="Times New Roman"/>
        </w:rPr>
      </w:pPr>
      <w:r>
        <w:rPr>
          <w:rFonts w:cs="Times New Roman"/>
        </w:rPr>
        <w:t xml:space="preserve">10. </w:t>
      </w:r>
      <w:bookmarkStart w:id="5" w:name="_Hlk169951447"/>
      <w:r>
        <w:rPr>
          <w:rFonts w:cs="Times New Roman"/>
        </w:rPr>
        <w:t>The open-circuit voltage and short-circuit current during the device operation were recorded using an Agilent data acquisition unit (Model 34972A). The sampling interval was set to every 5 seconds.</w:t>
      </w:r>
      <w:bookmarkEnd w:id="5"/>
    </w:p>
    <w:p w14:paraId="39796A0E" w14:textId="77777777" w:rsidR="003C50E1" w:rsidRDefault="00F32BF9">
      <w:pPr>
        <w:spacing w:line="360" w:lineRule="auto"/>
        <w:ind w:firstLineChars="200" w:firstLine="480"/>
        <w:rPr>
          <w:rFonts w:cs="Times New Roman"/>
        </w:rPr>
      </w:pPr>
      <w:r>
        <w:rPr>
          <w:rFonts w:cs="Times New Roman"/>
        </w:rPr>
        <w:t>11. The temperatures of the hot end and cold end were monitored using an Agilent data acquisition unit (Model 34972A) with a sampling interval of every 5 seconds. The temperature probes were placed in close contact with the hot-end and cold-end electrodes, respectively.</w:t>
      </w:r>
    </w:p>
    <w:p w14:paraId="01E673F4" w14:textId="77777777" w:rsidR="003C50E1" w:rsidRDefault="00F32BF9">
      <w:pPr>
        <w:spacing w:line="360" w:lineRule="auto"/>
        <w:ind w:firstLineChars="200" w:firstLine="480"/>
        <w:rPr>
          <w:rFonts w:cs="Times New Roman"/>
        </w:rPr>
      </w:pPr>
      <w:r>
        <w:rPr>
          <w:rFonts w:cs="Times New Roman"/>
        </w:rPr>
        <w:t>12. The thermopower (Se) of the device was calculated using the following formula</w:t>
      </w:r>
      <w:r>
        <w:rPr>
          <w:rFonts w:cs="Times New Roman"/>
          <w:highlight w:val="yellow"/>
        </w:rPr>
        <w:fldChar w:fldCharType="begin"/>
      </w:r>
      <w:r>
        <w:rPr>
          <w:rFonts w:cs="Times New Roman"/>
          <w:highlight w:val="yellow"/>
        </w:rPr>
        <w:instrText xml:space="preserve"> ADDIN ZOTERO_ITEM CSL_CITATION {"citationID":"Mu0J4fAt","properties":{"formattedCitation":"\\super 1\\uc0\\u8211{}3\\nosupersub{}","plainCitation":"1–3","noteIndex":0},"citationItems":[{"id":436,"uris":["http://zotero.org/users/17092864/items/IJLAZC3A"],"itemData":{"id":436,"type":"article-journal","abstract":"Guanidine ion induced [Fe(CN)\n              6\n              ]\n              4−\n              crystallization enables record-high thermoelectric performance in a stretchable thermogalvanic hydrogel thermocell, showing a feasible strategy for simultaneous power generation and thermal management.\n            \n          , \n            \n              Ionic thermocells have relatively high thermopowers based on the thermogalvanic effect, but their small electricity output is still insufficient for practical applications. We demonstrated a highly ionic conductive, anti-freezing stretchable thermogalvanic hydrogel thermocell (STHTC) with a record-high specific output power density of 1780 μW m\n              −2\n              K\n              −2\n              , which is </w:instrText>
      </w:r>
      <w:r>
        <w:rPr>
          <w:rFonts w:ascii="Cambria Math" w:hAnsi="Cambria Math" w:cs="Cambria Math"/>
          <w:highlight w:val="yellow"/>
        </w:rPr>
        <w:instrText>∼</w:instrText>
      </w:r>
      <w:r>
        <w:rPr>
          <w:rFonts w:cs="Times New Roman"/>
          <w:highlight w:val="yellow"/>
        </w:rPr>
        <w:instrText xml:space="preserve">3 times the maximum value of previously reported STHTCs. The guanidine ion induces [Fe(CN)\n              6\n              ]\n              4−\n              ion crystallization and significantly enhances the thermogalvanic effect. The giant thermopower and stretchability are as high as 4.4 mV K\n              −1\n              and 540%, respectively. Even at a low operating temperature of −35 °C, the STHTC still exhibits good thermoelectrical performance. As a wearable device, a STHTC array device has been demonstrated to directly light up five green LEDs by simulating harvesting low-grade human thermal energy. By placing the STHTC on the surface of a normal working Central Processing Unit, it proves a feasible strategy for simultaneous thermal management and power generation.","container-title":"Energy &amp; Environmental Science","DOI":"10.1039/D2EE00738J","ISSN":"1754-5692, 1754-5706","issue":"7","journalAbbreviation":"Energy Environ. Sci.","language":"en","page":"2974-2982","source":"DOI.org (Crossref)","title":"Stretchable thermogalvanic hydrogel thermocell with record-high specific output power density enabled by ion-induced crystallization","volume":"15","author":[{"family":"Zhang","given":"Ding"},{"family":"Mao","given":"Yin"},{"family":"Ye","given":"Fei"},{"family":"Li","given":"Qi"},{"family":"Bai","given":"Peijia"},{"family":"He","given":"Wen"},{"family":"Ma","given":"Rujun"}],"issued":{"date-parts":[["2022"]]}}},{"id":437,"uris":["http://zotero.org/users/17092864/items/UGN9T3HC"],"itemData":{"id":437,"type":"article-journal","abstract":"High-performance thermogalvanic cells have the potential to convert thermal energy into electricity, but their effectiveness is limited by the low concentration difference of redox ions. We report an in situ photocatalytically enhanced redox reaction that generates hydrogen and oxygen to realize a continuous concentration gradient of redox ions in thermogalvanic devices. A linear relation between thermopower and hydrogen production rate was established as an essential design principle for devices. The system exhibited a thermopower of 8.2 millivolts per kelvin and a solar-to-hydrogen efficiency of up to 0.4%. A large-area generator (112 square centimeters) consisting of 36 units yielded an open-circuit voltage of 4.4 volts and a power of 20.1 milliwatts, as well 0.5 millimoles of hydrogen and 0.2 millimoles of oxygen after 6 hours of outdoor operation.\n          , \n            Editor’s summary\n            \n              In thermogalvanic cells, temperature-driven concentration gradients of redox-active species create a potential difference that can produce electricity. Wang\n              et al\n              . show that for the redox couple Fe(CN)\n              6\n              4−\n              and Fe(CN)\n              6\n              3−\n              in a gel matrix, water-splitting photocatalysts that generated oxygen and hydrogen boosted the concentration gradients of the redox ions and added a proton gradient to the cell (see the Perspective by Yu and Duan). The cell had a thermopower of 82 millivolts per degree kelvin and also generated a hydrogen by-product. —Phil Szuromi\n            \n          , \n            Photocatalysis increased concentration gradients of iron cyanide anions and the thermopower of a thermogalvanic device.","container-title":"Science","DOI":"10.1126/science.adg0164","ISSN":"0036-8075, 1095-9203","issue":"6655","journalAbbreviation":"Science","language":"en","page":"291-296","source":"DOI.org (Crossref)","title":"In situ photocatalytically enhanced thermogalvanic cells for electricity and hydrogen production","volume":"381","author":[{"family":"Wang","given":"Yijin"},{"family":"Zhang","given":"Youzi"},{"family":"Xin","given":"Xu"},{"family":"Yang","given":"Jiabao"},{"family":"Wang","given":"Maohuai"},{"family":"Wang","given":"Ruiling"},{"family":"Guo","given":"Peng"},{"family":"Huang","given":"Wenjing"},{"family":"Sobrido","given":"Ana Jorge"},{"family":"Wei","given":"Bingqing"},{"family":"Li","given":"Xuanhua"}],"issued":{"date-parts":[["2023",7,21]]}}},{"id":452,"uris":["http://zotero.org/users/17092864/items/P8CNNZPF"],"itemData":{"id":452,"type":"article-journal","container-title":"Industrial &amp; Engineering Chemistry Research","DOI":"10.1021/acs.iecr.3c02679","ISSN":"0888-5885, 1520-5045","issue":"40","journalAbbreviation":"Ind. Eng. Chem. Res.","language":"en","license":"https://doi.org/10.15223/policy-029","page":"16469-16480","source":"DOI.org (Crossref)","title":"Two-Phase Flow Model to Define the Mass Transport in a Bicarbonate Electrolyzer for a CO&lt;sub&gt;2&lt;/sub&gt; Reduction Reaction","volume":"62","author":[{"family":"Yang","given":"Wei"},{"family":"Sun","given":"Licheng"},{"family":"Bao","given":"Jingjing"},{"family":"Mo","given":"Zhengyu"},{"family":"Du","given":"Min"},{"family":"Li","given":"Jun"},{"family":"Zhang","given":"Jun"}],"issued":{"date-parts":[["2023",10,11]]}}}],"schema":"https://github.com/citation-style-language/schema/raw/master/csl-citation.json"} </w:instrText>
      </w:r>
      <w:r>
        <w:rPr>
          <w:rFonts w:cs="Times New Roman"/>
          <w:highlight w:val="yellow"/>
        </w:rPr>
        <w:fldChar w:fldCharType="separate"/>
      </w:r>
      <w:r>
        <w:rPr>
          <w:rFonts w:cs="Times New Roman"/>
          <w:kern w:val="0"/>
          <w:szCs w:val="24"/>
          <w:vertAlign w:val="superscript"/>
        </w:rPr>
        <w:t>1–3</w:t>
      </w:r>
      <w:r>
        <w:rPr>
          <w:rFonts w:cs="Times New Roman"/>
          <w:highlight w:val="yellow"/>
        </w:rPr>
        <w:fldChar w:fldCharType="end"/>
      </w:r>
      <w:r>
        <w:rPr>
          <w:rFonts w:cs="Times New Roman" w:hint="eastAsia"/>
        </w:rPr>
        <w:t>:</w:t>
      </w:r>
    </w:p>
    <w:p w14:paraId="00FB1B74" w14:textId="77777777" w:rsidR="003C50E1" w:rsidRDefault="00B738BC" w:rsidP="00427952">
      <w:pPr>
        <w:spacing w:line="360" w:lineRule="auto"/>
        <w:jc w:val="right"/>
        <w:rPr>
          <w:rFonts w:cs="Times New Roman"/>
        </w:rPr>
      </w:pPr>
      <m:oMath>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e</m:t>
            </m:r>
          </m:sub>
        </m:sSub>
        <m: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E</m:t>
                </m:r>
              </m:e>
              <m:sub>
                <m:r>
                  <m:rPr>
                    <m:sty m:val="p"/>
                  </m:rPr>
                  <w:rPr>
                    <w:rFonts w:ascii="Cambria Math" w:hAnsi="Cambria Math" w:cs="Times New Roman"/>
                  </w:rPr>
                  <m:t>hot</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E</m:t>
                </m:r>
              </m:e>
              <m:sub>
                <m:r>
                  <m:rPr>
                    <m:sty m:val="p"/>
                  </m:rPr>
                  <w:rPr>
                    <w:rFonts w:ascii="Cambria Math" w:hAnsi="Cambria Math" w:cs="Times New Roman"/>
                  </w:rPr>
                  <m:t>cold</m:t>
                </m:r>
              </m:sub>
            </m:sSub>
          </m:num>
          <m:den>
            <m:sSub>
              <m:sSubPr>
                <m:ctrlPr>
                  <w:rPr>
                    <w:rFonts w:ascii="Cambria Math" w:hAnsi="Cambria Math" w:cs="Times New Roman"/>
                  </w:rPr>
                </m:ctrlPr>
              </m:sSubPr>
              <m:e>
                <m:r>
                  <w:rPr>
                    <w:rFonts w:ascii="Cambria Math" w:hAnsi="Cambria Math" w:cs="Times New Roman"/>
                  </w:rPr>
                  <m:t>T</m:t>
                </m:r>
              </m:e>
              <m:sub>
                <m:r>
                  <m:rPr>
                    <m:sty m:val="p"/>
                  </m:rPr>
                  <w:rPr>
                    <w:rFonts w:ascii="Cambria Math" w:hAnsi="Cambria Math" w:cs="Times New Roman"/>
                  </w:rPr>
                  <m:t>hot</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T</m:t>
                </m:r>
              </m:e>
              <m:sub>
                <m:r>
                  <m:rPr>
                    <m:sty m:val="p"/>
                  </m:rPr>
                  <w:rPr>
                    <w:rFonts w:ascii="Cambria Math" w:hAnsi="Cambria Math" w:cs="Times New Roman"/>
                  </w:rPr>
                  <m:t>cold</m:t>
                </m:r>
              </m:sub>
            </m:sSub>
          </m:den>
        </m:f>
      </m:oMath>
      <w:r w:rsidR="00F32BF9">
        <w:rPr>
          <w:rFonts w:cs="Times New Roman"/>
        </w:rPr>
        <w:t xml:space="preserve">                      (S2)</w:t>
      </w:r>
    </w:p>
    <w:p w14:paraId="3C58F361" w14:textId="77777777" w:rsidR="003C50E1" w:rsidRDefault="00F32BF9">
      <w:pPr>
        <w:spacing w:line="360" w:lineRule="auto"/>
        <w:rPr>
          <w:rFonts w:cs="Times New Roman"/>
        </w:rPr>
      </w:pPr>
      <w:r>
        <w:rPr>
          <w:rFonts w:cs="Times New Roman"/>
        </w:rPr>
        <w:t xml:space="preserve">where </w:t>
      </w:r>
      <w:proofErr w:type="spellStart"/>
      <w:r>
        <w:rPr>
          <w:rFonts w:cs="Times New Roman"/>
        </w:rPr>
        <w:t>Se</w:t>
      </w:r>
      <w:proofErr w:type="spellEnd"/>
      <w:r>
        <w:rPr>
          <w:rFonts w:cs="Times New Roman"/>
        </w:rPr>
        <w:t xml:space="preserve"> is in mV K⁻</w:t>
      </w:r>
      <w:r>
        <w:rPr>
          <w:rFonts w:cs="Times New Roman"/>
          <w:vertAlign w:val="superscript"/>
        </w:rPr>
        <w:t>1</w:t>
      </w:r>
      <w:r>
        <w:rPr>
          <w:rFonts w:cs="Times New Roman"/>
        </w:rPr>
        <w:t xml:space="preserve">, </w:t>
      </w:r>
      <w:proofErr w:type="spellStart"/>
      <w:r>
        <w:rPr>
          <w:rFonts w:cs="Times New Roman"/>
        </w:rPr>
        <w:t>E</w:t>
      </w:r>
      <w:r>
        <w:rPr>
          <w:rFonts w:cs="Times New Roman"/>
          <w:vertAlign w:val="subscript"/>
        </w:rPr>
        <w:t>hot</w:t>
      </w:r>
      <w:proofErr w:type="spellEnd"/>
      <w:r>
        <w:rPr>
          <w:rFonts w:cs="Times New Roman"/>
        </w:rPr>
        <w:t xml:space="preserve"> and </w:t>
      </w:r>
      <w:proofErr w:type="spellStart"/>
      <w:r>
        <w:rPr>
          <w:rFonts w:cs="Times New Roman"/>
        </w:rPr>
        <w:t>E</w:t>
      </w:r>
      <w:r>
        <w:rPr>
          <w:rFonts w:cs="Times New Roman"/>
          <w:vertAlign w:val="subscript"/>
        </w:rPr>
        <w:t>cold</w:t>
      </w:r>
      <w:proofErr w:type="spellEnd"/>
      <w:r>
        <w:rPr>
          <w:rFonts w:cs="Times New Roman"/>
        </w:rPr>
        <w:t xml:space="preserve"> are the potentials (in mV) at the hot end and cold end, respectively, and T</w:t>
      </w:r>
      <w:r>
        <w:rPr>
          <w:rFonts w:cs="Times New Roman"/>
          <w:vertAlign w:val="subscript"/>
        </w:rPr>
        <w:t>hot</w:t>
      </w:r>
      <w:r>
        <w:rPr>
          <w:rFonts w:cs="Times New Roman"/>
        </w:rPr>
        <w:t xml:space="preserve"> and </w:t>
      </w:r>
      <w:proofErr w:type="spellStart"/>
      <w:r>
        <w:rPr>
          <w:rFonts w:cs="Times New Roman"/>
        </w:rPr>
        <w:t>T</w:t>
      </w:r>
      <w:r>
        <w:rPr>
          <w:rFonts w:cs="Times New Roman"/>
          <w:vertAlign w:val="subscript"/>
        </w:rPr>
        <w:t>cold</w:t>
      </w:r>
      <w:proofErr w:type="spellEnd"/>
      <w:r>
        <w:rPr>
          <w:rFonts w:cs="Times New Roman"/>
        </w:rPr>
        <w:t xml:space="preserve"> are the temperatures (in K) at the hot end and cold end, respectively.</w:t>
      </w:r>
    </w:p>
    <w:p w14:paraId="3B7DB097" w14:textId="77777777" w:rsidR="003C50E1" w:rsidRDefault="00F32BF9">
      <w:pPr>
        <w:spacing w:line="360" w:lineRule="auto"/>
        <w:ind w:firstLineChars="200" w:firstLine="480"/>
        <w:rPr>
          <w:rFonts w:cs="Times New Roman"/>
        </w:rPr>
      </w:pPr>
      <w:r>
        <w:rPr>
          <w:rFonts w:cs="Times New Roman"/>
        </w:rPr>
        <w:t>13. Ion Migration Rate</w:t>
      </w:r>
    </w:p>
    <w:p w14:paraId="5FEC6E37" w14:textId="77777777" w:rsidR="003C50E1" w:rsidRDefault="00F32BF9">
      <w:pPr>
        <w:spacing w:line="360" w:lineRule="auto"/>
        <w:ind w:firstLineChars="200" w:firstLine="480"/>
        <w:rPr>
          <w:rFonts w:cs="Times New Roman"/>
        </w:rPr>
      </w:pPr>
      <w:r>
        <w:rPr>
          <w:rFonts w:cs="Times New Roman"/>
        </w:rPr>
        <w:t>The relationship between the ion migration rate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i</m:t>
            </m:r>
          </m:sub>
        </m:sSub>
      </m:oMath>
      <w:r>
        <w:rPr>
          <w:rFonts w:cs="Times New Roman"/>
        </w:rPr>
        <w:t>), the current density (j), the ion transference number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i</m:t>
            </m:r>
          </m:sub>
        </m:sSub>
      </m:oMath>
      <w:r>
        <w:rPr>
          <w:rFonts w:cs="Times New Roman"/>
        </w:rPr>
        <w:t>), and the Faraday constant (F) is given by</w:t>
      </w:r>
      <w:r>
        <w:rPr>
          <w:rFonts w:cs="Times New Roman" w:hint="eastAsia"/>
        </w:rPr>
        <w:t>:</w:t>
      </w:r>
    </w:p>
    <w:p w14:paraId="0C4D1A43" w14:textId="77777777" w:rsidR="003C50E1" w:rsidRDefault="00B738BC">
      <w:pPr>
        <w:spacing w:line="360" w:lineRule="auto"/>
        <w:ind w:firstLineChars="200" w:firstLine="480"/>
        <w:jc w:val="right"/>
        <w:rPr>
          <w:rFonts w:cs="Times New Roman"/>
        </w:rPr>
      </w:pP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i</m:t>
                </m:r>
              </m:sub>
            </m:sSub>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i</m:t>
                </m:r>
              </m:sub>
            </m:sSub>
            <m:r>
              <w:rPr>
                <w:rFonts w:ascii="Cambria Math" w:hAnsi="Cambria Math" w:cs="Times New Roman"/>
              </w:rPr>
              <m:t>F</m:t>
            </m:r>
          </m:den>
        </m:f>
      </m:oMath>
      <w:r w:rsidR="00F32BF9">
        <w:rPr>
          <w:rFonts w:cs="Times New Roman"/>
        </w:rPr>
        <w:t xml:space="preserve">                            (S3)</w:t>
      </w:r>
    </w:p>
    <w:p w14:paraId="04F52D7F" w14:textId="77777777" w:rsidR="003C50E1" w:rsidRDefault="00F32BF9">
      <w:pPr>
        <w:spacing w:line="360" w:lineRule="auto"/>
        <w:rPr>
          <w:rFonts w:cs="Times New Roman"/>
        </w:rPr>
      </w:pPr>
      <w:r>
        <w:rPr>
          <w:rFonts w:cs="Times New Roman"/>
        </w:rPr>
        <w:t xml:space="preserve">Where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i</m:t>
            </m:r>
          </m:sub>
        </m:sSub>
      </m:oMath>
      <w:r>
        <w:rPr>
          <w:rFonts w:cs="Times New Roman"/>
        </w:rPr>
        <w:t xml:space="preserve"> is the charge number of the </w:t>
      </w:r>
      <w:proofErr w:type="gramStart"/>
      <w:r>
        <w:rPr>
          <w:rFonts w:cs="Times New Roman"/>
        </w:rPr>
        <w:t>ion.</w:t>
      </w:r>
      <w:proofErr w:type="gramEnd"/>
      <w:r>
        <w:rPr>
          <w:rFonts w:cs="Times New Roman"/>
        </w:rPr>
        <w:t xml:space="preserve"> For K</w:t>
      </w:r>
      <w:r>
        <w:rPr>
          <w:rFonts w:cs="Times New Roman"/>
          <w:vertAlign w:val="superscript"/>
        </w:rPr>
        <w:t>+</w:t>
      </w:r>
      <w:r>
        <w:rPr>
          <w:rFonts w:cs="Times New Roman" w:hint="eastAsia"/>
        </w:rPr>
        <w:t>,</w:t>
      </w:r>
      <w:r>
        <w:rPr>
          <w:rFonts w:cs="Times New Roman" w:hint="eastAsia"/>
          <w:vertAlign w:val="superscript"/>
        </w:rPr>
        <w:t xml:space="preserve"> </w:t>
      </w:r>
      <m:oMath>
        <m:sSub>
          <m:sSubPr>
            <m:ctrlPr>
              <w:rPr>
                <w:rFonts w:ascii="Cambria Math" w:hAnsi="Cambria Math" w:cs="Times New Roman"/>
              </w:rPr>
            </m:ctrlPr>
          </m:sSubPr>
          <m:e>
            <m:r>
              <w:rPr>
                <w:rFonts w:ascii="Cambria Math" w:hAnsi="Cambria Math" w:cs="Times New Roman"/>
              </w:rPr>
              <m:t>z</m:t>
            </m:r>
          </m:e>
          <m:sub>
            <m:sSup>
              <m:sSupPr>
                <m:ctrlPr>
                  <w:rPr>
                    <w:rFonts w:ascii="Cambria Math" w:hAnsi="Cambria Math" w:cs="Times New Roman"/>
                    <w:i/>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m:t>
        </m:r>
      </m:oMath>
      <w:r>
        <w:rPr>
          <w:rFonts w:cs="Times New Roman"/>
        </w:rPr>
        <w:t>1</w:t>
      </w:r>
      <w:r>
        <w:rPr>
          <w:rFonts w:cs="Times New Roman" w:hint="eastAsia"/>
        </w:rPr>
        <w:t xml:space="preserve">; </w:t>
      </w:r>
      <w:r>
        <w:rPr>
          <w:rFonts w:cs="Times New Roman"/>
        </w:rPr>
        <w:t>For Cl</w:t>
      </w:r>
      <w:r>
        <w:rPr>
          <w:rFonts w:cs="Times New Roman"/>
          <w:vertAlign w:val="superscript"/>
        </w:rPr>
        <w:t>-</w:t>
      </w:r>
      <w:r>
        <w:rPr>
          <w:rFonts w:cs="Times New Roman"/>
        </w:rPr>
        <w:t> </w:t>
      </w:r>
      <w:proofErr w:type="gramStart"/>
      <w:r>
        <w:rPr>
          <w:rFonts w:cs="Times New Roman" w:hint="eastAsia"/>
        </w:rPr>
        <w:t xml:space="preserve">, </w:t>
      </w:r>
      <w:proofErr w:type="gramEnd"/>
      <m:oMath>
        <m:sSub>
          <m:sSubPr>
            <m:ctrlPr>
              <w:rPr>
                <w:rFonts w:ascii="Cambria Math" w:hAnsi="Cambria Math" w:cs="Times New Roman"/>
              </w:rPr>
            </m:ctrlPr>
          </m:sSubPr>
          <m:e>
            <m:r>
              <w:rPr>
                <w:rFonts w:ascii="Cambria Math" w:hAnsi="Cambria Math" w:cs="Times New Roman"/>
              </w:rPr>
              <m:t>z</m:t>
            </m:r>
          </m:e>
          <m:sub>
            <m:sSup>
              <m:sSupPr>
                <m:ctrlPr>
                  <w:rPr>
                    <w:rFonts w:ascii="Cambria Math" w:hAnsi="Cambria Math" w:cs="Times New Roman"/>
                    <w:i/>
                  </w:rPr>
                </m:ctrlPr>
              </m:sSupPr>
              <m:e>
                <m:r>
                  <w:rPr>
                    <w:rFonts w:ascii="Cambria Math" w:hAnsi="Cambria Math" w:cs="Times New Roman"/>
                  </w:rPr>
                  <m:t>Cl</m:t>
                </m:r>
              </m:e>
              <m:sup>
                <m:r>
                  <w:rPr>
                    <w:rFonts w:ascii="Cambria Math" w:eastAsia="微软雅黑" w:hAnsi="Cambria Math" w:cs="Times New Roman"/>
                  </w:rPr>
                  <m:t>-</m:t>
                </m:r>
              </m:sup>
            </m:sSup>
          </m:sub>
        </m:sSub>
        <m:r>
          <w:rPr>
            <w:rFonts w:ascii="Cambria Math" w:hAnsi="Cambria Math" w:cs="Times New Roman"/>
          </w:rPr>
          <m:t>=</m:t>
        </m:r>
        <m:r>
          <w:rPr>
            <w:rFonts w:ascii="Cambria Math" w:eastAsia="微软雅黑" w:hAnsi="Cambria Math" w:cs="Times New Roman"/>
          </w:rPr>
          <m:t>-</m:t>
        </m:r>
        <m:r>
          <w:rPr>
            <w:rFonts w:ascii="Cambria Math" w:hAnsi="Cambria Math" w:cs="Times New Roman"/>
          </w:rPr>
          <m:t>1</m:t>
        </m:r>
      </m:oMath>
      <w:r>
        <w:rPr>
          <w:rFonts w:hAnsi="Cambria Math" w:cs="Times New Roman" w:hint="eastAsia"/>
        </w:rPr>
        <w:t xml:space="preserve">. </w:t>
      </w:r>
      <w:r>
        <w:rPr>
          <w:rFonts w:cs="Times New Roman"/>
        </w:rPr>
        <w:t>The current density is defined as the average value over a 10-minute period, calculated by the following formula</w:t>
      </w:r>
      <w:r>
        <w:rPr>
          <w:rFonts w:cs="Times New Roman" w:hint="eastAsia"/>
        </w:rPr>
        <w:t>:</w:t>
      </w:r>
    </w:p>
    <w:p w14:paraId="4CDF1A9B" w14:textId="77777777" w:rsidR="003C50E1" w:rsidRDefault="00F32BF9">
      <w:pPr>
        <w:spacing w:line="360" w:lineRule="auto"/>
        <w:ind w:firstLineChars="200" w:firstLine="480"/>
        <w:jc w:val="right"/>
        <w:rPr>
          <w:rFonts w:cs="Times New Roman"/>
        </w:rPr>
      </w:pPr>
      <m:oMath>
        <m:r>
          <m:rPr>
            <m:sty m:val="p"/>
          </m:rPr>
          <w:rPr>
            <w:rFonts w:ascii="Cambria Math" w:hAnsi="Cambria Math" w:cs="Times New Roman"/>
          </w:rPr>
          <m:t>j</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I</m:t>
            </m:r>
          </m:num>
          <m:den>
            <m:r>
              <w:rPr>
                <w:rFonts w:ascii="Cambria Math" w:hAnsi="Cambria Math" w:cs="Times New Roman"/>
              </w:rPr>
              <m:t>S</m:t>
            </m:r>
          </m:den>
        </m:f>
      </m:oMath>
      <w:r>
        <w:rPr>
          <w:rFonts w:cs="Times New Roman"/>
        </w:rPr>
        <w:t xml:space="preserve">                             (S4)</w:t>
      </w:r>
    </w:p>
    <w:p w14:paraId="260C925D" w14:textId="77777777" w:rsidR="003C50E1" w:rsidRDefault="00F32BF9">
      <w:pPr>
        <w:spacing w:line="360" w:lineRule="auto"/>
        <w:jc w:val="left"/>
        <w:rPr>
          <w:rFonts w:cs="Times New Roman"/>
        </w:rPr>
      </w:pPr>
      <w:proofErr w:type="gramStart"/>
      <w:r>
        <w:rPr>
          <w:rFonts w:cs="Times New Roman"/>
        </w:rPr>
        <w:t>where</w:t>
      </w:r>
      <w:proofErr w:type="gramEnd"/>
      <w:r>
        <w:rPr>
          <w:rFonts w:cs="Times New Roman"/>
        </w:rPr>
        <w:t xml:space="preserve"> I is the current in Amperes (A), and S is the electrode area in square meters (m</w:t>
      </w:r>
      <w:r>
        <w:rPr>
          <w:rFonts w:cs="Times New Roman"/>
          <w:vertAlign w:val="superscript"/>
        </w:rPr>
        <w:t>2</w:t>
      </w:r>
      <w:r>
        <w:rPr>
          <w:rFonts w:cs="Times New Roman"/>
        </w:rPr>
        <w:t>).</w:t>
      </w:r>
    </w:p>
    <w:p w14:paraId="4B57BC65" w14:textId="77777777" w:rsidR="003C50E1" w:rsidRDefault="003C50E1">
      <w:pPr>
        <w:spacing w:line="360" w:lineRule="auto"/>
        <w:jc w:val="left"/>
        <w:rPr>
          <w:rFonts w:cs="Times New Roman"/>
        </w:rPr>
      </w:pPr>
    </w:p>
    <w:p w14:paraId="7FE35AE2" w14:textId="77777777" w:rsidR="003C50E1" w:rsidRDefault="00F32BF9">
      <w:pPr>
        <w:spacing w:line="360" w:lineRule="auto"/>
        <w:ind w:firstLineChars="200" w:firstLine="480"/>
        <w:jc w:val="left"/>
        <w:rPr>
          <w:rFonts w:cs="Times New Roman"/>
        </w:rPr>
      </w:pPr>
      <w:r>
        <w:rPr>
          <w:rFonts w:cs="Times New Roman"/>
        </w:rPr>
        <w:t>Potassium Ion (K⁺) Migration Rate:</w:t>
      </w:r>
    </w:p>
    <w:p w14:paraId="50229B65" w14:textId="77777777" w:rsidR="003C50E1" w:rsidRDefault="00B738BC">
      <w:pPr>
        <w:spacing w:line="360" w:lineRule="auto"/>
        <w:ind w:firstLineChars="200" w:firstLine="480"/>
        <w:jc w:val="right"/>
        <w:rPr>
          <w:rFonts w:cs="Times New Roman"/>
        </w:rPr>
      </w:pPr>
      <m:oMath>
        <m:eqArr>
          <m:eqArrPr>
            <m:ctrlPr>
              <w:rPr>
                <w:rFonts w:ascii="Cambria Math" w:hAnsi="Cambria Math" w:cs="Times New Roman"/>
              </w:rPr>
            </m:ctrlPr>
          </m:eqArrPr>
          <m:e>
            <m:sSub>
              <m:sSubPr>
                <m:ctrlPr>
                  <w:rPr>
                    <w:rFonts w:ascii="Cambria Math" w:hAnsi="Cambria Math" w:cs="Times New Roman"/>
                  </w:rPr>
                </m:ctrlPr>
              </m:sSubPr>
              <m:e>
                <m:r>
                  <w:rPr>
                    <w:rFonts w:ascii="Cambria Math" w:hAnsi="Cambria Math" w:cs="Times New Roman"/>
                  </w:rPr>
                  <m:t>v</m:t>
                </m:r>
              </m:e>
              <m:sub>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&amp;=</m:t>
            </m:r>
            <m:f>
              <m:fPr>
                <m:ctrlPr>
                  <w:rPr>
                    <w:rFonts w:ascii="Cambria Math" w:hAnsi="Cambria Math" w:cs="Times New Roman"/>
                  </w:rPr>
                </m:ctrlPr>
              </m:fPr>
              <m:num>
                <m:r>
                  <w:rPr>
                    <w:rFonts w:ascii="Cambria Math" w:hAnsi="Cambria Math" w:cs="Times New Roman"/>
                  </w:rPr>
                  <m:t>j×</m:t>
                </m:r>
                <m:sSub>
                  <m:sSubPr>
                    <m:ctrlPr>
                      <w:rPr>
                        <w:rFonts w:ascii="Cambria Math" w:hAnsi="Cambria Math" w:cs="Times New Roman"/>
                      </w:rPr>
                    </m:ctrlPr>
                  </m:sSubPr>
                  <m:e>
                    <m:r>
                      <w:rPr>
                        <w:rFonts w:ascii="Cambria Math" w:hAnsi="Cambria Math" w:cs="Times New Roman"/>
                      </w:rPr>
                      <m:t>t</m:t>
                    </m:r>
                  </m:e>
                  <m:sub>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num>
              <m:den>
                <m:sSub>
                  <m:sSubPr>
                    <m:ctrlPr>
                      <w:rPr>
                        <w:rFonts w:ascii="Cambria Math" w:hAnsi="Cambria Math" w:cs="Times New Roman"/>
                      </w:rPr>
                    </m:ctrlPr>
                  </m:sSubPr>
                  <m:e>
                    <m:r>
                      <w:rPr>
                        <w:rFonts w:ascii="Cambria Math" w:hAnsi="Cambria Math" w:cs="Times New Roman"/>
                      </w:rPr>
                      <m:t>z</m:t>
                    </m:r>
                  </m:e>
                  <m:sub>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F</m:t>
                </m:r>
              </m:den>
            </m:f>
          </m:e>
          <m:e>
            <m:r>
              <w:rPr>
                <w:rFonts w:ascii="Cambria Math" w:hAnsi="Cambria Math" w:cs="Times New Roman"/>
              </w:rPr>
              <m:t>&amp;</m:t>
            </m:r>
          </m:e>
        </m:eqArr>
      </m:oMath>
      <w:r w:rsidR="00F32BF9">
        <w:rPr>
          <w:rFonts w:cs="Times New Roman"/>
        </w:rPr>
        <w:t xml:space="preserve">                         (S5)</w:t>
      </w:r>
    </w:p>
    <w:p w14:paraId="5AB03EF1" w14:textId="77777777" w:rsidR="003C50E1" w:rsidRDefault="00F32BF9">
      <w:pPr>
        <w:spacing w:line="360" w:lineRule="auto"/>
        <w:ind w:firstLineChars="200" w:firstLine="480"/>
        <w:jc w:val="left"/>
        <w:rPr>
          <w:rFonts w:cs="Times New Roman"/>
        </w:rPr>
      </w:pPr>
      <w:r>
        <w:rPr>
          <w:rFonts w:cs="Times New Roman"/>
        </w:rPr>
        <w:t>Chloride Ion (Cl⁻) Migration Rate:</w:t>
      </w:r>
    </w:p>
    <w:p w14:paraId="366B87CE" w14:textId="77777777" w:rsidR="003C50E1" w:rsidRDefault="00B738BC">
      <w:pPr>
        <w:spacing w:line="360" w:lineRule="auto"/>
        <w:ind w:firstLineChars="200" w:firstLine="480"/>
        <w:jc w:val="right"/>
        <w:rPr>
          <w:rFonts w:cs="Times New Roman"/>
        </w:rPr>
      </w:pPr>
      <m:oMath>
        <m:eqArr>
          <m:eqArrPr>
            <m:ctrlPr>
              <w:rPr>
                <w:rFonts w:ascii="Cambria Math" w:hAnsi="Cambria Math" w:cs="Times New Roman"/>
              </w:rPr>
            </m:ctrlPr>
          </m:eqArrPr>
          <m:e>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Cl</m:t>
                </m:r>
              </m:sub>
            </m:sSub>
            <m:r>
              <w:rPr>
                <w:rFonts w:ascii="Cambria Math" w:hAnsi="Cambria Math" w:cs="Times New Roman"/>
              </w:rPr>
              <m:t>-&amp;=</m:t>
            </m:r>
            <m:f>
              <m:fPr>
                <m:ctrlPr>
                  <w:rPr>
                    <w:rFonts w:ascii="Cambria Math" w:hAnsi="Cambria Math" w:cs="Times New Roman"/>
                  </w:rPr>
                </m:ctrlPr>
              </m:fPr>
              <m:num>
                <m:r>
                  <w:rPr>
                    <w:rFonts w:ascii="Cambria Math" w:hAnsi="Cambria Math" w:cs="Times New Roman"/>
                  </w:rPr>
                  <m:t>j×</m:t>
                </m:r>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C</m:t>
                    </m:r>
                    <m:sSup>
                      <m:sSupPr>
                        <m:ctrlPr>
                          <w:rPr>
                            <w:rFonts w:ascii="Cambria Math" w:hAnsi="Cambria Math" w:cs="Times New Roman"/>
                          </w:rPr>
                        </m:ctrlPr>
                      </m:sSupPr>
                      <m:e>
                        <m:r>
                          <w:rPr>
                            <w:rFonts w:ascii="Cambria Math" w:hAnsi="Cambria Math" w:cs="Times New Roman"/>
                          </w:rPr>
                          <m:t>l</m:t>
                        </m:r>
                      </m:e>
                      <m:sup>
                        <m:r>
                          <w:rPr>
                            <w:rFonts w:ascii="Cambria Math" w:hAnsi="Cambria Math" w:cs="Times New Roman"/>
                          </w:rPr>
                          <m:t>-</m:t>
                        </m:r>
                      </m:sup>
                    </m:sSup>
                  </m:sub>
                </m:sSub>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C</m:t>
                    </m:r>
                    <m:sSup>
                      <m:sSupPr>
                        <m:ctrlPr>
                          <w:rPr>
                            <w:rFonts w:ascii="Cambria Math" w:hAnsi="Cambria Math" w:cs="Times New Roman"/>
                          </w:rPr>
                        </m:ctrlPr>
                      </m:sSupPr>
                      <m:e>
                        <m:r>
                          <w:rPr>
                            <w:rFonts w:ascii="Cambria Math" w:hAnsi="Cambria Math" w:cs="Times New Roman"/>
                          </w:rPr>
                          <m:t>l</m:t>
                        </m:r>
                      </m:e>
                      <m:sup>
                        <m:r>
                          <w:rPr>
                            <w:rFonts w:ascii="Cambria Math" w:hAnsi="Cambria Math" w:cs="Times New Roman"/>
                          </w:rPr>
                          <m:t>-</m:t>
                        </m:r>
                      </m:sup>
                    </m:sSup>
                  </m:sub>
                </m:sSub>
                <m:r>
                  <w:rPr>
                    <w:rFonts w:ascii="Cambria Math" w:hAnsi="Cambria Math" w:cs="Times New Roman"/>
                  </w:rPr>
                  <m:t>F</m:t>
                </m:r>
              </m:den>
            </m:f>
          </m:e>
        </m:eqArr>
      </m:oMath>
      <w:r w:rsidR="00F32BF9">
        <w:rPr>
          <w:rFonts w:cs="Times New Roman"/>
        </w:rPr>
        <w:t xml:space="preserve">                        (S6)</w:t>
      </w:r>
    </w:p>
    <w:p w14:paraId="5645C506" w14:textId="77777777" w:rsidR="003C50E1" w:rsidRDefault="00F32BF9">
      <w:pPr>
        <w:spacing w:line="360" w:lineRule="auto"/>
        <w:ind w:firstLineChars="200" w:firstLine="480"/>
        <w:rPr>
          <w:rFonts w:cs="Times New Roman"/>
        </w:rPr>
      </w:pPr>
      <w:r>
        <w:rPr>
          <w:rFonts w:cs="Times New Roman"/>
        </w:rPr>
        <w:t>14.</w:t>
      </w:r>
      <w:bookmarkStart w:id="6" w:name="_Hlk169951467"/>
      <w:r>
        <w:rPr>
          <w:rFonts w:cs="Times New Roman"/>
        </w:rPr>
        <w:t xml:space="preserve"> Ion Diffusion Rate</w:t>
      </w:r>
    </w:p>
    <w:p w14:paraId="4DA45331" w14:textId="77777777" w:rsidR="003C50E1" w:rsidRDefault="00F32BF9">
      <w:pPr>
        <w:spacing w:line="360" w:lineRule="auto"/>
        <w:ind w:firstLineChars="200" w:firstLine="480"/>
        <w:rPr>
          <w:rFonts w:cs="Times New Roman"/>
        </w:rPr>
      </w:pPr>
      <w:r>
        <w:rPr>
          <w:rFonts w:cs="Times New Roman"/>
        </w:rPr>
        <w:t>According to the Nernst-Einstein equation, the relationship between the ion diffusion coefficient (</w:t>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oMath>
      <w:r>
        <w:rPr>
          <w:rFonts w:cs="Times New Roman"/>
        </w:rPr>
        <w:t>) and the ionic mobility (</w:t>
      </w: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oMath>
      <w:r>
        <w:rPr>
          <w:rFonts w:cs="Times New Roman"/>
        </w:rPr>
        <w:t>) is given by:</w:t>
      </w:r>
    </w:p>
    <w:p w14:paraId="34185ABD" w14:textId="77777777" w:rsidR="003C50E1" w:rsidRDefault="00B738BC">
      <w:pPr>
        <w:spacing w:line="360" w:lineRule="auto"/>
        <w:ind w:firstLineChars="200" w:firstLine="480"/>
        <w:jc w:val="right"/>
        <w:rPr>
          <w:rFonts w:cs="Times New Roman"/>
        </w:rPr>
      </w:p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r>
              <w:rPr>
                <w:rFonts w:ascii="Cambria Math" w:hAnsi="Cambria Math" w:cs="Times New Roman"/>
              </w:rPr>
              <m:t>RT</m:t>
            </m:r>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i</m:t>
                </m:r>
              </m:sub>
            </m:sSub>
            <m:r>
              <w:rPr>
                <w:rFonts w:ascii="Cambria Math" w:hAnsi="Cambria Math" w:cs="Times New Roman"/>
              </w:rPr>
              <m:t>F</m:t>
            </m:r>
          </m:den>
        </m:f>
      </m:oMath>
      <w:r w:rsidR="00F32BF9">
        <w:rPr>
          <w:rFonts w:cs="Times New Roman"/>
        </w:rPr>
        <w:t xml:space="preserve">                            (S7)</w:t>
      </w:r>
    </w:p>
    <w:p w14:paraId="255DD9A1" w14:textId="77777777" w:rsidR="003C50E1" w:rsidRDefault="00F32BF9">
      <w:pPr>
        <w:spacing w:line="360" w:lineRule="auto"/>
        <w:rPr>
          <w:rFonts w:cs="Times New Roman"/>
        </w:rPr>
      </w:pPr>
      <w:r>
        <w:rPr>
          <w:rFonts w:cs="Times New Roman"/>
        </w:rPr>
        <w:t>where R is the ideal gas constant (R = 8.314 J/(</w:t>
      </w:r>
      <w:proofErr w:type="spellStart"/>
      <w:r>
        <w:rPr>
          <w:rFonts w:cs="Times New Roman"/>
        </w:rPr>
        <w:t>mol·K</w:t>
      </w:r>
      <w:proofErr w:type="spellEnd"/>
      <w:r>
        <w:rPr>
          <w:rFonts w:cs="Times New Roman"/>
        </w:rPr>
        <w:t>)), and T is the absolute temperature (T = 298 K). Furthermore, the relationship between the ionic mobility (</w:t>
      </w: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oMath>
      <w:r>
        <w:rPr>
          <w:rFonts w:cs="Times New Roman"/>
        </w:rPr>
        <w:t>) and the ion migration rate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i</m:t>
            </m:r>
          </m:sub>
        </m:sSub>
      </m:oMath>
      <w:r>
        <w:rPr>
          <w:rFonts w:cs="Times New Roman"/>
        </w:rPr>
        <w:t>) is given by</w:t>
      </w:r>
      <w:proofErr w:type="gramStart"/>
      <w:r>
        <w:rPr>
          <w:rFonts w:cs="Times New Roman"/>
        </w:rPr>
        <w:t>:</w:t>
      </w:r>
      <w:r>
        <w:rPr>
          <w:rFonts w:cs="Times New Roman" w:hint="eastAsia"/>
        </w:rPr>
        <w:t>:</w:t>
      </w:r>
      <w:proofErr w:type="gramEnd"/>
    </w:p>
    <w:p w14:paraId="1C72CE95" w14:textId="77777777" w:rsidR="003C50E1" w:rsidRDefault="00B738BC">
      <w:pPr>
        <w:spacing w:line="360" w:lineRule="auto"/>
        <w:ind w:firstLineChars="200" w:firstLine="480"/>
        <w:jc w:val="right"/>
        <w:rPr>
          <w:rFonts w:cs="Times New Roman"/>
        </w:rPr>
      </w:pP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i</m:t>
                </m:r>
              </m:sub>
            </m:sSub>
          </m:num>
          <m:den>
            <m:r>
              <w:rPr>
                <w:rFonts w:ascii="Cambria Math" w:hAnsi="Cambria Math" w:cs="Times New Roman"/>
              </w:rPr>
              <m:t>E</m:t>
            </m:r>
          </m:den>
        </m:f>
      </m:oMath>
      <w:r w:rsidR="00F32BF9">
        <w:rPr>
          <w:rFonts w:cs="Times New Roman"/>
        </w:rPr>
        <w:t xml:space="preserve">                             (S8)</w:t>
      </w:r>
    </w:p>
    <w:p w14:paraId="7B6BDC7A" w14:textId="77777777" w:rsidR="003C50E1" w:rsidRDefault="003C50E1">
      <w:pPr>
        <w:spacing w:line="360" w:lineRule="auto"/>
        <w:rPr>
          <w:rFonts w:cs="Times New Roman"/>
        </w:rPr>
      </w:pPr>
    </w:p>
    <w:p w14:paraId="73F636EB" w14:textId="77777777" w:rsidR="003C50E1" w:rsidRDefault="00F32BF9">
      <w:pPr>
        <w:spacing w:line="360" w:lineRule="auto"/>
        <w:rPr>
          <w:rFonts w:cs="Times New Roman"/>
        </w:rPr>
      </w:pPr>
      <w:r>
        <w:rPr>
          <w:rFonts w:cs="Times New Roman"/>
        </w:rPr>
        <w:t>Furthermore, the electric field strength (E) is calculated using Equation (S8):</w:t>
      </w:r>
    </w:p>
    <w:p w14:paraId="47A5C64A" w14:textId="77777777" w:rsidR="003C50E1" w:rsidRDefault="00F32BF9">
      <w:pPr>
        <w:spacing w:line="360" w:lineRule="auto"/>
        <w:ind w:firstLineChars="200" w:firstLine="480"/>
        <w:jc w:val="right"/>
        <w:rPr>
          <w:rFonts w:cs="Times New Roman"/>
        </w:rPr>
      </w:pPr>
      <m:oMath>
        <m:r>
          <m:rPr>
            <m:sty m:val="p"/>
          </m:rPr>
          <w:rPr>
            <w:rFonts w:ascii="Cambria Math" w:hAnsi="Cambria Math" w:cs="Times New Roman"/>
          </w:rPr>
          <m:t>E</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V</m:t>
            </m:r>
          </m:num>
          <m:den>
            <m:r>
              <w:rPr>
                <w:rFonts w:ascii="Cambria Math" w:hAnsi="Cambria Math" w:cs="Times New Roman"/>
              </w:rPr>
              <m:t>L</m:t>
            </m:r>
          </m:den>
        </m:f>
      </m:oMath>
      <w:r>
        <w:rPr>
          <w:rFonts w:cs="Times New Roman"/>
        </w:rPr>
        <w:t xml:space="preserve">                             (S9)</w:t>
      </w:r>
    </w:p>
    <w:p w14:paraId="3DB4D488" w14:textId="77777777" w:rsidR="003C50E1" w:rsidRDefault="00F32BF9">
      <w:pPr>
        <w:spacing w:line="360" w:lineRule="auto"/>
        <w:rPr>
          <w:rFonts w:cs="Times New Roman"/>
        </w:rPr>
      </w:pPr>
      <w:r>
        <w:rPr>
          <w:rFonts w:cs="Times New Roman"/>
        </w:rPr>
        <w:t>Under the assumption that only the electric field generated by the current is considered and the voltage across the solution obeys Ohm's law (V = IR), the relationship between the ion diffusion rate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d,i</m:t>
            </m:r>
          </m:sub>
        </m:sSub>
      </m:oMath>
      <w:r>
        <w:rPr>
          <w:rFonts w:cs="Times New Roman"/>
        </w:rPr>
        <w:t>) and the ion migration rate (</w:t>
      </w:r>
      <m:oMath>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oMath>
      <w:r>
        <w:rPr>
          <w:rFonts w:cs="Times New Roman"/>
        </w:rPr>
        <w:t>) can be derived as:</w:t>
      </w:r>
    </w:p>
    <w:p w14:paraId="5D4A4277" w14:textId="77777777" w:rsidR="003C50E1" w:rsidRDefault="00B738BC">
      <w:pPr>
        <w:spacing w:line="360" w:lineRule="auto"/>
        <w:jc w:val="right"/>
        <w:rPr>
          <w:rFonts w:cs="Times New Roman"/>
        </w:rPr>
      </w:pP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d,i</m:t>
            </m:r>
          </m:sub>
        </m:sSub>
        <m:r>
          <m:rPr>
            <m:sty m:val="p"/>
          </m:rPr>
          <w:rPr>
            <w:rFonts w:ascii="Cambria Math" w:hAnsi="Cambria Math" w:cs="Times New Roman"/>
          </w:rPr>
          <m:t xml:space="preserve"> </m:t>
        </m:r>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num>
          <m:den>
            <m:r>
              <w:rPr>
                <w:rFonts w:ascii="Cambria Math" w:hAnsi="Cambria Math" w:cs="Times New Roman"/>
              </w:rPr>
              <m:t>L</m:t>
            </m:r>
          </m:den>
        </m:f>
        <m:r>
          <w:rPr>
            <w:rFonts w:ascii="Cambria Math" w:hAnsi="Cambria Math" w:cs="Times New Roman"/>
          </w:rPr>
          <m:t xml:space="preserve">= </m:t>
        </m:r>
        <m:f>
          <m:fPr>
            <m:ctrlPr>
              <w:rPr>
                <w:rFonts w:ascii="Cambria Math" w:hAnsi="Cambria Math" w:cs="Times New Roman"/>
                <w:i/>
              </w:rPr>
            </m:ctrlPr>
          </m:fPr>
          <m:num>
            <m:sSub>
              <m:sSubPr>
                <m:ctrlPr>
                  <w:rPr>
                    <w:rFonts w:ascii="Cambria Math" w:hAnsi="Cambria Math" w:cs="Times New Roman"/>
                  </w:rPr>
                </m:ctrlPr>
              </m:sSubPr>
              <m:e>
                <m:r>
                  <w:rPr>
                    <w:rFonts w:ascii="Cambria Math" w:hAnsi="Cambria Math" w:cs="Times New Roman"/>
                  </w:rPr>
                  <m:t>u</m:t>
                </m:r>
              </m:e>
              <m:sub>
                <m:r>
                  <w:rPr>
                    <w:rFonts w:ascii="Cambria Math" w:hAnsi="Cambria Math" w:cs="Times New Roman"/>
                  </w:rPr>
                  <m:t>i</m:t>
                </m:r>
              </m:sub>
            </m:sSub>
            <m:r>
              <w:rPr>
                <w:rFonts w:ascii="Cambria Math" w:hAnsi="Cambria Math" w:cs="Times New Roman"/>
              </w:rPr>
              <m:t>RT</m:t>
            </m:r>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i</m:t>
                </m:r>
              </m:sub>
            </m:sSub>
            <m:r>
              <w:rPr>
                <w:rFonts w:ascii="Cambria Math" w:hAnsi="Cambria Math" w:cs="Times New Roman"/>
              </w:rPr>
              <m:t>FL</m:t>
            </m:r>
          </m:den>
        </m:f>
      </m:oMath>
      <w:r w:rsidR="00F32BF9">
        <w:rPr>
          <w:rFonts w:cs="Times New Roman"/>
        </w:rPr>
        <w:t xml:space="preserve">                       (S10)</w:t>
      </w:r>
      <w:bookmarkStart w:id="7" w:name="OLE_LINK1"/>
      <w:bookmarkEnd w:id="6"/>
    </w:p>
    <w:p w14:paraId="04E4C000" w14:textId="77777777" w:rsidR="003C50E1" w:rsidRDefault="00F32BF9">
      <w:pPr>
        <w:spacing w:line="360" w:lineRule="auto"/>
        <w:ind w:firstLineChars="200" w:firstLine="480"/>
        <w:jc w:val="left"/>
        <w:rPr>
          <w:rFonts w:cs="Times New Roman"/>
        </w:rPr>
      </w:pPr>
      <w:r>
        <w:rPr>
          <w:rFonts w:cs="Times New Roman"/>
        </w:rPr>
        <w:t>Potassium Ion (K⁺) Diffusion Rate:</w:t>
      </w:r>
    </w:p>
    <w:p w14:paraId="56A681A3" w14:textId="77777777" w:rsidR="003C50E1" w:rsidRDefault="00B738BC">
      <w:pPr>
        <w:spacing w:line="360" w:lineRule="auto"/>
        <w:jc w:val="right"/>
        <w:rPr>
          <w:rFonts w:cs="Times New Roman"/>
        </w:rPr>
      </w:pPr>
      <m:oMath>
        <m:eqArr>
          <m:eqArrPr>
            <m:ctrlPr>
              <w:rPr>
                <w:rFonts w:ascii="Cambria Math" w:hAnsi="Cambria Math" w:cs="Times New Roman"/>
              </w:rPr>
            </m:ctrlPr>
          </m:eqArrPr>
          <m:e>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m:t>
                </m:r>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&amp;=</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RT</m:t>
                </m:r>
              </m:num>
              <m:den>
                <m:sSub>
                  <m:sSubPr>
                    <m:ctrlPr>
                      <w:rPr>
                        <w:rFonts w:ascii="Cambria Math" w:hAnsi="Cambria Math" w:cs="Times New Roman"/>
                      </w:rPr>
                    </m:ctrlPr>
                  </m:sSubPr>
                  <m:e>
                    <m:r>
                      <w:rPr>
                        <w:rFonts w:ascii="Cambria Math" w:hAnsi="Cambria Math" w:cs="Times New Roman"/>
                      </w:rPr>
                      <m:t>z</m:t>
                    </m:r>
                  </m:e>
                  <m:sub>
                    <m:sSup>
                      <m:sSupPr>
                        <m:ctrlPr>
                          <w:rPr>
                            <w:rFonts w:ascii="Cambria Math" w:hAnsi="Cambria Math" w:cs="Times New Roman"/>
                          </w:rPr>
                        </m:ctrlPr>
                      </m:sSupPr>
                      <m:e>
                        <m:r>
                          <w:rPr>
                            <w:rFonts w:ascii="Cambria Math" w:hAnsi="Cambria Math" w:cs="Times New Roman"/>
                          </w:rPr>
                          <m:t>K</m:t>
                        </m:r>
                      </m:e>
                      <m:sup>
                        <m:r>
                          <w:rPr>
                            <w:rFonts w:ascii="Cambria Math" w:hAnsi="Cambria Math" w:cs="Times New Roman"/>
                          </w:rPr>
                          <m:t>+</m:t>
                        </m:r>
                      </m:sup>
                    </m:sSup>
                  </m:sub>
                </m:sSub>
                <m:r>
                  <w:rPr>
                    <w:rFonts w:ascii="Cambria Math" w:hAnsi="Cambria Math" w:cs="Times New Roman"/>
                  </w:rPr>
                  <m:t>F</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L</m:t>
                </m:r>
              </m:den>
            </m:f>
          </m:e>
          <m:e>
            <m:r>
              <w:rPr>
                <w:rFonts w:ascii="Cambria Math" w:hAnsi="Cambria Math" w:cs="Times New Roman"/>
              </w:rPr>
              <m:t>&amp;</m:t>
            </m:r>
          </m:e>
          <m:e>
            <m:r>
              <w:rPr>
                <w:rFonts w:ascii="Cambria Math" w:hAnsi="Cambria Math" w:cs="Times New Roman"/>
              </w:rPr>
              <m:t>&amp;</m:t>
            </m:r>
          </m:e>
        </m:eqArr>
      </m:oMath>
      <w:r w:rsidR="00F32BF9">
        <w:rPr>
          <w:rFonts w:cs="Times New Roman"/>
        </w:rPr>
        <w:t xml:space="preserve">                     (S11)</w:t>
      </w:r>
    </w:p>
    <w:p w14:paraId="4CC8288D" w14:textId="77777777" w:rsidR="003C50E1" w:rsidRDefault="00F32BF9">
      <w:pPr>
        <w:spacing w:line="360" w:lineRule="auto"/>
        <w:ind w:firstLineChars="200" w:firstLine="480"/>
        <w:jc w:val="left"/>
        <w:rPr>
          <w:rFonts w:cs="Times New Roman"/>
        </w:rPr>
      </w:pPr>
      <w:r>
        <w:rPr>
          <w:rFonts w:cs="Times New Roman"/>
        </w:rPr>
        <w:t>Chloride Ion (Cl⁻) Diffusion Rate:</w:t>
      </w:r>
    </w:p>
    <w:p w14:paraId="35C87700" w14:textId="77777777" w:rsidR="003C50E1" w:rsidRDefault="00B738BC">
      <w:pPr>
        <w:spacing w:line="360" w:lineRule="auto"/>
        <w:jc w:val="right"/>
        <w:rPr>
          <w:rFonts w:cs="Times New Roman"/>
        </w:rPr>
      </w:pPr>
      <m:oMath>
        <m:eqArr>
          <m:eqArrPr>
            <m:ctrlPr>
              <w:rPr>
                <w:rFonts w:ascii="Cambria Math" w:hAnsi="Cambria Math" w:cs="Times New Roman"/>
              </w:rPr>
            </m:ctrlPr>
          </m:eqArrPr>
          <m:e>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d,Cl</m:t>
                </m:r>
              </m:sub>
            </m:sSub>
            <m:r>
              <w:rPr>
                <w:rFonts w:ascii="Cambria Math" w:hAnsi="Cambria Math" w:cs="Times New Roman"/>
              </w:rPr>
              <m:t>&amp;=</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C</m:t>
                    </m:r>
                    <m:sSup>
                      <m:sSupPr>
                        <m:ctrlPr>
                          <w:rPr>
                            <w:rFonts w:ascii="Cambria Math" w:hAnsi="Cambria Math" w:cs="Times New Roman"/>
                          </w:rPr>
                        </m:ctrlPr>
                      </m:sSupPr>
                      <m:e>
                        <m:r>
                          <w:rPr>
                            <w:rFonts w:ascii="Cambria Math" w:hAnsi="Cambria Math" w:cs="Times New Roman"/>
                          </w:rPr>
                          <m:t>l</m:t>
                        </m:r>
                      </m:e>
                      <m:sup>
                        <m:r>
                          <w:rPr>
                            <w:rFonts w:ascii="Cambria Math" w:hAnsi="Cambria Math" w:cs="Times New Roman"/>
                          </w:rPr>
                          <m:t>-</m:t>
                        </m:r>
                      </m:sup>
                    </m:sSup>
                  </m:sub>
                </m:sSub>
                <m:r>
                  <w:rPr>
                    <w:rFonts w:ascii="Cambria Math" w:hAnsi="Cambria Math" w:cs="Times New Roman"/>
                  </w:rPr>
                  <m:t>RT</m:t>
                </m:r>
              </m:num>
              <m:den>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C</m:t>
                    </m:r>
                    <m:sSup>
                      <m:sSupPr>
                        <m:ctrlPr>
                          <w:rPr>
                            <w:rFonts w:ascii="Cambria Math" w:hAnsi="Cambria Math" w:cs="Times New Roman"/>
                          </w:rPr>
                        </m:ctrlPr>
                      </m:sSupPr>
                      <m:e>
                        <m:r>
                          <w:rPr>
                            <w:rFonts w:ascii="Cambria Math" w:hAnsi="Cambria Math" w:cs="Times New Roman"/>
                          </w:rPr>
                          <m:t>l</m:t>
                        </m:r>
                      </m:e>
                      <m:sup>
                        <m:r>
                          <w:rPr>
                            <w:rFonts w:ascii="Cambria Math" w:hAnsi="Cambria Math" w:cs="Times New Roman"/>
                          </w:rPr>
                          <m:t>-</m:t>
                        </m:r>
                      </m:sup>
                    </m:sSup>
                  </m:sub>
                </m:sSub>
                <m:r>
                  <w:rPr>
                    <w:rFonts w:ascii="Cambria Math" w:hAnsi="Cambria Math" w:cs="Times New Roman"/>
                  </w:rPr>
                  <m:t>F</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L</m:t>
                </m:r>
              </m:den>
            </m:f>
          </m:e>
        </m:eqArr>
      </m:oMath>
      <w:r w:rsidR="00F32BF9">
        <w:rPr>
          <w:rFonts w:cs="Times New Roman"/>
        </w:rPr>
        <w:t xml:space="preserve">                   (S12)</w:t>
      </w:r>
    </w:p>
    <w:p w14:paraId="668A034E" w14:textId="77777777" w:rsidR="003C50E1" w:rsidRDefault="00F32BF9">
      <w:pPr>
        <w:spacing w:line="360" w:lineRule="auto"/>
        <w:ind w:firstLineChars="200" w:firstLine="480"/>
        <w:rPr>
          <w:rFonts w:cs="Times New Roman"/>
        </w:rPr>
      </w:pPr>
      <w:r>
        <w:rPr>
          <w:rFonts w:cs="Times New Roman"/>
        </w:rPr>
        <w:t>15. Electrode Interfacial Reaction Rate</w:t>
      </w:r>
    </w:p>
    <w:p w14:paraId="57ADAC0A" w14:textId="77777777" w:rsidR="003C50E1" w:rsidRDefault="00F32BF9">
      <w:pPr>
        <w:spacing w:line="360" w:lineRule="auto"/>
        <w:ind w:firstLineChars="200" w:firstLine="480"/>
        <w:rPr>
          <w:rFonts w:cs="Times New Roman"/>
        </w:rPr>
      </w:pPr>
      <w:r>
        <w:rPr>
          <w:rFonts w:cs="Times New Roman"/>
        </w:rPr>
        <w:t>According to Faraday's law, the relationship between the amount of electricity (Q) passed through the electrode and the amount of substance (N) reacted at the electrode interface is given by:</w:t>
      </w:r>
    </w:p>
    <w:p w14:paraId="3CADDA45" w14:textId="77777777" w:rsidR="003C50E1" w:rsidRDefault="00F32BF9">
      <w:pPr>
        <w:spacing w:line="360" w:lineRule="auto"/>
        <w:jc w:val="right"/>
        <w:rPr>
          <w:rFonts w:cs="Times New Roman"/>
        </w:rPr>
      </w:pPr>
      <m:oMath>
        <m:r>
          <w:rPr>
            <w:rFonts w:ascii="Cambria Math" w:hAnsi="Cambria Math" w:cs="Times New Roman"/>
          </w:rPr>
          <m:t>n=</m:t>
        </m:r>
        <m:f>
          <m:fPr>
            <m:ctrlPr>
              <w:rPr>
                <w:rFonts w:ascii="Cambria Math" w:hAnsi="Cambria Math" w:cs="Times New Roman"/>
              </w:rPr>
            </m:ctrlPr>
          </m:fPr>
          <m:num>
            <m:r>
              <w:rPr>
                <w:rFonts w:ascii="Cambria Math" w:hAnsi="Cambria Math" w:cs="Times New Roman"/>
              </w:rPr>
              <m:t>Q</m:t>
            </m:r>
          </m:num>
          <m:den>
            <m:r>
              <w:rPr>
                <w:rFonts w:ascii="Cambria Math" w:hAnsi="Cambria Math" w:cs="Times New Roman"/>
              </w:rPr>
              <m:t>zF</m:t>
            </m:r>
          </m:den>
        </m:f>
      </m:oMath>
      <w:r>
        <w:rPr>
          <w:rFonts w:cs="Times New Roman"/>
        </w:rPr>
        <w:t xml:space="preserve">                         (S13)</w:t>
      </w:r>
    </w:p>
    <w:p w14:paraId="749B4C59" w14:textId="77777777" w:rsidR="003C50E1" w:rsidRDefault="003C50E1">
      <w:pPr>
        <w:spacing w:line="360" w:lineRule="auto"/>
        <w:jc w:val="left"/>
        <w:rPr>
          <w:rFonts w:cs="Times New Roman"/>
        </w:rPr>
      </w:pPr>
    </w:p>
    <w:p w14:paraId="04CCF6E2" w14:textId="77777777" w:rsidR="003C50E1" w:rsidRDefault="00F32BF9">
      <w:pPr>
        <w:spacing w:line="360" w:lineRule="auto"/>
        <w:ind w:firstLineChars="200" w:firstLine="480"/>
        <w:rPr>
          <w:rFonts w:cs="Times New Roman"/>
        </w:rPr>
      </w:pPr>
      <w:r>
        <w:rPr>
          <w:rFonts w:cs="Times New Roman"/>
        </w:rPr>
        <w:t>where n is the amount of substance (in mol) that has reacted at the electrode surface, Q is the electric charge (in C) that has passed through the electrode, z is the charge number of the ion involved in the reaction, and F is the Faraday constant. Thus, the reaction rate, which is defined as the amount of substance reacted per unit time (in mol/s), can be expressed as:</w:t>
      </w:r>
    </w:p>
    <w:p w14:paraId="4627FC04" w14:textId="77777777" w:rsidR="003C50E1" w:rsidRDefault="00B738BC">
      <w:pPr>
        <w:spacing w:line="360" w:lineRule="auto"/>
        <w:jc w:val="right"/>
        <w:rPr>
          <w:rFonts w:cs="Times New Roman"/>
        </w:rPr>
      </w:pPr>
      <m:oMath>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electrode</m:t>
            </m:r>
          </m:sub>
        </m:sSub>
        <m:r>
          <w:rPr>
            <w:rFonts w:ascii="Cambria Math" w:hAnsi="Cambria Math" w:cs="Times New Roman"/>
          </w:rPr>
          <m:t>=</m:t>
        </m:r>
        <m:f>
          <m:fPr>
            <m:ctrlPr>
              <w:rPr>
                <w:rFonts w:ascii="Cambria Math" w:hAnsi="Cambria Math" w:cs="Times New Roman"/>
              </w:rPr>
            </m:ctrlPr>
          </m:fPr>
          <m:num>
            <m:r>
              <w:rPr>
                <w:rFonts w:ascii="Cambria Math" w:hAnsi="Cambria Math" w:cs="Times New Roman"/>
              </w:rPr>
              <m:t>n</m:t>
            </m:r>
          </m:num>
          <m:den>
            <m:r>
              <w:rPr>
                <w:rFonts w:ascii="Cambria Math" w:hAnsi="Cambria Math" w:cs="Times New Roman"/>
              </w:rPr>
              <m:t>t</m:t>
            </m:r>
          </m:den>
        </m:f>
      </m:oMath>
      <w:r w:rsidR="00F32BF9">
        <w:rPr>
          <w:rFonts w:cs="Times New Roman"/>
        </w:rPr>
        <w:t xml:space="preserve">                          (S14)</w:t>
      </w:r>
    </w:p>
    <w:p w14:paraId="06FBFCF9" w14:textId="77777777" w:rsidR="003C50E1" w:rsidRDefault="003C50E1">
      <w:pPr>
        <w:spacing w:line="360" w:lineRule="auto"/>
        <w:rPr>
          <w:rFonts w:cs="Times New Roman"/>
        </w:rPr>
      </w:pPr>
    </w:p>
    <w:p w14:paraId="0C2495EE" w14:textId="77777777" w:rsidR="003C50E1" w:rsidRDefault="00F32BF9">
      <w:pPr>
        <w:spacing w:line="360" w:lineRule="auto"/>
        <w:rPr>
          <w:rFonts w:cs="Times New Roman"/>
        </w:rPr>
      </w:pPr>
      <w:r>
        <w:rPr>
          <w:rFonts w:cs="Times New Roman"/>
        </w:rPr>
        <w:t>Since the electric charge (Q) is related to the current (I) and time (t) by Q = It.</w:t>
      </w:r>
    </w:p>
    <w:p w14:paraId="72988B26" w14:textId="77777777" w:rsidR="003C50E1" w:rsidRDefault="00F32BF9">
      <w:pPr>
        <w:spacing w:line="360" w:lineRule="auto"/>
        <w:rPr>
          <w:rFonts w:cs="Times New Roman"/>
        </w:rPr>
      </w:pPr>
      <w:r>
        <w:rPr>
          <w:rFonts w:cs="Times New Roman"/>
        </w:rPr>
        <w:t>and combining the relationships above, the calculation formula for the reaction rate at the electrode surface can be derived as:</w:t>
      </w:r>
    </w:p>
    <w:p w14:paraId="611F19C7" w14:textId="77777777" w:rsidR="003C50E1" w:rsidRDefault="00B738BC">
      <w:pPr>
        <w:spacing w:line="360" w:lineRule="auto"/>
        <w:jc w:val="right"/>
        <w:rPr>
          <w:rFonts w:cs="Times New Roman"/>
        </w:rPr>
      </w:pPr>
      <m:oMath>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electrode</m:t>
            </m:r>
          </m:sub>
        </m:sSub>
        <m:r>
          <w:rPr>
            <w:rFonts w:ascii="Cambria Math" w:hAnsi="Cambria Math" w:cs="Times New Roman"/>
          </w:rPr>
          <m:t>=</m:t>
        </m:r>
        <m:f>
          <m:fPr>
            <m:ctrlPr>
              <w:rPr>
                <w:rFonts w:ascii="Cambria Math" w:hAnsi="Cambria Math" w:cs="Times New Roman"/>
              </w:rPr>
            </m:ctrlPr>
          </m:fPr>
          <m:num>
            <m:r>
              <w:rPr>
                <w:rFonts w:ascii="Cambria Math" w:hAnsi="Cambria Math" w:cs="Times New Roman"/>
              </w:rPr>
              <m:t>I</m:t>
            </m:r>
          </m:num>
          <m:den>
            <m:r>
              <w:rPr>
                <w:rFonts w:ascii="Cambria Math" w:hAnsi="Cambria Math" w:cs="Times New Roman"/>
              </w:rPr>
              <m:t>zF</m:t>
            </m:r>
          </m:den>
        </m:f>
      </m:oMath>
      <w:r w:rsidR="00F32BF9">
        <w:rPr>
          <w:rFonts w:cs="Times New Roman"/>
        </w:rPr>
        <w:t xml:space="preserve">                         (S15)</w:t>
      </w:r>
    </w:p>
    <w:p w14:paraId="012CD392" w14:textId="77777777" w:rsidR="003C50E1" w:rsidRDefault="003C50E1">
      <w:pPr>
        <w:spacing w:line="360" w:lineRule="auto"/>
        <w:rPr>
          <w:rFonts w:cs="Times New Roman"/>
        </w:rPr>
      </w:pPr>
    </w:p>
    <w:p w14:paraId="2FBD2736" w14:textId="77777777" w:rsidR="003C50E1" w:rsidRDefault="00F32BF9">
      <w:pPr>
        <w:spacing w:line="360" w:lineRule="auto"/>
        <w:jc w:val="left"/>
        <w:rPr>
          <w:rFonts w:cs="Times New Roman"/>
        </w:rPr>
      </w:pPr>
      <w:r>
        <w:rPr>
          <w:rFonts w:cs="Times New Roman"/>
        </w:rPr>
        <w:t>The electrode reaction rate was calculated from the measured current:</w:t>
      </w:r>
    </w:p>
    <w:p w14:paraId="06960BAD" w14:textId="77777777" w:rsidR="003C50E1" w:rsidRDefault="00B738BC">
      <w:pPr>
        <w:spacing w:line="360" w:lineRule="auto"/>
        <w:jc w:val="right"/>
        <w:rPr>
          <w:rFonts w:cs="Times New Roman"/>
        </w:rPr>
      </w:pPr>
      <m:oMath>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anode</m:t>
            </m:r>
          </m:sub>
        </m:sSub>
        <m:r>
          <w:rPr>
            <w:rFonts w:ascii="Cambria Math" w:hAnsi="Cambria Math" w:cs="Times New Roman"/>
          </w:rPr>
          <m:t>=</m:t>
        </m:r>
        <m:f>
          <m:fPr>
            <m:ctrlPr>
              <w:rPr>
                <w:rFonts w:ascii="Cambria Math" w:hAnsi="Cambria Math" w:cs="Times New Roman"/>
              </w:rPr>
            </m:ctrlPr>
          </m:fPr>
          <m:num>
            <m:r>
              <w:rPr>
                <w:rFonts w:ascii="Cambria Math" w:hAnsi="Cambria Math" w:cs="Times New Roman"/>
              </w:rPr>
              <m:t>I</m:t>
            </m:r>
          </m:num>
          <m:den>
            <m:r>
              <w:rPr>
                <w:rFonts w:ascii="Cambria Math" w:hAnsi="Cambria Math" w:cs="Times New Roman"/>
              </w:rPr>
              <m:t>zF</m:t>
            </m:r>
          </m:den>
        </m:f>
      </m:oMath>
      <w:r w:rsidR="00F32BF9">
        <w:rPr>
          <w:rFonts w:cs="Times New Roman"/>
        </w:rPr>
        <w:t xml:space="preserve">                         (S16)</w:t>
      </w:r>
      <w:bookmarkEnd w:id="7"/>
      <w:r w:rsidR="00F32BF9">
        <w:rPr>
          <w:rFonts w:cs="Times New Roman"/>
        </w:rPr>
        <w:br w:type="page"/>
      </w:r>
    </w:p>
    <w:p w14:paraId="454AAEA5" w14:textId="77777777" w:rsidR="003C50E1" w:rsidRDefault="00F32BF9">
      <w:pPr>
        <w:pStyle w:val="1"/>
        <w:spacing w:line="360" w:lineRule="auto"/>
        <w:rPr>
          <w:rFonts w:ascii="Times New Roman" w:eastAsia="宋体" w:hAnsi="Times New Roman" w:cs="Times New Roman"/>
          <w:sz w:val="28"/>
          <w:szCs w:val="28"/>
        </w:rPr>
      </w:pPr>
      <w:bookmarkStart w:id="8" w:name="_Toc172305012"/>
      <w:r>
        <w:rPr>
          <w:rFonts w:ascii="Times New Roman" w:eastAsia="宋体" w:hAnsi="Times New Roman" w:cs="Times New Roman"/>
          <w:sz w:val="28"/>
          <w:szCs w:val="28"/>
        </w:rPr>
        <w:lastRenderedPageBreak/>
        <w:t>Supplementary Figures S1-S</w:t>
      </w:r>
      <w:bookmarkEnd w:id="8"/>
      <w:r>
        <w:rPr>
          <w:rFonts w:ascii="Times New Roman" w:eastAsia="宋体" w:hAnsi="Times New Roman" w:cs="Times New Roman"/>
          <w:sz w:val="28"/>
          <w:szCs w:val="28"/>
        </w:rPr>
        <w:t>25</w:t>
      </w:r>
    </w:p>
    <w:p w14:paraId="5D1ADA60" w14:textId="77777777" w:rsidR="003C50E1" w:rsidRDefault="00F32BF9">
      <w:pPr>
        <w:spacing w:line="360" w:lineRule="auto"/>
        <w:jc w:val="center"/>
        <w:rPr>
          <w:rFonts w:cs="Times New Roman"/>
          <w:b/>
          <w:bCs/>
        </w:rPr>
      </w:pPr>
      <w:r>
        <w:rPr>
          <w:rFonts w:cs="Times New Roman"/>
          <w:noProof/>
        </w:rPr>
        <w:drawing>
          <wp:inline distT="0" distB="0" distL="0" distR="0" wp14:anchorId="2B8D2E76" wp14:editId="623C417A">
            <wp:extent cx="3539490" cy="2915285"/>
            <wp:effectExtent l="0" t="0" r="3810" b="0"/>
            <wp:docPr id="1077755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55749" name="图片 1"/>
                    <pic:cNvPicPr>
                      <a:picLocks noChangeAspect="1"/>
                    </pic:cNvPicPr>
                  </pic:nvPicPr>
                  <pic:blipFill>
                    <a:blip r:embed="rId8"/>
                    <a:stretch>
                      <a:fillRect/>
                    </a:stretch>
                  </pic:blipFill>
                  <pic:spPr>
                    <a:xfrm>
                      <a:off x="0" y="0"/>
                      <a:ext cx="3547787" cy="2922034"/>
                    </a:xfrm>
                    <a:prstGeom prst="rect">
                      <a:avLst/>
                    </a:prstGeom>
                  </pic:spPr>
                </pic:pic>
              </a:graphicData>
            </a:graphic>
          </wp:inline>
        </w:drawing>
      </w:r>
    </w:p>
    <w:p w14:paraId="6A3882B8" w14:textId="77777777" w:rsidR="003C50E1" w:rsidRDefault="00F32BF9">
      <w:pPr>
        <w:spacing w:line="360" w:lineRule="auto"/>
        <w:rPr>
          <w:rFonts w:cs="Times New Roman"/>
          <w:b/>
          <w:bCs/>
          <w:sz w:val="21"/>
          <w:szCs w:val="20"/>
        </w:rPr>
      </w:pPr>
      <w:r>
        <w:rPr>
          <w:rFonts w:cs="Times New Roman"/>
          <w:b/>
          <w:bCs/>
          <w:sz w:val="21"/>
          <w:szCs w:val="20"/>
        </w:rPr>
        <w:t xml:space="preserve">Figure S1: </w:t>
      </w:r>
      <w:r>
        <w:rPr>
          <w:rFonts w:cs="Times New Roman"/>
          <w:sz w:val="21"/>
          <w:szCs w:val="20"/>
        </w:rPr>
        <w:t>CV curves of 0.2 M</w:t>
      </w:r>
      <w:proofErr w:type="gramStart"/>
      <w:r>
        <w:rPr>
          <w:rFonts w:cs="Times New Roman"/>
          <w:sz w:val="21"/>
          <w:szCs w:val="20"/>
        </w:rPr>
        <w:t>:0.2</w:t>
      </w:r>
      <w:proofErr w:type="gramEnd"/>
      <w:r>
        <w:rPr>
          <w:rFonts w:cs="Times New Roman"/>
          <w:sz w:val="21"/>
          <w:szCs w:val="20"/>
        </w:rPr>
        <w:t xml:space="preserve"> M Fe(CN)</w:t>
      </w:r>
      <w:r>
        <w:rPr>
          <w:rFonts w:cs="Times New Roman" w:hint="eastAsia"/>
          <w:sz w:val="21"/>
          <w:szCs w:val="20"/>
          <w:vertAlign w:val="subscript"/>
        </w:rPr>
        <w:t>6</w:t>
      </w:r>
      <w:r>
        <w:rPr>
          <w:rFonts w:cs="Times New Roman" w:hint="eastAsia"/>
          <w:sz w:val="21"/>
          <w:szCs w:val="20"/>
          <w:vertAlign w:val="superscript"/>
        </w:rPr>
        <w:t>4-</w:t>
      </w:r>
      <w:r>
        <w:rPr>
          <w:rFonts w:cs="Times New Roman"/>
          <w:sz w:val="21"/>
          <w:szCs w:val="20"/>
        </w:rPr>
        <w:t>/Fe(CN)</w:t>
      </w:r>
      <w:r>
        <w:rPr>
          <w:rFonts w:cs="Times New Roman" w:hint="eastAsia"/>
          <w:sz w:val="21"/>
          <w:szCs w:val="20"/>
          <w:vertAlign w:val="subscript"/>
        </w:rPr>
        <w:t>6</w:t>
      </w:r>
      <w:r>
        <w:rPr>
          <w:rFonts w:cs="Times New Roman" w:hint="eastAsia"/>
          <w:sz w:val="21"/>
          <w:szCs w:val="20"/>
          <w:vertAlign w:val="superscript"/>
        </w:rPr>
        <w:t>3-</w:t>
      </w:r>
      <w:r>
        <w:rPr>
          <w:rFonts w:cs="Times New Roman"/>
          <w:sz w:val="21"/>
          <w:szCs w:val="20"/>
        </w:rPr>
        <w:t xml:space="preserve"> at different scan rates</w:t>
      </w:r>
      <w:r w:rsidRPr="00427952">
        <w:rPr>
          <w:rFonts w:cs="Times New Roman"/>
          <w:bCs/>
          <w:sz w:val="21"/>
          <w:szCs w:val="20"/>
        </w:rPr>
        <w:t>.</w:t>
      </w:r>
    </w:p>
    <w:p w14:paraId="14FBB1A0" w14:textId="77777777" w:rsidR="003C50E1" w:rsidRDefault="00F32BF9">
      <w:pPr>
        <w:widowControl/>
        <w:spacing w:line="360" w:lineRule="auto"/>
        <w:jc w:val="left"/>
        <w:rPr>
          <w:rFonts w:cs="Times New Roman"/>
          <w:b/>
          <w:bCs/>
        </w:rPr>
      </w:pPr>
      <w:r>
        <w:rPr>
          <w:rFonts w:cs="Times New Roman"/>
          <w:b/>
          <w:bCs/>
        </w:rPr>
        <w:br w:type="page"/>
      </w:r>
    </w:p>
    <w:p w14:paraId="16DA065E" w14:textId="77777777" w:rsidR="003C50E1" w:rsidRDefault="00F32BF9">
      <w:pPr>
        <w:widowControl/>
        <w:spacing w:line="360" w:lineRule="auto"/>
        <w:jc w:val="center"/>
        <w:rPr>
          <w:rFonts w:cs="Times New Roman"/>
          <w:b/>
          <w:bCs/>
        </w:rPr>
      </w:pPr>
      <w:r>
        <w:rPr>
          <w:rFonts w:cs="Times New Roman"/>
          <w:noProof/>
        </w:rPr>
        <w:lastRenderedPageBreak/>
        <w:drawing>
          <wp:inline distT="0" distB="0" distL="0" distR="0" wp14:anchorId="3CA8D2A4" wp14:editId="33A5B7F1">
            <wp:extent cx="3990975" cy="3254375"/>
            <wp:effectExtent l="0" t="0" r="0" b="3175"/>
            <wp:docPr id="842126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26435" name="图片 1"/>
                    <pic:cNvPicPr>
                      <a:picLocks noChangeAspect="1"/>
                    </pic:cNvPicPr>
                  </pic:nvPicPr>
                  <pic:blipFill>
                    <a:blip r:embed="rId9"/>
                    <a:stretch>
                      <a:fillRect/>
                    </a:stretch>
                  </pic:blipFill>
                  <pic:spPr>
                    <a:xfrm>
                      <a:off x="0" y="0"/>
                      <a:ext cx="3992957" cy="3256476"/>
                    </a:xfrm>
                    <a:prstGeom prst="rect">
                      <a:avLst/>
                    </a:prstGeom>
                  </pic:spPr>
                </pic:pic>
              </a:graphicData>
            </a:graphic>
          </wp:inline>
        </w:drawing>
      </w:r>
    </w:p>
    <w:p w14:paraId="45330350" w14:textId="77777777" w:rsidR="003C50E1" w:rsidRDefault="00F32BF9">
      <w:pPr>
        <w:widowControl/>
        <w:spacing w:line="360" w:lineRule="auto"/>
        <w:rPr>
          <w:rFonts w:cs="Times New Roman"/>
          <w:b/>
          <w:bCs/>
          <w:sz w:val="21"/>
          <w:szCs w:val="20"/>
        </w:rPr>
      </w:pPr>
      <w:r>
        <w:rPr>
          <w:rFonts w:cs="Times New Roman"/>
          <w:b/>
          <w:bCs/>
          <w:sz w:val="21"/>
          <w:szCs w:val="20"/>
        </w:rPr>
        <w:t>Figure S2:</w:t>
      </w:r>
      <w:r>
        <w:rPr>
          <w:rFonts w:cs="Times New Roman"/>
          <w:sz w:val="21"/>
          <w:szCs w:val="20"/>
        </w:rPr>
        <w:t xml:space="preserve"> Concentration change process of </w:t>
      </w:r>
      <w:proofErr w:type="gramStart"/>
      <w:r>
        <w:rPr>
          <w:rFonts w:cs="Times New Roman"/>
          <w:sz w:val="21"/>
          <w:szCs w:val="20"/>
        </w:rPr>
        <w:t>Fe(</w:t>
      </w:r>
      <w:proofErr w:type="gramEnd"/>
      <w:r>
        <w:rPr>
          <w:rFonts w:cs="Times New Roman"/>
          <w:sz w:val="21"/>
          <w:szCs w:val="20"/>
        </w:rPr>
        <w:t>CN)</w:t>
      </w:r>
      <w:r>
        <w:rPr>
          <w:rFonts w:cs="Times New Roman" w:hint="eastAsia"/>
          <w:sz w:val="21"/>
          <w:szCs w:val="20"/>
          <w:vertAlign w:val="subscript"/>
        </w:rPr>
        <w:t>6</w:t>
      </w:r>
      <w:r>
        <w:rPr>
          <w:rFonts w:cs="Times New Roman" w:hint="eastAsia"/>
          <w:sz w:val="21"/>
          <w:szCs w:val="20"/>
          <w:vertAlign w:val="superscript"/>
        </w:rPr>
        <w:t>4-</w:t>
      </w:r>
      <w:r>
        <w:rPr>
          <w:rFonts w:cs="Times New Roman"/>
          <w:sz w:val="21"/>
          <w:szCs w:val="20"/>
        </w:rPr>
        <w:t>/Fe(CN)</w:t>
      </w:r>
      <w:r>
        <w:rPr>
          <w:rFonts w:cs="Times New Roman" w:hint="eastAsia"/>
          <w:sz w:val="21"/>
          <w:szCs w:val="20"/>
          <w:vertAlign w:val="subscript"/>
        </w:rPr>
        <w:t>6</w:t>
      </w:r>
      <w:r>
        <w:rPr>
          <w:rFonts w:cs="Times New Roman" w:hint="eastAsia"/>
          <w:sz w:val="21"/>
          <w:szCs w:val="20"/>
          <w:vertAlign w:val="superscript"/>
        </w:rPr>
        <w:t>3-</w:t>
      </w:r>
      <w:r>
        <w:rPr>
          <w:rFonts w:cs="Times New Roman"/>
          <w:sz w:val="21"/>
          <w:szCs w:val="20"/>
        </w:rPr>
        <w:t xml:space="preserve"> at the cold end.</w:t>
      </w:r>
    </w:p>
    <w:p w14:paraId="5112F29F" w14:textId="77777777" w:rsidR="003C50E1" w:rsidRDefault="003C50E1">
      <w:pPr>
        <w:widowControl/>
        <w:spacing w:line="240" w:lineRule="auto"/>
        <w:jc w:val="left"/>
        <w:rPr>
          <w:rFonts w:cs="Times New Roman"/>
          <w:b/>
          <w:bCs/>
        </w:rPr>
      </w:pPr>
    </w:p>
    <w:p w14:paraId="5EF2A071" w14:textId="77777777" w:rsidR="003C50E1" w:rsidRDefault="00F32BF9">
      <w:pPr>
        <w:spacing w:line="360" w:lineRule="auto"/>
        <w:jc w:val="center"/>
        <w:rPr>
          <w:rFonts w:cs="Times New Roman"/>
        </w:rPr>
      </w:pPr>
      <w:r>
        <w:rPr>
          <w:rFonts w:cs="Times New Roman"/>
          <w:b/>
          <w:bCs/>
          <w:color w:val="FF0000"/>
        </w:rPr>
        <w:br w:type="page"/>
      </w:r>
      <w:r>
        <w:rPr>
          <w:rFonts w:cs="Times New Roman"/>
          <w:noProof/>
        </w:rPr>
        <w:lastRenderedPageBreak/>
        <w:drawing>
          <wp:inline distT="0" distB="0" distL="114300" distR="114300" wp14:anchorId="778E74A2" wp14:editId="2F1D741F">
            <wp:extent cx="5264785" cy="2814955"/>
            <wp:effectExtent l="0" t="0" r="8255" b="4445"/>
            <wp:docPr id="1" name="图片 1"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未标题-2"/>
                    <pic:cNvPicPr>
                      <a:picLocks noChangeAspect="1"/>
                    </pic:cNvPicPr>
                  </pic:nvPicPr>
                  <pic:blipFill>
                    <a:blip r:embed="rId10"/>
                    <a:stretch>
                      <a:fillRect/>
                    </a:stretch>
                  </pic:blipFill>
                  <pic:spPr>
                    <a:xfrm>
                      <a:off x="0" y="0"/>
                      <a:ext cx="5264785" cy="2814955"/>
                    </a:xfrm>
                    <a:prstGeom prst="rect">
                      <a:avLst/>
                    </a:prstGeom>
                  </pic:spPr>
                </pic:pic>
              </a:graphicData>
            </a:graphic>
          </wp:inline>
        </w:drawing>
      </w:r>
    </w:p>
    <w:p w14:paraId="1D01F15C" w14:textId="77777777" w:rsidR="003C50E1" w:rsidRDefault="00F32BF9">
      <w:pPr>
        <w:spacing w:line="360" w:lineRule="auto"/>
        <w:jc w:val="center"/>
        <w:rPr>
          <w:rFonts w:cs="Times New Roman"/>
        </w:rPr>
      </w:pPr>
      <w:r>
        <w:rPr>
          <w:rFonts w:cs="Times New Roman"/>
          <w:noProof/>
        </w:rPr>
        <w:drawing>
          <wp:inline distT="0" distB="0" distL="114300" distR="114300" wp14:anchorId="17FC9A1D" wp14:editId="50B0FDA3">
            <wp:extent cx="1883410" cy="1490345"/>
            <wp:effectExtent l="0" t="0" r="6350" b="3175"/>
            <wp:docPr id="3" name="图片 3"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未标题-3"/>
                    <pic:cNvPicPr>
                      <a:picLocks noChangeAspect="1"/>
                    </pic:cNvPicPr>
                  </pic:nvPicPr>
                  <pic:blipFill>
                    <a:blip r:embed="rId11"/>
                    <a:stretch>
                      <a:fillRect/>
                    </a:stretch>
                  </pic:blipFill>
                  <pic:spPr>
                    <a:xfrm>
                      <a:off x="0" y="0"/>
                      <a:ext cx="1883410" cy="1490345"/>
                    </a:xfrm>
                    <a:prstGeom prst="rect">
                      <a:avLst/>
                    </a:prstGeom>
                  </pic:spPr>
                </pic:pic>
              </a:graphicData>
            </a:graphic>
          </wp:inline>
        </w:drawing>
      </w:r>
    </w:p>
    <w:p w14:paraId="6E9515E2" w14:textId="77777777" w:rsidR="003C50E1" w:rsidRDefault="003C50E1">
      <w:pPr>
        <w:spacing w:line="360" w:lineRule="auto"/>
        <w:jc w:val="center"/>
        <w:rPr>
          <w:rFonts w:cs="Times New Roman"/>
        </w:rPr>
      </w:pPr>
    </w:p>
    <w:p w14:paraId="68757988" w14:textId="77777777" w:rsidR="003C50E1" w:rsidRDefault="00F32BF9">
      <w:pPr>
        <w:spacing w:line="360" w:lineRule="auto"/>
        <w:rPr>
          <w:rFonts w:cs="Times New Roman"/>
          <w:sz w:val="21"/>
          <w:szCs w:val="21"/>
        </w:rPr>
      </w:pPr>
      <w:r>
        <w:rPr>
          <w:rFonts w:cs="Times New Roman"/>
          <w:b/>
          <w:bCs/>
          <w:sz w:val="21"/>
          <w:szCs w:val="21"/>
        </w:rPr>
        <w:t xml:space="preserve">Figure S3: </w:t>
      </w:r>
      <w:r>
        <w:rPr>
          <w:rFonts w:cs="Times New Roman"/>
          <w:sz w:val="21"/>
          <w:szCs w:val="21"/>
        </w:rPr>
        <w:t>CV tests of 0.2 M</w:t>
      </w:r>
      <w:proofErr w:type="gramStart"/>
      <w:r>
        <w:rPr>
          <w:rFonts w:cs="Times New Roman"/>
          <w:sz w:val="21"/>
          <w:szCs w:val="21"/>
        </w:rPr>
        <w:t>:0.2</w:t>
      </w:r>
      <w:proofErr w:type="gramEnd"/>
      <w:r>
        <w:rPr>
          <w:rFonts w:cs="Times New Roman"/>
          <w:sz w:val="21"/>
          <w:szCs w:val="21"/>
        </w:rPr>
        <w:t xml:space="preserve"> </w:t>
      </w:r>
      <w:proofErr w:type="spellStart"/>
      <w:r>
        <w:rPr>
          <w:rFonts w:cs="Times New Roman"/>
          <w:sz w:val="21"/>
          <w:szCs w:val="21"/>
        </w:rPr>
        <w:t>MFe</w:t>
      </w:r>
      <w:proofErr w:type="spellEnd"/>
      <w:r>
        <w:rPr>
          <w:rFonts w:cs="Times New Roman"/>
          <w:sz w:val="21"/>
          <w:szCs w:val="21"/>
        </w:rPr>
        <w:t>(CN)</w:t>
      </w:r>
      <w:r>
        <w:rPr>
          <w:rFonts w:cs="Times New Roman" w:hint="eastAsia"/>
          <w:sz w:val="21"/>
          <w:szCs w:val="21"/>
          <w:vertAlign w:val="subscript"/>
        </w:rPr>
        <w:t>6</w:t>
      </w:r>
      <w:r>
        <w:rPr>
          <w:rFonts w:cs="Times New Roman" w:hint="eastAsia"/>
          <w:sz w:val="21"/>
          <w:szCs w:val="21"/>
          <w:vertAlign w:val="superscript"/>
        </w:rPr>
        <w:t>4-</w:t>
      </w:r>
      <w:r>
        <w:rPr>
          <w:rFonts w:cs="Times New Roman"/>
          <w:sz w:val="21"/>
          <w:szCs w:val="21"/>
        </w:rPr>
        <w:t>/Fe(CN)</w:t>
      </w:r>
      <w:r>
        <w:rPr>
          <w:rFonts w:cs="Times New Roman" w:hint="eastAsia"/>
          <w:sz w:val="21"/>
          <w:szCs w:val="21"/>
          <w:vertAlign w:val="subscript"/>
        </w:rPr>
        <w:t>6</w:t>
      </w:r>
      <w:r>
        <w:rPr>
          <w:rFonts w:cs="Times New Roman" w:hint="eastAsia"/>
          <w:sz w:val="21"/>
          <w:szCs w:val="21"/>
          <w:vertAlign w:val="superscript"/>
        </w:rPr>
        <w:t>3-</w:t>
      </w:r>
      <w:r>
        <w:rPr>
          <w:rFonts w:cs="Times New Roman"/>
          <w:sz w:val="21"/>
          <w:szCs w:val="21"/>
        </w:rPr>
        <w:t xml:space="preserve"> in a two-electrode system at different temperatures. (a) 25 °C; (b) 30 °C; (c) 40 °C; (d) 50 °C; (e) 60 °C; (f) 70 °C and (g) Relationship between different scan rates and the redox peak currents.</w:t>
      </w:r>
    </w:p>
    <w:p w14:paraId="7DC44F1D" w14:textId="77777777" w:rsidR="003C50E1" w:rsidRDefault="00F32BF9">
      <w:pPr>
        <w:rPr>
          <w:rFonts w:cs="Times New Roman"/>
          <w:sz w:val="21"/>
          <w:szCs w:val="21"/>
        </w:rPr>
      </w:pPr>
      <w:r>
        <w:rPr>
          <w:rFonts w:cs="Times New Roman"/>
          <w:sz w:val="21"/>
          <w:szCs w:val="21"/>
        </w:rPr>
        <w:br w:type="page"/>
      </w:r>
    </w:p>
    <w:p w14:paraId="6F1BFD46" w14:textId="77777777" w:rsidR="003C50E1" w:rsidRDefault="00F32BF9">
      <w:pPr>
        <w:spacing w:line="360" w:lineRule="auto"/>
        <w:jc w:val="center"/>
        <w:rPr>
          <w:rFonts w:cs="Times New Roman"/>
          <w:sz w:val="21"/>
          <w:szCs w:val="21"/>
        </w:rPr>
      </w:pPr>
      <w:r>
        <w:rPr>
          <w:rFonts w:cs="Times New Roman" w:hint="eastAsia"/>
          <w:noProof/>
          <w:sz w:val="21"/>
          <w:szCs w:val="21"/>
        </w:rPr>
        <w:lastRenderedPageBreak/>
        <w:drawing>
          <wp:inline distT="0" distB="0" distL="114300" distR="114300" wp14:anchorId="30FF2B69" wp14:editId="483122C7">
            <wp:extent cx="5265420" cy="2792095"/>
            <wp:effectExtent l="0" t="0" r="7620" b="12065"/>
            <wp:docPr id="7" name="图片 7" descr="图4(补充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4(补充文件)"/>
                    <pic:cNvPicPr>
                      <a:picLocks noChangeAspect="1"/>
                    </pic:cNvPicPr>
                  </pic:nvPicPr>
                  <pic:blipFill>
                    <a:blip r:embed="rId12"/>
                    <a:stretch>
                      <a:fillRect/>
                    </a:stretch>
                  </pic:blipFill>
                  <pic:spPr>
                    <a:xfrm>
                      <a:off x="0" y="0"/>
                      <a:ext cx="5265420" cy="2792095"/>
                    </a:xfrm>
                    <a:prstGeom prst="rect">
                      <a:avLst/>
                    </a:prstGeom>
                  </pic:spPr>
                </pic:pic>
              </a:graphicData>
            </a:graphic>
          </wp:inline>
        </w:drawing>
      </w:r>
    </w:p>
    <w:p w14:paraId="1FD05C72" w14:textId="77777777" w:rsidR="003C50E1" w:rsidRDefault="00F32BF9">
      <w:pPr>
        <w:spacing w:line="360" w:lineRule="auto"/>
        <w:rPr>
          <w:rFonts w:cs="Times New Roman"/>
          <w:sz w:val="21"/>
          <w:szCs w:val="21"/>
        </w:rPr>
      </w:pPr>
      <w:r>
        <w:rPr>
          <w:rFonts w:cs="Times New Roman"/>
          <w:b/>
          <w:bCs/>
          <w:sz w:val="21"/>
          <w:szCs w:val="21"/>
        </w:rPr>
        <w:t xml:space="preserve">Figure S4: </w:t>
      </w:r>
      <w:r>
        <w:rPr>
          <w:rFonts w:cs="Times New Roman" w:hint="eastAsia"/>
          <w:sz w:val="21"/>
          <w:szCs w:val="21"/>
        </w:rPr>
        <w:t xml:space="preserve">(a) Scanning electron microscopy (SEM) image of the activated carbon powder. (b) </w:t>
      </w:r>
      <w:proofErr w:type="spellStart"/>
      <w:r>
        <w:rPr>
          <w:rFonts w:cs="Times New Roman" w:hint="eastAsia"/>
          <w:sz w:val="21"/>
          <w:szCs w:val="21"/>
        </w:rPr>
        <w:t>Brunauer</w:t>
      </w:r>
      <w:proofErr w:type="spellEnd"/>
      <w:r>
        <w:rPr>
          <w:rFonts w:cs="Times New Roman" w:hint="eastAsia"/>
          <w:sz w:val="21"/>
          <w:szCs w:val="21"/>
        </w:rPr>
        <w:t>-Emmett-Teller (BET) surface area analysis of the activated carbon powder. (c) Galvanostatic charge-discharge (GCD) tests of the activated carbon powder at different current densities. (d) Specific capacitance of the activated carbon powder. (e) Energy-dispersive X-ray spectroscopy (EDS) analysis of the activated carbon powder before and after the reaction. (f) Cyclic GCD test curves of the activated carbon powder.</w:t>
      </w:r>
    </w:p>
    <w:p w14:paraId="17773830" w14:textId="77777777" w:rsidR="003C50E1" w:rsidRDefault="003C50E1">
      <w:pPr>
        <w:spacing w:line="360" w:lineRule="auto"/>
        <w:rPr>
          <w:rFonts w:cs="Times New Roman"/>
          <w:sz w:val="21"/>
          <w:szCs w:val="21"/>
        </w:rPr>
      </w:pPr>
    </w:p>
    <w:p w14:paraId="53B35ACF" w14:textId="77777777" w:rsidR="003C50E1" w:rsidRDefault="003C50E1">
      <w:pPr>
        <w:spacing w:line="360" w:lineRule="auto"/>
        <w:rPr>
          <w:rFonts w:cs="Times New Roman"/>
          <w:sz w:val="21"/>
          <w:szCs w:val="21"/>
        </w:rPr>
      </w:pPr>
    </w:p>
    <w:p w14:paraId="22AF9B15" w14:textId="77777777" w:rsidR="003C50E1" w:rsidRDefault="00F32BF9">
      <w:pPr>
        <w:widowControl/>
        <w:spacing w:line="240" w:lineRule="auto"/>
        <w:jc w:val="left"/>
        <w:rPr>
          <w:rFonts w:cs="Times New Roman"/>
          <w:b/>
          <w:bCs/>
          <w:color w:val="FF0000"/>
        </w:rPr>
      </w:pPr>
      <w:r>
        <w:rPr>
          <w:rFonts w:cs="Times New Roman"/>
          <w:b/>
          <w:bCs/>
          <w:color w:val="FF0000"/>
        </w:rPr>
        <w:br w:type="page"/>
      </w:r>
    </w:p>
    <w:p w14:paraId="45DD2CFA"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200FF8A6" wp14:editId="1FC2AF4E">
            <wp:extent cx="5274310" cy="2534285"/>
            <wp:effectExtent l="0" t="0" r="2540" b="0"/>
            <wp:docPr id="1275301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01267" name="图片 1"/>
                    <pic:cNvPicPr>
                      <a:picLocks noChangeAspect="1"/>
                    </pic:cNvPicPr>
                  </pic:nvPicPr>
                  <pic:blipFill>
                    <a:blip r:embed="rId13"/>
                    <a:stretch>
                      <a:fillRect/>
                    </a:stretch>
                  </pic:blipFill>
                  <pic:spPr>
                    <a:xfrm>
                      <a:off x="0" y="0"/>
                      <a:ext cx="5274310" cy="2534285"/>
                    </a:xfrm>
                    <a:prstGeom prst="rect">
                      <a:avLst/>
                    </a:prstGeom>
                  </pic:spPr>
                </pic:pic>
              </a:graphicData>
            </a:graphic>
          </wp:inline>
        </w:drawing>
      </w:r>
    </w:p>
    <w:p w14:paraId="51133D13" w14:textId="77777777" w:rsidR="003C50E1" w:rsidRDefault="00F32BF9">
      <w:pPr>
        <w:spacing w:line="360" w:lineRule="auto"/>
        <w:rPr>
          <w:rFonts w:cs="Times New Roman"/>
          <w:sz w:val="21"/>
          <w:szCs w:val="21"/>
        </w:rPr>
      </w:pPr>
      <w:r>
        <w:rPr>
          <w:rFonts w:cs="Times New Roman"/>
          <w:b/>
          <w:bCs/>
          <w:sz w:val="21"/>
          <w:szCs w:val="21"/>
        </w:rPr>
        <w:t>Figure S</w:t>
      </w:r>
      <w:r>
        <w:rPr>
          <w:rFonts w:cs="Times New Roman" w:hint="eastAsia"/>
          <w:b/>
          <w:bCs/>
          <w:sz w:val="21"/>
          <w:szCs w:val="21"/>
        </w:rPr>
        <w:t>5</w:t>
      </w:r>
      <w:r>
        <w:rPr>
          <w:rFonts w:cs="Times New Roman"/>
          <w:b/>
          <w:bCs/>
          <w:sz w:val="21"/>
          <w:szCs w:val="21"/>
        </w:rPr>
        <w:t xml:space="preserve">: </w:t>
      </w:r>
      <w:r>
        <w:rPr>
          <w:rFonts w:cs="Times New Roman"/>
          <w:sz w:val="21"/>
          <w:szCs w:val="21"/>
        </w:rPr>
        <w:t>SEM images of the activated carbon capacitor powder at different magnifications.</w:t>
      </w:r>
    </w:p>
    <w:p w14:paraId="6A1ADBF7" w14:textId="77777777" w:rsidR="003C50E1" w:rsidRDefault="00F32BF9">
      <w:pPr>
        <w:spacing w:line="360" w:lineRule="auto"/>
        <w:rPr>
          <w:rFonts w:cs="Times New Roman"/>
        </w:rPr>
      </w:pPr>
      <w:r>
        <w:rPr>
          <w:rFonts w:cs="Times New Roman"/>
          <w:b/>
          <w:bCs/>
        </w:rPr>
        <w:br w:type="page"/>
      </w:r>
      <w:r>
        <w:rPr>
          <w:rFonts w:cs="Times New Roman"/>
          <w:noProof/>
        </w:rPr>
        <w:lastRenderedPageBreak/>
        <w:drawing>
          <wp:inline distT="0" distB="0" distL="114300" distR="114300" wp14:anchorId="0ACC0341" wp14:editId="4FA585C4">
            <wp:extent cx="5264785" cy="2891155"/>
            <wp:effectExtent l="0" t="0" r="8255" b="4445"/>
            <wp:docPr id="4" name="图片 4" descr="未标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未标题-4"/>
                    <pic:cNvPicPr>
                      <a:picLocks noChangeAspect="1"/>
                    </pic:cNvPicPr>
                  </pic:nvPicPr>
                  <pic:blipFill>
                    <a:blip r:embed="rId14"/>
                    <a:stretch>
                      <a:fillRect/>
                    </a:stretch>
                  </pic:blipFill>
                  <pic:spPr>
                    <a:xfrm>
                      <a:off x="0" y="0"/>
                      <a:ext cx="5264785" cy="2891155"/>
                    </a:xfrm>
                    <a:prstGeom prst="rect">
                      <a:avLst/>
                    </a:prstGeom>
                  </pic:spPr>
                </pic:pic>
              </a:graphicData>
            </a:graphic>
          </wp:inline>
        </w:drawing>
      </w:r>
    </w:p>
    <w:p w14:paraId="2375794F" w14:textId="77777777" w:rsidR="003C50E1" w:rsidRDefault="00F32BF9">
      <w:pPr>
        <w:spacing w:line="360" w:lineRule="auto"/>
        <w:jc w:val="center"/>
        <w:rPr>
          <w:rFonts w:cs="Times New Roman"/>
        </w:rPr>
      </w:pPr>
      <w:r>
        <w:rPr>
          <w:rFonts w:cs="Times New Roman"/>
          <w:noProof/>
        </w:rPr>
        <w:drawing>
          <wp:inline distT="0" distB="0" distL="114300" distR="114300" wp14:anchorId="1C09900A" wp14:editId="35E78F53">
            <wp:extent cx="1950085" cy="1576705"/>
            <wp:effectExtent l="0" t="0" r="635" b="8255"/>
            <wp:docPr id="5" name="图片 5" descr="未标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未标题-5"/>
                    <pic:cNvPicPr>
                      <a:picLocks noChangeAspect="1"/>
                    </pic:cNvPicPr>
                  </pic:nvPicPr>
                  <pic:blipFill>
                    <a:blip r:embed="rId15"/>
                    <a:stretch>
                      <a:fillRect/>
                    </a:stretch>
                  </pic:blipFill>
                  <pic:spPr>
                    <a:xfrm>
                      <a:off x="0" y="0"/>
                      <a:ext cx="1950085" cy="1576705"/>
                    </a:xfrm>
                    <a:prstGeom prst="rect">
                      <a:avLst/>
                    </a:prstGeom>
                  </pic:spPr>
                </pic:pic>
              </a:graphicData>
            </a:graphic>
          </wp:inline>
        </w:drawing>
      </w:r>
    </w:p>
    <w:p w14:paraId="6CBB98B9" w14:textId="77777777" w:rsidR="003C50E1" w:rsidRDefault="00F32BF9">
      <w:pPr>
        <w:spacing w:line="360" w:lineRule="auto"/>
        <w:rPr>
          <w:rFonts w:cs="Times New Roman"/>
          <w:sz w:val="21"/>
          <w:szCs w:val="20"/>
        </w:rPr>
      </w:pPr>
      <w:r>
        <w:rPr>
          <w:rFonts w:cs="Times New Roman"/>
          <w:b/>
          <w:bCs/>
          <w:sz w:val="21"/>
          <w:szCs w:val="20"/>
        </w:rPr>
        <w:t xml:space="preserve">Figure S6: </w:t>
      </w:r>
      <w:r>
        <w:rPr>
          <w:rFonts w:cs="Times New Roman"/>
          <w:sz w:val="21"/>
          <w:szCs w:val="20"/>
        </w:rPr>
        <w:t>GCD tests of the capacitor powder at different temperatures. (a) 25 °C; (b) 30 °C; (c) 40 °C; (d) 50 °C; (e) 60 °C; (f) 70 °C and (g) Specific capacitance values at different temperatures.</w:t>
      </w:r>
    </w:p>
    <w:p w14:paraId="73DEE6EB" w14:textId="77777777" w:rsidR="003C50E1" w:rsidRDefault="00F32BF9">
      <w:pPr>
        <w:widowControl/>
        <w:spacing w:line="240" w:lineRule="auto"/>
        <w:jc w:val="left"/>
        <w:rPr>
          <w:rFonts w:cs="Times New Roman"/>
          <w:b/>
          <w:bCs/>
        </w:rPr>
      </w:pPr>
      <w:r>
        <w:rPr>
          <w:rFonts w:cs="Times New Roman"/>
          <w:b/>
          <w:bCs/>
        </w:rPr>
        <w:br w:type="page"/>
      </w:r>
    </w:p>
    <w:p w14:paraId="494DACFF" w14:textId="77777777" w:rsidR="003C50E1" w:rsidRDefault="00F32BF9">
      <w:pPr>
        <w:spacing w:line="360" w:lineRule="auto"/>
        <w:rPr>
          <w:rFonts w:cs="Times New Roman"/>
        </w:rPr>
      </w:pPr>
      <w:r>
        <w:rPr>
          <w:rFonts w:cs="Times New Roman"/>
          <w:noProof/>
        </w:rPr>
        <w:lastRenderedPageBreak/>
        <w:drawing>
          <wp:inline distT="0" distB="0" distL="0" distR="0" wp14:anchorId="0F7225C4" wp14:editId="291F960A">
            <wp:extent cx="5274310" cy="2536825"/>
            <wp:effectExtent l="0" t="0" r="2540" b="0"/>
            <wp:docPr id="1220245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45055" name="图片 1"/>
                    <pic:cNvPicPr>
                      <a:picLocks noChangeAspect="1"/>
                    </pic:cNvPicPr>
                  </pic:nvPicPr>
                  <pic:blipFill>
                    <a:blip r:embed="rId16"/>
                    <a:stretch>
                      <a:fillRect/>
                    </a:stretch>
                  </pic:blipFill>
                  <pic:spPr>
                    <a:xfrm>
                      <a:off x="0" y="0"/>
                      <a:ext cx="5274310" cy="2536825"/>
                    </a:xfrm>
                    <a:prstGeom prst="rect">
                      <a:avLst/>
                    </a:prstGeom>
                  </pic:spPr>
                </pic:pic>
              </a:graphicData>
            </a:graphic>
          </wp:inline>
        </w:drawing>
      </w:r>
    </w:p>
    <w:p w14:paraId="43F29491" w14:textId="77777777" w:rsidR="003C50E1" w:rsidRDefault="00F32BF9">
      <w:pPr>
        <w:spacing w:line="360" w:lineRule="auto"/>
        <w:rPr>
          <w:rFonts w:cs="Times New Roman"/>
          <w:b/>
          <w:bCs/>
          <w:sz w:val="21"/>
          <w:szCs w:val="20"/>
        </w:rPr>
      </w:pPr>
      <w:r>
        <w:rPr>
          <w:rFonts w:cs="Times New Roman"/>
          <w:b/>
          <w:bCs/>
          <w:sz w:val="21"/>
          <w:szCs w:val="20"/>
        </w:rPr>
        <w:t xml:space="preserve">Figure S7: </w:t>
      </w:r>
      <w:r>
        <w:rPr>
          <w:rFonts w:cs="Times New Roman"/>
          <w:sz w:val="21"/>
          <w:szCs w:val="20"/>
        </w:rPr>
        <w:t>SEM images of the hot-end capacitor powder after the reaction at different magnifications.</w:t>
      </w:r>
    </w:p>
    <w:p w14:paraId="4C3A6806" w14:textId="77777777" w:rsidR="003C50E1" w:rsidRDefault="00F32BF9">
      <w:pPr>
        <w:spacing w:line="360" w:lineRule="auto"/>
        <w:rPr>
          <w:rFonts w:cs="Times New Roman"/>
        </w:rPr>
      </w:pPr>
      <w:r>
        <w:rPr>
          <w:rFonts w:cs="Times New Roman"/>
          <w:b/>
          <w:bCs/>
        </w:rPr>
        <w:br w:type="page"/>
      </w:r>
      <w:r>
        <w:rPr>
          <w:rFonts w:cs="Times New Roman"/>
          <w:noProof/>
        </w:rPr>
        <w:lastRenderedPageBreak/>
        <w:drawing>
          <wp:inline distT="0" distB="0" distL="0" distR="0" wp14:anchorId="3BCBBC33" wp14:editId="11FFBDB5">
            <wp:extent cx="5274310" cy="2770505"/>
            <wp:effectExtent l="0" t="0" r="2540" b="0"/>
            <wp:docPr id="990628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28069" name="图片 1"/>
                    <pic:cNvPicPr>
                      <a:picLocks noChangeAspect="1"/>
                    </pic:cNvPicPr>
                  </pic:nvPicPr>
                  <pic:blipFill>
                    <a:blip r:embed="rId17"/>
                    <a:stretch>
                      <a:fillRect/>
                    </a:stretch>
                  </pic:blipFill>
                  <pic:spPr>
                    <a:xfrm>
                      <a:off x="0" y="0"/>
                      <a:ext cx="5274310" cy="2770505"/>
                    </a:xfrm>
                    <a:prstGeom prst="rect">
                      <a:avLst/>
                    </a:prstGeom>
                  </pic:spPr>
                </pic:pic>
              </a:graphicData>
            </a:graphic>
          </wp:inline>
        </w:drawing>
      </w:r>
    </w:p>
    <w:p w14:paraId="77B596DA" w14:textId="77777777" w:rsidR="003C50E1" w:rsidRDefault="00F32BF9">
      <w:pPr>
        <w:spacing w:line="360" w:lineRule="auto"/>
        <w:rPr>
          <w:rFonts w:cs="Times New Roman"/>
          <w:b/>
          <w:bCs/>
          <w:sz w:val="21"/>
          <w:szCs w:val="20"/>
        </w:rPr>
      </w:pPr>
      <w:r>
        <w:rPr>
          <w:rFonts w:cs="Times New Roman"/>
          <w:b/>
          <w:bCs/>
          <w:sz w:val="21"/>
          <w:szCs w:val="20"/>
        </w:rPr>
        <w:t>Figure S8:</w:t>
      </w:r>
      <w:r>
        <w:rPr>
          <w:rFonts w:cs="Times New Roman"/>
          <w:sz w:val="21"/>
          <w:szCs w:val="20"/>
        </w:rPr>
        <w:t xml:space="preserve"> EDS spectrum of the hot-end capacitor powder after the reaction.</w:t>
      </w:r>
    </w:p>
    <w:p w14:paraId="0C691FE3" w14:textId="77777777" w:rsidR="003C50E1" w:rsidRDefault="00F32BF9">
      <w:pPr>
        <w:widowControl/>
        <w:spacing w:line="240" w:lineRule="auto"/>
        <w:jc w:val="left"/>
        <w:rPr>
          <w:rFonts w:cs="Times New Roman"/>
          <w:b/>
          <w:bCs/>
        </w:rPr>
      </w:pPr>
      <w:r>
        <w:rPr>
          <w:rFonts w:cs="Times New Roman"/>
          <w:b/>
          <w:bCs/>
        </w:rPr>
        <w:br w:type="page"/>
      </w:r>
    </w:p>
    <w:p w14:paraId="37F8F027" w14:textId="77777777" w:rsidR="003C50E1" w:rsidRDefault="00F32BF9">
      <w:pPr>
        <w:spacing w:line="360" w:lineRule="auto"/>
        <w:rPr>
          <w:rFonts w:cs="Times New Roman"/>
        </w:rPr>
      </w:pPr>
      <w:r>
        <w:rPr>
          <w:rFonts w:cs="Times New Roman"/>
          <w:noProof/>
        </w:rPr>
        <w:lastRenderedPageBreak/>
        <w:drawing>
          <wp:inline distT="0" distB="0" distL="0" distR="0" wp14:anchorId="1B1D7FAE" wp14:editId="55B7EF28">
            <wp:extent cx="5274310" cy="2533015"/>
            <wp:effectExtent l="0" t="0" r="2540" b="635"/>
            <wp:docPr id="2074562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62217" name="图片 1"/>
                    <pic:cNvPicPr>
                      <a:picLocks noChangeAspect="1"/>
                    </pic:cNvPicPr>
                  </pic:nvPicPr>
                  <pic:blipFill>
                    <a:blip r:embed="rId18"/>
                    <a:stretch>
                      <a:fillRect/>
                    </a:stretch>
                  </pic:blipFill>
                  <pic:spPr>
                    <a:xfrm>
                      <a:off x="0" y="0"/>
                      <a:ext cx="5274310" cy="2533015"/>
                    </a:xfrm>
                    <a:prstGeom prst="rect">
                      <a:avLst/>
                    </a:prstGeom>
                  </pic:spPr>
                </pic:pic>
              </a:graphicData>
            </a:graphic>
          </wp:inline>
        </w:drawing>
      </w:r>
    </w:p>
    <w:p w14:paraId="6421D3D8" w14:textId="77777777" w:rsidR="003C50E1" w:rsidRDefault="00F32BF9">
      <w:pPr>
        <w:spacing w:line="360" w:lineRule="auto"/>
        <w:rPr>
          <w:rFonts w:cs="Times New Roman"/>
          <w:b/>
          <w:bCs/>
          <w:sz w:val="21"/>
          <w:szCs w:val="20"/>
        </w:rPr>
      </w:pPr>
      <w:r>
        <w:rPr>
          <w:rFonts w:cs="Times New Roman"/>
          <w:b/>
          <w:bCs/>
          <w:sz w:val="21"/>
          <w:szCs w:val="20"/>
        </w:rPr>
        <w:t xml:space="preserve">Figure S9: </w:t>
      </w:r>
      <w:r>
        <w:rPr>
          <w:rFonts w:cs="Times New Roman"/>
          <w:sz w:val="21"/>
          <w:szCs w:val="20"/>
        </w:rPr>
        <w:t>SEM images of the cold-end capacitor powder after the reaction at different magnifications.</w:t>
      </w:r>
    </w:p>
    <w:p w14:paraId="00C8F0D8" w14:textId="77777777" w:rsidR="003C50E1" w:rsidRDefault="00F32BF9">
      <w:pPr>
        <w:spacing w:line="360" w:lineRule="auto"/>
        <w:rPr>
          <w:rFonts w:cs="Times New Roman"/>
          <w:b/>
          <w:bCs/>
          <w:sz w:val="21"/>
          <w:szCs w:val="20"/>
        </w:rPr>
      </w:pPr>
      <w:r>
        <w:rPr>
          <w:rFonts w:cs="Times New Roman"/>
          <w:b/>
          <w:bCs/>
        </w:rPr>
        <w:br w:type="page"/>
      </w:r>
    </w:p>
    <w:p w14:paraId="37CC4D1C"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0C5EAD2C" wp14:editId="27262A15">
            <wp:extent cx="5274310" cy="2774315"/>
            <wp:effectExtent l="0" t="0" r="2540" b="6985"/>
            <wp:docPr id="1426276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76274" name="图片 1"/>
                    <pic:cNvPicPr>
                      <a:picLocks noChangeAspect="1"/>
                    </pic:cNvPicPr>
                  </pic:nvPicPr>
                  <pic:blipFill>
                    <a:blip r:embed="rId19"/>
                    <a:stretch>
                      <a:fillRect/>
                    </a:stretch>
                  </pic:blipFill>
                  <pic:spPr>
                    <a:xfrm>
                      <a:off x="0" y="0"/>
                      <a:ext cx="5274310" cy="2774315"/>
                    </a:xfrm>
                    <a:prstGeom prst="rect">
                      <a:avLst/>
                    </a:prstGeom>
                  </pic:spPr>
                </pic:pic>
              </a:graphicData>
            </a:graphic>
          </wp:inline>
        </w:drawing>
      </w:r>
    </w:p>
    <w:p w14:paraId="33B6FF52" w14:textId="77777777" w:rsidR="003C50E1" w:rsidRDefault="00F32BF9">
      <w:pPr>
        <w:spacing w:line="360" w:lineRule="auto"/>
        <w:rPr>
          <w:rFonts w:cs="Times New Roman"/>
          <w:b/>
          <w:bCs/>
          <w:sz w:val="21"/>
          <w:szCs w:val="20"/>
        </w:rPr>
      </w:pPr>
      <w:r>
        <w:rPr>
          <w:rFonts w:cs="Times New Roman"/>
          <w:b/>
          <w:bCs/>
          <w:sz w:val="21"/>
          <w:szCs w:val="20"/>
        </w:rPr>
        <w:t xml:space="preserve">Figure S10: </w:t>
      </w:r>
      <w:r>
        <w:rPr>
          <w:rFonts w:cs="Times New Roman"/>
          <w:sz w:val="21"/>
          <w:szCs w:val="20"/>
        </w:rPr>
        <w:t>EDS spectrum of the cold-end capacitor powder after the reaction.</w:t>
      </w:r>
    </w:p>
    <w:p w14:paraId="0E6DAB0F" w14:textId="77777777" w:rsidR="003C50E1" w:rsidRDefault="00F32BF9">
      <w:pPr>
        <w:spacing w:line="360" w:lineRule="auto"/>
        <w:rPr>
          <w:rFonts w:cs="Times New Roman"/>
          <w:b/>
          <w:bCs/>
          <w:sz w:val="21"/>
          <w:szCs w:val="20"/>
        </w:rPr>
      </w:pPr>
      <w:r>
        <w:rPr>
          <w:rFonts w:cs="Times New Roman"/>
          <w:b/>
          <w:bCs/>
        </w:rPr>
        <w:br w:type="page"/>
      </w:r>
    </w:p>
    <w:p w14:paraId="20480FC1"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7E292AD6" wp14:editId="0C5D5153">
            <wp:extent cx="5274310" cy="4413885"/>
            <wp:effectExtent l="0" t="0" r="2540" b="5715"/>
            <wp:docPr id="1049747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47373" name="图片 1"/>
                    <pic:cNvPicPr>
                      <a:picLocks noChangeAspect="1"/>
                    </pic:cNvPicPr>
                  </pic:nvPicPr>
                  <pic:blipFill>
                    <a:blip r:embed="rId20"/>
                    <a:stretch>
                      <a:fillRect/>
                    </a:stretch>
                  </pic:blipFill>
                  <pic:spPr>
                    <a:xfrm>
                      <a:off x="0" y="0"/>
                      <a:ext cx="5274310" cy="4413885"/>
                    </a:xfrm>
                    <a:prstGeom prst="rect">
                      <a:avLst/>
                    </a:prstGeom>
                  </pic:spPr>
                </pic:pic>
              </a:graphicData>
            </a:graphic>
          </wp:inline>
        </w:drawing>
      </w:r>
    </w:p>
    <w:p w14:paraId="07912686" w14:textId="77777777" w:rsidR="003C50E1" w:rsidRDefault="00F32BF9">
      <w:pPr>
        <w:spacing w:line="360" w:lineRule="auto"/>
        <w:rPr>
          <w:rFonts w:cs="Times New Roman"/>
          <w:b/>
          <w:bCs/>
          <w:sz w:val="21"/>
          <w:szCs w:val="20"/>
        </w:rPr>
      </w:pPr>
      <w:r>
        <w:rPr>
          <w:rFonts w:cs="Times New Roman"/>
          <w:b/>
          <w:bCs/>
          <w:sz w:val="21"/>
          <w:szCs w:val="20"/>
        </w:rPr>
        <w:t xml:space="preserve">Figure S11: </w:t>
      </w:r>
      <w:r>
        <w:rPr>
          <w:rFonts w:cs="Times New Roman"/>
          <w:sz w:val="21"/>
          <w:szCs w:val="20"/>
        </w:rPr>
        <w:t>XPS analysis of the capacitor powder.</w:t>
      </w:r>
    </w:p>
    <w:p w14:paraId="667F9A20" w14:textId="77777777" w:rsidR="003C50E1" w:rsidRDefault="00F32BF9">
      <w:pPr>
        <w:widowControl/>
        <w:spacing w:line="360" w:lineRule="auto"/>
        <w:jc w:val="left"/>
        <w:rPr>
          <w:rFonts w:cs="Times New Roman"/>
          <w:b/>
          <w:bCs/>
        </w:rPr>
      </w:pPr>
      <w:r>
        <w:rPr>
          <w:rFonts w:cs="Times New Roman"/>
          <w:b/>
          <w:bCs/>
        </w:rPr>
        <w:br w:type="page"/>
      </w:r>
    </w:p>
    <w:p w14:paraId="4848A759" w14:textId="77777777" w:rsidR="003C50E1" w:rsidRDefault="00F32BF9">
      <w:pPr>
        <w:spacing w:line="360" w:lineRule="auto"/>
        <w:jc w:val="center"/>
        <w:rPr>
          <w:rFonts w:cs="Times New Roman"/>
          <w:b/>
          <w:bCs/>
        </w:rPr>
      </w:pPr>
      <w:r>
        <w:rPr>
          <w:rFonts w:cs="Times New Roman"/>
          <w:noProof/>
        </w:rPr>
        <w:lastRenderedPageBreak/>
        <w:drawing>
          <wp:inline distT="0" distB="0" distL="0" distR="0" wp14:anchorId="7305A11C" wp14:editId="3A02A5B6">
            <wp:extent cx="5274310" cy="4434205"/>
            <wp:effectExtent l="0" t="0" r="2540" b="4445"/>
            <wp:docPr id="1758626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26133" name="图片 1"/>
                    <pic:cNvPicPr>
                      <a:picLocks noChangeAspect="1"/>
                    </pic:cNvPicPr>
                  </pic:nvPicPr>
                  <pic:blipFill>
                    <a:blip r:embed="rId21"/>
                    <a:stretch>
                      <a:fillRect/>
                    </a:stretch>
                  </pic:blipFill>
                  <pic:spPr>
                    <a:xfrm>
                      <a:off x="0" y="0"/>
                      <a:ext cx="5274310" cy="4434205"/>
                    </a:xfrm>
                    <a:prstGeom prst="rect">
                      <a:avLst/>
                    </a:prstGeom>
                  </pic:spPr>
                </pic:pic>
              </a:graphicData>
            </a:graphic>
          </wp:inline>
        </w:drawing>
      </w:r>
    </w:p>
    <w:p w14:paraId="2648E67D" w14:textId="77777777" w:rsidR="003C50E1" w:rsidRDefault="00F32BF9">
      <w:pPr>
        <w:spacing w:line="360" w:lineRule="auto"/>
        <w:jc w:val="left"/>
        <w:rPr>
          <w:rFonts w:cs="Times New Roman"/>
          <w:b/>
          <w:bCs/>
          <w:sz w:val="21"/>
          <w:szCs w:val="20"/>
        </w:rPr>
      </w:pPr>
      <w:bookmarkStart w:id="9" w:name="OLE_LINK8"/>
      <w:r>
        <w:rPr>
          <w:rFonts w:cs="Times New Roman"/>
          <w:b/>
          <w:bCs/>
          <w:sz w:val="21"/>
          <w:szCs w:val="20"/>
        </w:rPr>
        <w:t>Figure S12:</w:t>
      </w:r>
      <w:r>
        <w:rPr>
          <w:rFonts w:cs="Times New Roman"/>
          <w:sz w:val="21"/>
          <w:szCs w:val="20"/>
        </w:rPr>
        <w:t xml:space="preserve"> XPS analysis of the hot-end capacitor after ion adsorption. a: Survey spectrum; b: C 1s; c: Cl 2p; d: K 2p.</w:t>
      </w:r>
      <w:bookmarkEnd w:id="9"/>
    </w:p>
    <w:p w14:paraId="55BF0521" w14:textId="77777777" w:rsidR="003C50E1" w:rsidRDefault="003C50E1">
      <w:pPr>
        <w:widowControl/>
        <w:spacing w:line="360" w:lineRule="auto"/>
        <w:jc w:val="left"/>
        <w:rPr>
          <w:rFonts w:cs="Times New Roman"/>
          <w:b/>
          <w:bCs/>
        </w:rPr>
      </w:pPr>
    </w:p>
    <w:p w14:paraId="1C3493EA" w14:textId="77777777" w:rsidR="003C50E1" w:rsidRDefault="00F32BF9">
      <w:pPr>
        <w:widowControl/>
        <w:spacing w:line="240" w:lineRule="auto"/>
        <w:jc w:val="left"/>
        <w:rPr>
          <w:rFonts w:cs="Times New Roman"/>
          <w:b/>
          <w:bCs/>
        </w:rPr>
      </w:pPr>
      <w:r>
        <w:rPr>
          <w:rFonts w:cs="Times New Roman"/>
          <w:b/>
          <w:bCs/>
        </w:rPr>
        <w:br w:type="page"/>
      </w:r>
    </w:p>
    <w:p w14:paraId="281B3214" w14:textId="77777777" w:rsidR="003C50E1" w:rsidRDefault="00F32BF9">
      <w:pPr>
        <w:spacing w:line="360" w:lineRule="auto"/>
        <w:rPr>
          <w:rFonts w:cs="Times New Roman"/>
        </w:rPr>
      </w:pPr>
      <w:r>
        <w:rPr>
          <w:rFonts w:cs="Times New Roman"/>
          <w:noProof/>
        </w:rPr>
        <w:lastRenderedPageBreak/>
        <w:drawing>
          <wp:inline distT="0" distB="0" distL="0" distR="0" wp14:anchorId="129BF862" wp14:editId="04948319">
            <wp:extent cx="5274310" cy="4485005"/>
            <wp:effectExtent l="0" t="0" r="2540" b="0"/>
            <wp:docPr id="423208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08597" name="图片 1"/>
                    <pic:cNvPicPr>
                      <a:picLocks noChangeAspect="1"/>
                    </pic:cNvPicPr>
                  </pic:nvPicPr>
                  <pic:blipFill>
                    <a:blip r:embed="rId22"/>
                    <a:stretch>
                      <a:fillRect/>
                    </a:stretch>
                  </pic:blipFill>
                  <pic:spPr>
                    <a:xfrm>
                      <a:off x="0" y="0"/>
                      <a:ext cx="5274310" cy="4485005"/>
                    </a:xfrm>
                    <a:prstGeom prst="rect">
                      <a:avLst/>
                    </a:prstGeom>
                  </pic:spPr>
                </pic:pic>
              </a:graphicData>
            </a:graphic>
          </wp:inline>
        </w:drawing>
      </w:r>
    </w:p>
    <w:p w14:paraId="365CFA57" w14:textId="77777777" w:rsidR="003C50E1" w:rsidRDefault="00F32BF9">
      <w:pPr>
        <w:spacing w:line="360" w:lineRule="auto"/>
        <w:rPr>
          <w:rFonts w:cs="Times New Roman"/>
          <w:b/>
          <w:bCs/>
          <w:sz w:val="21"/>
          <w:szCs w:val="21"/>
        </w:rPr>
      </w:pPr>
      <w:r>
        <w:rPr>
          <w:rFonts w:cs="Times New Roman"/>
          <w:b/>
          <w:bCs/>
          <w:sz w:val="21"/>
          <w:szCs w:val="21"/>
        </w:rPr>
        <w:t xml:space="preserve">Figure S13: </w:t>
      </w:r>
      <w:r>
        <w:rPr>
          <w:rFonts w:cs="Times New Roman"/>
          <w:sz w:val="21"/>
          <w:szCs w:val="21"/>
        </w:rPr>
        <w:t>XPS analysis of the cold-end capacitor after ion adsorption. a: Survey spectrum; b: C 1s; c: Cl 2p; d: K 2p.</w:t>
      </w:r>
    </w:p>
    <w:p w14:paraId="27FCA39D" w14:textId="77777777" w:rsidR="003C50E1" w:rsidRDefault="00F32BF9">
      <w:pPr>
        <w:widowControl/>
        <w:spacing w:line="360" w:lineRule="auto"/>
        <w:jc w:val="left"/>
        <w:rPr>
          <w:rFonts w:cs="Times New Roman"/>
          <w:b/>
          <w:bCs/>
        </w:rPr>
      </w:pPr>
      <w:r>
        <w:rPr>
          <w:rFonts w:cs="Times New Roman"/>
          <w:b/>
          <w:bCs/>
        </w:rPr>
        <w:br w:type="page"/>
      </w:r>
    </w:p>
    <w:p w14:paraId="221D86DE" w14:textId="77777777" w:rsidR="003C50E1" w:rsidRDefault="00F32BF9">
      <w:pPr>
        <w:spacing w:line="360" w:lineRule="auto"/>
        <w:rPr>
          <w:rFonts w:cs="Times New Roman"/>
        </w:rPr>
      </w:pPr>
      <w:r>
        <w:rPr>
          <w:rFonts w:cs="Times New Roman"/>
          <w:noProof/>
        </w:rPr>
        <w:lastRenderedPageBreak/>
        <w:drawing>
          <wp:inline distT="0" distB="0" distL="0" distR="0" wp14:anchorId="50761219" wp14:editId="5CA135E0">
            <wp:extent cx="5274310" cy="3114675"/>
            <wp:effectExtent l="0" t="0" r="2540" b="952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3" cstate="print">
                      <a:extLst>
                        <a:ext uri="{28A0092B-C50C-407E-A947-70E740481C1C}">
                          <a14:useLocalDpi xmlns:a14="http://schemas.microsoft.com/office/drawing/2010/main" val="0"/>
                        </a:ext>
                      </a:extLst>
                    </a:blip>
                    <a:srcRect t="1595" r="8792" b="2641"/>
                    <a:stretch>
                      <a:fillRect/>
                    </a:stretch>
                  </pic:blipFill>
                  <pic:spPr>
                    <a:xfrm>
                      <a:off x="0" y="0"/>
                      <a:ext cx="5274310" cy="3114675"/>
                    </a:xfrm>
                    <a:prstGeom prst="rect">
                      <a:avLst/>
                    </a:prstGeom>
                  </pic:spPr>
                </pic:pic>
              </a:graphicData>
            </a:graphic>
          </wp:inline>
        </w:drawing>
      </w:r>
    </w:p>
    <w:p w14:paraId="61CBBB67" w14:textId="77777777" w:rsidR="003C50E1" w:rsidRDefault="00F32BF9">
      <w:pPr>
        <w:widowControl/>
        <w:spacing w:line="360" w:lineRule="auto"/>
        <w:rPr>
          <w:rFonts w:cs="Times New Roman"/>
          <w:b/>
          <w:bCs/>
          <w:sz w:val="21"/>
          <w:szCs w:val="20"/>
        </w:rPr>
      </w:pPr>
      <w:r>
        <w:rPr>
          <w:rFonts w:cs="Times New Roman"/>
          <w:b/>
          <w:bCs/>
          <w:sz w:val="21"/>
          <w:szCs w:val="20"/>
        </w:rPr>
        <w:t xml:space="preserve">Figure S14: </w:t>
      </w:r>
      <w:r>
        <w:rPr>
          <w:rFonts w:cs="Times New Roman"/>
          <w:sz w:val="21"/>
          <w:szCs w:val="20"/>
        </w:rPr>
        <w:t>Three-dimensional schematic diagram of the SC-TGC system operation.</w:t>
      </w:r>
    </w:p>
    <w:p w14:paraId="5FE14691" w14:textId="77777777" w:rsidR="003C50E1" w:rsidRDefault="003C50E1">
      <w:pPr>
        <w:spacing w:line="360" w:lineRule="auto"/>
        <w:rPr>
          <w:rFonts w:cs="Times New Roman"/>
        </w:rPr>
      </w:pPr>
    </w:p>
    <w:p w14:paraId="605D14F2" w14:textId="77777777" w:rsidR="003C50E1" w:rsidRDefault="00F32BF9">
      <w:pPr>
        <w:widowControl/>
        <w:spacing w:line="360" w:lineRule="auto"/>
        <w:jc w:val="left"/>
        <w:rPr>
          <w:rFonts w:cs="Times New Roman"/>
          <w:b/>
          <w:bCs/>
        </w:rPr>
      </w:pPr>
      <w:r>
        <w:rPr>
          <w:rFonts w:cs="Times New Roman"/>
          <w:b/>
          <w:bCs/>
        </w:rPr>
        <w:br w:type="page"/>
      </w:r>
    </w:p>
    <w:p w14:paraId="6DF973CF" w14:textId="77777777" w:rsidR="003C50E1" w:rsidRDefault="00F32BF9">
      <w:pPr>
        <w:widowControl/>
        <w:spacing w:line="360" w:lineRule="auto"/>
        <w:jc w:val="center"/>
        <w:rPr>
          <w:rFonts w:cs="Times New Roman"/>
          <w:b/>
          <w:bCs/>
        </w:rPr>
      </w:pPr>
      <w:r>
        <w:rPr>
          <w:rFonts w:cs="Times New Roman"/>
          <w:noProof/>
        </w:rPr>
        <w:lastRenderedPageBreak/>
        <w:drawing>
          <wp:inline distT="0" distB="0" distL="0" distR="0" wp14:anchorId="2F9CC8B0" wp14:editId="2CCBDA83">
            <wp:extent cx="4318000" cy="3117850"/>
            <wp:effectExtent l="0" t="0" r="6350" b="6350"/>
            <wp:docPr id="1852260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60168" name="图片 1"/>
                    <pic:cNvPicPr>
                      <a:picLocks noChangeAspect="1"/>
                    </pic:cNvPicPr>
                  </pic:nvPicPr>
                  <pic:blipFill>
                    <a:blip r:embed="rId24"/>
                    <a:stretch>
                      <a:fillRect/>
                    </a:stretch>
                  </pic:blipFill>
                  <pic:spPr>
                    <a:xfrm>
                      <a:off x="0" y="0"/>
                      <a:ext cx="4320996" cy="3119795"/>
                    </a:xfrm>
                    <a:prstGeom prst="rect">
                      <a:avLst/>
                    </a:prstGeom>
                  </pic:spPr>
                </pic:pic>
              </a:graphicData>
            </a:graphic>
          </wp:inline>
        </w:drawing>
      </w:r>
    </w:p>
    <w:p w14:paraId="15DCBB9F" w14:textId="77777777" w:rsidR="003C50E1" w:rsidRDefault="00F32BF9">
      <w:pPr>
        <w:widowControl/>
        <w:spacing w:line="360" w:lineRule="auto"/>
        <w:rPr>
          <w:rFonts w:cs="Times New Roman"/>
          <w:b/>
          <w:bCs/>
          <w:sz w:val="21"/>
          <w:szCs w:val="20"/>
        </w:rPr>
      </w:pPr>
      <w:r>
        <w:rPr>
          <w:rFonts w:cs="Times New Roman"/>
          <w:b/>
          <w:bCs/>
          <w:sz w:val="21"/>
          <w:szCs w:val="20"/>
        </w:rPr>
        <w:t xml:space="preserve">Figure S15: </w:t>
      </w:r>
      <w:r>
        <w:rPr>
          <w:rFonts w:cs="Times New Roman"/>
          <w:sz w:val="21"/>
          <w:szCs w:val="20"/>
        </w:rPr>
        <w:t>Voltage and current variation of the cell over two cycles.</w:t>
      </w:r>
    </w:p>
    <w:p w14:paraId="50167A22" w14:textId="77777777" w:rsidR="003C50E1" w:rsidRDefault="003C50E1">
      <w:pPr>
        <w:spacing w:line="360" w:lineRule="auto"/>
        <w:rPr>
          <w:rFonts w:cs="Times New Roman"/>
        </w:rPr>
      </w:pPr>
    </w:p>
    <w:p w14:paraId="09584D1C" w14:textId="77777777" w:rsidR="003C50E1" w:rsidRDefault="00F32BF9">
      <w:pPr>
        <w:widowControl/>
        <w:spacing w:line="360" w:lineRule="auto"/>
        <w:jc w:val="left"/>
        <w:rPr>
          <w:rFonts w:cs="Times New Roman"/>
          <w:b/>
          <w:bCs/>
        </w:rPr>
      </w:pPr>
      <w:r>
        <w:rPr>
          <w:rFonts w:cs="Times New Roman"/>
          <w:b/>
          <w:bCs/>
        </w:rPr>
        <w:br w:type="page"/>
      </w:r>
    </w:p>
    <w:p w14:paraId="1B92EE16" w14:textId="77777777" w:rsidR="003C50E1" w:rsidRDefault="00F32BF9">
      <w:pPr>
        <w:spacing w:line="360" w:lineRule="auto"/>
        <w:rPr>
          <w:rFonts w:cs="Times New Roman"/>
          <w:b/>
          <w:bCs/>
        </w:rPr>
      </w:pPr>
      <w:r>
        <w:rPr>
          <w:rFonts w:cs="Times New Roman"/>
          <w:noProof/>
        </w:rPr>
        <w:lastRenderedPageBreak/>
        <w:drawing>
          <wp:inline distT="0" distB="0" distL="0" distR="0" wp14:anchorId="238A8D83" wp14:editId="15639DBB">
            <wp:extent cx="5274310" cy="4335145"/>
            <wp:effectExtent l="0" t="0" r="2540" b="8255"/>
            <wp:docPr id="397617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17073" name="图片 1"/>
                    <pic:cNvPicPr>
                      <a:picLocks noChangeAspect="1"/>
                    </pic:cNvPicPr>
                  </pic:nvPicPr>
                  <pic:blipFill>
                    <a:blip r:embed="rId25"/>
                    <a:stretch>
                      <a:fillRect/>
                    </a:stretch>
                  </pic:blipFill>
                  <pic:spPr>
                    <a:xfrm>
                      <a:off x="0" y="0"/>
                      <a:ext cx="5274310" cy="4335145"/>
                    </a:xfrm>
                    <a:prstGeom prst="rect">
                      <a:avLst/>
                    </a:prstGeom>
                  </pic:spPr>
                </pic:pic>
              </a:graphicData>
            </a:graphic>
          </wp:inline>
        </w:drawing>
      </w:r>
    </w:p>
    <w:p w14:paraId="6EC47D55" w14:textId="77777777" w:rsidR="003C50E1" w:rsidRDefault="00F32BF9">
      <w:pPr>
        <w:spacing w:line="360" w:lineRule="auto"/>
        <w:rPr>
          <w:rFonts w:cs="Times New Roman"/>
          <w:b/>
          <w:bCs/>
        </w:rPr>
      </w:pPr>
      <w:r>
        <w:rPr>
          <w:rFonts w:cs="Times New Roman"/>
          <w:noProof/>
        </w:rPr>
        <w:drawing>
          <wp:inline distT="0" distB="0" distL="0" distR="0" wp14:anchorId="29A6B8D2" wp14:editId="7C0D185E">
            <wp:extent cx="5274310" cy="2181860"/>
            <wp:effectExtent l="0" t="0" r="2540" b="8890"/>
            <wp:docPr id="252301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01368" name="图片 1"/>
                    <pic:cNvPicPr>
                      <a:picLocks noChangeAspect="1"/>
                    </pic:cNvPicPr>
                  </pic:nvPicPr>
                  <pic:blipFill>
                    <a:blip r:embed="rId26"/>
                    <a:stretch>
                      <a:fillRect/>
                    </a:stretch>
                  </pic:blipFill>
                  <pic:spPr>
                    <a:xfrm>
                      <a:off x="0" y="0"/>
                      <a:ext cx="5274310" cy="2181860"/>
                    </a:xfrm>
                    <a:prstGeom prst="rect">
                      <a:avLst/>
                    </a:prstGeom>
                  </pic:spPr>
                </pic:pic>
              </a:graphicData>
            </a:graphic>
          </wp:inline>
        </w:drawing>
      </w:r>
    </w:p>
    <w:p w14:paraId="030920B1" w14:textId="77777777" w:rsidR="003C50E1" w:rsidRDefault="00F32BF9">
      <w:pPr>
        <w:spacing w:line="360" w:lineRule="auto"/>
        <w:rPr>
          <w:rFonts w:cs="Times New Roman"/>
          <w:b/>
          <w:bCs/>
          <w:sz w:val="21"/>
          <w:szCs w:val="20"/>
        </w:rPr>
      </w:pPr>
      <w:r>
        <w:rPr>
          <w:rFonts w:cs="Times New Roman"/>
          <w:b/>
          <w:bCs/>
          <w:sz w:val="21"/>
          <w:szCs w:val="20"/>
        </w:rPr>
        <w:t xml:space="preserve">Figure S16: </w:t>
      </w:r>
      <w:r>
        <w:rPr>
          <w:rFonts w:cs="Times New Roman"/>
          <w:sz w:val="21"/>
          <w:szCs w:val="20"/>
        </w:rPr>
        <w:t xml:space="preserve">(a) Absorbance curve of potassium ferricyanide and (b) potassium ferrocyanide; Concentration changes of </w:t>
      </w:r>
      <w:proofErr w:type="spellStart"/>
      <w:r>
        <w:rPr>
          <w:rFonts w:cs="Times New Roman"/>
          <w:sz w:val="21"/>
          <w:szCs w:val="20"/>
        </w:rPr>
        <w:t>ferri</w:t>
      </w:r>
      <w:proofErr w:type="spellEnd"/>
      <w:r>
        <w:rPr>
          <w:rFonts w:cs="Times New Roman"/>
          <w:sz w:val="21"/>
          <w:szCs w:val="20"/>
        </w:rPr>
        <w:t>/</w:t>
      </w:r>
      <w:proofErr w:type="spellStart"/>
      <w:r>
        <w:rPr>
          <w:rFonts w:cs="Times New Roman"/>
          <w:sz w:val="21"/>
          <w:szCs w:val="20"/>
        </w:rPr>
        <w:t>ferrocyanide</w:t>
      </w:r>
      <w:proofErr w:type="spellEnd"/>
      <w:r>
        <w:rPr>
          <w:rFonts w:cs="Times New Roman"/>
          <w:sz w:val="21"/>
          <w:szCs w:val="20"/>
        </w:rPr>
        <w:t xml:space="preserve"> ions at the (c) hot end and (d) cold end during a single discharge cycle; Concentration changes of </w:t>
      </w:r>
      <w:proofErr w:type="spellStart"/>
      <w:r>
        <w:rPr>
          <w:rFonts w:cs="Times New Roman"/>
          <w:sz w:val="21"/>
          <w:szCs w:val="20"/>
        </w:rPr>
        <w:t>ferri</w:t>
      </w:r>
      <w:proofErr w:type="spellEnd"/>
      <w:r>
        <w:rPr>
          <w:rFonts w:cs="Times New Roman"/>
          <w:sz w:val="21"/>
          <w:szCs w:val="20"/>
        </w:rPr>
        <w:t>/</w:t>
      </w:r>
      <w:proofErr w:type="spellStart"/>
      <w:r>
        <w:rPr>
          <w:rFonts w:cs="Times New Roman"/>
          <w:sz w:val="21"/>
          <w:szCs w:val="20"/>
        </w:rPr>
        <w:t>ferrocyanide</w:t>
      </w:r>
      <w:proofErr w:type="spellEnd"/>
      <w:r>
        <w:rPr>
          <w:rFonts w:cs="Times New Roman"/>
          <w:sz w:val="21"/>
          <w:szCs w:val="20"/>
        </w:rPr>
        <w:t xml:space="preserve"> ions at the (e) hot end and (f) cold end during the charge-discharge process of the second cycle.</w:t>
      </w:r>
    </w:p>
    <w:p w14:paraId="1037CEB1" w14:textId="77777777" w:rsidR="003C50E1" w:rsidRDefault="00F32BF9">
      <w:pPr>
        <w:widowControl/>
        <w:spacing w:line="360" w:lineRule="auto"/>
        <w:jc w:val="left"/>
        <w:rPr>
          <w:rFonts w:cs="Times New Roman"/>
          <w:b/>
          <w:bCs/>
        </w:rPr>
      </w:pPr>
      <w:r>
        <w:rPr>
          <w:rFonts w:cs="Times New Roman"/>
          <w:b/>
          <w:bCs/>
        </w:rPr>
        <w:br w:type="page"/>
      </w:r>
    </w:p>
    <w:p w14:paraId="48010C1B"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1D6CC450" wp14:editId="70B3F5C5">
            <wp:extent cx="3834765" cy="3081020"/>
            <wp:effectExtent l="0" t="0" r="0" b="5080"/>
            <wp:docPr id="1704055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55920" name="图片 1"/>
                    <pic:cNvPicPr>
                      <a:picLocks noChangeAspect="1"/>
                    </pic:cNvPicPr>
                  </pic:nvPicPr>
                  <pic:blipFill>
                    <a:blip r:embed="rId27"/>
                    <a:stretch>
                      <a:fillRect/>
                    </a:stretch>
                  </pic:blipFill>
                  <pic:spPr>
                    <a:xfrm>
                      <a:off x="0" y="0"/>
                      <a:ext cx="3840300" cy="3085278"/>
                    </a:xfrm>
                    <a:prstGeom prst="rect">
                      <a:avLst/>
                    </a:prstGeom>
                  </pic:spPr>
                </pic:pic>
              </a:graphicData>
            </a:graphic>
          </wp:inline>
        </w:drawing>
      </w:r>
    </w:p>
    <w:p w14:paraId="6B3A544D" w14:textId="77777777" w:rsidR="003C50E1" w:rsidRDefault="00F32BF9">
      <w:pPr>
        <w:spacing w:line="360" w:lineRule="auto"/>
        <w:rPr>
          <w:rFonts w:cs="Times New Roman"/>
          <w:sz w:val="21"/>
          <w:szCs w:val="20"/>
        </w:rPr>
      </w:pPr>
      <w:r>
        <w:rPr>
          <w:rFonts w:cs="Times New Roman"/>
          <w:b/>
          <w:bCs/>
          <w:sz w:val="21"/>
          <w:szCs w:val="20"/>
        </w:rPr>
        <w:t xml:space="preserve">Figure S17: </w:t>
      </w:r>
      <w:r>
        <w:rPr>
          <w:rFonts w:cs="Times New Roman"/>
          <w:sz w:val="21"/>
          <w:szCs w:val="20"/>
        </w:rPr>
        <w:t xml:space="preserve">Output voltage variation with temperature for </w:t>
      </w:r>
      <w:proofErr w:type="gramStart"/>
      <w:r>
        <w:rPr>
          <w:rFonts w:cs="Times New Roman"/>
          <w:sz w:val="21"/>
          <w:szCs w:val="20"/>
        </w:rPr>
        <w:t>Fe(</w:t>
      </w:r>
      <w:proofErr w:type="gramEnd"/>
      <w:r>
        <w:rPr>
          <w:rFonts w:cs="Times New Roman"/>
          <w:sz w:val="21"/>
          <w:szCs w:val="20"/>
        </w:rPr>
        <w:t>CN)</w:t>
      </w:r>
      <w:r>
        <w:rPr>
          <w:rFonts w:cs="Times New Roman" w:hint="eastAsia"/>
          <w:sz w:val="21"/>
          <w:szCs w:val="20"/>
          <w:vertAlign w:val="subscript"/>
        </w:rPr>
        <w:t>6</w:t>
      </w:r>
      <w:r>
        <w:rPr>
          <w:rFonts w:cs="Times New Roman" w:hint="eastAsia"/>
          <w:sz w:val="21"/>
          <w:szCs w:val="20"/>
          <w:vertAlign w:val="superscript"/>
        </w:rPr>
        <w:t>4-</w:t>
      </w:r>
      <w:r>
        <w:rPr>
          <w:rFonts w:cs="Times New Roman"/>
          <w:sz w:val="21"/>
          <w:szCs w:val="20"/>
        </w:rPr>
        <w:t>/Fe(CN)</w:t>
      </w:r>
      <w:r>
        <w:rPr>
          <w:rFonts w:cs="Times New Roman" w:hint="eastAsia"/>
          <w:sz w:val="21"/>
          <w:szCs w:val="20"/>
          <w:vertAlign w:val="subscript"/>
        </w:rPr>
        <w:t>6</w:t>
      </w:r>
      <w:r>
        <w:rPr>
          <w:rFonts w:cs="Times New Roman" w:hint="eastAsia"/>
          <w:sz w:val="21"/>
          <w:szCs w:val="20"/>
          <w:vertAlign w:val="superscript"/>
        </w:rPr>
        <w:t>3-</w:t>
      </w:r>
      <w:r>
        <w:rPr>
          <w:rFonts w:cs="Times New Roman"/>
          <w:sz w:val="21"/>
          <w:szCs w:val="20"/>
        </w:rPr>
        <w:t xml:space="preserve"> solutions with different concentration ratios (mol L⁻</w:t>
      </w:r>
      <w:r>
        <w:rPr>
          <w:rFonts w:cs="Times New Roman" w:hint="eastAsia"/>
          <w:sz w:val="21"/>
          <w:szCs w:val="20"/>
          <w:vertAlign w:val="superscript"/>
        </w:rPr>
        <w:t>1</w:t>
      </w:r>
      <w:r>
        <w:rPr>
          <w:rFonts w:cs="Times New Roman"/>
          <w:sz w:val="21"/>
          <w:szCs w:val="20"/>
        </w:rPr>
        <w:t>: mol L⁻</w:t>
      </w:r>
      <w:r>
        <w:rPr>
          <w:rFonts w:cs="Times New Roman" w:hint="eastAsia"/>
          <w:sz w:val="21"/>
          <w:szCs w:val="20"/>
          <w:vertAlign w:val="superscript"/>
        </w:rPr>
        <w:t>1</w:t>
      </w:r>
      <w:r>
        <w:rPr>
          <w:rFonts w:cs="Times New Roman"/>
          <w:sz w:val="21"/>
          <w:szCs w:val="20"/>
        </w:rPr>
        <w:t>).</w:t>
      </w:r>
    </w:p>
    <w:p w14:paraId="37C10EC6" w14:textId="77777777" w:rsidR="003C50E1" w:rsidRDefault="00F32BF9">
      <w:pPr>
        <w:widowControl/>
        <w:spacing w:line="240" w:lineRule="auto"/>
        <w:jc w:val="left"/>
        <w:rPr>
          <w:rFonts w:cs="Times New Roman"/>
          <w:b/>
          <w:bCs/>
          <w:sz w:val="21"/>
          <w:szCs w:val="20"/>
        </w:rPr>
      </w:pPr>
      <w:r>
        <w:rPr>
          <w:rFonts w:cs="Times New Roman"/>
          <w:b/>
          <w:bCs/>
          <w:sz w:val="21"/>
          <w:szCs w:val="20"/>
        </w:rPr>
        <w:br w:type="page"/>
      </w:r>
    </w:p>
    <w:p w14:paraId="0460A510"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42E8760F" wp14:editId="6B060213">
            <wp:extent cx="3853180" cy="2984500"/>
            <wp:effectExtent l="0" t="0" r="0" b="6350"/>
            <wp:docPr id="1275559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59990" name="图片 1"/>
                    <pic:cNvPicPr>
                      <a:picLocks noChangeAspect="1"/>
                    </pic:cNvPicPr>
                  </pic:nvPicPr>
                  <pic:blipFill>
                    <a:blip r:embed="rId28"/>
                    <a:stretch>
                      <a:fillRect/>
                    </a:stretch>
                  </pic:blipFill>
                  <pic:spPr>
                    <a:xfrm>
                      <a:off x="0" y="0"/>
                      <a:ext cx="3855953" cy="2986437"/>
                    </a:xfrm>
                    <a:prstGeom prst="rect">
                      <a:avLst/>
                    </a:prstGeom>
                  </pic:spPr>
                </pic:pic>
              </a:graphicData>
            </a:graphic>
          </wp:inline>
        </w:drawing>
      </w:r>
    </w:p>
    <w:p w14:paraId="0AA91635" w14:textId="77777777" w:rsidR="003C50E1" w:rsidRDefault="00F32BF9">
      <w:pPr>
        <w:widowControl/>
        <w:spacing w:line="360" w:lineRule="auto"/>
        <w:rPr>
          <w:rFonts w:cs="Times New Roman"/>
          <w:sz w:val="21"/>
          <w:szCs w:val="20"/>
        </w:rPr>
      </w:pPr>
      <w:r>
        <w:rPr>
          <w:rFonts w:cs="Times New Roman"/>
          <w:b/>
          <w:bCs/>
          <w:sz w:val="21"/>
          <w:szCs w:val="20"/>
        </w:rPr>
        <w:t xml:space="preserve">Figure S18: </w:t>
      </w:r>
      <w:r>
        <w:rPr>
          <w:rFonts w:cs="Times New Roman"/>
          <w:sz w:val="21"/>
          <w:szCs w:val="20"/>
        </w:rPr>
        <w:t xml:space="preserve">CV test of </w:t>
      </w:r>
      <w:proofErr w:type="gramStart"/>
      <w:r>
        <w:rPr>
          <w:rFonts w:cs="Times New Roman"/>
          <w:sz w:val="21"/>
          <w:szCs w:val="20"/>
        </w:rPr>
        <w:t>Fe(</w:t>
      </w:r>
      <w:proofErr w:type="gramEnd"/>
      <w:r>
        <w:rPr>
          <w:rFonts w:cs="Times New Roman"/>
          <w:sz w:val="21"/>
          <w:szCs w:val="20"/>
        </w:rPr>
        <w:t>CN)</w:t>
      </w:r>
      <w:r>
        <w:rPr>
          <w:rFonts w:cs="Times New Roman" w:hint="eastAsia"/>
          <w:sz w:val="21"/>
          <w:szCs w:val="20"/>
          <w:vertAlign w:val="subscript"/>
        </w:rPr>
        <w:t>6</w:t>
      </w:r>
      <w:r>
        <w:rPr>
          <w:rFonts w:cs="Times New Roman" w:hint="eastAsia"/>
          <w:sz w:val="21"/>
          <w:szCs w:val="20"/>
          <w:vertAlign w:val="superscript"/>
        </w:rPr>
        <w:t>4-</w:t>
      </w:r>
      <w:r>
        <w:rPr>
          <w:rFonts w:cs="Times New Roman"/>
          <w:sz w:val="21"/>
          <w:szCs w:val="20"/>
        </w:rPr>
        <w:t>/Fe(CN)</w:t>
      </w:r>
      <w:r>
        <w:rPr>
          <w:rFonts w:cs="Times New Roman" w:hint="eastAsia"/>
          <w:sz w:val="21"/>
          <w:szCs w:val="20"/>
          <w:vertAlign w:val="subscript"/>
        </w:rPr>
        <w:t>6</w:t>
      </w:r>
      <w:r>
        <w:rPr>
          <w:rFonts w:cs="Times New Roman" w:hint="eastAsia"/>
          <w:sz w:val="21"/>
          <w:szCs w:val="20"/>
          <w:vertAlign w:val="superscript"/>
        </w:rPr>
        <w:t>3-</w:t>
      </w:r>
      <w:r>
        <w:rPr>
          <w:rFonts w:cs="Times New Roman"/>
          <w:sz w:val="21"/>
          <w:szCs w:val="20"/>
        </w:rPr>
        <w:t xml:space="preserve"> after 2000 cycles.</w:t>
      </w:r>
    </w:p>
    <w:p w14:paraId="13C595FF" w14:textId="77777777" w:rsidR="003C50E1" w:rsidRDefault="003C50E1">
      <w:pPr>
        <w:widowControl/>
        <w:spacing w:line="360" w:lineRule="auto"/>
        <w:jc w:val="left"/>
        <w:rPr>
          <w:rFonts w:cs="Times New Roman"/>
          <w:b/>
          <w:bCs/>
        </w:rPr>
      </w:pPr>
    </w:p>
    <w:p w14:paraId="1E180798" w14:textId="77777777" w:rsidR="003C50E1" w:rsidRDefault="00F32BF9">
      <w:pPr>
        <w:widowControl/>
        <w:spacing w:line="240" w:lineRule="auto"/>
        <w:jc w:val="left"/>
        <w:rPr>
          <w:rFonts w:cs="Times New Roman"/>
          <w:b/>
          <w:bCs/>
          <w:sz w:val="21"/>
          <w:szCs w:val="20"/>
        </w:rPr>
      </w:pPr>
      <w:r>
        <w:rPr>
          <w:rFonts w:cs="Times New Roman"/>
          <w:b/>
          <w:bCs/>
          <w:sz w:val="21"/>
          <w:szCs w:val="20"/>
        </w:rPr>
        <w:br w:type="page"/>
      </w:r>
    </w:p>
    <w:p w14:paraId="1AE80F4A" w14:textId="77777777" w:rsidR="003C50E1" w:rsidRDefault="00F32BF9">
      <w:pPr>
        <w:widowControl/>
        <w:spacing w:line="240" w:lineRule="auto"/>
        <w:jc w:val="left"/>
        <w:rPr>
          <w:rFonts w:cs="Times New Roman"/>
          <w:b/>
          <w:bCs/>
        </w:rPr>
      </w:pPr>
      <w:r>
        <w:rPr>
          <w:rFonts w:cs="Times New Roman"/>
          <w:noProof/>
        </w:rPr>
        <w:lastRenderedPageBreak/>
        <w:drawing>
          <wp:inline distT="0" distB="0" distL="0" distR="0" wp14:anchorId="608A90EE" wp14:editId="3EE6E862">
            <wp:extent cx="5274310" cy="3826510"/>
            <wp:effectExtent l="0" t="0" r="2540" b="2540"/>
            <wp:docPr id="921934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34966" name="图片 1"/>
                    <pic:cNvPicPr>
                      <a:picLocks noChangeAspect="1"/>
                    </pic:cNvPicPr>
                  </pic:nvPicPr>
                  <pic:blipFill>
                    <a:blip r:embed="rId29"/>
                    <a:stretch>
                      <a:fillRect/>
                    </a:stretch>
                  </pic:blipFill>
                  <pic:spPr>
                    <a:xfrm>
                      <a:off x="0" y="0"/>
                      <a:ext cx="5274310" cy="3826510"/>
                    </a:xfrm>
                    <a:prstGeom prst="rect">
                      <a:avLst/>
                    </a:prstGeom>
                  </pic:spPr>
                </pic:pic>
              </a:graphicData>
            </a:graphic>
          </wp:inline>
        </w:drawing>
      </w:r>
    </w:p>
    <w:p w14:paraId="539F3EC8" w14:textId="77777777" w:rsidR="003C50E1" w:rsidRDefault="00F32BF9">
      <w:pPr>
        <w:widowControl/>
        <w:spacing w:line="240" w:lineRule="auto"/>
        <w:jc w:val="left"/>
        <w:rPr>
          <w:rFonts w:cs="Times New Roman"/>
          <w:b/>
          <w:bCs/>
          <w:sz w:val="21"/>
          <w:szCs w:val="20"/>
        </w:rPr>
      </w:pPr>
      <w:r>
        <w:rPr>
          <w:rFonts w:cs="Times New Roman"/>
          <w:b/>
          <w:bCs/>
          <w:sz w:val="21"/>
          <w:szCs w:val="20"/>
        </w:rPr>
        <w:t>Figure S19:</w:t>
      </w:r>
      <w:r>
        <w:rPr>
          <w:rFonts w:cs="Times New Roman"/>
          <w:sz w:val="21"/>
          <w:szCs w:val="20"/>
        </w:rPr>
        <w:t xml:space="preserve"> SEM image of Ti</w:t>
      </w:r>
      <w:r>
        <w:rPr>
          <w:rFonts w:cs="Times New Roman" w:hint="eastAsia"/>
          <w:sz w:val="21"/>
          <w:szCs w:val="20"/>
          <w:vertAlign w:val="subscript"/>
        </w:rPr>
        <w:t>3</w:t>
      </w:r>
      <w:r>
        <w:rPr>
          <w:rFonts w:cs="Times New Roman"/>
          <w:sz w:val="21"/>
          <w:szCs w:val="20"/>
        </w:rPr>
        <w:t>C</w:t>
      </w:r>
      <w:r>
        <w:rPr>
          <w:rFonts w:cs="Times New Roman" w:hint="eastAsia"/>
          <w:sz w:val="21"/>
          <w:szCs w:val="20"/>
          <w:vertAlign w:val="subscript"/>
        </w:rPr>
        <w:t>2</w:t>
      </w:r>
      <w:r>
        <w:rPr>
          <w:rFonts w:cs="Times New Roman"/>
          <w:sz w:val="21"/>
          <w:szCs w:val="20"/>
        </w:rPr>
        <w:t>.</w:t>
      </w:r>
    </w:p>
    <w:p w14:paraId="1F3861A4" w14:textId="77777777" w:rsidR="003C50E1" w:rsidRDefault="00F32BF9">
      <w:pPr>
        <w:widowControl/>
        <w:spacing w:line="240" w:lineRule="auto"/>
        <w:jc w:val="left"/>
        <w:rPr>
          <w:rFonts w:cs="Times New Roman"/>
          <w:b/>
          <w:bCs/>
        </w:rPr>
      </w:pPr>
      <w:r>
        <w:rPr>
          <w:rFonts w:cs="Times New Roman"/>
          <w:b/>
          <w:bCs/>
        </w:rPr>
        <w:br w:type="page"/>
      </w:r>
    </w:p>
    <w:p w14:paraId="51068208" w14:textId="77777777" w:rsidR="003C50E1" w:rsidRDefault="003C50E1">
      <w:pPr>
        <w:widowControl/>
        <w:spacing w:line="240" w:lineRule="auto"/>
        <w:jc w:val="left"/>
        <w:rPr>
          <w:rFonts w:cs="Times New Roman"/>
          <w:b/>
          <w:bCs/>
        </w:rPr>
      </w:pPr>
    </w:p>
    <w:p w14:paraId="01B74241" w14:textId="77777777" w:rsidR="003C50E1" w:rsidRDefault="00F32BF9">
      <w:pPr>
        <w:widowControl/>
        <w:spacing w:line="360" w:lineRule="auto"/>
        <w:jc w:val="center"/>
        <w:rPr>
          <w:rFonts w:cs="Times New Roman"/>
          <w:b/>
          <w:bCs/>
        </w:rPr>
      </w:pPr>
      <w:r>
        <w:rPr>
          <w:rFonts w:cs="Times New Roman"/>
          <w:noProof/>
        </w:rPr>
        <w:drawing>
          <wp:inline distT="0" distB="0" distL="0" distR="0" wp14:anchorId="3B6DBCFC" wp14:editId="7BF7F106">
            <wp:extent cx="2444750" cy="2018665"/>
            <wp:effectExtent l="0" t="0" r="0" b="635"/>
            <wp:docPr id="570002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02367" name="图片 1"/>
                    <pic:cNvPicPr>
                      <a:picLocks noChangeAspect="1"/>
                    </pic:cNvPicPr>
                  </pic:nvPicPr>
                  <pic:blipFill>
                    <a:blip r:embed="rId30"/>
                    <a:stretch>
                      <a:fillRect/>
                    </a:stretch>
                  </pic:blipFill>
                  <pic:spPr>
                    <a:xfrm>
                      <a:off x="0" y="0"/>
                      <a:ext cx="2451387" cy="2024284"/>
                    </a:xfrm>
                    <a:prstGeom prst="rect">
                      <a:avLst/>
                    </a:prstGeom>
                  </pic:spPr>
                </pic:pic>
              </a:graphicData>
            </a:graphic>
          </wp:inline>
        </w:drawing>
      </w:r>
      <w:r>
        <w:rPr>
          <w:rFonts w:cs="Times New Roman"/>
          <w:noProof/>
        </w:rPr>
        <w:drawing>
          <wp:inline distT="0" distB="0" distL="0" distR="0" wp14:anchorId="71E67F71" wp14:editId="32B41374">
            <wp:extent cx="2486660" cy="1999615"/>
            <wp:effectExtent l="0" t="0" r="8890" b="635"/>
            <wp:docPr id="2102491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91557" name="图片 1"/>
                    <pic:cNvPicPr>
                      <a:picLocks noChangeAspect="1"/>
                    </pic:cNvPicPr>
                  </pic:nvPicPr>
                  <pic:blipFill>
                    <a:blip r:embed="rId31"/>
                    <a:srcRect b="1328"/>
                    <a:stretch>
                      <a:fillRect/>
                    </a:stretch>
                  </pic:blipFill>
                  <pic:spPr>
                    <a:xfrm>
                      <a:off x="0" y="0"/>
                      <a:ext cx="2493102" cy="2004775"/>
                    </a:xfrm>
                    <a:prstGeom prst="rect">
                      <a:avLst/>
                    </a:prstGeom>
                    <a:ln>
                      <a:noFill/>
                    </a:ln>
                  </pic:spPr>
                </pic:pic>
              </a:graphicData>
            </a:graphic>
          </wp:inline>
        </w:drawing>
      </w:r>
    </w:p>
    <w:p w14:paraId="6E7566D1" w14:textId="77777777" w:rsidR="003C50E1" w:rsidRDefault="00F32BF9">
      <w:pPr>
        <w:spacing w:line="360" w:lineRule="auto"/>
        <w:rPr>
          <w:rFonts w:cs="Times New Roman"/>
          <w:b/>
          <w:bCs/>
          <w:sz w:val="21"/>
          <w:szCs w:val="20"/>
        </w:rPr>
      </w:pPr>
      <w:r>
        <w:rPr>
          <w:rFonts w:cs="Times New Roman"/>
          <w:b/>
          <w:bCs/>
          <w:sz w:val="21"/>
          <w:szCs w:val="20"/>
        </w:rPr>
        <w:t xml:space="preserve">Figure S20: </w:t>
      </w:r>
      <w:r>
        <w:rPr>
          <w:rFonts w:cs="Times New Roman"/>
          <w:sz w:val="21"/>
          <w:szCs w:val="20"/>
        </w:rPr>
        <w:t>GCD test and specific capacitance of Ti</w:t>
      </w:r>
      <w:r>
        <w:rPr>
          <w:rFonts w:cs="Times New Roman" w:hint="eastAsia"/>
          <w:sz w:val="21"/>
          <w:szCs w:val="20"/>
          <w:vertAlign w:val="subscript"/>
        </w:rPr>
        <w:t>3</w:t>
      </w:r>
      <w:r>
        <w:rPr>
          <w:rFonts w:cs="Times New Roman"/>
          <w:sz w:val="21"/>
          <w:szCs w:val="20"/>
        </w:rPr>
        <w:t>C</w:t>
      </w:r>
      <w:r>
        <w:rPr>
          <w:rFonts w:cs="Times New Roman" w:hint="eastAsia"/>
          <w:sz w:val="21"/>
          <w:szCs w:val="20"/>
          <w:vertAlign w:val="subscript"/>
        </w:rPr>
        <w:t>2</w:t>
      </w:r>
      <w:r>
        <w:rPr>
          <w:rFonts w:cs="Times New Roman"/>
          <w:sz w:val="21"/>
          <w:szCs w:val="20"/>
        </w:rPr>
        <w:t>.</w:t>
      </w:r>
      <w:r>
        <w:rPr>
          <w:rFonts w:cs="Times New Roman"/>
          <w:b/>
          <w:bCs/>
        </w:rPr>
        <w:br w:type="page"/>
      </w:r>
    </w:p>
    <w:p w14:paraId="28F64A67" w14:textId="77777777" w:rsidR="003C50E1" w:rsidRDefault="00F32BF9">
      <w:pPr>
        <w:spacing w:line="360" w:lineRule="auto"/>
        <w:jc w:val="center"/>
        <w:rPr>
          <w:rFonts w:cs="Times New Roman"/>
        </w:rPr>
      </w:pPr>
      <w:r>
        <w:rPr>
          <w:rFonts w:cs="Times New Roman"/>
          <w:noProof/>
        </w:rPr>
        <w:lastRenderedPageBreak/>
        <w:drawing>
          <wp:inline distT="0" distB="0" distL="0" distR="0" wp14:anchorId="415B174B" wp14:editId="5E995D07">
            <wp:extent cx="2385060" cy="1841500"/>
            <wp:effectExtent l="0" t="0" r="0" b="6350"/>
            <wp:docPr id="1185062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62452" name="图片 1"/>
                    <pic:cNvPicPr>
                      <a:picLocks noChangeAspect="1"/>
                    </pic:cNvPicPr>
                  </pic:nvPicPr>
                  <pic:blipFill>
                    <a:blip r:embed="rId32"/>
                    <a:stretch>
                      <a:fillRect/>
                    </a:stretch>
                  </pic:blipFill>
                  <pic:spPr>
                    <a:xfrm>
                      <a:off x="0" y="0"/>
                      <a:ext cx="2394482" cy="1848474"/>
                    </a:xfrm>
                    <a:prstGeom prst="rect">
                      <a:avLst/>
                    </a:prstGeom>
                  </pic:spPr>
                </pic:pic>
              </a:graphicData>
            </a:graphic>
          </wp:inline>
        </w:drawing>
      </w:r>
      <w:r>
        <w:rPr>
          <w:rFonts w:cs="Times New Roman"/>
          <w:noProof/>
        </w:rPr>
        <w:drawing>
          <wp:inline distT="0" distB="0" distL="0" distR="0" wp14:anchorId="3C92CC01" wp14:editId="66A922DE">
            <wp:extent cx="2541905" cy="1832610"/>
            <wp:effectExtent l="0" t="0" r="0" b="0"/>
            <wp:docPr id="1750379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79015" name="图片 1"/>
                    <pic:cNvPicPr>
                      <a:picLocks noChangeAspect="1"/>
                    </pic:cNvPicPr>
                  </pic:nvPicPr>
                  <pic:blipFill>
                    <a:blip r:embed="rId33"/>
                    <a:stretch>
                      <a:fillRect/>
                    </a:stretch>
                  </pic:blipFill>
                  <pic:spPr>
                    <a:xfrm>
                      <a:off x="0" y="0"/>
                      <a:ext cx="2556896" cy="1843945"/>
                    </a:xfrm>
                    <a:prstGeom prst="rect">
                      <a:avLst/>
                    </a:prstGeom>
                  </pic:spPr>
                </pic:pic>
              </a:graphicData>
            </a:graphic>
          </wp:inline>
        </w:drawing>
      </w:r>
    </w:p>
    <w:p w14:paraId="0B91202C" w14:textId="77777777" w:rsidR="003C50E1" w:rsidRDefault="00F32BF9">
      <w:pPr>
        <w:spacing w:line="360" w:lineRule="auto"/>
        <w:rPr>
          <w:rFonts w:cs="Times New Roman"/>
          <w:b/>
          <w:bCs/>
          <w:sz w:val="21"/>
          <w:szCs w:val="20"/>
        </w:rPr>
      </w:pPr>
      <w:r>
        <w:rPr>
          <w:rFonts w:cs="Times New Roman"/>
          <w:b/>
          <w:bCs/>
          <w:sz w:val="21"/>
          <w:szCs w:val="20"/>
        </w:rPr>
        <w:t xml:space="preserve">Figure S21: </w:t>
      </w:r>
      <w:r>
        <w:rPr>
          <w:rFonts w:cs="Times New Roman"/>
          <w:sz w:val="21"/>
          <w:szCs w:val="20"/>
        </w:rPr>
        <w:t>Charge-discharge curves and power density curve of the SC-TGC using Ti</w:t>
      </w:r>
      <w:r>
        <w:rPr>
          <w:rFonts w:cs="Times New Roman" w:hint="eastAsia"/>
          <w:sz w:val="21"/>
          <w:szCs w:val="20"/>
          <w:vertAlign w:val="subscript"/>
        </w:rPr>
        <w:t>3</w:t>
      </w:r>
      <w:r>
        <w:rPr>
          <w:rFonts w:cs="Times New Roman"/>
          <w:sz w:val="21"/>
          <w:szCs w:val="20"/>
        </w:rPr>
        <w:t>C</w:t>
      </w:r>
      <w:r>
        <w:rPr>
          <w:rFonts w:cs="Times New Roman" w:hint="eastAsia"/>
          <w:sz w:val="21"/>
          <w:szCs w:val="20"/>
          <w:vertAlign w:val="subscript"/>
        </w:rPr>
        <w:t>2</w:t>
      </w:r>
      <w:r>
        <w:rPr>
          <w:rFonts w:cs="Times New Roman"/>
          <w:sz w:val="21"/>
          <w:szCs w:val="20"/>
        </w:rPr>
        <w:t>-based supercapacitor-assisted electrodes.</w:t>
      </w:r>
    </w:p>
    <w:p w14:paraId="598BE7CA" w14:textId="77777777" w:rsidR="003C50E1" w:rsidRDefault="003C50E1">
      <w:pPr>
        <w:widowControl/>
        <w:spacing w:line="360" w:lineRule="auto"/>
        <w:rPr>
          <w:rFonts w:cs="Times New Roman"/>
          <w:b/>
          <w:bCs/>
        </w:rPr>
      </w:pPr>
    </w:p>
    <w:p w14:paraId="674805E0" w14:textId="77777777" w:rsidR="003C50E1" w:rsidRDefault="00F32BF9">
      <w:pPr>
        <w:widowControl/>
        <w:spacing w:line="360" w:lineRule="auto"/>
        <w:jc w:val="left"/>
        <w:rPr>
          <w:rFonts w:cs="Times New Roman"/>
          <w:b/>
          <w:bCs/>
        </w:rPr>
      </w:pPr>
      <w:r>
        <w:rPr>
          <w:rFonts w:cs="Times New Roman"/>
          <w:b/>
          <w:bCs/>
        </w:rPr>
        <w:br w:type="page"/>
      </w:r>
    </w:p>
    <w:p w14:paraId="511645E1" w14:textId="77777777" w:rsidR="003C50E1" w:rsidRDefault="00F32BF9">
      <w:pPr>
        <w:widowControl/>
        <w:spacing w:line="360" w:lineRule="auto"/>
        <w:jc w:val="center"/>
        <w:rPr>
          <w:rFonts w:cs="Times New Roman"/>
          <w:b/>
          <w:bCs/>
        </w:rPr>
      </w:pPr>
      <w:r>
        <w:rPr>
          <w:rFonts w:cs="Times New Roman"/>
          <w:b/>
          <w:bCs/>
        </w:rPr>
        <w:object w:dxaOrig="5587" w:dyaOrig="4516" w14:anchorId="01AB9D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9pt;height:225.65pt" o:ole="">
            <v:imagedata r:id="rId34" o:title=""/>
          </v:shape>
          <o:OLEObject Type="Embed" ProgID="Origin95.Graph" ShapeID="_x0000_i1025" DrawAspect="Content" ObjectID="_1820683920" r:id="rId35"/>
        </w:object>
      </w:r>
    </w:p>
    <w:p w14:paraId="5E83AAF8" w14:textId="77777777" w:rsidR="003C50E1" w:rsidRDefault="00F32BF9">
      <w:pPr>
        <w:widowControl/>
        <w:spacing w:line="360" w:lineRule="auto"/>
        <w:rPr>
          <w:rFonts w:cs="Times New Roman"/>
          <w:b/>
          <w:bCs/>
          <w:sz w:val="21"/>
          <w:szCs w:val="20"/>
        </w:rPr>
      </w:pPr>
      <w:r>
        <w:rPr>
          <w:rFonts w:cs="Times New Roman"/>
          <w:b/>
          <w:bCs/>
          <w:sz w:val="21"/>
          <w:szCs w:val="20"/>
        </w:rPr>
        <w:t xml:space="preserve">Figure S22: </w:t>
      </w:r>
      <w:r>
        <w:rPr>
          <w:rFonts w:cs="Times New Roman"/>
          <w:sz w:val="21"/>
          <w:szCs w:val="20"/>
        </w:rPr>
        <w:t>Comparison of the temperature difference between the hot and cold electrodes in the TGC and the SC-TGC.</w:t>
      </w:r>
    </w:p>
    <w:p w14:paraId="7C42CAF3" w14:textId="77777777" w:rsidR="003C50E1" w:rsidRDefault="00F32BF9">
      <w:pPr>
        <w:widowControl/>
        <w:spacing w:line="360" w:lineRule="auto"/>
        <w:jc w:val="center"/>
        <w:rPr>
          <w:rFonts w:cs="Times New Roman"/>
          <w:b/>
          <w:bCs/>
          <w:sz w:val="21"/>
          <w:szCs w:val="20"/>
        </w:rPr>
      </w:pPr>
      <w:r>
        <w:rPr>
          <w:rFonts w:cs="Times New Roman"/>
          <w:b/>
          <w:bCs/>
        </w:rPr>
        <w:br w:type="page"/>
      </w:r>
      <w:r>
        <w:rPr>
          <w:rFonts w:cs="Times New Roman"/>
          <w:b/>
          <w:bCs/>
          <w:sz w:val="21"/>
          <w:szCs w:val="20"/>
        </w:rPr>
        <w:object w:dxaOrig="7615" w:dyaOrig="5449" w14:anchorId="2FB4E5F9">
          <v:shape id="_x0000_i1026" type="#_x0000_t75" style="width:380.35pt;height:272.35pt" o:ole="">
            <v:imagedata r:id="rId36" o:title=""/>
          </v:shape>
          <o:OLEObject Type="Embed" ProgID="Origin95.Graph" ShapeID="_x0000_i1026" DrawAspect="Content" ObjectID="_1820683921" r:id="rId37"/>
        </w:object>
      </w:r>
    </w:p>
    <w:p w14:paraId="2970CAD5" w14:textId="77777777" w:rsidR="003C50E1" w:rsidRDefault="00F32BF9">
      <w:pPr>
        <w:widowControl/>
        <w:spacing w:line="240" w:lineRule="auto"/>
        <w:jc w:val="left"/>
        <w:rPr>
          <w:rFonts w:cs="Times New Roman"/>
          <w:b/>
          <w:bCs/>
          <w:sz w:val="21"/>
          <w:szCs w:val="20"/>
        </w:rPr>
      </w:pPr>
      <w:r>
        <w:rPr>
          <w:rFonts w:cs="Times New Roman"/>
          <w:b/>
          <w:bCs/>
          <w:sz w:val="21"/>
          <w:szCs w:val="20"/>
        </w:rPr>
        <w:t xml:space="preserve">Figure S23: </w:t>
      </w:r>
      <w:r>
        <w:rPr>
          <w:rFonts w:cs="Times New Roman"/>
          <w:sz w:val="21"/>
          <w:szCs w:val="20"/>
        </w:rPr>
        <w:t>Comparison of cold-source input conditions, effective thermal conductivity (</w:t>
      </w:r>
      <w:proofErr w:type="spellStart"/>
      <w:r>
        <w:rPr>
          <w:rFonts w:cs="Times New Roman"/>
          <w:sz w:val="21"/>
          <w:szCs w:val="20"/>
        </w:rPr>
        <w:t>k</w:t>
      </w:r>
      <w:r>
        <w:rPr>
          <w:rFonts w:cs="Times New Roman"/>
          <w:sz w:val="21"/>
          <w:szCs w:val="20"/>
          <w:vertAlign w:val="subscript"/>
        </w:rPr>
        <w:t>eff</w:t>
      </w:r>
      <w:proofErr w:type="spellEnd"/>
      <w:r>
        <w:rPr>
          <w:rFonts w:cs="Times New Roman"/>
          <w:sz w:val="21"/>
          <w:szCs w:val="20"/>
        </w:rPr>
        <w:t>), and effective ionic conductivity (σ) among similar reported works</w:t>
      </w:r>
      <w:r>
        <w:rPr>
          <w:rFonts w:cs="Times New Roman"/>
          <w:sz w:val="21"/>
          <w:szCs w:val="20"/>
        </w:rPr>
        <w:fldChar w:fldCharType="begin"/>
      </w:r>
      <w:r>
        <w:rPr>
          <w:rFonts w:cs="Times New Roman"/>
          <w:sz w:val="21"/>
          <w:szCs w:val="20"/>
        </w:rPr>
        <w:instrText xml:space="preserve"> ADDIN ZOTERO_ITEM CSL_CITATION {"citationID":"8XE0LnC8","properties":{"formattedCitation":"\\super 2,4\\uc0\\u8211{}7\\nosupersub{}","plainCitation":"2,4–7","noteIndex":0},"citationItems":[{"id":437,"uris":["http://zotero.org/users/17092864/items/UGN9T3HC"],"itemData":{"id":437,"type":"article-journal","abstract":"High-performance thermogalvanic cells have the potential to convert thermal energy into electricity, but their effectiveness is limited by the low concentration difference of redox ions. We report an in situ photocatalytically enhanced redox reaction that generates hydrogen and oxygen to realize a continuous concentration gradient of redox ions in thermogalvanic devices. A linear relation between thermopower and hydrogen production rate was established as an essential design principle for devices. The system exhibited a thermopower of 8.2 millivolts per kelvin and a solar-to-hydrogen efficiency of up to 0.4%. A large-area generator (112 square centimeters) consisting of 36 units yielded an open-circuit voltage of 4.4 volts and a power of 20.1 milliwatts, as well 0.5 millimoles of hydrogen and 0.2 millimoles of oxygen after 6 hours of outdoor operation.\n          , \n            Editor’s summary\n            \n              In thermogalvanic cells, temperature-driven concentration gradients of redox-active species create a potential difference that can produce electricity. Wang\n              et al\n              . show that for the redox couple Fe(CN)\n              6\n              4−\n              and Fe(CN)\n              6\n              3−\n              in a gel matrix, water-splitting photocatalysts that generated oxygen and hydrogen boosted the concentration gradients of the redox ions and added a proton gradient to the cell (see the Perspective by Yu and Duan). The cell had a thermopower of 82 millivolts per degree kelvin and also generated a hydrogen by-product. —Phil Szuromi\n            \n          , \n            Photocatalysis increased concentration gradients of iron cyanide anions and the thermopower of a thermogalvanic device.","container-title":"Science","DOI":"10.1126/science.adg0164","ISSN":"0036-8075, 1095-9203","issue":"6655","journalAbbreviation":"Science","language":"en","page":"291-296","source":"DOI.org (Crossref)","title":"In situ photocatalytically enhanced thermogalvanic cells for electricity and hydrogen production","volume":"381","author":[{"family":"Wang","given":"Yijin"},{"family":"Zhang","given":"Youzi"},{"family":"Xin","given":"Xu"},{"family":"Yang","given":"Jiabao"},{"family":"Wang","given":"Maohuai"},{"family":"Wang","given":"Ruiling"},{"family":"Guo","given":"Peng"},{"family":"Huang","given":"Wenjing"},{"family":"Sobrido","given":"Ana Jorge"},{"family":"Wei","given":"Bingqing"},{"family":"Li","given":"Xuanhua"}],"issued":{"date-parts":[["2023",7,21]]}}},{"id":446,"uris":["http://zotero.org/users/17092864/items/S59UDP8A"],"itemData":{"id":446,"type":"article-journal","container-title":"Joule","DOI":"10.1016/j.joule.2021.06.003","ISSN":"25424351","issue":"8","journalAbbreviation":"Joule","language":"en","page":"2211-2222","source":"DOI.org (Crossref)","title":"Double-network thermocells with extraordinary toughness and boosted power density for continuous heat harvesting","volume":"5","author":[{"family":"Lei","given":"Zhouyue"},{"family":"Gao","given":"Wei"},{"family":"Wu","given":"Peiyi"}],"issued":{"date-parts":[["2021",8]]}}},{"id":358,"uris":["http://zotero.org/users/17092864/items/YTDLLELG"],"itemData":{"id":358,"type":"article-journal","abstract":"Recovering low-temperature heat\n            \n              Low-temperature heat sources are both abundant and largely dissipated into the environment. Yu\n              et al.\n              discovered a way to boost the concentration gradient in a liquid thermogalvanic cell that allows low-temperature heat to be recovered. The authors added a component that boosts the concentration gradient by forcing crystallization of the electrolyte at the cold end, and these crystals then melt at the hot end. This process boosts efficiency and is a potential method for recovering low-grade heat.\n            \n            \n              Science\n              , this issue p.\n              342\n            \n          , \n            Selective crystallization of the electrolyte boosts the efficiency of a liquid-state thermocell.\n          , \n            \n              Low-grade heat (below 373 kelvin) is abundant and ubiquitous but is mostly wasted because present recovery technologies are not cost-effective. The liquid-state thermocell (LTC), an inexpensive and scalable thermoelectric device, may be commercially viable for harvesting low-grade heat energy if its Carnot-relative efficiency (η\n              r\n              ) reaches ~5%, which is a challenging metric to achieve experimentally. We used a thermosensitive crystallization and dissolution process to induce a persistent concentration gradient of redox ions, a highly enhanced Seebeck coefficient (~3.73 millivolts per kelvin), and suppressed thermal conductivity in LTCs. As a result, we achieved a high η\n              r\n              of 11.1% for LTCs near room temperature. Our device demonstration offers promise for cost-effective low-grade heat harvesting.","container-title":"Science","DOI":"10.1126/science.abd6749","ISSN":"0036-8075, 1095-9203","issue":"6514","journalAbbreviation":"Science","language":"en","page":"342-346","source":"DOI.org (Crossref)","title":"Thermosensitive crystallization–boosted liquid thermocells for low-grade heat harvesting","volume":"370","author":[{"family":"Yu","given":"Boyang"},{"family":"Duan","given":"Jiangjiang"},{"family":"Cong","given":"Hengjiang"},{"family":"Xie","given":"Wenke"},{"family":"Liu","given":"Rong"},{"family":"Zhuang","given":"Xinyan"},{"family":"Wang","given":"Hui"},{"family":"Qi","given":"Bei"},{"family":"Xu","given":"Ming"},{"family":"Wang","given":"Zhong Lin"},{"family":"Zhou","given":"Jun"}],"issued":{"date-parts":[["2020",10,16]]}}},{"id":344,"uris":["http://zotero.org/users/17092864/items/9BUZJBY8"],"itemData":{"id":344,"type":"article-journal","container-title":"Electrochimica Acta","DOI":"10.1016/j.electacta.2020.135651","ISSN":"00134686","journalAbbreviation":"Electrochimica Acta","language":"en","page":"135651","source":"DOI.org (Crossref)","title":"Unravelling ionic speciation and hydration structure of Fe(III/II) redox couples for thermoelectrochemical cells","volume":"335","author":[{"family":"Kim","given":"Kyunggu"},{"family":"Hwang","given":"Sunwook"},{"family":"Lee","given":"Hochun"}],"issued":{"date-parts":[["2020",3]]}}},{"id":434,"uris":["http://zotero.org/users/17092864/items/4ACIN95H"],"itemData":{"id":434,"type":"article-journal","abstract":"Abstract\n            \n              Remarkable advances have recently been made in the thermocell array with series or parallel interconnection, however, the output power from the thermocell array is mainly limited by the electrolyte performance of an n-type element. In this work, we investigate iron (II/III) perchlorate electrolytes as a new n-type electrolyte and compared with the ferric/ferrous cyanide electrolyte at its introduction with platinum as the electrodes, which has been the benchmark for thermocells. In comparison, the perchlorate electrolyte (Fe\n              2+\n              /Fe\n              3+\n              ) exhibits a high temperature coefficient of redox potential of +1.76 mV/K, which is complementary to the cyanide electrolyte (Fe(CN)\n              6\n              3−\n              /Fe(CN)\n              6\n              4−\n              ) with the temperature coefficient of −1.42 mV/K. The power factor and figure of merit for the electrolyte are higher by 28% and 40%, respectively, than those for the cyanide electrolyte. In terms of device performance, the thermocell using the perchlorate electrolyte provides a power density of 687 mW/m\n              2\n              that is 45% higher compared to the same device but with the cyanide electrolyte for a small temperature difference of 20 °C. The advent of this high performance n-type electrolyte could open up new ways to achieve substantial advances in p-n thermocells as in p-n thermoelectrics, which has steered the way to the possibility of practical use of thermoelectrics.","container-title":"Scientific Reports","DOI":"10.1038/s41598-019-45127-w","ISSN":"2045-2322","issue":"1","journalAbbreviation":"Sci Rep","language":"en","page":"8706","source":"DOI.org (Crossref)","title":"Iron (II/III) perchlorate electrolytes for electrochemically harvesting low-grade thermal energy","volume":"9","author":[{"family":"Kim","given":"Ju Hyeon"},{"family":"Lee","given":"Ju Hwan"},{"family":"Palem","given":"Ramasubba Reddy"},{"family":"Suh","given":"Min-Soo"},{"family":"Lee","given":"Hong H."},{"family":"Kang","given":"Tae June"}],"issued":{"date-parts":[["2019",6,18]]}}}],"schema":"https://github.com/citation-style-language/schema/raw/master/csl-citation.json"} </w:instrText>
      </w:r>
      <w:r>
        <w:rPr>
          <w:rFonts w:cs="Times New Roman"/>
          <w:sz w:val="21"/>
          <w:szCs w:val="20"/>
        </w:rPr>
        <w:fldChar w:fldCharType="separate"/>
      </w:r>
      <w:r>
        <w:rPr>
          <w:rFonts w:cs="Times New Roman"/>
          <w:kern w:val="0"/>
          <w:sz w:val="21"/>
          <w:szCs w:val="24"/>
          <w:vertAlign w:val="superscript"/>
        </w:rPr>
        <w:t>2,4–7</w:t>
      </w:r>
      <w:r>
        <w:rPr>
          <w:rFonts w:cs="Times New Roman"/>
          <w:sz w:val="21"/>
          <w:szCs w:val="20"/>
        </w:rPr>
        <w:fldChar w:fldCharType="end"/>
      </w:r>
      <w:r>
        <w:rPr>
          <w:rFonts w:cs="Times New Roman"/>
          <w:sz w:val="21"/>
          <w:szCs w:val="20"/>
        </w:rPr>
        <w:t>.</w:t>
      </w:r>
    </w:p>
    <w:p w14:paraId="67221F46" w14:textId="77777777" w:rsidR="003C50E1" w:rsidRDefault="00F32BF9">
      <w:pPr>
        <w:widowControl/>
        <w:spacing w:line="240" w:lineRule="auto"/>
        <w:jc w:val="left"/>
        <w:rPr>
          <w:rFonts w:cs="Times New Roman"/>
          <w:b/>
          <w:bCs/>
        </w:rPr>
      </w:pPr>
      <w:r>
        <w:rPr>
          <w:rFonts w:cs="Times New Roman"/>
          <w:b/>
          <w:bCs/>
        </w:rPr>
        <w:br w:type="page"/>
      </w:r>
    </w:p>
    <w:p w14:paraId="2316AEBA" w14:textId="77777777" w:rsidR="003C50E1" w:rsidRDefault="00F32BF9">
      <w:pPr>
        <w:widowControl/>
        <w:spacing w:line="360" w:lineRule="auto"/>
        <w:jc w:val="center"/>
        <w:rPr>
          <w:rFonts w:cs="Times New Roman"/>
          <w:b/>
          <w:bCs/>
        </w:rPr>
      </w:pPr>
      <w:r>
        <w:rPr>
          <w:rFonts w:cs="Times New Roman"/>
          <w:noProof/>
        </w:rPr>
        <w:lastRenderedPageBreak/>
        <w:drawing>
          <wp:inline distT="0" distB="0" distL="0" distR="0" wp14:anchorId="49E74AAA" wp14:editId="492837FF">
            <wp:extent cx="5274310" cy="2528570"/>
            <wp:effectExtent l="0" t="0" r="2540" b="5080"/>
            <wp:docPr id="352170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70215" name="图片 1"/>
                    <pic:cNvPicPr>
                      <a:picLocks noChangeAspect="1"/>
                    </pic:cNvPicPr>
                  </pic:nvPicPr>
                  <pic:blipFill>
                    <a:blip r:embed="rId38"/>
                    <a:stretch>
                      <a:fillRect/>
                    </a:stretch>
                  </pic:blipFill>
                  <pic:spPr>
                    <a:xfrm>
                      <a:off x="0" y="0"/>
                      <a:ext cx="5274310" cy="2528570"/>
                    </a:xfrm>
                    <a:prstGeom prst="rect">
                      <a:avLst/>
                    </a:prstGeom>
                  </pic:spPr>
                </pic:pic>
              </a:graphicData>
            </a:graphic>
          </wp:inline>
        </w:drawing>
      </w:r>
    </w:p>
    <w:p w14:paraId="3839D76F" w14:textId="77777777" w:rsidR="003C50E1" w:rsidRDefault="00F32BF9">
      <w:pPr>
        <w:widowControl/>
        <w:spacing w:line="360" w:lineRule="auto"/>
        <w:rPr>
          <w:rFonts w:cs="Times New Roman"/>
          <w:b/>
          <w:bCs/>
          <w:sz w:val="21"/>
          <w:szCs w:val="20"/>
        </w:rPr>
      </w:pPr>
      <w:r>
        <w:rPr>
          <w:rFonts w:cs="Times New Roman"/>
          <w:b/>
          <w:bCs/>
          <w:sz w:val="21"/>
          <w:szCs w:val="20"/>
        </w:rPr>
        <w:t xml:space="preserve">Figure S24: </w:t>
      </w:r>
      <w:r>
        <w:rPr>
          <w:rFonts w:cs="Times New Roman"/>
          <w:sz w:val="21"/>
          <w:szCs w:val="20"/>
        </w:rPr>
        <w:t>Three-dimensional schematic diagram and photograph of a single SC-TGC unit.</w:t>
      </w:r>
    </w:p>
    <w:p w14:paraId="1E0A8A34" w14:textId="77777777" w:rsidR="003C50E1" w:rsidRDefault="00F32BF9">
      <w:pPr>
        <w:widowControl/>
        <w:spacing w:line="360" w:lineRule="auto"/>
        <w:jc w:val="left"/>
        <w:rPr>
          <w:rFonts w:cs="Times New Roman"/>
          <w:b/>
          <w:bCs/>
        </w:rPr>
      </w:pPr>
      <w:r>
        <w:rPr>
          <w:rFonts w:cs="Times New Roman"/>
          <w:b/>
          <w:bCs/>
        </w:rPr>
        <w:br w:type="page"/>
      </w:r>
    </w:p>
    <w:p w14:paraId="1564AE4E" w14:textId="77777777" w:rsidR="003C50E1" w:rsidRDefault="00F32BF9">
      <w:pPr>
        <w:widowControl/>
        <w:spacing w:line="360" w:lineRule="auto"/>
        <w:jc w:val="left"/>
        <w:rPr>
          <w:rFonts w:cs="Times New Roman"/>
          <w:b/>
          <w:bCs/>
        </w:rPr>
      </w:pPr>
      <w:r>
        <w:rPr>
          <w:rFonts w:cs="Times New Roman"/>
          <w:noProof/>
        </w:rPr>
        <w:lastRenderedPageBreak/>
        <w:drawing>
          <wp:inline distT="0" distB="0" distL="0" distR="0" wp14:anchorId="26F8FC1E" wp14:editId="38ECD381">
            <wp:extent cx="2961640" cy="1537970"/>
            <wp:effectExtent l="0" t="0" r="10160" b="1270"/>
            <wp:docPr id="1671280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80589" name="图片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961640" cy="1537970"/>
                    </a:xfrm>
                    <a:prstGeom prst="rect">
                      <a:avLst/>
                    </a:prstGeom>
                    <a:noFill/>
                    <a:ln>
                      <a:noFill/>
                    </a:ln>
                  </pic:spPr>
                </pic:pic>
              </a:graphicData>
            </a:graphic>
          </wp:inline>
        </w:drawing>
      </w:r>
      <w:r>
        <w:rPr>
          <w:rFonts w:cs="Times New Roman" w:hint="eastAsia"/>
        </w:rPr>
        <w:t xml:space="preserve">    </w:t>
      </w:r>
      <w:r>
        <w:rPr>
          <w:rFonts w:cs="Times New Roman" w:hint="eastAsia"/>
          <w:b/>
          <w:bCs/>
          <w:noProof/>
        </w:rPr>
        <w:drawing>
          <wp:inline distT="0" distB="0" distL="114300" distR="114300" wp14:anchorId="707AD613" wp14:editId="33738B6B">
            <wp:extent cx="1833880" cy="1550670"/>
            <wp:effectExtent l="0" t="0" r="10160" b="3810"/>
            <wp:docPr id="2" name="图片 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未标题-1"/>
                    <pic:cNvPicPr>
                      <a:picLocks noChangeAspect="1"/>
                    </pic:cNvPicPr>
                  </pic:nvPicPr>
                  <pic:blipFill>
                    <a:blip r:embed="rId40"/>
                    <a:srcRect t="5164" b="2203"/>
                    <a:stretch>
                      <a:fillRect/>
                    </a:stretch>
                  </pic:blipFill>
                  <pic:spPr>
                    <a:xfrm>
                      <a:off x="0" y="0"/>
                      <a:ext cx="1833880" cy="1550670"/>
                    </a:xfrm>
                    <a:prstGeom prst="rect">
                      <a:avLst/>
                    </a:prstGeom>
                  </pic:spPr>
                </pic:pic>
              </a:graphicData>
            </a:graphic>
          </wp:inline>
        </w:drawing>
      </w:r>
    </w:p>
    <w:p w14:paraId="527FAFC4" w14:textId="77777777" w:rsidR="003C50E1" w:rsidRDefault="00F32BF9">
      <w:pPr>
        <w:widowControl/>
        <w:spacing w:line="360" w:lineRule="auto"/>
        <w:jc w:val="center"/>
        <w:rPr>
          <w:rFonts w:cs="Times New Roman"/>
          <w:b/>
          <w:bCs/>
        </w:rPr>
      </w:pPr>
      <w:r>
        <w:rPr>
          <w:rFonts w:cs="Times New Roman" w:hint="eastAsia"/>
          <w:b/>
          <w:bCs/>
          <w:noProof/>
        </w:rPr>
        <w:drawing>
          <wp:inline distT="0" distB="0" distL="114300" distR="114300" wp14:anchorId="72B84CBA" wp14:editId="23647901">
            <wp:extent cx="3977005" cy="2108200"/>
            <wp:effectExtent l="0" t="0" r="0" b="0"/>
            <wp:docPr id="8" name="图片 8"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标题-2"/>
                    <pic:cNvPicPr>
                      <a:picLocks noChangeAspect="1"/>
                    </pic:cNvPicPr>
                  </pic:nvPicPr>
                  <pic:blipFill>
                    <a:blip r:embed="rId41"/>
                    <a:srcRect l="1726"/>
                    <a:stretch>
                      <a:fillRect/>
                    </a:stretch>
                  </pic:blipFill>
                  <pic:spPr>
                    <a:xfrm>
                      <a:off x="0" y="0"/>
                      <a:ext cx="3977005" cy="2108200"/>
                    </a:xfrm>
                    <a:prstGeom prst="rect">
                      <a:avLst/>
                    </a:prstGeom>
                  </pic:spPr>
                </pic:pic>
              </a:graphicData>
            </a:graphic>
          </wp:inline>
        </w:drawing>
      </w:r>
    </w:p>
    <w:p w14:paraId="0786CC58" w14:textId="77777777" w:rsidR="003C50E1" w:rsidRDefault="00F32BF9">
      <w:pPr>
        <w:widowControl/>
        <w:spacing w:line="360" w:lineRule="auto"/>
        <w:jc w:val="center"/>
        <w:rPr>
          <w:rFonts w:cs="Times New Roman"/>
          <w:b/>
          <w:bCs/>
        </w:rPr>
      </w:pPr>
      <w:r>
        <w:rPr>
          <w:rFonts w:cs="Times New Roman"/>
          <w:b/>
          <w:bCs/>
          <w:noProof/>
        </w:rPr>
        <w:drawing>
          <wp:inline distT="0" distB="0" distL="0" distR="0" wp14:anchorId="6082D189" wp14:editId="15AD5B20">
            <wp:extent cx="4089400" cy="2905760"/>
            <wp:effectExtent l="0" t="0" r="10160" b="508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42"/>
                    <a:stretch>
                      <a:fillRect/>
                    </a:stretch>
                  </pic:blipFill>
                  <pic:spPr>
                    <a:xfrm>
                      <a:off x="0" y="0"/>
                      <a:ext cx="4089400" cy="2905760"/>
                    </a:xfrm>
                    <a:prstGeom prst="rect">
                      <a:avLst/>
                    </a:prstGeom>
                  </pic:spPr>
                </pic:pic>
              </a:graphicData>
            </a:graphic>
          </wp:inline>
        </w:drawing>
      </w:r>
    </w:p>
    <w:p w14:paraId="595A1326" w14:textId="77777777" w:rsidR="003C50E1" w:rsidRDefault="00F32BF9">
      <w:pPr>
        <w:widowControl/>
        <w:spacing w:line="360" w:lineRule="auto"/>
        <w:rPr>
          <w:rFonts w:cs="Times New Roman"/>
          <w:sz w:val="21"/>
          <w:szCs w:val="20"/>
        </w:rPr>
      </w:pPr>
      <w:r>
        <w:rPr>
          <w:rFonts w:cs="Times New Roman"/>
          <w:b/>
          <w:bCs/>
          <w:sz w:val="21"/>
          <w:szCs w:val="20"/>
        </w:rPr>
        <w:t xml:space="preserve">Figure S25: </w:t>
      </w:r>
      <w:r>
        <w:rPr>
          <w:rFonts w:cs="Times New Roman"/>
          <w:sz w:val="21"/>
          <w:szCs w:val="20"/>
        </w:rPr>
        <w:t>Photograph of the fabricated SC-TGC stack and a schematic diagram of the stack connection.</w:t>
      </w:r>
    </w:p>
    <w:p w14:paraId="6F9D8812" w14:textId="77777777" w:rsidR="003C50E1" w:rsidRDefault="00F32BF9">
      <w:pPr>
        <w:widowControl/>
        <w:spacing w:line="240" w:lineRule="auto"/>
        <w:jc w:val="left"/>
        <w:rPr>
          <w:rFonts w:cs="Times New Roman"/>
          <w:b/>
          <w:bCs/>
        </w:rPr>
      </w:pPr>
      <w:r>
        <w:rPr>
          <w:rFonts w:cs="Times New Roman"/>
          <w:b/>
          <w:bCs/>
        </w:rPr>
        <w:br w:type="page"/>
      </w:r>
    </w:p>
    <w:p w14:paraId="097A10A1" w14:textId="77777777" w:rsidR="003C50E1" w:rsidRDefault="00F32BF9">
      <w:pPr>
        <w:pStyle w:val="1"/>
        <w:spacing w:line="360" w:lineRule="auto"/>
        <w:rPr>
          <w:rFonts w:ascii="Times New Roman" w:eastAsia="宋体" w:hAnsi="Times New Roman" w:cs="Times New Roman"/>
          <w:sz w:val="24"/>
          <w:szCs w:val="24"/>
        </w:rPr>
      </w:pPr>
      <w:bookmarkStart w:id="10" w:name="_Toc172305013"/>
      <w:r>
        <w:rPr>
          <w:rFonts w:ascii="Times New Roman" w:eastAsia="宋体" w:hAnsi="Times New Roman" w:cs="Times New Roman"/>
          <w:sz w:val="24"/>
          <w:szCs w:val="24"/>
        </w:rPr>
        <w:lastRenderedPageBreak/>
        <w:t>Supplementary Tables S1-S</w:t>
      </w:r>
      <w:bookmarkEnd w:id="10"/>
      <w:r>
        <w:rPr>
          <w:rFonts w:ascii="Times New Roman" w:eastAsia="宋体" w:hAnsi="Times New Roman" w:cs="Times New Roman"/>
          <w:sz w:val="24"/>
          <w:szCs w:val="24"/>
        </w:rPr>
        <w:t>5</w:t>
      </w:r>
    </w:p>
    <w:p w14:paraId="2ADCAE28" w14:textId="77777777" w:rsidR="003C50E1" w:rsidRDefault="00F32BF9">
      <w:pPr>
        <w:widowControl/>
        <w:spacing w:line="360" w:lineRule="auto"/>
        <w:jc w:val="left"/>
        <w:rPr>
          <w:rFonts w:cs="Times New Roman"/>
        </w:rPr>
      </w:pPr>
      <w:r>
        <w:rPr>
          <w:rFonts w:cs="Times New Roman"/>
          <w:b/>
          <w:bCs/>
        </w:rPr>
        <w:t xml:space="preserve">Table S1: </w:t>
      </w:r>
      <w:r>
        <w:rPr>
          <w:rFonts w:cs="Times New Roman"/>
        </w:rPr>
        <w:t>ICP-OES instrument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3402"/>
      </w:tblGrid>
      <w:tr w:rsidR="003C50E1" w14:paraId="05B50314" w14:textId="77777777">
        <w:tc>
          <w:tcPr>
            <w:tcW w:w="4820" w:type="dxa"/>
            <w:tcBorders>
              <w:top w:val="single" w:sz="12" w:space="0" w:color="auto"/>
              <w:left w:val="nil"/>
              <w:bottom w:val="single" w:sz="6" w:space="0" w:color="auto"/>
              <w:right w:val="nil"/>
            </w:tcBorders>
            <w:shd w:val="clear" w:color="auto" w:fill="auto"/>
          </w:tcPr>
          <w:p w14:paraId="6F11FAD0" w14:textId="77777777" w:rsidR="003C50E1" w:rsidRDefault="00F32BF9">
            <w:pPr>
              <w:spacing w:line="360" w:lineRule="auto"/>
              <w:jc w:val="center"/>
              <w:rPr>
                <w:rFonts w:cs="Times New Roman"/>
                <w:color w:val="000000" w:themeColor="text1"/>
                <w:szCs w:val="21"/>
              </w:rPr>
            </w:pPr>
            <w:r>
              <w:rPr>
                <w:rFonts w:cs="Times New Roman"/>
              </w:rPr>
              <w:t>Instrument parameter</w:t>
            </w:r>
          </w:p>
        </w:tc>
        <w:tc>
          <w:tcPr>
            <w:tcW w:w="3402" w:type="dxa"/>
            <w:tcBorders>
              <w:top w:val="single" w:sz="12" w:space="0" w:color="auto"/>
              <w:left w:val="nil"/>
              <w:bottom w:val="single" w:sz="6" w:space="0" w:color="auto"/>
              <w:right w:val="nil"/>
            </w:tcBorders>
            <w:shd w:val="clear" w:color="auto" w:fill="auto"/>
          </w:tcPr>
          <w:p w14:paraId="1FCFE5F1" w14:textId="77777777" w:rsidR="003C50E1" w:rsidRDefault="00F32BF9">
            <w:pPr>
              <w:spacing w:line="360" w:lineRule="auto"/>
              <w:jc w:val="center"/>
              <w:rPr>
                <w:rFonts w:cs="Times New Roman"/>
                <w:color w:val="000000" w:themeColor="text1"/>
                <w:szCs w:val="21"/>
              </w:rPr>
            </w:pPr>
            <w:r>
              <w:rPr>
                <w:rFonts w:cs="Times New Roman"/>
                <w:color w:val="000000" w:themeColor="text1"/>
                <w:szCs w:val="21"/>
              </w:rPr>
              <w:t>Value</w:t>
            </w:r>
          </w:p>
        </w:tc>
      </w:tr>
      <w:tr w:rsidR="003C50E1" w14:paraId="0A3D2094" w14:textId="77777777">
        <w:tc>
          <w:tcPr>
            <w:tcW w:w="4820" w:type="dxa"/>
            <w:tcBorders>
              <w:top w:val="single" w:sz="6" w:space="0" w:color="auto"/>
              <w:left w:val="nil"/>
              <w:bottom w:val="nil"/>
              <w:right w:val="nil"/>
            </w:tcBorders>
            <w:shd w:val="clear" w:color="auto" w:fill="auto"/>
            <w:vAlign w:val="center"/>
          </w:tcPr>
          <w:p w14:paraId="0C43D668"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RF Powe</w:t>
            </w:r>
          </w:p>
        </w:tc>
        <w:tc>
          <w:tcPr>
            <w:tcW w:w="3402" w:type="dxa"/>
            <w:tcBorders>
              <w:top w:val="single" w:sz="6" w:space="0" w:color="auto"/>
              <w:left w:val="nil"/>
              <w:bottom w:val="nil"/>
              <w:right w:val="nil"/>
            </w:tcBorders>
            <w:shd w:val="clear" w:color="auto" w:fill="auto"/>
            <w:vAlign w:val="center"/>
          </w:tcPr>
          <w:p w14:paraId="218519D7"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1.20 KW</w:t>
            </w:r>
          </w:p>
        </w:tc>
      </w:tr>
      <w:tr w:rsidR="003C50E1" w14:paraId="28EB6D18" w14:textId="77777777">
        <w:tc>
          <w:tcPr>
            <w:tcW w:w="4820" w:type="dxa"/>
            <w:tcBorders>
              <w:top w:val="nil"/>
              <w:left w:val="nil"/>
              <w:bottom w:val="nil"/>
              <w:right w:val="nil"/>
            </w:tcBorders>
            <w:shd w:val="clear" w:color="auto" w:fill="auto"/>
            <w:vAlign w:val="center"/>
          </w:tcPr>
          <w:p w14:paraId="66178E94" w14:textId="77777777" w:rsidR="003C50E1" w:rsidRDefault="00F32BF9">
            <w:pPr>
              <w:spacing w:line="360" w:lineRule="auto"/>
              <w:jc w:val="center"/>
              <w:rPr>
                <w:rFonts w:cs="Times New Roman"/>
                <w:color w:val="000000" w:themeColor="text1"/>
                <w:szCs w:val="21"/>
              </w:rPr>
            </w:pPr>
            <w:proofErr w:type="spellStart"/>
            <w:r>
              <w:rPr>
                <w:rFonts w:cs="Times New Roman"/>
                <w:color w:val="000000"/>
                <w:kern w:val="0"/>
                <w:sz w:val="21"/>
                <w:szCs w:val="21"/>
              </w:rPr>
              <w:t>Plsama</w:t>
            </w:r>
            <w:proofErr w:type="spellEnd"/>
            <w:r>
              <w:rPr>
                <w:rFonts w:cs="Times New Roman"/>
                <w:color w:val="000000"/>
                <w:kern w:val="0"/>
                <w:sz w:val="21"/>
                <w:szCs w:val="21"/>
              </w:rPr>
              <w:t xml:space="preserve"> flow</w:t>
            </w:r>
          </w:p>
        </w:tc>
        <w:tc>
          <w:tcPr>
            <w:tcW w:w="3402" w:type="dxa"/>
            <w:tcBorders>
              <w:top w:val="nil"/>
              <w:left w:val="nil"/>
              <w:bottom w:val="nil"/>
              <w:right w:val="nil"/>
            </w:tcBorders>
            <w:shd w:val="clear" w:color="auto" w:fill="auto"/>
            <w:vAlign w:val="center"/>
          </w:tcPr>
          <w:p w14:paraId="30C5A22D"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15.0 L/min</w:t>
            </w:r>
          </w:p>
        </w:tc>
      </w:tr>
      <w:tr w:rsidR="003C50E1" w14:paraId="1146A8D4" w14:textId="77777777">
        <w:tc>
          <w:tcPr>
            <w:tcW w:w="4820" w:type="dxa"/>
            <w:tcBorders>
              <w:top w:val="nil"/>
              <w:left w:val="nil"/>
              <w:bottom w:val="nil"/>
              <w:right w:val="nil"/>
            </w:tcBorders>
            <w:shd w:val="clear" w:color="auto" w:fill="auto"/>
            <w:vAlign w:val="center"/>
          </w:tcPr>
          <w:p w14:paraId="6AC4F5E7"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Auxiliary flow</w:t>
            </w:r>
          </w:p>
        </w:tc>
        <w:tc>
          <w:tcPr>
            <w:tcW w:w="3402" w:type="dxa"/>
            <w:tcBorders>
              <w:top w:val="nil"/>
              <w:left w:val="nil"/>
              <w:bottom w:val="nil"/>
              <w:right w:val="nil"/>
            </w:tcBorders>
            <w:shd w:val="clear" w:color="auto" w:fill="auto"/>
            <w:vAlign w:val="center"/>
          </w:tcPr>
          <w:p w14:paraId="211A8400"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1.50 L/min</w:t>
            </w:r>
          </w:p>
        </w:tc>
      </w:tr>
      <w:tr w:rsidR="003C50E1" w14:paraId="5C5174A2" w14:textId="77777777">
        <w:tc>
          <w:tcPr>
            <w:tcW w:w="4820" w:type="dxa"/>
            <w:tcBorders>
              <w:top w:val="nil"/>
              <w:left w:val="nil"/>
              <w:bottom w:val="nil"/>
              <w:right w:val="nil"/>
            </w:tcBorders>
            <w:shd w:val="clear" w:color="auto" w:fill="auto"/>
            <w:vAlign w:val="center"/>
          </w:tcPr>
          <w:p w14:paraId="5EC782AA"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Nebulizer flow</w:t>
            </w:r>
          </w:p>
        </w:tc>
        <w:tc>
          <w:tcPr>
            <w:tcW w:w="3402" w:type="dxa"/>
            <w:tcBorders>
              <w:top w:val="nil"/>
              <w:left w:val="nil"/>
              <w:bottom w:val="nil"/>
              <w:right w:val="nil"/>
            </w:tcBorders>
            <w:shd w:val="clear" w:color="auto" w:fill="auto"/>
            <w:vAlign w:val="center"/>
          </w:tcPr>
          <w:p w14:paraId="26EC8FB2"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0.75 L/min</w:t>
            </w:r>
          </w:p>
        </w:tc>
      </w:tr>
      <w:tr w:rsidR="003C50E1" w14:paraId="25A405F1" w14:textId="77777777">
        <w:tc>
          <w:tcPr>
            <w:tcW w:w="4820" w:type="dxa"/>
            <w:tcBorders>
              <w:top w:val="nil"/>
              <w:left w:val="nil"/>
              <w:bottom w:val="nil"/>
              <w:right w:val="nil"/>
            </w:tcBorders>
            <w:shd w:val="clear" w:color="auto" w:fill="auto"/>
            <w:vAlign w:val="center"/>
          </w:tcPr>
          <w:p w14:paraId="3BF443F1"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Sample uptake delay</w:t>
            </w:r>
          </w:p>
        </w:tc>
        <w:tc>
          <w:tcPr>
            <w:tcW w:w="3402" w:type="dxa"/>
            <w:tcBorders>
              <w:top w:val="nil"/>
              <w:left w:val="nil"/>
              <w:bottom w:val="nil"/>
              <w:right w:val="nil"/>
            </w:tcBorders>
            <w:shd w:val="clear" w:color="auto" w:fill="auto"/>
            <w:vAlign w:val="center"/>
          </w:tcPr>
          <w:p w14:paraId="24DF4D45"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15s</w:t>
            </w:r>
          </w:p>
        </w:tc>
      </w:tr>
      <w:tr w:rsidR="003C50E1" w14:paraId="0E40EBCF" w14:textId="77777777">
        <w:tc>
          <w:tcPr>
            <w:tcW w:w="4820" w:type="dxa"/>
            <w:tcBorders>
              <w:top w:val="nil"/>
              <w:left w:val="nil"/>
              <w:bottom w:val="nil"/>
              <w:right w:val="nil"/>
            </w:tcBorders>
            <w:shd w:val="clear" w:color="auto" w:fill="auto"/>
            <w:vAlign w:val="center"/>
          </w:tcPr>
          <w:p w14:paraId="2084B908" w14:textId="77777777" w:rsidR="003C50E1" w:rsidRDefault="00F32BF9">
            <w:pPr>
              <w:spacing w:line="360" w:lineRule="auto"/>
              <w:jc w:val="center"/>
              <w:rPr>
                <w:rFonts w:cs="Times New Roman"/>
                <w:color w:val="000000"/>
                <w:kern w:val="0"/>
                <w:sz w:val="22"/>
              </w:rPr>
            </w:pPr>
            <w:proofErr w:type="spellStart"/>
            <w:r>
              <w:rPr>
                <w:rFonts w:cs="Times New Roman"/>
                <w:color w:val="000000"/>
                <w:kern w:val="0"/>
                <w:sz w:val="22"/>
              </w:rPr>
              <w:t>Instr</w:t>
            </w:r>
            <w:proofErr w:type="spellEnd"/>
            <w:r>
              <w:rPr>
                <w:rFonts w:cs="Times New Roman"/>
                <w:color w:val="000000"/>
                <w:kern w:val="0"/>
                <w:sz w:val="22"/>
              </w:rPr>
              <w:t xml:space="preserve"> </w:t>
            </w:r>
            <w:proofErr w:type="spellStart"/>
            <w:r>
              <w:rPr>
                <w:rFonts w:cs="Times New Roman"/>
                <w:color w:val="000000"/>
                <w:kern w:val="0"/>
                <w:sz w:val="22"/>
              </w:rPr>
              <w:t>stabilizaton</w:t>
            </w:r>
            <w:proofErr w:type="spellEnd"/>
            <w:r>
              <w:rPr>
                <w:rFonts w:cs="Times New Roman"/>
                <w:color w:val="000000"/>
                <w:kern w:val="0"/>
                <w:sz w:val="22"/>
              </w:rPr>
              <w:t xml:space="preserve"> delay</w:t>
            </w:r>
          </w:p>
        </w:tc>
        <w:tc>
          <w:tcPr>
            <w:tcW w:w="3402" w:type="dxa"/>
            <w:tcBorders>
              <w:top w:val="nil"/>
              <w:left w:val="nil"/>
              <w:bottom w:val="nil"/>
              <w:right w:val="nil"/>
            </w:tcBorders>
            <w:shd w:val="clear" w:color="auto" w:fill="auto"/>
            <w:vAlign w:val="center"/>
          </w:tcPr>
          <w:p w14:paraId="1EBB3084" w14:textId="77777777" w:rsidR="003C50E1" w:rsidRDefault="00F32BF9">
            <w:pPr>
              <w:spacing w:line="360" w:lineRule="auto"/>
              <w:jc w:val="center"/>
              <w:rPr>
                <w:rFonts w:cs="Times New Roman"/>
                <w:color w:val="000000"/>
                <w:kern w:val="0"/>
                <w:sz w:val="22"/>
              </w:rPr>
            </w:pPr>
            <w:r>
              <w:rPr>
                <w:rFonts w:cs="Times New Roman"/>
                <w:color w:val="000000"/>
                <w:kern w:val="0"/>
                <w:sz w:val="22"/>
              </w:rPr>
              <w:t>15s</w:t>
            </w:r>
          </w:p>
        </w:tc>
      </w:tr>
      <w:tr w:rsidR="003C50E1" w14:paraId="198755EA" w14:textId="77777777">
        <w:tc>
          <w:tcPr>
            <w:tcW w:w="4820" w:type="dxa"/>
            <w:tcBorders>
              <w:top w:val="nil"/>
              <w:left w:val="nil"/>
              <w:bottom w:val="nil"/>
              <w:right w:val="nil"/>
            </w:tcBorders>
            <w:shd w:val="clear" w:color="auto" w:fill="auto"/>
            <w:vAlign w:val="center"/>
          </w:tcPr>
          <w:p w14:paraId="6BA30BFC" w14:textId="77777777" w:rsidR="003C50E1" w:rsidRDefault="00F32BF9">
            <w:pPr>
              <w:spacing w:line="360" w:lineRule="auto"/>
              <w:jc w:val="center"/>
              <w:rPr>
                <w:rFonts w:cs="Times New Roman"/>
                <w:color w:val="000000"/>
                <w:kern w:val="0"/>
                <w:sz w:val="22"/>
              </w:rPr>
            </w:pPr>
            <w:r>
              <w:rPr>
                <w:rFonts w:cs="Times New Roman"/>
                <w:color w:val="000000"/>
                <w:kern w:val="0"/>
                <w:sz w:val="21"/>
                <w:szCs w:val="21"/>
              </w:rPr>
              <w:t>Replicate read time</w:t>
            </w:r>
          </w:p>
        </w:tc>
        <w:tc>
          <w:tcPr>
            <w:tcW w:w="3402" w:type="dxa"/>
            <w:tcBorders>
              <w:top w:val="nil"/>
              <w:left w:val="nil"/>
              <w:bottom w:val="nil"/>
              <w:right w:val="nil"/>
            </w:tcBorders>
            <w:shd w:val="clear" w:color="auto" w:fill="auto"/>
            <w:vAlign w:val="center"/>
          </w:tcPr>
          <w:p w14:paraId="690FADB1" w14:textId="77777777" w:rsidR="003C50E1" w:rsidRDefault="00F32BF9">
            <w:pPr>
              <w:spacing w:line="360" w:lineRule="auto"/>
              <w:jc w:val="center"/>
              <w:rPr>
                <w:rFonts w:cs="Times New Roman"/>
                <w:color w:val="000000"/>
                <w:kern w:val="0"/>
                <w:sz w:val="22"/>
              </w:rPr>
            </w:pPr>
            <w:r>
              <w:rPr>
                <w:rFonts w:cs="Times New Roman"/>
                <w:color w:val="000000"/>
                <w:kern w:val="0"/>
                <w:sz w:val="21"/>
                <w:szCs w:val="21"/>
              </w:rPr>
              <w:t>2s</w:t>
            </w:r>
          </w:p>
        </w:tc>
      </w:tr>
      <w:tr w:rsidR="003C50E1" w14:paraId="3599C73E" w14:textId="77777777">
        <w:tc>
          <w:tcPr>
            <w:tcW w:w="4820" w:type="dxa"/>
            <w:tcBorders>
              <w:top w:val="nil"/>
              <w:left w:val="nil"/>
              <w:bottom w:val="single" w:sz="12" w:space="0" w:color="auto"/>
              <w:right w:val="nil"/>
            </w:tcBorders>
            <w:shd w:val="clear" w:color="auto" w:fill="auto"/>
            <w:vAlign w:val="center"/>
          </w:tcPr>
          <w:p w14:paraId="77F7BA16"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Replicates</w:t>
            </w:r>
          </w:p>
        </w:tc>
        <w:tc>
          <w:tcPr>
            <w:tcW w:w="3402" w:type="dxa"/>
            <w:tcBorders>
              <w:top w:val="nil"/>
              <w:left w:val="nil"/>
              <w:bottom w:val="single" w:sz="12" w:space="0" w:color="auto"/>
              <w:right w:val="nil"/>
            </w:tcBorders>
            <w:shd w:val="clear" w:color="auto" w:fill="auto"/>
            <w:vAlign w:val="center"/>
          </w:tcPr>
          <w:p w14:paraId="75AAD427"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3 times</w:t>
            </w:r>
          </w:p>
        </w:tc>
      </w:tr>
    </w:tbl>
    <w:p w14:paraId="677D5EBA" w14:textId="77777777" w:rsidR="003C50E1" w:rsidRDefault="003C50E1">
      <w:pPr>
        <w:widowControl/>
        <w:spacing w:line="360" w:lineRule="auto"/>
        <w:jc w:val="left"/>
        <w:rPr>
          <w:rFonts w:cs="Times New Roman"/>
        </w:rPr>
      </w:pPr>
    </w:p>
    <w:p w14:paraId="4FA7F12B" w14:textId="77777777" w:rsidR="003C50E1" w:rsidRDefault="00F32BF9">
      <w:pPr>
        <w:widowControl/>
        <w:spacing w:line="360" w:lineRule="auto"/>
        <w:jc w:val="left"/>
        <w:rPr>
          <w:rFonts w:cs="Times New Roman"/>
        </w:rPr>
      </w:pPr>
      <w:r>
        <w:rPr>
          <w:rFonts w:cs="Times New Roman"/>
        </w:rPr>
        <w:br w:type="page"/>
      </w:r>
    </w:p>
    <w:p w14:paraId="78DBD22A" w14:textId="77777777" w:rsidR="003C50E1" w:rsidRDefault="00F32BF9">
      <w:pPr>
        <w:widowControl/>
        <w:spacing w:line="360" w:lineRule="auto"/>
        <w:jc w:val="left"/>
        <w:rPr>
          <w:rFonts w:cs="Times New Roman"/>
          <w:b/>
          <w:bCs/>
        </w:rPr>
      </w:pPr>
      <w:r>
        <w:rPr>
          <w:rFonts w:cs="Times New Roman"/>
          <w:b/>
          <w:bCs/>
        </w:rPr>
        <w:lastRenderedPageBreak/>
        <w:t xml:space="preserve">Table S2: </w:t>
      </w:r>
      <w:r>
        <w:rPr>
          <w:rFonts w:cs="Times New Roman"/>
        </w:rPr>
        <w:t>IC instrument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3402"/>
      </w:tblGrid>
      <w:tr w:rsidR="003C50E1" w14:paraId="4FD2149D" w14:textId="77777777">
        <w:tc>
          <w:tcPr>
            <w:tcW w:w="4820" w:type="dxa"/>
            <w:tcBorders>
              <w:top w:val="single" w:sz="12" w:space="0" w:color="auto"/>
              <w:left w:val="nil"/>
              <w:bottom w:val="single" w:sz="6" w:space="0" w:color="auto"/>
              <w:right w:val="nil"/>
            </w:tcBorders>
            <w:shd w:val="clear" w:color="auto" w:fill="auto"/>
          </w:tcPr>
          <w:p w14:paraId="241A8368" w14:textId="77777777" w:rsidR="003C50E1" w:rsidRDefault="00F32BF9">
            <w:pPr>
              <w:spacing w:line="360" w:lineRule="auto"/>
              <w:jc w:val="center"/>
              <w:rPr>
                <w:rFonts w:cs="Times New Roman"/>
                <w:color w:val="000000" w:themeColor="text1"/>
                <w:szCs w:val="21"/>
              </w:rPr>
            </w:pPr>
            <w:r>
              <w:rPr>
                <w:rFonts w:cs="Times New Roman"/>
              </w:rPr>
              <w:t>Instrument parameter</w:t>
            </w:r>
          </w:p>
        </w:tc>
        <w:tc>
          <w:tcPr>
            <w:tcW w:w="3402" w:type="dxa"/>
            <w:tcBorders>
              <w:top w:val="single" w:sz="12" w:space="0" w:color="auto"/>
              <w:left w:val="nil"/>
              <w:bottom w:val="single" w:sz="6" w:space="0" w:color="auto"/>
              <w:right w:val="nil"/>
            </w:tcBorders>
            <w:shd w:val="clear" w:color="auto" w:fill="auto"/>
          </w:tcPr>
          <w:p w14:paraId="282FE0DC" w14:textId="77777777" w:rsidR="003C50E1" w:rsidRDefault="00F32BF9">
            <w:pPr>
              <w:spacing w:line="360" w:lineRule="auto"/>
              <w:jc w:val="center"/>
              <w:rPr>
                <w:rFonts w:cs="Times New Roman"/>
                <w:color w:val="000000" w:themeColor="text1"/>
                <w:szCs w:val="21"/>
              </w:rPr>
            </w:pPr>
            <w:r>
              <w:rPr>
                <w:rFonts w:cs="Times New Roman"/>
                <w:color w:val="000000" w:themeColor="text1"/>
                <w:szCs w:val="21"/>
              </w:rPr>
              <w:t>Value</w:t>
            </w:r>
          </w:p>
        </w:tc>
      </w:tr>
      <w:tr w:rsidR="003C50E1" w14:paraId="40EBAD88" w14:textId="77777777">
        <w:tc>
          <w:tcPr>
            <w:tcW w:w="4820" w:type="dxa"/>
            <w:tcBorders>
              <w:top w:val="single" w:sz="6" w:space="0" w:color="auto"/>
              <w:left w:val="nil"/>
              <w:bottom w:val="nil"/>
              <w:right w:val="nil"/>
            </w:tcBorders>
            <w:shd w:val="clear" w:color="auto" w:fill="auto"/>
            <w:vAlign w:val="center"/>
          </w:tcPr>
          <w:p w14:paraId="496DA9D2"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Mobile phase</w:t>
            </w:r>
          </w:p>
        </w:tc>
        <w:tc>
          <w:tcPr>
            <w:tcW w:w="3402" w:type="dxa"/>
            <w:tcBorders>
              <w:top w:val="single" w:sz="6" w:space="0" w:color="auto"/>
              <w:left w:val="nil"/>
              <w:bottom w:val="nil"/>
              <w:right w:val="nil"/>
            </w:tcBorders>
            <w:shd w:val="clear" w:color="auto" w:fill="auto"/>
            <w:vAlign w:val="center"/>
          </w:tcPr>
          <w:p w14:paraId="0F18AE84"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20mmol/L KOH</w:t>
            </w:r>
          </w:p>
        </w:tc>
      </w:tr>
      <w:tr w:rsidR="003C50E1" w14:paraId="778F5834" w14:textId="77777777">
        <w:tc>
          <w:tcPr>
            <w:tcW w:w="4820" w:type="dxa"/>
            <w:tcBorders>
              <w:top w:val="nil"/>
              <w:left w:val="nil"/>
              <w:bottom w:val="nil"/>
              <w:right w:val="nil"/>
            </w:tcBorders>
            <w:shd w:val="clear" w:color="auto" w:fill="auto"/>
            <w:vAlign w:val="center"/>
          </w:tcPr>
          <w:p w14:paraId="2C6D215C"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Flow rate of mobile phase</w:t>
            </w:r>
          </w:p>
        </w:tc>
        <w:tc>
          <w:tcPr>
            <w:tcW w:w="3402" w:type="dxa"/>
            <w:tcBorders>
              <w:top w:val="nil"/>
              <w:left w:val="nil"/>
              <w:bottom w:val="nil"/>
              <w:right w:val="nil"/>
            </w:tcBorders>
            <w:shd w:val="clear" w:color="auto" w:fill="auto"/>
            <w:vAlign w:val="center"/>
          </w:tcPr>
          <w:p w14:paraId="71A58FEC"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1.0mL/min</w:t>
            </w:r>
          </w:p>
        </w:tc>
      </w:tr>
      <w:tr w:rsidR="003C50E1" w14:paraId="58F293D3" w14:textId="77777777">
        <w:tc>
          <w:tcPr>
            <w:tcW w:w="4820" w:type="dxa"/>
            <w:tcBorders>
              <w:top w:val="nil"/>
              <w:left w:val="nil"/>
              <w:bottom w:val="nil"/>
              <w:right w:val="nil"/>
            </w:tcBorders>
            <w:shd w:val="clear" w:color="auto" w:fill="auto"/>
            <w:vAlign w:val="center"/>
          </w:tcPr>
          <w:p w14:paraId="5137AC50"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Column type</w:t>
            </w:r>
          </w:p>
        </w:tc>
        <w:tc>
          <w:tcPr>
            <w:tcW w:w="3402" w:type="dxa"/>
            <w:tcBorders>
              <w:top w:val="nil"/>
              <w:left w:val="nil"/>
              <w:bottom w:val="nil"/>
              <w:right w:val="nil"/>
            </w:tcBorders>
            <w:shd w:val="clear" w:color="auto" w:fill="auto"/>
            <w:vAlign w:val="center"/>
          </w:tcPr>
          <w:p w14:paraId="5FDA68C7"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AS19 4mm*250mm</w:t>
            </w:r>
          </w:p>
        </w:tc>
      </w:tr>
      <w:tr w:rsidR="003C50E1" w14:paraId="40C29609" w14:textId="77777777">
        <w:tc>
          <w:tcPr>
            <w:tcW w:w="4820" w:type="dxa"/>
            <w:tcBorders>
              <w:top w:val="nil"/>
              <w:left w:val="nil"/>
              <w:bottom w:val="nil"/>
              <w:right w:val="nil"/>
            </w:tcBorders>
            <w:shd w:val="clear" w:color="auto" w:fill="auto"/>
            <w:vAlign w:val="center"/>
          </w:tcPr>
          <w:p w14:paraId="6D1DF751"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Column temperature box temperature</w:t>
            </w:r>
          </w:p>
        </w:tc>
        <w:tc>
          <w:tcPr>
            <w:tcW w:w="3402" w:type="dxa"/>
            <w:tcBorders>
              <w:top w:val="nil"/>
              <w:left w:val="nil"/>
              <w:bottom w:val="nil"/>
              <w:right w:val="nil"/>
            </w:tcBorders>
            <w:shd w:val="clear" w:color="auto" w:fill="auto"/>
            <w:vAlign w:val="center"/>
          </w:tcPr>
          <w:p w14:paraId="31A5CD52"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30℃</w:t>
            </w:r>
          </w:p>
        </w:tc>
      </w:tr>
      <w:tr w:rsidR="003C50E1" w14:paraId="26CF80E7" w14:textId="77777777">
        <w:tc>
          <w:tcPr>
            <w:tcW w:w="4820" w:type="dxa"/>
            <w:tcBorders>
              <w:top w:val="nil"/>
              <w:left w:val="nil"/>
              <w:bottom w:val="single" w:sz="12" w:space="0" w:color="auto"/>
              <w:right w:val="nil"/>
            </w:tcBorders>
            <w:shd w:val="clear" w:color="auto" w:fill="auto"/>
            <w:vAlign w:val="center"/>
          </w:tcPr>
          <w:p w14:paraId="0402A98B"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Suppression current</w:t>
            </w:r>
          </w:p>
        </w:tc>
        <w:tc>
          <w:tcPr>
            <w:tcW w:w="3402" w:type="dxa"/>
            <w:tcBorders>
              <w:top w:val="nil"/>
              <w:left w:val="nil"/>
              <w:bottom w:val="single" w:sz="12" w:space="0" w:color="auto"/>
              <w:right w:val="nil"/>
            </w:tcBorders>
            <w:shd w:val="clear" w:color="auto" w:fill="auto"/>
            <w:vAlign w:val="center"/>
          </w:tcPr>
          <w:p w14:paraId="752EFDE7"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50mA</w:t>
            </w:r>
          </w:p>
        </w:tc>
      </w:tr>
    </w:tbl>
    <w:p w14:paraId="0190ECAC" w14:textId="77777777" w:rsidR="003C50E1" w:rsidRDefault="003C50E1">
      <w:pPr>
        <w:spacing w:line="360" w:lineRule="auto"/>
        <w:rPr>
          <w:rFonts w:cs="Times New Roman"/>
        </w:rPr>
      </w:pPr>
    </w:p>
    <w:p w14:paraId="2FD4324A" w14:textId="77777777" w:rsidR="003C50E1" w:rsidRDefault="00F32BF9">
      <w:pPr>
        <w:widowControl/>
        <w:spacing w:line="360" w:lineRule="auto"/>
        <w:jc w:val="left"/>
        <w:rPr>
          <w:rFonts w:cs="Times New Roman"/>
        </w:rPr>
      </w:pPr>
      <w:r>
        <w:rPr>
          <w:rFonts w:cs="Times New Roman"/>
        </w:rPr>
        <w:br w:type="page"/>
      </w:r>
    </w:p>
    <w:p w14:paraId="7A9A1660" w14:textId="77777777" w:rsidR="003C50E1" w:rsidRDefault="00F32BF9">
      <w:pPr>
        <w:widowControl/>
        <w:spacing w:line="360" w:lineRule="auto"/>
        <w:jc w:val="left"/>
        <w:rPr>
          <w:rFonts w:cs="Times New Roman"/>
          <w:b/>
          <w:bCs/>
        </w:rPr>
      </w:pPr>
      <w:r>
        <w:rPr>
          <w:rFonts w:cs="Times New Roman"/>
          <w:b/>
          <w:bCs/>
        </w:rPr>
        <w:lastRenderedPageBreak/>
        <w:t xml:space="preserve">Table S3: </w:t>
      </w:r>
      <w:r>
        <w:rPr>
          <w:rFonts w:cs="Times New Roman"/>
        </w:rPr>
        <w:t>Rates of various processes/components during the reaction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402"/>
        <w:gridCol w:w="2777"/>
      </w:tblGrid>
      <w:tr w:rsidR="003C50E1" w14:paraId="35790F8D" w14:textId="77777777">
        <w:tc>
          <w:tcPr>
            <w:tcW w:w="2127" w:type="dxa"/>
            <w:tcBorders>
              <w:top w:val="single" w:sz="12" w:space="0" w:color="auto"/>
              <w:left w:val="nil"/>
              <w:bottom w:val="single" w:sz="6" w:space="0" w:color="auto"/>
              <w:right w:val="nil"/>
            </w:tcBorders>
          </w:tcPr>
          <w:p w14:paraId="04594FE3" w14:textId="77777777" w:rsidR="003C50E1" w:rsidRDefault="003C50E1">
            <w:pPr>
              <w:spacing w:line="360" w:lineRule="auto"/>
              <w:jc w:val="center"/>
              <w:rPr>
                <w:rFonts w:cs="Times New Roman"/>
              </w:rPr>
            </w:pPr>
          </w:p>
        </w:tc>
        <w:tc>
          <w:tcPr>
            <w:tcW w:w="3402" w:type="dxa"/>
            <w:tcBorders>
              <w:top w:val="single" w:sz="12" w:space="0" w:color="auto"/>
              <w:left w:val="nil"/>
              <w:bottom w:val="single" w:sz="6" w:space="0" w:color="auto"/>
              <w:right w:val="nil"/>
            </w:tcBorders>
            <w:shd w:val="clear" w:color="auto" w:fill="auto"/>
          </w:tcPr>
          <w:p w14:paraId="715A5BA7" w14:textId="77777777" w:rsidR="003C50E1" w:rsidRDefault="00F32BF9">
            <w:pPr>
              <w:spacing w:line="360" w:lineRule="auto"/>
              <w:jc w:val="center"/>
              <w:rPr>
                <w:rFonts w:cs="Times New Roman"/>
                <w:color w:val="000000" w:themeColor="text1"/>
                <w:szCs w:val="21"/>
              </w:rPr>
            </w:pPr>
            <w:r>
              <w:rPr>
                <w:rFonts w:cs="Times New Roman"/>
              </w:rPr>
              <w:t>Reaction process</w:t>
            </w:r>
          </w:p>
        </w:tc>
        <w:tc>
          <w:tcPr>
            <w:tcW w:w="2777" w:type="dxa"/>
            <w:tcBorders>
              <w:top w:val="single" w:sz="12" w:space="0" w:color="auto"/>
              <w:left w:val="nil"/>
              <w:bottom w:val="single" w:sz="6" w:space="0" w:color="auto"/>
              <w:right w:val="nil"/>
            </w:tcBorders>
            <w:shd w:val="clear" w:color="auto" w:fill="auto"/>
          </w:tcPr>
          <w:p w14:paraId="327B0B9B" w14:textId="77777777" w:rsidR="003C50E1" w:rsidRDefault="00F32BF9">
            <w:pPr>
              <w:spacing w:line="360" w:lineRule="auto"/>
              <w:jc w:val="center"/>
              <w:rPr>
                <w:rFonts w:cs="Times New Roman"/>
                <w:color w:val="000000" w:themeColor="text1"/>
                <w:szCs w:val="21"/>
              </w:rPr>
            </w:pPr>
            <w:r>
              <w:rPr>
                <w:rFonts w:cs="Times New Roman"/>
                <w:color w:val="000000" w:themeColor="text1"/>
                <w:szCs w:val="21"/>
              </w:rPr>
              <w:t>Rate (× 10</w:t>
            </w:r>
            <w:r>
              <w:rPr>
                <w:rFonts w:cs="Times New Roman"/>
                <w:color w:val="000000" w:themeColor="text1"/>
                <w:szCs w:val="21"/>
                <w:vertAlign w:val="superscript"/>
              </w:rPr>
              <w:t>-7</w:t>
            </w:r>
            <w:r>
              <w:rPr>
                <w:rFonts w:cs="Times New Roman"/>
                <w:color w:val="000000" w:themeColor="text1"/>
                <w:szCs w:val="21"/>
              </w:rPr>
              <w:t xml:space="preserve"> / mol s</w:t>
            </w:r>
            <w:r>
              <w:rPr>
                <w:rFonts w:cs="Times New Roman"/>
                <w:color w:val="000000" w:themeColor="text1"/>
                <w:szCs w:val="21"/>
                <w:vertAlign w:val="superscript"/>
              </w:rPr>
              <w:t>-1</w:t>
            </w:r>
            <w:r>
              <w:rPr>
                <w:rFonts w:cs="Times New Roman"/>
                <w:color w:val="000000" w:themeColor="text1"/>
                <w:szCs w:val="21"/>
              </w:rPr>
              <w:t>)</w:t>
            </w:r>
          </w:p>
        </w:tc>
      </w:tr>
      <w:tr w:rsidR="003C50E1" w14:paraId="4878E760" w14:textId="77777777">
        <w:tc>
          <w:tcPr>
            <w:tcW w:w="2127" w:type="dxa"/>
            <w:vMerge w:val="restart"/>
            <w:tcBorders>
              <w:top w:val="single" w:sz="6" w:space="0" w:color="auto"/>
              <w:left w:val="nil"/>
              <w:right w:val="nil"/>
            </w:tcBorders>
            <w:shd w:val="clear" w:color="auto" w:fill="D9D9D9" w:themeFill="background1" w:themeFillShade="D9"/>
            <w:vAlign w:val="center"/>
          </w:tcPr>
          <w:p w14:paraId="005670B0"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TGC</w:t>
            </w:r>
          </w:p>
        </w:tc>
        <w:tc>
          <w:tcPr>
            <w:tcW w:w="3402" w:type="dxa"/>
            <w:tcBorders>
              <w:top w:val="single" w:sz="6" w:space="0" w:color="auto"/>
              <w:left w:val="nil"/>
              <w:bottom w:val="nil"/>
              <w:right w:val="nil"/>
            </w:tcBorders>
            <w:shd w:val="clear" w:color="auto" w:fill="D9D9D9" w:themeFill="background1" w:themeFillShade="D9"/>
            <w:vAlign w:val="center"/>
          </w:tcPr>
          <w:p w14:paraId="0F2DC8F6"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FeCN</w:t>
            </w:r>
            <w:r>
              <w:rPr>
                <w:rFonts w:cs="Times New Roman"/>
                <w:color w:val="000000"/>
                <w:kern w:val="0"/>
                <w:sz w:val="21"/>
                <w:szCs w:val="21"/>
                <w:vertAlign w:val="superscript"/>
              </w:rPr>
              <w:t>3-/4-</w:t>
            </w:r>
            <w:r>
              <w:rPr>
                <w:rFonts w:cs="Times New Roman"/>
                <w:color w:val="000000"/>
                <w:kern w:val="0"/>
                <w:sz w:val="21"/>
                <w:szCs w:val="21"/>
              </w:rPr>
              <w:t xml:space="preserve"> reaction </w:t>
            </w:r>
          </w:p>
        </w:tc>
        <w:tc>
          <w:tcPr>
            <w:tcW w:w="2777" w:type="dxa"/>
            <w:tcBorders>
              <w:top w:val="single" w:sz="6" w:space="0" w:color="auto"/>
              <w:left w:val="nil"/>
              <w:bottom w:val="nil"/>
              <w:right w:val="nil"/>
            </w:tcBorders>
            <w:shd w:val="clear" w:color="auto" w:fill="D9D9D9" w:themeFill="background1" w:themeFillShade="D9"/>
            <w:vAlign w:val="center"/>
          </w:tcPr>
          <w:p w14:paraId="6A83419C"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8.98E-6</w:t>
            </w:r>
          </w:p>
        </w:tc>
      </w:tr>
      <w:tr w:rsidR="003C50E1" w14:paraId="3FEF2E15" w14:textId="77777777">
        <w:tc>
          <w:tcPr>
            <w:tcW w:w="2127" w:type="dxa"/>
            <w:vMerge/>
            <w:tcBorders>
              <w:left w:val="nil"/>
              <w:bottom w:val="nil"/>
              <w:right w:val="nil"/>
            </w:tcBorders>
            <w:shd w:val="clear" w:color="auto" w:fill="D9D9D9" w:themeFill="background1" w:themeFillShade="D9"/>
            <w:vAlign w:val="center"/>
          </w:tcPr>
          <w:p w14:paraId="61513AE5"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D9D9D9" w:themeFill="background1" w:themeFillShade="D9"/>
            <w:vAlign w:val="center"/>
          </w:tcPr>
          <w:p w14:paraId="044D480D"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FeCN</w:t>
            </w:r>
            <w:r>
              <w:rPr>
                <w:rFonts w:cs="Times New Roman"/>
                <w:color w:val="000000"/>
                <w:kern w:val="0"/>
                <w:sz w:val="21"/>
                <w:szCs w:val="21"/>
                <w:vertAlign w:val="superscript"/>
              </w:rPr>
              <w:t>3-/4-</w:t>
            </w:r>
            <w:r>
              <w:rPr>
                <w:rFonts w:cs="Times New Roman"/>
                <w:color w:val="000000"/>
                <w:kern w:val="0"/>
                <w:sz w:val="21"/>
                <w:szCs w:val="21"/>
              </w:rPr>
              <w:t xml:space="preserve"> diffusion</w:t>
            </w:r>
          </w:p>
        </w:tc>
        <w:tc>
          <w:tcPr>
            <w:tcW w:w="2777" w:type="dxa"/>
            <w:tcBorders>
              <w:top w:val="nil"/>
              <w:left w:val="nil"/>
              <w:bottom w:val="nil"/>
              <w:right w:val="nil"/>
            </w:tcBorders>
            <w:shd w:val="clear" w:color="auto" w:fill="D9D9D9" w:themeFill="background1" w:themeFillShade="D9"/>
            <w:vAlign w:val="center"/>
          </w:tcPr>
          <w:p w14:paraId="23D1BA92"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7.075E-5</w:t>
            </w:r>
          </w:p>
        </w:tc>
      </w:tr>
      <w:tr w:rsidR="003C50E1" w14:paraId="1B06D4BC" w14:textId="77777777">
        <w:tc>
          <w:tcPr>
            <w:tcW w:w="2127" w:type="dxa"/>
            <w:vMerge w:val="restart"/>
            <w:tcBorders>
              <w:top w:val="nil"/>
              <w:left w:val="nil"/>
              <w:right w:val="nil"/>
            </w:tcBorders>
            <w:shd w:val="clear" w:color="auto" w:fill="B4C6E7" w:themeFill="accent1" w:themeFillTint="66"/>
            <w:vAlign w:val="center"/>
          </w:tcPr>
          <w:p w14:paraId="55C7BA90" w14:textId="77777777" w:rsidR="003C50E1" w:rsidRDefault="00F32BF9">
            <w:pPr>
              <w:spacing w:line="360" w:lineRule="auto"/>
              <w:jc w:val="center"/>
              <w:rPr>
                <w:rFonts w:cs="Times New Roman"/>
                <w:color w:val="000000"/>
                <w:kern w:val="0"/>
                <w:sz w:val="21"/>
                <w:szCs w:val="21"/>
              </w:rPr>
            </w:pPr>
            <w:bookmarkStart w:id="11" w:name="_Hlk207048177"/>
            <w:r>
              <w:rPr>
                <w:rFonts w:cs="Times New Roman"/>
                <w:color w:val="000000"/>
                <w:kern w:val="0"/>
                <w:sz w:val="21"/>
                <w:szCs w:val="21"/>
              </w:rPr>
              <w:t>SC-TGC</w:t>
            </w:r>
            <w:bookmarkEnd w:id="11"/>
          </w:p>
        </w:tc>
        <w:tc>
          <w:tcPr>
            <w:tcW w:w="3402" w:type="dxa"/>
            <w:tcBorders>
              <w:top w:val="nil"/>
              <w:left w:val="nil"/>
              <w:bottom w:val="nil"/>
              <w:right w:val="nil"/>
            </w:tcBorders>
            <w:shd w:val="clear" w:color="auto" w:fill="B4C6E7" w:themeFill="accent1" w:themeFillTint="66"/>
            <w:vAlign w:val="center"/>
          </w:tcPr>
          <w:p w14:paraId="6A4D0578"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FeCN</w:t>
            </w:r>
            <w:r>
              <w:rPr>
                <w:rFonts w:cs="Times New Roman"/>
                <w:color w:val="000000"/>
                <w:kern w:val="0"/>
                <w:sz w:val="21"/>
                <w:szCs w:val="21"/>
                <w:vertAlign w:val="superscript"/>
              </w:rPr>
              <w:t>3-/4-</w:t>
            </w:r>
            <w:r>
              <w:rPr>
                <w:rFonts w:cs="Times New Roman"/>
                <w:color w:val="000000"/>
                <w:kern w:val="0"/>
                <w:sz w:val="21"/>
                <w:szCs w:val="21"/>
              </w:rPr>
              <w:t xml:space="preserve"> reaction</w:t>
            </w:r>
          </w:p>
        </w:tc>
        <w:tc>
          <w:tcPr>
            <w:tcW w:w="2777" w:type="dxa"/>
            <w:tcBorders>
              <w:top w:val="nil"/>
              <w:left w:val="nil"/>
              <w:bottom w:val="nil"/>
              <w:right w:val="nil"/>
            </w:tcBorders>
            <w:shd w:val="clear" w:color="auto" w:fill="B4C6E7" w:themeFill="accent1" w:themeFillTint="66"/>
            <w:vAlign w:val="center"/>
          </w:tcPr>
          <w:p w14:paraId="27D7C0A9"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0.229</w:t>
            </w:r>
          </w:p>
        </w:tc>
      </w:tr>
      <w:tr w:rsidR="003C50E1" w14:paraId="6881C6D6" w14:textId="77777777">
        <w:tc>
          <w:tcPr>
            <w:tcW w:w="2127" w:type="dxa"/>
            <w:vMerge/>
            <w:tcBorders>
              <w:left w:val="nil"/>
              <w:right w:val="nil"/>
            </w:tcBorders>
            <w:shd w:val="clear" w:color="auto" w:fill="B4C6E7" w:themeFill="accent1" w:themeFillTint="66"/>
          </w:tcPr>
          <w:p w14:paraId="701BF2C1"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B4C6E7" w:themeFill="accent1" w:themeFillTint="66"/>
            <w:vAlign w:val="center"/>
          </w:tcPr>
          <w:p w14:paraId="7B3CDABC"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FeCN</w:t>
            </w:r>
            <w:r>
              <w:rPr>
                <w:rFonts w:cs="Times New Roman"/>
                <w:color w:val="000000"/>
                <w:kern w:val="0"/>
                <w:sz w:val="21"/>
                <w:szCs w:val="21"/>
                <w:vertAlign w:val="superscript"/>
              </w:rPr>
              <w:t>3-/4-</w:t>
            </w:r>
            <w:r>
              <w:rPr>
                <w:rFonts w:cs="Times New Roman"/>
                <w:color w:val="000000"/>
                <w:kern w:val="0"/>
                <w:sz w:val="21"/>
                <w:szCs w:val="21"/>
              </w:rPr>
              <w:t xml:space="preserve"> diffusion</w:t>
            </w:r>
          </w:p>
        </w:tc>
        <w:tc>
          <w:tcPr>
            <w:tcW w:w="2777" w:type="dxa"/>
            <w:tcBorders>
              <w:top w:val="nil"/>
              <w:left w:val="nil"/>
              <w:bottom w:val="nil"/>
              <w:right w:val="nil"/>
            </w:tcBorders>
            <w:shd w:val="clear" w:color="auto" w:fill="B4C6E7" w:themeFill="accent1" w:themeFillTint="66"/>
            <w:vAlign w:val="center"/>
          </w:tcPr>
          <w:p w14:paraId="68A04B9D"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0.61</w:t>
            </w:r>
          </w:p>
        </w:tc>
      </w:tr>
      <w:tr w:rsidR="003C50E1" w14:paraId="7C306C72" w14:textId="77777777">
        <w:tc>
          <w:tcPr>
            <w:tcW w:w="2127" w:type="dxa"/>
            <w:vMerge/>
            <w:tcBorders>
              <w:left w:val="nil"/>
              <w:right w:val="nil"/>
            </w:tcBorders>
            <w:shd w:val="clear" w:color="auto" w:fill="B4C6E7" w:themeFill="accent1" w:themeFillTint="66"/>
          </w:tcPr>
          <w:p w14:paraId="55B5E2CC"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B4C6E7" w:themeFill="accent1" w:themeFillTint="66"/>
            <w:vAlign w:val="center"/>
          </w:tcPr>
          <w:p w14:paraId="3DCA8AE5"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K</w:t>
            </w:r>
            <w:r>
              <w:rPr>
                <w:rFonts w:cs="Times New Roman"/>
                <w:color w:val="000000"/>
                <w:kern w:val="0"/>
                <w:sz w:val="21"/>
                <w:szCs w:val="21"/>
                <w:vertAlign w:val="superscript"/>
              </w:rPr>
              <w:t>+</w:t>
            </w:r>
            <w:r>
              <w:rPr>
                <w:rFonts w:cs="Times New Roman"/>
                <w:color w:val="000000"/>
                <w:kern w:val="0"/>
                <w:sz w:val="21"/>
                <w:szCs w:val="21"/>
              </w:rPr>
              <w:t xml:space="preserve"> adsorption</w:t>
            </w:r>
          </w:p>
        </w:tc>
        <w:tc>
          <w:tcPr>
            <w:tcW w:w="2777" w:type="dxa"/>
            <w:tcBorders>
              <w:top w:val="nil"/>
              <w:left w:val="nil"/>
              <w:bottom w:val="nil"/>
              <w:right w:val="nil"/>
            </w:tcBorders>
            <w:shd w:val="clear" w:color="auto" w:fill="B4C6E7" w:themeFill="accent1" w:themeFillTint="66"/>
            <w:vAlign w:val="center"/>
          </w:tcPr>
          <w:p w14:paraId="1E3F446B"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2.45</w:t>
            </w:r>
          </w:p>
        </w:tc>
      </w:tr>
      <w:tr w:rsidR="003C50E1" w14:paraId="1494EAF4" w14:textId="77777777">
        <w:tc>
          <w:tcPr>
            <w:tcW w:w="2127" w:type="dxa"/>
            <w:vMerge/>
            <w:tcBorders>
              <w:left w:val="nil"/>
              <w:right w:val="nil"/>
            </w:tcBorders>
            <w:shd w:val="clear" w:color="auto" w:fill="B4C6E7" w:themeFill="accent1" w:themeFillTint="66"/>
          </w:tcPr>
          <w:p w14:paraId="68BD5EBA"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B4C6E7" w:themeFill="accent1" w:themeFillTint="66"/>
            <w:vAlign w:val="center"/>
          </w:tcPr>
          <w:p w14:paraId="43E7F597"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K</w:t>
            </w:r>
            <w:r>
              <w:rPr>
                <w:rFonts w:cs="Times New Roman"/>
                <w:color w:val="000000"/>
                <w:kern w:val="0"/>
                <w:sz w:val="21"/>
                <w:szCs w:val="21"/>
                <w:vertAlign w:val="superscript"/>
              </w:rPr>
              <w:t>+</w:t>
            </w:r>
            <w:r>
              <w:rPr>
                <w:rFonts w:cs="Times New Roman"/>
                <w:color w:val="000000"/>
                <w:kern w:val="0"/>
                <w:sz w:val="21"/>
                <w:szCs w:val="21"/>
              </w:rPr>
              <w:t xml:space="preserve"> Transmembrane diffusion</w:t>
            </w:r>
          </w:p>
        </w:tc>
        <w:tc>
          <w:tcPr>
            <w:tcW w:w="2777" w:type="dxa"/>
            <w:tcBorders>
              <w:top w:val="nil"/>
              <w:left w:val="nil"/>
              <w:bottom w:val="nil"/>
              <w:right w:val="nil"/>
            </w:tcBorders>
            <w:shd w:val="clear" w:color="auto" w:fill="B4C6E7" w:themeFill="accent1" w:themeFillTint="66"/>
            <w:vAlign w:val="center"/>
          </w:tcPr>
          <w:p w14:paraId="34C56A89"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40.04</w:t>
            </w:r>
          </w:p>
        </w:tc>
      </w:tr>
      <w:tr w:rsidR="003C50E1" w14:paraId="4088575E" w14:textId="77777777">
        <w:tc>
          <w:tcPr>
            <w:tcW w:w="2127" w:type="dxa"/>
            <w:vMerge/>
            <w:tcBorders>
              <w:left w:val="nil"/>
              <w:right w:val="nil"/>
            </w:tcBorders>
            <w:shd w:val="clear" w:color="auto" w:fill="B4C6E7" w:themeFill="accent1" w:themeFillTint="66"/>
          </w:tcPr>
          <w:p w14:paraId="30065CAC"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B4C6E7" w:themeFill="accent1" w:themeFillTint="66"/>
            <w:vAlign w:val="center"/>
          </w:tcPr>
          <w:p w14:paraId="7F1DF7A4"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K</w:t>
            </w:r>
            <w:r>
              <w:rPr>
                <w:rFonts w:cs="Times New Roman"/>
                <w:color w:val="000000"/>
                <w:kern w:val="0"/>
                <w:sz w:val="21"/>
                <w:szCs w:val="21"/>
                <w:vertAlign w:val="superscript"/>
              </w:rPr>
              <w:t>+</w:t>
            </w:r>
            <w:r>
              <w:rPr>
                <w:rFonts w:cs="Times New Roman"/>
                <w:color w:val="000000"/>
                <w:kern w:val="0"/>
                <w:sz w:val="21"/>
                <w:szCs w:val="21"/>
              </w:rPr>
              <w:t xml:space="preserve"> diffusion</w:t>
            </w:r>
          </w:p>
        </w:tc>
        <w:tc>
          <w:tcPr>
            <w:tcW w:w="2777" w:type="dxa"/>
            <w:tcBorders>
              <w:top w:val="nil"/>
              <w:left w:val="nil"/>
              <w:bottom w:val="nil"/>
              <w:right w:val="nil"/>
            </w:tcBorders>
            <w:shd w:val="clear" w:color="auto" w:fill="B4C6E7" w:themeFill="accent1" w:themeFillTint="66"/>
            <w:vAlign w:val="center"/>
          </w:tcPr>
          <w:p w14:paraId="3BB24185"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42.6</w:t>
            </w:r>
          </w:p>
        </w:tc>
      </w:tr>
      <w:tr w:rsidR="003C50E1" w14:paraId="65C73075" w14:textId="77777777">
        <w:tc>
          <w:tcPr>
            <w:tcW w:w="2127" w:type="dxa"/>
            <w:vMerge/>
            <w:tcBorders>
              <w:left w:val="nil"/>
              <w:right w:val="nil"/>
            </w:tcBorders>
            <w:shd w:val="clear" w:color="auto" w:fill="B4C6E7" w:themeFill="accent1" w:themeFillTint="66"/>
          </w:tcPr>
          <w:p w14:paraId="498C9900"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nil"/>
              <w:right w:val="nil"/>
            </w:tcBorders>
            <w:shd w:val="clear" w:color="auto" w:fill="B4C6E7" w:themeFill="accent1" w:themeFillTint="66"/>
            <w:vAlign w:val="center"/>
          </w:tcPr>
          <w:p w14:paraId="31D66566"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Cl</w:t>
            </w:r>
            <w:r>
              <w:rPr>
                <w:rFonts w:cs="Times New Roman"/>
                <w:color w:val="000000"/>
                <w:kern w:val="0"/>
                <w:sz w:val="21"/>
                <w:szCs w:val="21"/>
                <w:vertAlign w:val="superscript"/>
              </w:rPr>
              <w:t>-</w:t>
            </w:r>
            <w:r>
              <w:rPr>
                <w:rFonts w:cs="Times New Roman"/>
                <w:color w:val="000000"/>
                <w:kern w:val="0"/>
                <w:sz w:val="21"/>
                <w:szCs w:val="21"/>
              </w:rPr>
              <w:t xml:space="preserve"> adsorption</w:t>
            </w:r>
          </w:p>
        </w:tc>
        <w:tc>
          <w:tcPr>
            <w:tcW w:w="2777" w:type="dxa"/>
            <w:tcBorders>
              <w:top w:val="nil"/>
              <w:left w:val="nil"/>
              <w:bottom w:val="nil"/>
              <w:right w:val="nil"/>
            </w:tcBorders>
            <w:shd w:val="clear" w:color="auto" w:fill="B4C6E7" w:themeFill="accent1" w:themeFillTint="66"/>
            <w:vAlign w:val="center"/>
          </w:tcPr>
          <w:p w14:paraId="08FCD013" w14:textId="77777777" w:rsidR="003C50E1" w:rsidRDefault="00F32BF9">
            <w:pPr>
              <w:spacing w:line="360" w:lineRule="auto"/>
              <w:jc w:val="center"/>
              <w:rPr>
                <w:rFonts w:cs="Times New Roman"/>
                <w:color w:val="000000" w:themeColor="text1"/>
                <w:szCs w:val="21"/>
              </w:rPr>
            </w:pPr>
            <w:r>
              <w:rPr>
                <w:rFonts w:cs="Times New Roman"/>
                <w:color w:val="000000"/>
                <w:kern w:val="0"/>
                <w:sz w:val="21"/>
                <w:szCs w:val="21"/>
              </w:rPr>
              <w:t>2.02</w:t>
            </w:r>
          </w:p>
        </w:tc>
      </w:tr>
      <w:tr w:rsidR="003C50E1" w14:paraId="194EF7C8" w14:textId="77777777">
        <w:tc>
          <w:tcPr>
            <w:tcW w:w="2127" w:type="dxa"/>
            <w:vMerge/>
            <w:tcBorders>
              <w:left w:val="nil"/>
              <w:bottom w:val="single" w:sz="12" w:space="0" w:color="auto"/>
              <w:right w:val="nil"/>
            </w:tcBorders>
            <w:shd w:val="clear" w:color="auto" w:fill="B4C6E7" w:themeFill="accent1" w:themeFillTint="66"/>
          </w:tcPr>
          <w:p w14:paraId="259AE441" w14:textId="77777777" w:rsidR="003C50E1" w:rsidRDefault="003C50E1">
            <w:pPr>
              <w:spacing w:line="360" w:lineRule="auto"/>
              <w:jc w:val="center"/>
              <w:rPr>
                <w:rFonts w:cs="Times New Roman"/>
                <w:color w:val="000000"/>
                <w:kern w:val="0"/>
                <w:sz w:val="21"/>
                <w:szCs w:val="21"/>
              </w:rPr>
            </w:pPr>
          </w:p>
        </w:tc>
        <w:tc>
          <w:tcPr>
            <w:tcW w:w="3402" w:type="dxa"/>
            <w:tcBorders>
              <w:top w:val="nil"/>
              <w:left w:val="nil"/>
              <w:bottom w:val="single" w:sz="12" w:space="0" w:color="auto"/>
              <w:right w:val="nil"/>
            </w:tcBorders>
            <w:shd w:val="clear" w:color="auto" w:fill="B4C6E7" w:themeFill="accent1" w:themeFillTint="66"/>
            <w:vAlign w:val="center"/>
          </w:tcPr>
          <w:p w14:paraId="42334CBB"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Cl</w:t>
            </w:r>
            <w:r>
              <w:rPr>
                <w:rFonts w:cs="Times New Roman"/>
                <w:color w:val="000000"/>
                <w:kern w:val="0"/>
                <w:sz w:val="21"/>
                <w:szCs w:val="21"/>
                <w:vertAlign w:val="superscript"/>
              </w:rPr>
              <w:t>-</w:t>
            </w:r>
            <w:r>
              <w:rPr>
                <w:rFonts w:cs="Times New Roman"/>
                <w:color w:val="000000"/>
                <w:kern w:val="0"/>
                <w:sz w:val="21"/>
                <w:szCs w:val="21"/>
              </w:rPr>
              <w:t xml:space="preserve"> diffusion</w:t>
            </w:r>
          </w:p>
        </w:tc>
        <w:tc>
          <w:tcPr>
            <w:tcW w:w="2777" w:type="dxa"/>
            <w:tcBorders>
              <w:top w:val="nil"/>
              <w:left w:val="nil"/>
              <w:bottom w:val="single" w:sz="12" w:space="0" w:color="auto"/>
              <w:right w:val="nil"/>
            </w:tcBorders>
            <w:shd w:val="clear" w:color="auto" w:fill="B4C6E7" w:themeFill="accent1" w:themeFillTint="66"/>
            <w:vAlign w:val="center"/>
          </w:tcPr>
          <w:p w14:paraId="451387D6" w14:textId="77777777" w:rsidR="003C50E1" w:rsidRDefault="00F32BF9">
            <w:pPr>
              <w:spacing w:line="360" w:lineRule="auto"/>
              <w:jc w:val="center"/>
              <w:rPr>
                <w:rFonts w:cs="Times New Roman"/>
                <w:color w:val="000000"/>
                <w:kern w:val="0"/>
                <w:sz w:val="21"/>
                <w:szCs w:val="21"/>
              </w:rPr>
            </w:pPr>
            <w:r>
              <w:rPr>
                <w:rFonts w:cs="Times New Roman"/>
                <w:color w:val="000000"/>
                <w:kern w:val="0"/>
                <w:sz w:val="21"/>
                <w:szCs w:val="21"/>
              </w:rPr>
              <w:t>41.4</w:t>
            </w:r>
          </w:p>
        </w:tc>
      </w:tr>
    </w:tbl>
    <w:p w14:paraId="058481BC" w14:textId="77777777" w:rsidR="003C50E1" w:rsidRDefault="003C50E1">
      <w:pPr>
        <w:widowControl/>
        <w:spacing w:line="360" w:lineRule="auto"/>
        <w:jc w:val="left"/>
        <w:rPr>
          <w:rFonts w:cs="Times New Roman"/>
        </w:rPr>
      </w:pPr>
    </w:p>
    <w:p w14:paraId="4771C71D" w14:textId="77777777" w:rsidR="003C50E1" w:rsidRDefault="00F32BF9">
      <w:pPr>
        <w:widowControl/>
        <w:spacing w:line="240" w:lineRule="auto"/>
        <w:jc w:val="left"/>
        <w:rPr>
          <w:rFonts w:cs="Times New Roman"/>
        </w:rPr>
      </w:pPr>
      <w:r>
        <w:rPr>
          <w:rFonts w:cs="Times New Roman"/>
        </w:rPr>
        <w:br w:type="page"/>
      </w:r>
    </w:p>
    <w:p w14:paraId="72F077C0" w14:textId="77777777" w:rsidR="003C50E1" w:rsidRDefault="00F32BF9">
      <w:pPr>
        <w:widowControl/>
        <w:spacing w:line="360" w:lineRule="auto"/>
        <w:jc w:val="left"/>
        <w:rPr>
          <w:rFonts w:cs="Times New Roman"/>
        </w:rPr>
      </w:pPr>
      <w:r>
        <w:rPr>
          <w:rFonts w:cs="Times New Roman"/>
          <w:b/>
          <w:bCs/>
        </w:rPr>
        <w:lastRenderedPageBreak/>
        <w:t xml:space="preserve">Table S4: </w:t>
      </w:r>
      <w:r>
        <w:rPr>
          <w:rFonts w:cs="Times New Roman"/>
        </w:rPr>
        <w:t xml:space="preserve">Comparison of the </w:t>
      </w:r>
      <w:proofErr w:type="spellStart"/>
      <w:r>
        <w:rPr>
          <w:rFonts w:cs="Times New Roman"/>
        </w:rPr>
        <w:t>Seebeck</w:t>
      </w:r>
      <w:proofErr w:type="spellEnd"/>
      <w:r>
        <w:rPr>
          <w:rFonts w:cs="Times New Roman"/>
        </w:rPr>
        <w:t xml:space="preserve"> coefficient, output power, and maximum relative Carnot efficiency under cold-source-free conditions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3"/>
        <w:gridCol w:w="1385"/>
        <w:gridCol w:w="1797"/>
        <w:gridCol w:w="756"/>
        <w:gridCol w:w="1875"/>
      </w:tblGrid>
      <w:tr w:rsidR="003C50E1" w14:paraId="2F500B1E" w14:textId="77777777">
        <w:trPr>
          <w:trHeight w:val="346"/>
          <w:jc w:val="center"/>
        </w:trPr>
        <w:tc>
          <w:tcPr>
            <w:tcW w:w="2493" w:type="dxa"/>
            <w:tcBorders>
              <w:top w:val="single" w:sz="12" w:space="0" w:color="auto"/>
              <w:left w:val="nil"/>
              <w:bottom w:val="single" w:sz="6" w:space="0" w:color="auto"/>
              <w:right w:val="nil"/>
            </w:tcBorders>
            <w:shd w:val="clear" w:color="auto" w:fill="auto"/>
            <w:vAlign w:val="center"/>
          </w:tcPr>
          <w:p w14:paraId="0E2F0740" w14:textId="77777777" w:rsidR="003C50E1" w:rsidRDefault="00F32BF9">
            <w:pPr>
              <w:spacing w:line="360" w:lineRule="auto"/>
              <w:jc w:val="center"/>
              <w:rPr>
                <w:rFonts w:cs="Times New Roman"/>
              </w:rPr>
            </w:pPr>
            <w:r>
              <w:rPr>
                <w:rFonts w:cs="Times New Roman"/>
              </w:rPr>
              <w:t>Redox couple</w:t>
            </w:r>
          </w:p>
        </w:tc>
        <w:tc>
          <w:tcPr>
            <w:tcW w:w="1385" w:type="dxa"/>
            <w:tcBorders>
              <w:top w:val="single" w:sz="12" w:space="0" w:color="auto"/>
              <w:left w:val="nil"/>
              <w:bottom w:val="single" w:sz="6" w:space="0" w:color="auto"/>
              <w:right w:val="nil"/>
            </w:tcBorders>
            <w:vAlign w:val="center"/>
          </w:tcPr>
          <w:p w14:paraId="3D35D786" w14:textId="77777777" w:rsidR="003C50E1" w:rsidRDefault="00F32BF9">
            <w:pPr>
              <w:spacing w:line="360" w:lineRule="auto"/>
              <w:jc w:val="center"/>
              <w:rPr>
                <w:rFonts w:cs="Times New Roman"/>
              </w:rPr>
            </w:pPr>
            <w:r>
              <w:rPr>
                <w:rFonts w:cs="Times New Roman"/>
              </w:rPr>
              <w:t>Se</w:t>
            </w:r>
          </w:p>
          <w:p w14:paraId="559A0F23" w14:textId="77777777" w:rsidR="003C50E1" w:rsidRDefault="00F32BF9">
            <w:pPr>
              <w:spacing w:line="360" w:lineRule="auto"/>
              <w:jc w:val="center"/>
              <w:rPr>
                <w:rFonts w:cs="Times New Roman"/>
              </w:rPr>
            </w:pPr>
            <w:r>
              <w:rPr>
                <w:rFonts w:cs="Times New Roman"/>
              </w:rPr>
              <w:t>(mV K</w:t>
            </w:r>
            <w:r>
              <w:rPr>
                <w:rFonts w:cs="Times New Roman"/>
                <w:vertAlign w:val="superscript"/>
              </w:rPr>
              <w:t>-1</w:t>
            </w:r>
            <w:r>
              <w:rPr>
                <w:rFonts w:cs="Times New Roman"/>
              </w:rPr>
              <w:t>)</w:t>
            </w:r>
          </w:p>
        </w:tc>
        <w:tc>
          <w:tcPr>
            <w:tcW w:w="1797" w:type="dxa"/>
            <w:tcBorders>
              <w:top w:val="single" w:sz="12" w:space="0" w:color="auto"/>
              <w:left w:val="nil"/>
              <w:bottom w:val="single" w:sz="6" w:space="0" w:color="auto"/>
              <w:right w:val="nil"/>
            </w:tcBorders>
            <w:shd w:val="clear" w:color="auto" w:fill="auto"/>
            <w:vAlign w:val="center"/>
          </w:tcPr>
          <w:p w14:paraId="12439B4B" w14:textId="77777777" w:rsidR="003C50E1" w:rsidRDefault="00F32BF9">
            <w:pPr>
              <w:spacing w:line="360" w:lineRule="auto"/>
              <w:jc w:val="center"/>
              <w:rPr>
                <w:rFonts w:cs="Times New Roman"/>
              </w:rPr>
            </w:pPr>
            <w:r>
              <w:rPr>
                <w:rFonts w:cs="Times New Roman"/>
              </w:rPr>
              <w:t>P</w:t>
            </w:r>
            <w:r>
              <w:rPr>
                <w:rFonts w:cs="Times New Roman"/>
                <w:vertAlign w:val="subscript"/>
              </w:rPr>
              <w:t>max</w:t>
            </w:r>
          </w:p>
          <w:p w14:paraId="46A93D19" w14:textId="77777777" w:rsidR="003C50E1" w:rsidRDefault="00F32BF9">
            <w:pPr>
              <w:spacing w:line="360" w:lineRule="auto"/>
              <w:jc w:val="center"/>
              <w:rPr>
                <w:rFonts w:cs="Times New Roman"/>
              </w:rPr>
            </w:pPr>
            <w:r>
              <w:rPr>
                <w:rFonts w:cs="Times New Roman"/>
              </w:rPr>
              <w:t>(W m</w:t>
            </w:r>
            <w:r>
              <w:rPr>
                <w:rFonts w:cs="Times New Roman"/>
                <w:vertAlign w:val="superscript"/>
              </w:rPr>
              <w:t>-2</w:t>
            </w:r>
            <w:r>
              <w:rPr>
                <w:rFonts w:cs="Times New Roman"/>
              </w:rPr>
              <w:t>)</w:t>
            </w:r>
          </w:p>
        </w:tc>
        <w:tc>
          <w:tcPr>
            <w:tcW w:w="756" w:type="dxa"/>
            <w:tcBorders>
              <w:top w:val="single" w:sz="12" w:space="0" w:color="auto"/>
              <w:left w:val="nil"/>
              <w:bottom w:val="single" w:sz="6" w:space="0" w:color="auto"/>
              <w:right w:val="nil"/>
            </w:tcBorders>
            <w:vAlign w:val="center"/>
          </w:tcPr>
          <w:p w14:paraId="6599D267" w14:textId="77777777" w:rsidR="003C50E1" w:rsidRDefault="00F32BF9">
            <w:pPr>
              <w:spacing w:line="360" w:lineRule="auto"/>
              <w:jc w:val="center"/>
              <w:rPr>
                <w:rFonts w:cs="Times New Roman"/>
              </w:rPr>
            </w:pPr>
            <w:proofErr w:type="spellStart"/>
            <w:r>
              <w:rPr>
                <w:rFonts w:cs="Times New Roman"/>
              </w:rPr>
              <w:t>η</w:t>
            </w:r>
            <w:r>
              <w:rPr>
                <w:rFonts w:cs="Times New Roman"/>
                <w:vertAlign w:val="subscript"/>
              </w:rPr>
              <w:t>r</w:t>
            </w:r>
            <w:proofErr w:type="spellEnd"/>
          </w:p>
        </w:tc>
        <w:tc>
          <w:tcPr>
            <w:tcW w:w="1875" w:type="dxa"/>
            <w:tcBorders>
              <w:top w:val="single" w:sz="12" w:space="0" w:color="auto"/>
              <w:left w:val="nil"/>
              <w:bottom w:val="single" w:sz="6" w:space="0" w:color="auto"/>
              <w:right w:val="nil"/>
            </w:tcBorders>
            <w:vAlign w:val="center"/>
          </w:tcPr>
          <w:p w14:paraId="5929AFF4" w14:textId="77777777" w:rsidR="003C50E1" w:rsidRDefault="00F32BF9">
            <w:pPr>
              <w:spacing w:line="360" w:lineRule="auto"/>
              <w:jc w:val="center"/>
              <w:rPr>
                <w:rFonts w:cs="Times New Roman"/>
              </w:rPr>
            </w:pPr>
            <w:r>
              <w:rPr>
                <w:rFonts w:cs="Times New Roman"/>
              </w:rPr>
              <w:t>Ref.</w:t>
            </w:r>
          </w:p>
        </w:tc>
      </w:tr>
      <w:tr w:rsidR="003C50E1" w14:paraId="5ACB2926" w14:textId="77777777">
        <w:trPr>
          <w:jc w:val="center"/>
        </w:trPr>
        <w:tc>
          <w:tcPr>
            <w:tcW w:w="2493" w:type="dxa"/>
            <w:tcBorders>
              <w:top w:val="single" w:sz="6" w:space="0" w:color="auto"/>
              <w:left w:val="nil"/>
              <w:bottom w:val="nil"/>
              <w:right w:val="nil"/>
            </w:tcBorders>
            <w:shd w:val="clear" w:color="auto" w:fill="auto"/>
            <w:vAlign w:val="center"/>
          </w:tcPr>
          <w:p w14:paraId="2CC751D2" w14:textId="77777777" w:rsidR="003C50E1" w:rsidRDefault="00F32BF9">
            <w:pPr>
              <w:spacing w:line="360" w:lineRule="auto"/>
              <w:jc w:val="center"/>
              <w:rPr>
                <w:rFonts w:cs="Times New Roman"/>
                <w:color w:val="000000" w:themeColor="text1"/>
                <w:szCs w:val="21"/>
              </w:rPr>
            </w:pPr>
            <w:r>
              <w:rPr>
                <w:rFonts w:cs="Times New Roman"/>
              </w:rPr>
              <w:t>Fe(CN)</w:t>
            </w:r>
            <w:r>
              <w:rPr>
                <w:rFonts w:cs="Times New Roman"/>
                <w:vertAlign w:val="subscript"/>
              </w:rPr>
              <w:t>6</w:t>
            </w:r>
            <w:r>
              <w:rPr>
                <w:rFonts w:cs="Times New Roman"/>
                <w:vertAlign w:val="superscript"/>
              </w:rPr>
              <w:t>4-/3-</w:t>
            </w:r>
          </w:p>
        </w:tc>
        <w:tc>
          <w:tcPr>
            <w:tcW w:w="1385" w:type="dxa"/>
            <w:tcBorders>
              <w:top w:val="single" w:sz="6" w:space="0" w:color="auto"/>
              <w:left w:val="nil"/>
              <w:bottom w:val="nil"/>
              <w:right w:val="nil"/>
            </w:tcBorders>
            <w:vAlign w:val="center"/>
          </w:tcPr>
          <w:p w14:paraId="759AA98C" w14:textId="77777777" w:rsidR="003C50E1" w:rsidRDefault="00F32BF9">
            <w:pPr>
              <w:spacing w:line="360" w:lineRule="auto"/>
              <w:jc w:val="center"/>
              <w:rPr>
                <w:rFonts w:cs="Times New Roman"/>
                <w:color w:val="000000" w:themeColor="text1"/>
                <w:szCs w:val="21"/>
              </w:rPr>
            </w:pPr>
            <w:r>
              <w:rPr>
                <w:rFonts w:cs="Times New Roman"/>
              </w:rPr>
              <w:t>4.49</w:t>
            </w:r>
          </w:p>
        </w:tc>
        <w:tc>
          <w:tcPr>
            <w:tcW w:w="1797" w:type="dxa"/>
            <w:tcBorders>
              <w:top w:val="single" w:sz="6" w:space="0" w:color="auto"/>
              <w:left w:val="nil"/>
              <w:bottom w:val="nil"/>
              <w:right w:val="nil"/>
            </w:tcBorders>
            <w:shd w:val="clear" w:color="auto" w:fill="auto"/>
            <w:vAlign w:val="center"/>
          </w:tcPr>
          <w:p w14:paraId="49674BE8" w14:textId="77777777" w:rsidR="003C50E1" w:rsidRDefault="00F32BF9">
            <w:pPr>
              <w:spacing w:line="360" w:lineRule="auto"/>
              <w:jc w:val="center"/>
              <w:rPr>
                <w:rFonts w:cs="Times New Roman"/>
                <w:color w:val="000000" w:themeColor="text1"/>
                <w:szCs w:val="21"/>
              </w:rPr>
            </w:pPr>
            <w:r>
              <w:rPr>
                <w:rFonts w:cs="Times New Roman"/>
              </w:rPr>
              <w:t>3.56</w:t>
            </w:r>
          </w:p>
        </w:tc>
        <w:tc>
          <w:tcPr>
            <w:tcW w:w="756" w:type="dxa"/>
            <w:tcBorders>
              <w:top w:val="single" w:sz="6" w:space="0" w:color="auto"/>
              <w:left w:val="nil"/>
              <w:bottom w:val="nil"/>
              <w:right w:val="nil"/>
            </w:tcBorders>
            <w:vAlign w:val="center"/>
          </w:tcPr>
          <w:p w14:paraId="1AD7DA6D" w14:textId="77777777" w:rsidR="003C50E1" w:rsidRDefault="00F32BF9">
            <w:pPr>
              <w:spacing w:line="360" w:lineRule="auto"/>
              <w:jc w:val="center"/>
              <w:rPr>
                <w:rFonts w:cs="Times New Roman"/>
              </w:rPr>
            </w:pPr>
            <w:r>
              <w:rPr>
                <w:rFonts w:cs="Times New Roman"/>
              </w:rPr>
              <w:t>7.4</w:t>
            </w:r>
          </w:p>
        </w:tc>
        <w:tc>
          <w:tcPr>
            <w:tcW w:w="1875" w:type="dxa"/>
            <w:tcBorders>
              <w:top w:val="single" w:sz="6" w:space="0" w:color="auto"/>
              <w:left w:val="nil"/>
              <w:bottom w:val="nil"/>
              <w:right w:val="nil"/>
            </w:tcBorders>
            <w:vAlign w:val="center"/>
          </w:tcPr>
          <w:p w14:paraId="65E34496" w14:textId="77777777" w:rsidR="003C50E1" w:rsidRDefault="00F32BF9">
            <w:pPr>
              <w:spacing w:line="360" w:lineRule="auto"/>
              <w:jc w:val="center"/>
              <w:rPr>
                <w:rFonts w:cs="Times New Roman"/>
              </w:rPr>
            </w:pPr>
            <w:r>
              <w:rPr>
                <w:rFonts w:cs="Times New Roman"/>
              </w:rPr>
              <w:t>This work</w:t>
            </w:r>
          </w:p>
        </w:tc>
      </w:tr>
      <w:tr w:rsidR="003C50E1" w14:paraId="2615AC33" w14:textId="77777777">
        <w:trPr>
          <w:jc w:val="center"/>
        </w:trPr>
        <w:tc>
          <w:tcPr>
            <w:tcW w:w="2493" w:type="dxa"/>
            <w:tcBorders>
              <w:top w:val="nil"/>
              <w:left w:val="nil"/>
              <w:bottom w:val="nil"/>
              <w:right w:val="nil"/>
            </w:tcBorders>
            <w:shd w:val="clear" w:color="auto" w:fill="auto"/>
            <w:vAlign w:val="center"/>
          </w:tcPr>
          <w:p w14:paraId="3EF67DE8" w14:textId="77777777" w:rsidR="003C50E1" w:rsidRDefault="00F32BF9">
            <w:pPr>
              <w:spacing w:line="360" w:lineRule="auto"/>
              <w:jc w:val="center"/>
              <w:rPr>
                <w:rFonts w:cs="Times New Roman"/>
              </w:rPr>
            </w:pPr>
            <w:r>
              <w:rPr>
                <w:rFonts w:cs="Times New Roman"/>
              </w:rPr>
              <w:t>Fe(CN)</w:t>
            </w:r>
            <w:r>
              <w:rPr>
                <w:rFonts w:cs="Times New Roman"/>
                <w:vertAlign w:val="subscript"/>
              </w:rPr>
              <w:t>6</w:t>
            </w:r>
            <w:r>
              <w:rPr>
                <w:rFonts w:cs="Times New Roman"/>
                <w:vertAlign w:val="superscript"/>
              </w:rPr>
              <w:t>4-/3-</w:t>
            </w:r>
          </w:p>
        </w:tc>
        <w:tc>
          <w:tcPr>
            <w:tcW w:w="1385" w:type="dxa"/>
            <w:tcBorders>
              <w:top w:val="nil"/>
              <w:left w:val="nil"/>
              <w:bottom w:val="nil"/>
              <w:right w:val="nil"/>
            </w:tcBorders>
            <w:vAlign w:val="center"/>
          </w:tcPr>
          <w:p w14:paraId="114904BA" w14:textId="77777777" w:rsidR="003C50E1" w:rsidRDefault="00F32BF9">
            <w:pPr>
              <w:spacing w:line="360" w:lineRule="auto"/>
              <w:jc w:val="center"/>
              <w:rPr>
                <w:rFonts w:cs="Times New Roman"/>
              </w:rPr>
            </w:pPr>
            <w:r>
              <w:rPr>
                <w:rFonts w:cs="Times New Roman"/>
              </w:rPr>
              <w:t>1.3</w:t>
            </w:r>
          </w:p>
        </w:tc>
        <w:tc>
          <w:tcPr>
            <w:tcW w:w="1797" w:type="dxa"/>
            <w:tcBorders>
              <w:top w:val="nil"/>
              <w:left w:val="nil"/>
              <w:bottom w:val="nil"/>
              <w:right w:val="nil"/>
            </w:tcBorders>
            <w:shd w:val="clear" w:color="auto" w:fill="auto"/>
            <w:vAlign w:val="center"/>
          </w:tcPr>
          <w:p w14:paraId="39470613" w14:textId="77777777" w:rsidR="003C50E1" w:rsidRDefault="00F32BF9">
            <w:pPr>
              <w:spacing w:line="360" w:lineRule="auto"/>
              <w:jc w:val="center"/>
              <w:rPr>
                <w:rFonts w:cs="Times New Roman"/>
              </w:rPr>
            </w:pPr>
            <w:r>
              <w:rPr>
                <w:rFonts w:cs="Times New Roman"/>
              </w:rPr>
              <w:t>3.6</w:t>
            </w:r>
          </w:p>
        </w:tc>
        <w:tc>
          <w:tcPr>
            <w:tcW w:w="756" w:type="dxa"/>
            <w:tcBorders>
              <w:top w:val="nil"/>
              <w:left w:val="nil"/>
              <w:bottom w:val="nil"/>
              <w:right w:val="nil"/>
            </w:tcBorders>
            <w:vAlign w:val="center"/>
          </w:tcPr>
          <w:p w14:paraId="74C0CAB6" w14:textId="77777777" w:rsidR="003C50E1" w:rsidRDefault="00F32BF9">
            <w:pPr>
              <w:spacing w:line="360" w:lineRule="auto"/>
              <w:jc w:val="center"/>
              <w:rPr>
                <w:rFonts w:cs="Times New Roman"/>
              </w:rPr>
            </w:pPr>
            <w:r>
              <w:rPr>
                <w:rFonts w:cs="Times New Roman"/>
              </w:rPr>
              <w:t>0.7</w:t>
            </w:r>
          </w:p>
        </w:tc>
        <w:tc>
          <w:tcPr>
            <w:tcW w:w="1875" w:type="dxa"/>
            <w:tcBorders>
              <w:top w:val="nil"/>
              <w:left w:val="nil"/>
              <w:bottom w:val="nil"/>
              <w:right w:val="nil"/>
            </w:tcBorders>
            <w:vAlign w:val="center"/>
          </w:tcPr>
          <w:p w14:paraId="232D90B8"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{"citationID":"k9AP0zgX","properties":{"formattedCitation":"\\super 8\\nosupersub{}","plainCitation":"8","noteIndex":0},"citationItems":[{"id":423,"uris":["http://zotero.org/users/17092864/items/4LZHLQBH"],"itemData":{"id":</w:instrText>
            </w:r>
            <w:r>
              <w:rPr>
                <w:rFonts w:cs="Times New Roman" w:hint="eastAsia"/>
              </w:rPr>
              <w:instrText>423,"type":"article-journal","abstract":"Abstract\n            \n              Thermocells, capable of converting temperature</w:instrText>
            </w:r>
            <w:r>
              <w:rPr>
                <w:rFonts w:cs="Times New Roman" w:hint="eastAsia"/>
              </w:rPr>
              <w:instrText>‐</w:instrText>
            </w:r>
            <w:r>
              <w:rPr>
                <w:rFonts w:cs="Times New Roman" w:hint="eastAsia"/>
              </w:rPr>
              <w:instrText>dependent electrochemical redox potentials into electrical power, can harvest waste or low</w:instrText>
            </w:r>
            <w:r>
              <w:rPr>
                <w:rFonts w:cs="Times New Roman" w:hint="eastAsia"/>
              </w:rPr>
              <w:instrText>‐</w:instrText>
            </w:r>
            <w:r>
              <w:rPr>
                <w:rFonts w:cs="Times New Roman" w:hint="eastAsia"/>
              </w:rPr>
              <w:instrText>grade heat in an economical and contin</w:instrText>
            </w:r>
            <w:r>
              <w:rPr>
                <w:rFonts w:cs="Times New Roman"/>
              </w:rPr>
              <w:instrText>uous approach with zero carbon emission. However, the power density and conversion efficiency of thermocells are hindered by a narrow operation window and low ion conductivity of the electrodes, especially in freezing weather conditions. Herein, highly efficient cylindrical thermocells, working in a wide operation window of cold temperatures, are developed. A eutectic electrolyte consisting of formamide and water is formulated with a high ion conductivity, which is retained at a significantly extended lower limit of the operation window from conventional 0 to −40 °C. In parallel, an electrode material based on anisotropic holey graphene aerogel is synthesized with improved ion conductivity, especially at temperatures below 0 °C, due to its aligned graphene sheets and pores. By taking the advantages of both components, the power density and the Seebeck coefficient of a single</w:instrText>
            </w:r>
            <w:r>
              <w:rPr>
                <w:rFonts w:cs="Times New Roman" w:hint="eastAsia"/>
              </w:rPr>
              <w:instrText>‐</w:instrText>
            </w:r>
            <w:r>
              <w:rPr>
                <w:rFonts w:cs="Times New Roman"/>
              </w:rPr>
              <w:instrText>cylinder thermocell reaches an exceptionally high value, i.e., 3.6 W m\n              −2\n              and 1.3 mV K\n              −1\n              , respectively. Moreover, assembled thermocells in series packaging substantially enhance the voltage of the open</w:instrText>
            </w:r>
            <w:r>
              <w:rPr>
                <w:rFonts w:cs="Times New Roman" w:hint="eastAsia"/>
              </w:rPr>
              <w:instrText>‐</w:instrText>
            </w:r>
            <w:r>
              <w:rPr>
                <w:rFonts w:cs="Times New Roman"/>
              </w:rPr>
              <w:instrText>circuit, i.e., from 140 mV (1</w:instrText>
            </w:r>
            <w:r>
              <w:rPr>
                <w:rFonts w:cs="Times New Roman" w:hint="eastAsia"/>
              </w:rPr>
              <w:instrText>‐</w:instrText>
            </w:r>
            <w:r>
              <w:rPr>
                <w:rFonts w:cs="Times New Roman"/>
              </w:rPr>
              <w:instrText>cylinder thermocell) to 2.1 V (15</w:instrText>
            </w:r>
            <w:r>
              <w:rPr>
                <w:rFonts w:cs="Times New Roman" w:hint="eastAsia"/>
              </w:rPr>
              <w:instrText>‐</w:instrText>
            </w:r>
            <w:r>
              <w:rPr>
                <w:rFonts w:cs="Times New Roman"/>
              </w:rPr>
              <w:instrText>cylinder thermocells).","container-title":"Advanced Materia</w:instrText>
            </w:r>
            <w:r>
              <w:rPr>
                <w:rFonts w:cs="Times New Roman" w:hint="eastAsia"/>
              </w:rPr>
              <w:instrText>ls","DOI":"10.1002/adma.201901403","ISSN":"0935-9648, 1521-4095","issue":"25","journalAbbreviation":"Advanced Materials","language":"en","page":"1901403","source":"DOI.org (Crossref)","title":"High</w:instrText>
            </w:r>
            <w:r>
              <w:rPr>
                <w:rFonts w:cs="Times New Roman" w:hint="eastAsia"/>
              </w:rPr>
              <w:instrText>‐</w:instrText>
            </w:r>
            <w:r>
              <w:rPr>
                <w:rFonts w:cs="Times New Roman" w:hint="eastAsia"/>
              </w:rPr>
              <w:instrText>Efficiency Cryo</w:instrText>
            </w:r>
            <w:r>
              <w:rPr>
                <w:rFonts w:cs="Times New Roman" w:hint="eastAsia"/>
              </w:rPr>
              <w:instrText>‐</w:instrText>
            </w:r>
            <w:r>
              <w:rPr>
                <w:rFonts w:cs="Times New Roman" w:hint="eastAsia"/>
              </w:rPr>
              <w:instrText>Thermocells Assembled with Anisotropic Ho</w:instrText>
            </w:r>
            <w:r>
              <w:rPr>
                <w:rFonts w:cs="Times New Roman"/>
              </w:rPr>
              <w:instrText xml:space="preserve">ley Graphene Aerogel Electrodes and a Eutectic Redox Electrolyte","volume":"31","author":[{"family":"Li","given":"Guangyong"},{"family":"Dong","given":"Dapeng"},{"family":"Hong","given":"Guo"},{"family":"Yan","given":"Lifeng"},{"family":"Zhang","given":"Xuetong"},{"family":"Song","given":"Wenhui"}],"issued":{"date-parts":[["2019",6]]}}}],"schema":"https://github.com/citation-style-language/schema/raw/master/csl-citation.json"} </w:instrText>
            </w:r>
            <w:r>
              <w:rPr>
                <w:rFonts w:cs="Times New Roman"/>
              </w:rPr>
              <w:fldChar w:fldCharType="separate"/>
            </w:r>
            <w:r>
              <w:rPr>
                <w:rFonts w:cs="Times New Roman"/>
                <w:kern w:val="0"/>
                <w:szCs w:val="24"/>
                <w:vertAlign w:val="superscript"/>
              </w:rPr>
              <w:t>8</w:t>
            </w:r>
            <w:r>
              <w:rPr>
                <w:rFonts w:cs="Times New Roman"/>
              </w:rPr>
              <w:fldChar w:fldCharType="end"/>
            </w:r>
          </w:p>
        </w:tc>
      </w:tr>
      <w:tr w:rsidR="003C50E1" w14:paraId="4259633A" w14:textId="77777777">
        <w:trPr>
          <w:jc w:val="center"/>
        </w:trPr>
        <w:tc>
          <w:tcPr>
            <w:tcW w:w="2493" w:type="dxa"/>
            <w:tcBorders>
              <w:top w:val="nil"/>
              <w:left w:val="nil"/>
              <w:bottom w:val="nil"/>
              <w:right w:val="nil"/>
            </w:tcBorders>
            <w:shd w:val="clear" w:color="auto" w:fill="auto"/>
            <w:vAlign w:val="center"/>
          </w:tcPr>
          <w:p w14:paraId="287BF3B3" w14:textId="77777777" w:rsidR="003C50E1" w:rsidRDefault="00F32BF9">
            <w:pPr>
              <w:spacing w:line="360" w:lineRule="auto"/>
              <w:jc w:val="center"/>
              <w:rPr>
                <w:rFonts w:cs="Times New Roman"/>
              </w:rPr>
            </w:pPr>
            <w:r>
              <w:rPr>
                <w:rFonts w:cs="Times New Roman"/>
              </w:rPr>
              <w:t>Fe(CN)</w:t>
            </w:r>
            <w:r>
              <w:rPr>
                <w:rFonts w:cs="Times New Roman"/>
                <w:vertAlign w:val="subscript"/>
              </w:rPr>
              <w:t>6</w:t>
            </w:r>
            <w:r>
              <w:rPr>
                <w:rFonts w:cs="Times New Roman"/>
                <w:vertAlign w:val="superscript"/>
              </w:rPr>
              <w:t>4-/3-</w:t>
            </w:r>
          </w:p>
        </w:tc>
        <w:tc>
          <w:tcPr>
            <w:tcW w:w="1385" w:type="dxa"/>
            <w:tcBorders>
              <w:top w:val="nil"/>
              <w:left w:val="nil"/>
              <w:bottom w:val="nil"/>
              <w:right w:val="nil"/>
            </w:tcBorders>
            <w:vAlign w:val="center"/>
          </w:tcPr>
          <w:p w14:paraId="3640E555" w14:textId="77777777" w:rsidR="003C50E1" w:rsidRDefault="00F32BF9">
            <w:pPr>
              <w:spacing w:line="360" w:lineRule="auto"/>
              <w:jc w:val="center"/>
              <w:rPr>
                <w:rFonts w:cs="Times New Roman"/>
              </w:rPr>
            </w:pPr>
            <w:r>
              <w:rPr>
                <w:rFonts w:cs="Times New Roman"/>
              </w:rPr>
              <w:t>2.7</w:t>
            </w:r>
          </w:p>
        </w:tc>
        <w:tc>
          <w:tcPr>
            <w:tcW w:w="1797" w:type="dxa"/>
            <w:tcBorders>
              <w:top w:val="nil"/>
              <w:left w:val="nil"/>
              <w:bottom w:val="nil"/>
              <w:right w:val="nil"/>
            </w:tcBorders>
            <w:shd w:val="clear" w:color="auto" w:fill="auto"/>
            <w:vAlign w:val="center"/>
          </w:tcPr>
          <w:p w14:paraId="72AAB668" w14:textId="77777777" w:rsidR="003C50E1" w:rsidRDefault="00F32BF9">
            <w:pPr>
              <w:spacing w:line="360" w:lineRule="auto"/>
              <w:jc w:val="center"/>
              <w:rPr>
                <w:rFonts w:cs="Times New Roman"/>
              </w:rPr>
            </w:pPr>
            <w:r>
              <w:rPr>
                <w:rFonts w:cs="Times New Roman"/>
              </w:rPr>
              <w:t>0.68</w:t>
            </w:r>
          </w:p>
        </w:tc>
        <w:tc>
          <w:tcPr>
            <w:tcW w:w="756" w:type="dxa"/>
            <w:tcBorders>
              <w:top w:val="nil"/>
              <w:left w:val="nil"/>
              <w:bottom w:val="nil"/>
              <w:right w:val="nil"/>
            </w:tcBorders>
            <w:vAlign w:val="center"/>
          </w:tcPr>
          <w:p w14:paraId="1A24AD64" w14:textId="77777777" w:rsidR="003C50E1" w:rsidRDefault="00F32BF9">
            <w:pPr>
              <w:spacing w:line="360" w:lineRule="auto"/>
              <w:jc w:val="center"/>
              <w:rPr>
                <w:rFonts w:cs="Times New Roman"/>
              </w:rPr>
            </w:pPr>
            <w:r>
              <w:rPr>
                <w:rFonts w:cs="Times New Roman"/>
              </w:rPr>
              <w:t>0.11</w:t>
            </w:r>
          </w:p>
        </w:tc>
        <w:tc>
          <w:tcPr>
            <w:tcW w:w="1875" w:type="dxa"/>
            <w:tcBorders>
              <w:top w:val="nil"/>
              <w:left w:val="nil"/>
              <w:bottom w:val="nil"/>
              <w:right w:val="nil"/>
            </w:tcBorders>
            <w:vAlign w:val="center"/>
          </w:tcPr>
          <w:p w14:paraId="0C1CA7AE"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{"citationID":"VKeUdCKw","properties":{"formattedCitation":"\\super 9\\nosupersub{}","plainCitation":"9","noteIndex":0},"citationItems":[{"id":438,"uris":["http://zotero.org/users/17092864/items/X5BGTI7H"],"itemData":{"id":438,"type":"article-journal","abstract":"Abstract\n            \n              Thermogalvanic cells offer a cheap, flexible and scalable route for directly converting heat into electricity. However, achieving a high output voltage and power performance simultaneously from low-grade thermal energy remains challenging. Here, we introduce strong chaotropic cations (guanidinium) and highly soluble amide derivatives (urea) into aqueous ferri/ferrocyanide ([Fe(CN)\n              6\n              ]\n              4−\n              /[Fe(CN)\n              6\n              ]\n              3−\n              ) electrolytes to significantly boost their thermopowers. The corresponding Seebeck coefficient and temperature-insensitive power density simultaneously increase from 1.4 to 4.2 mV K\n              −1\n              and from 0.4 to 1.1 mW K\n              −2\n              m\n              −2\n              , respectively. The results reveal that guanidinium and urea synergistically enlarge the entropy difference of the redox couple and significantly increase the Seebeck effect. As a demonstration, we design a prototype module that generates a high open-circuit voltage of 3.4 V at a small temperature difference of 18 K. This thermogalvanic cell system, which features high Seebeck coefficient and low cost, holds promise for the efficient harvest of low-grade thermal energy.","container-title":"Nature Communications","DOI":"10.1038/s41467-018-07625-9","ISSN":"2041-1723","issue":"1","journalAbbreviation":"Nat Commun","language":"en","page":"5146","source":"DOI.org (Crossref)","title":"Aqueous thermogalvanic cells with a high Seebeck coefficient for low-grade heat harvest","volume":"9","author":[{"family":"Duan","given":"Jiangjiang"},{"family":"Feng","given":"Guang"},{"family":"Yu","given":"Boyang"},{"family":"Li","given":"Jia"},{"family":"Chen","given":"Ming"},{"family":"Yang","given":"Peihua"},{"family":"Feng","given":"Jiamao"},{"family":"Liu","given":"Kang"},{"family":"Zhou","given":"Jun"}],"issued":{"date-parts":[["2018",12,4]]}}}],"schema":"https://github.com/citation-style-language/schema/raw/master/csl-citation.json"} </w:instrText>
            </w:r>
            <w:r>
              <w:rPr>
                <w:rFonts w:cs="Times New Roman"/>
              </w:rPr>
              <w:fldChar w:fldCharType="separate"/>
            </w:r>
            <w:r>
              <w:rPr>
                <w:rFonts w:cs="Times New Roman"/>
                <w:kern w:val="0"/>
                <w:szCs w:val="24"/>
                <w:vertAlign w:val="superscript"/>
              </w:rPr>
              <w:t>9</w:t>
            </w:r>
            <w:r>
              <w:rPr>
                <w:rFonts w:cs="Times New Roman"/>
              </w:rPr>
              <w:fldChar w:fldCharType="end"/>
            </w:r>
          </w:p>
        </w:tc>
      </w:tr>
      <w:tr w:rsidR="003C50E1" w14:paraId="58BF045D" w14:textId="77777777">
        <w:trPr>
          <w:jc w:val="center"/>
        </w:trPr>
        <w:tc>
          <w:tcPr>
            <w:tcW w:w="2493" w:type="dxa"/>
            <w:tcBorders>
              <w:top w:val="nil"/>
              <w:left w:val="nil"/>
              <w:bottom w:val="nil"/>
              <w:right w:val="nil"/>
            </w:tcBorders>
            <w:shd w:val="clear" w:color="auto" w:fill="auto"/>
            <w:vAlign w:val="center"/>
          </w:tcPr>
          <w:p w14:paraId="7A407791" w14:textId="77777777" w:rsidR="003C50E1" w:rsidRDefault="00F32BF9">
            <w:pPr>
              <w:spacing w:line="360" w:lineRule="auto"/>
              <w:jc w:val="center"/>
              <w:rPr>
                <w:rFonts w:cs="Times New Roman"/>
              </w:rPr>
            </w:pPr>
            <w:r>
              <w:rPr>
                <w:rFonts w:cs="Times New Roman"/>
              </w:rPr>
              <w:t>I</w:t>
            </w:r>
            <w:r>
              <w:rPr>
                <w:rFonts w:cs="Times New Roman"/>
                <w:vertAlign w:val="superscript"/>
              </w:rPr>
              <w:t>3-/-</w:t>
            </w:r>
          </w:p>
        </w:tc>
        <w:tc>
          <w:tcPr>
            <w:tcW w:w="1385" w:type="dxa"/>
            <w:tcBorders>
              <w:top w:val="nil"/>
              <w:left w:val="nil"/>
              <w:bottom w:val="nil"/>
              <w:right w:val="nil"/>
            </w:tcBorders>
            <w:vAlign w:val="center"/>
          </w:tcPr>
          <w:p w14:paraId="1637EB2B" w14:textId="77777777" w:rsidR="003C50E1" w:rsidRDefault="00F32BF9">
            <w:pPr>
              <w:spacing w:line="360" w:lineRule="auto"/>
              <w:jc w:val="center"/>
              <w:rPr>
                <w:rFonts w:cs="Times New Roman"/>
              </w:rPr>
            </w:pPr>
            <w:r>
              <w:rPr>
                <w:rFonts w:cs="Times New Roman"/>
              </w:rPr>
              <w:t>2</w:t>
            </w:r>
          </w:p>
        </w:tc>
        <w:tc>
          <w:tcPr>
            <w:tcW w:w="1797" w:type="dxa"/>
            <w:tcBorders>
              <w:top w:val="nil"/>
              <w:left w:val="nil"/>
              <w:bottom w:val="nil"/>
              <w:right w:val="nil"/>
            </w:tcBorders>
            <w:shd w:val="clear" w:color="auto" w:fill="auto"/>
            <w:vAlign w:val="center"/>
          </w:tcPr>
          <w:p w14:paraId="7A457CE7" w14:textId="77777777" w:rsidR="003C50E1" w:rsidRDefault="00F32BF9">
            <w:pPr>
              <w:spacing w:line="360" w:lineRule="auto"/>
              <w:jc w:val="center"/>
              <w:rPr>
                <w:rFonts w:cs="Times New Roman"/>
              </w:rPr>
            </w:pPr>
            <w:r>
              <w:rPr>
                <w:rFonts w:cs="Times New Roman"/>
              </w:rPr>
              <w:t>0.55</w:t>
            </w:r>
          </w:p>
        </w:tc>
        <w:tc>
          <w:tcPr>
            <w:tcW w:w="756" w:type="dxa"/>
            <w:tcBorders>
              <w:top w:val="nil"/>
              <w:left w:val="nil"/>
              <w:bottom w:val="nil"/>
              <w:right w:val="nil"/>
            </w:tcBorders>
            <w:vAlign w:val="center"/>
          </w:tcPr>
          <w:p w14:paraId="56D5912B" w14:textId="77777777" w:rsidR="003C50E1" w:rsidRDefault="00F32BF9">
            <w:pPr>
              <w:spacing w:line="360" w:lineRule="auto"/>
              <w:jc w:val="center"/>
              <w:rPr>
                <w:rFonts w:cs="Times New Roman"/>
              </w:rPr>
            </w:pPr>
            <w:r>
              <w:rPr>
                <w:rFonts w:cs="Times New Roman"/>
              </w:rPr>
              <w:t>0.033</w:t>
            </w:r>
          </w:p>
        </w:tc>
        <w:tc>
          <w:tcPr>
            <w:tcW w:w="1875" w:type="dxa"/>
            <w:tcBorders>
              <w:top w:val="nil"/>
              <w:left w:val="nil"/>
              <w:bottom w:val="nil"/>
              <w:right w:val="nil"/>
            </w:tcBorders>
            <w:vAlign w:val="center"/>
          </w:tcPr>
          <w:p w14:paraId="5A2F0426"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{"citationID":"8Q4VYkm9","properties":{"formattedCitation":"\\super 10\\nosupersub{}","plainCitation":"10","noteIndex":0},"citationItems":[{"id":440,"uris":["http://zotero.org/users/17092864/items/ACXGHVDG"],"itemData":{"id":440,"type":"article-journal","container-title":"Journal of the American Chemical Society","DOI":"10.1021/jacs.6b04923","ISSN":"0002-7863, 1520-5126","issue":"33","journalAbbreviation":"J. Am. Chem. Soc.","language":"en","page":"10502-10507","source":"DOI.org (Crossref)","title":"Supramolecular Thermo-Electrochemical Cells: Enhanced Thermoelectric Performance by Host–Guest Complexation and Salt-Induced Crystallization","title-short":"Supramolecular Thermo-Electrochemical Cells","volume":"138","author":[{"family":"Zhou","given":"Hongyao"},{"family":"Yamada","given":"Teppei"},{"family":"Kimizuka","given":"Nobuo"}],"issued":{"date-parts":[["2016",8,24]]}}}],"schema":"https://github.com/citation-style-language/schema/raw/master/csl-citation.json"} </w:instrText>
            </w:r>
            <w:r>
              <w:rPr>
                <w:rFonts w:cs="Times New Roman"/>
              </w:rPr>
              <w:fldChar w:fldCharType="separate"/>
            </w:r>
            <w:r>
              <w:rPr>
                <w:rFonts w:cs="Times New Roman"/>
                <w:kern w:val="0"/>
                <w:szCs w:val="24"/>
                <w:vertAlign w:val="superscript"/>
              </w:rPr>
              <w:t>10</w:t>
            </w:r>
            <w:r>
              <w:rPr>
                <w:rFonts w:cs="Times New Roman"/>
              </w:rPr>
              <w:fldChar w:fldCharType="end"/>
            </w:r>
          </w:p>
        </w:tc>
      </w:tr>
      <w:tr w:rsidR="003C50E1" w14:paraId="1D045918" w14:textId="77777777">
        <w:trPr>
          <w:jc w:val="center"/>
        </w:trPr>
        <w:tc>
          <w:tcPr>
            <w:tcW w:w="2493" w:type="dxa"/>
            <w:tcBorders>
              <w:top w:val="nil"/>
              <w:left w:val="nil"/>
              <w:bottom w:val="nil"/>
              <w:right w:val="nil"/>
            </w:tcBorders>
            <w:shd w:val="clear" w:color="auto" w:fill="auto"/>
            <w:vAlign w:val="center"/>
          </w:tcPr>
          <w:p w14:paraId="33174678" w14:textId="77777777" w:rsidR="003C50E1" w:rsidRDefault="00F32BF9">
            <w:pPr>
              <w:spacing w:line="360" w:lineRule="auto"/>
              <w:jc w:val="center"/>
              <w:rPr>
                <w:rFonts w:cs="Times New Roman"/>
              </w:rPr>
            </w:pPr>
            <w:r>
              <w:rPr>
                <w:rFonts w:cs="Times New Roman"/>
              </w:rPr>
              <w:t>Co</w:t>
            </w:r>
            <w:r>
              <w:rPr>
                <w:rFonts w:cs="Times New Roman"/>
                <w:vertAlign w:val="superscript"/>
              </w:rPr>
              <w:t>3+/2+</w:t>
            </w:r>
          </w:p>
        </w:tc>
        <w:tc>
          <w:tcPr>
            <w:tcW w:w="1385" w:type="dxa"/>
            <w:tcBorders>
              <w:top w:val="nil"/>
              <w:left w:val="nil"/>
              <w:bottom w:val="nil"/>
              <w:right w:val="nil"/>
            </w:tcBorders>
            <w:vAlign w:val="center"/>
          </w:tcPr>
          <w:p w14:paraId="1EF7258A" w14:textId="77777777" w:rsidR="003C50E1" w:rsidRDefault="00F32BF9">
            <w:pPr>
              <w:spacing w:line="360" w:lineRule="auto"/>
              <w:jc w:val="center"/>
              <w:rPr>
                <w:rFonts w:cs="Times New Roman"/>
              </w:rPr>
            </w:pPr>
            <w:r>
              <w:rPr>
                <w:rFonts w:cs="Times New Roman"/>
              </w:rPr>
              <w:t>1.6</w:t>
            </w:r>
          </w:p>
        </w:tc>
        <w:tc>
          <w:tcPr>
            <w:tcW w:w="1797" w:type="dxa"/>
            <w:tcBorders>
              <w:top w:val="nil"/>
              <w:left w:val="nil"/>
              <w:bottom w:val="nil"/>
              <w:right w:val="nil"/>
            </w:tcBorders>
            <w:shd w:val="clear" w:color="auto" w:fill="auto"/>
            <w:vAlign w:val="center"/>
          </w:tcPr>
          <w:p w14:paraId="0A67DE9A" w14:textId="77777777" w:rsidR="003C50E1" w:rsidRDefault="00F32BF9">
            <w:pPr>
              <w:spacing w:line="360" w:lineRule="auto"/>
              <w:jc w:val="center"/>
              <w:rPr>
                <w:rFonts w:cs="Times New Roman"/>
              </w:rPr>
            </w:pPr>
            <w:r>
              <w:rPr>
                <w:rFonts w:cs="Times New Roman"/>
              </w:rPr>
              <w:t>0.144</w:t>
            </w:r>
          </w:p>
        </w:tc>
        <w:tc>
          <w:tcPr>
            <w:tcW w:w="756" w:type="dxa"/>
            <w:tcBorders>
              <w:top w:val="nil"/>
              <w:left w:val="nil"/>
              <w:bottom w:val="nil"/>
              <w:right w:val="nil"/>
            </w:tcBorders>
            <w:vAlign w:val="center"/>
          </w:tcPr>
          <w:p w14:paraId="4DD367A7" w14:textId="77777777" w:rsidR="003C50E1" w:rsidRDefault="00F32BF9">
            <w:pPr>
              <w:spacing w:line="360" w:lineRule="auto"/>
              <w:jc w:val="center"/>
              <w:rPr>
                <w:rFonts w:cs="Times New Roman"/>
              </w:rPr>
            </w:pPr>
            <w:r>
              <w:rPr>
                <w:rFonts w:cs="Times New Roman"/>
              </w:rPr>
              <w:t>0.087</w:t>
            </w:r>
          </w:p>
        </w:tc>
        <w:tc>
          <w:tcPr>
            <w:tcW w:w="1875" w:type="dxa"/>
            <w:tcBorders>
              <w:top w:val="nil"/>
              <w:left w:val="nil"/>
              <w:bottom w:val="nil"/>
              <w:right w:val="nil"/>
            </w:tcBorders>
            <w:vAlign w:val="center"/>
          </w:tcPr>
          <w:p w14:paraId="423C43DD"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{"citationID":"7yaZFjzD","properties":{"formattedCitation":"\\super 11\\nosupersub{}","plainCitation":"11","noteIndex":0},"citationItems":[{"id":441,"uris":["http://zotero.org/users/17092864/items/TFJ6L6F5"],"itemData":{"id":441,"type":"article-journal","abstract":"Waste heat recovery with thermo-electrochemical cells is limited by their low power and conversion efficiencies.\n          , \n            Waste heat recovery with thermo-electrochemical cells is limited by their low power and conversion efficiencies. Here we explore ionic liquid electrolytes mixed with multiwall carbon nanotubes (MWCNTs) as alternative electrolytes for thermo-electrochemical cells. The results show that, upon addition of MWCNTs, the combination of interfacial polarization and ion pair dissociation reduces mass transfer resistances and enhances the power of thermo-electrochemical cells at low weight percentage of MWCNTs by up to 30%. This occurs in spite of reduced open circuit voltage due to percolated networks.","container-title":"J. Mater. Chem. A","DOI":"10.1039/C4TA04749D","ISSN":"2050-7488, 2050-7496","issue":"48","journalAbbreviation":"J. Mater. Chem. A","language":"en","page":"20676-20682","source":"DOI.org (Crossref)","title":"Enhanced thermo-electrochemical power using carbon nanotube additives in ionic liquid redox electrolytes","volume":"2","author":[{"family":"Salazar","given":"Pablo F."},{"family":"Stephens","given":"Sai T."},{"family":"Kazim","given":"Ali H."},{"family":"Pringle","given":"Jennifer M."},{"family":"Cola","given":"Baratunde A."}],"issued":{"date-parts":[["2014"]]}}}],"schema":"https://github.com/citation-style-language/schema/raw/master/csl-citation.json"} </w:instrText>
            </w:r>
            <w:r>
              <w:rPr>
                <w:rFonts w:cs="Times New Roman"/>
              </w:rPr>
              <w:fldChar w:fldCharType="separate"/>
            </w:r>
            <w:r>
              <w:rPr>
                <w:rFonts w:cs="Times New Roman"/>
                <w:kern w:val="0"/>
                <w:szCs w:val="24"/>
                <w:vertAlign w:val="superscript"/>
              </w:rPr>
              <w:t>11</w:t>
            </w:r>
            <w:r>
              <w:rPr>
                <w:rFonts w:cs="Times New Roman"/>
              </w:rPr>
              <w:fldChar w:fldCharType="end"/>
            </w:r>
          </w:p>
        </w:tc>
      </w:tr>
      <w:tr w:rsidR="003C50E1" w14:paraId="0EF096FE" w14:textId="77777777">
        <w:trPr>
          <w:jc w:val="center"/>
        </w:trPr>
        <w:tc>
          <w:tcPr>
            <w:tcW w:w="2493" w:type="dxa"/>
            <w:tcBorders>
              <w:top w:val="nil"/>
              <w:left w:val="nil"/>
              <w:bottom w:val="nil"/>
              <w:right w:val="nil"/>
            </w:tcBorders>
            <w:shd w:val="clear" w:color="auto" w:fill="auto"/>
            <w:vAlign w:val="center"/>
          </w:tcPr>
          <w:p w14:paraId="4ADA9F19" w14:textId="77777777" w:rsidR="003C50E1" w:rsidRDefault="00F32BF9">
            <w:pPr>
              <w:spacing w:line="360" w:lineRule="auto"/>
              <w:jc w:val="center"/>
              <w:rPr>
                <w:rFonts w:cs="Times New Roman"/>
              </w:rPr>
            </w:pPr>
            <w:r>
              <w:rPr>
                <w:rFonts w:cs="Times New Roman"/>
              </w:rPr>
              <w:t>Fe(CN)</w:t>
            </w:r>
            <w:r>
              <w:rPr>
                <w:rFonts w:cs="Times New Roman"/>
                <w:vertAlign w:val="subscript"/>
              </w:rPr>
              <w:t>6</w:t>
            </w:r>
            <w:r>
              <w:rPr>
                <w:rFonts w:cs="Times New Roman"/>
                <w:vertAlign w:val="superscript"/>
              </w:rPr>
              <w:t>4-/3-</w:t>
            </w:r>
          </w:p>
        </w:tc>
        <w:tc>
          <w:tcPr>
            <w:tcW w:w="1385" w:type="dxa"/>
            <w:tcBorders>
              <w:top w:val="nil"/>
              <w:left w:val="nil"/>
              <w:bottom w:val="nil"/>
              <w:right w:val="nil"/>
            </w:tcBorders>
            <w:vAlign w:val="center"/>
          </w:tcPr>
          <w:p w14:paraId="40165075" w14:textId="77777777" w:rsidR="003C50E1" w:rsidRDefault="00F32BF9">
            <w:pPr>
              <w:spacing w:line="360" w:lineRule="auto"/>
              <w:jc w:val="center"/>
              <w:rPr>
                <w:rFonts w:cs="Times New Roman"/>
              </w:rPr>
            </w:pPr>
            <w:r>
              <w:rPr>
                <w:rFonts w:cs="Times New Roman"/>
              </w:rPr>
              <w:t>1.42</w:t>
            </w:r>
          </w:p>
        </w:tc>
        <w:tc>
          <w:tcPr>
            <w:tcW w:w="1797" w:type="dxa"/>
            <w:tcBorders>
              <w:top w:val="nil"/>
              <w:left w:val="nil"/>
              <w:bottom w:val="nil"/>
              <w:right w:val="nil"/>
            </w:tcBorders>
            <w:shd w:val="clear" w:color="auto" w:fill="auto"/>
            <w:vAlign w:val="center"/>
          </w:tcPr>
          <w:p w14:paraId="33197232" w14:textId="77777777" w:rsidR="003C50E1" w:rsidRDefault="00F32BF9">
            <w:pPr>
              <w:spacing w:line="360" w:lineRule="auto"/>
              <w:jc w:val="center"/>
              <w:rPr>
                <w:rFonts w:cs="Times New Roman"/>
              </w:rPr>
            </w:pPr>
            <w:r>
              <w:rPr>
                <w:rFonts w:cs="Times New Roman"/>
              </w:rPr>
              <w:t>0.82</w:t>
            </w:r>
          </w:p>
        </w:tc>
        <w:tc>
          <w:tcPr>
            <w:tcW w:w="756" w:type="dxa"/>
            <w:tcBorders>
              <w:top w:val="nil"/>
              <w:left w:val="nil"/>
              <w:bottom w:val="nil"/>
              <w:right w:val="nil"/>
            </w:tcBorders>
            <w:vAlign w:val="center"/>
          </w:tcPr>
          <w:p w14:paraId="723EABE6" w14:textId="77777777" w:rsidR="003C50E1" w:rsidRDefault="00F32BF9">
            <w:pPr>
              <w:spacing w:line="360" w:lineRule="auto"/>
              <w:jc w:val="center"/>
              <w:rPr>
                <w:rFonts w:cs="Times New Roman"/>
              </w:rPr>
            </w:pPr>
            <w:r>
              <w:rPr>
                <w:rFonts w:cs="Times New Roman"/>
              </w:rPr>
              <w:t>0.9</w:t>
            </w:r>
          </w:p>
        </w:tc>
        <w:tc>
          <w:tcPr>
            <w:tcW w:w="1875" w:type="dxa"/>
            <w:tcBorders>
              <w:top w:val="nil"/>
              <w:left w:val="nil"/>
              <w:bottom w:val="nil"/>
              <w:right w:val="nil"/>
            </w:tcBorders>
            <w:vAlign w:val="center"/>
          </w:tcPr>
          <w:p w14:paraId="6955782F"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{"citationID":"5wtaLjtJ","properties":{"formattedCitation":"\\super 12\\nosupersub{}","plainCitation":"12","noteIndex":0},"citationItems":[{"id":443,"uris":["http://zotero.org/users/17092864/items/AN3AIBGH"],"itemData":{"id":443,"type":"article-journal","container-title":"Nano-Micro Letters","DOI":"10.1007/s40820-016-0082-8","ISSN":"2311-6706, 2150-5551","issue":"3","journalAbbreviation":"Nano-Micro Lett.","language":"en","page":"240-246","source":"DOI.org (Crossref)","title":"Thermo-Electrochemical Cells Based on Carbon Nanotube Electrodes by Electrophoretic Deposition","volume":"8","author":[{"family":"Qian","given":"Weijin"},{"family":"Cao","given":"Mingxuan"},{"family":"Xie","given":"Fei"},{"family":"Dong","given":"Changkun"}],"issued":{"date-parts":[["2016",7]]}}}],"schema":"https://github.com/citation-style-language/schema/raw/master/csl-citation.json"} </w:instrText>
            </w:r>
            <w:r>
              <w:rPr>
                <w:rFonts w:cs="Times New Roman"/>
              </w:rPr>
              <w:fldChar w:fldCharType="separate"/>
            </w:r>
            <w:r>
              <w:rPr>
                <w:rFonts w:cs="Times New Roman"/>
                <w:kern w:val="0"/>
                <w:szCs w:val="24"/>
                <w:vertAlign w:val="superscript"/>
              </w:rPr>
              <w:t>12</w:t>
            </w:r>
            <w:r>
              <w:rPr>
                <w:rFonts w:cs="Times New Roman"/>
              </w:rPr>
              <w:fldChar w:fldCharType="end"/>
            </w:r>
          </w:p>
        </w:tc>
      </w:tr>
      <w:tr w:rsidR="003C50E1" w14:paraId="349770B8" w14:textId="77777777">
        <w:trPr>
          <w:jc w:val="center"/>
        </w:trPr>
        <w:tc>
          <w:tcPr>
            <w:tcW w:w="2493" w:type="dxa"/>
            <w:tcBorders>
              <w:top w:val="nil"/>
              <w:left w:val="nil"/>
              <w:bottom w:val="nil"/>
              <w:right w:val="nil"/>
            </w:tcBorders>
            <w:shd w:val="clear" w:color="auto" w:fill="auto"/>
            <w:vAlign w:val="center"/>
          </w:tcPr>
          <w:p w14:paraId="3EDD41AD" w14:textId="77777777" w:rsidR="003C50E1" w:rsidRDefault="00F32BF9">
            <w:pPr>
              <w:spacing w:line="360" w:lineRule="auto"/>
              <w:jc w:val="center"/>
              <w:rPr>
                <w:rFonts w:cs="Times New Roman"/>
              </w:rPr>
            </w:pPr>
            <w:r>
              <w:rPr>
                <w:rFonts w:cs="Times New Roman"/>
              </w:rPr>
              <w:t>Fe(CN)</w:t>
            </w:r>
            <w:r>
              <w:rPr>
                <w:rFonts w:cs="Times New Roman"/>
                <w:vertAlign w:val="subscript"/>
              </w:rPr>
              <w:t>6</w:t>
            </w:r>
            <w:r>
              <w:rPr>
                <w:rFonts w:cs="Times New Roman"/>
                <w:vertAlign w:val="superscript"/>
              </w:rPr>
              <w:t>4-/3-</w:t>
            </w:r>
          </w:p>
        </w:tc>
        <w:tc>
          <w:tcPr>
            <w:tcW w:w="1385" w:type="dxa"/>
            <w:tcBorders>
              <w:top w:val="nil"/>
              <w:left w:val="nil"/>
              <w:bottom w:val="nil"/>
              <w:right w:val="nil"/>
            </w:tcBorders>
            <w:vAlign w:val="center"/>
          </w:tcPr>
          <w:p w14:paraId="492D548D" w14:textId="77777777" w:rsidR="003C50E1" w:rsidRDefault="00F32BF9">
            <w:pPr>
              <w:spacing w:line="360" w:lineRule="auto"/>
              <w:jc w:val="center"/>
              <w:rPr>
                <w:rFonts w:cs="Times New Roman"/>
              </w:rPr>
            </w:pPr>
            <w:r>
              <w:rPr>
                <w:rFonts w:cs="Times New Roman"/>
                <w:color w:val="000000" w:themeColor="text1"/>
                <w:szCs w:val="21"/>
              </w:rPr>
              <w:t>1.4</w:t>
            </w:r>
          </w:p>
        </w:tc>
        <w:tc>
          <w:tcPr>
            <w:tcW w:w="1797" w:type="dxa"/>
            <w:tcBorders>
              <w:top w:val="nil"/>
              <w:left w:val="nil"/>
              <w:bottom w:val="nil"/>
              <w:right w:val="nil"/>
            </w:tcBorders>
            <w:shd w:val="clear" w:color="auto" w:fill="auto"/>
            <w:vAlign w:val="center"/>
          </w:tcPr>
          <w:p w14:paraId="6B1182BB" w14:textId="77777777" w:rsidR="003C50E1" w:rsidRDefault="00F32BF9">
            <w:pPr>
              <w:spacing w:line="360" w:lineRule="auto"/>
              <w:jc w:val="center"/>
              <w:rPr>
                <w:rFonts w:cs="Times New Roman"/>
              </w:rPr>
            </w:pPr>
            <w:r>
              <w:rPr>
                <w:rFonts w:cs="Times New Roman"/>
                <w:color w:val="000000" w:themeColor="text1"/>
                <w:szCs w:val="21"/>
              </w:rPr>
              <w:t>1.36</w:t>
            </w:r>
          </w:p>
        </w:tc>
        <w:tc>
          <w:tcPr>
            <w:tcW w:w="756" w:type="dxa"/>
            <w:tcBorders>
              <w:top w:val="nil"/>
              <w:left w:val="nil"/>
              <w:bottom w:val="nil"/>
              <w:right w:val="nil"/>
            </w:tcBorders>
            <w:vAlign w:val="center"/>
          </w:tcPr>
          <w:p w14:paraId="19D13426" w14:textId="77777777" w:rsidR="003C50E1" w:rsidRDefault="00F32BF9">
            <w:pPr>
              <w:spacing w:line="360" w:lineRule="auto"/>
              <w:jc w:val="center"/>
              <w:rPr>
                <w:rFonts w:cs="Times New Roman"/>
              </w:rPr>
            </w:pPr>
            <w:r>
              <w:rPr>
                <w:rFonts w:cs="Times New Roman"/>
              </w:rPr>
              <w:t>1.4</w:t>
            </w:r>
          </w:p>
        </w:tc>
        <w:tc>
          <w:tcPr>
            <w:tcW w:w="1875" w:type="dxa"/>
            <w:tcBorders>
              <w:top w:val="nil"/>
              <w:left w:val="nil"/>
              <w:bottom w:val="nil"/>
              <w:right w:val="nil"/>
            </w:tcBorders>
            <w:vAlign w:val="center"/>
          </w:tcPr>
          <w:p w14:paraId="09CA6528"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{"citationID":"nulzeXVG","properties":{"formattedCitation":"\\super 13\\nosupersub{}","plainCitation":"13","noteIndex":0},"citationItems":[{"id":445,"uris":["http://zotero.org/users/17092864/items/CV4Z89KT"],"itemData":{"id":445,"type":"article-journal","container-title":"Nano Letters","DOI":"10.1021/nl903267n","ISSN":"1530-6984, 1530-6992","issue":"3","journalAbbreviation":"Nano Lett.","language":"en","page":"838-846","source":"DOI.org (Crossref)","title":"Harvesting Waste Thermal Energy Using a Carbon-Nanotube-Based Thermo-Electrochemical Cell","volume":"10","author":[{"family":"Hu","given":"Renchong"},{"family":"Cola","given":"Baratunde A."},{"family":"Haram","given":"Nanda"},{"family":"Barisci","given":"Joseph N."},{"family":"Lee","given":"Sergey"},{"family":"Stoughton","given":"Stephanie"},{"family":"Wallace","given":"Gordon"},{"family":"Too","given":"Chee"},{"family":"Thomas","given":"Michael"},{"family":"Gestos","given":"Adrian"},{"family":"Cruz","given":"Marilou E. Dela"},{"family":"Ferraris","given":"John P."},{"family":"Zakhidov","given":"Anvar A."},{"family":"Baughman","given":"Ray H."}],"issued":{"date-parts":[["2010",3,10]]}}}],"schema":"https://github.com/citation-style-language/schema/raw/master/csl-citation.json"} </w:instrText>
            </w:r>
            <w:r>
              <w:rPr>
                <w:rFonts w:cs="Times New Roman"/>
              </w:rPr>
              <w:fldChar w:fldCharType="separate"/>
            </w:r>
            <w:r>
              <w:rPr>
                <w:rFonts w:cs="Times New Roman"/>
                <w:kern w:val="0"/>
                <w:szCs w:val="24"/>
                <w:vertAlign w:val="superscript"/>
              </w:rPr>
              <w:t>13</w:t>
            </w:r>
            <w:r>
              <w:rPr>
                <w:rFonts w:cs="Times New Roman"/>
              </w:rPr>
              <w:fldChar w:fldCharType="end"/>
            </w:r>
          </w:p>
        </w:tc>
      </w:tr>
      <w:tr w:rsidR="003C50E1" w14:paraId="52ECAFB5" w14:textId="77777777">
        <w:trPr>
          <w:jc w:val="center"/>
        </w:trPr>
        <w:tc>
          <w:tcPr>
            <w:tcW w:w="2493" w:type="dxa"/>
            <w:tcBorders>
              <w:top w:val="nil"/>
              <w:left w:val="nil"/>
              <w:bottom w:val="nil"/>
              <w:right w:val="nil"/>
            </w:tcBorders>
            <w:shd w:val="clear" w:color="auto" w:fill="auto"/>
            <w:vAlign w:val="center"/>
          </w:tcPr>
          <w:p w14:paraId="30CC1DBC" w14:textId="77777777" w:rsidR="003C50E1" w:rsidRDefault="00F32BF9">
            <w:pPr>
              <w:spacing w:line="360" w:lineRule="auto"/>
              <w:jc w:val="center"/>
              <w:rPr>
                <w:rFonts w:cs="Times New Roman"/>
              </w:rPr>
            </w:pPr>
            <w:r>
              <w:rPr>
                <w:rFonts w:cs="Times New Roman"/>
              </w:rPr>
              <w:t>Fe(CN)</w:t>
            </w:r>
            <w:r>
              <w:rPr>
                <w:rFonts w:cs="Times New Roman"/>
                <w:vertAlign w:val="subscript"/>
              </w:rPr>
              <w:t>6</w:t>
            </w:r>
            <w:r>
              <w:rPr>
                <w:rFonts w:cs="Times New Roman"/>
                <w:vertAlign w:val="superscript"/>
              </w:rPr>
              <w:t>4-/3-</w:t>
            </w:r>
            <w:r>
              <w:rPr>
                <w:rFonts w:cs="Times New Roman"/>
              </w:rPr>
              <w:t xml:space="preserve"> + NaCl</w:t>
            </w:r>
          </w:p>
        </w:tc>
        <w:tc>
          <w:tcPr>
            <w:tcW w:w="1385" w:type="dxa"/>
            <w:tcBorders>
              <w:top w:val="nil"/>
              <w:left w:val="nil"/>
              <w:bottom w:val="nil"/>
              <w:right w:val="nil"/>
            </w:tcBorders>
            <w:vAlign w:val="center"/>
          </w:tcPr>
          <w:p w14:paraId="219D7570" w14:textId="77777777" w:rsidR="003C50E1" w:rsidRDefault="00F32BF9">
            <w:pPr>
              <w:spacing w:line="360" w:lineRule="auto"/>
              <w:jc w:val="center"/>
              <w:rPr>
                <w:rFonts w:cs="Times New Roman"/>
              </w:rPr>
            </w:pPr>
            <w:r>
              <w:rPr>
                <w:rFonts w:cs="Times New Roman"/>
              </w:rPr>
              <w:t>1.6</w:t>
            </w:r>
          </w:p>
        </w:tc>
        <w:tc>
          <w:tcPr>
            <w:tcW w:w="1797" w:type="dxa"/>
            <w:tcBorders>
              <w:top w:val="nil"/>
              <w:left w:val="nil"/>
              <w:bottom w:val="nil"/>
              <w:right w:val="nil"/>
            </w:tcBorders>
            <w:shd w:val="clear" w:color="auto" w:fill="auto"/>
            <w:vAlign w:val="center"/>
          </w:tcPr>
          <w:p w14:paraId="30AF0FBF" w14:textId="77777777" w:rsidR="003C50E1" w:rsidRDefault="00F32BF9">
            <w:pPr>
              <w:spacing w:line="360" w:lineRule="auto"/>
              <w:jc w:val="center"/>
              <w:rPr>
                <w:rFonts w:cs="Times New Roman"/>
              </w:rPr>
            </w:pPr>
            <w:r>
              <w:rPr>
                <w:rFonts w:cs="Times New Roman"/>
              </w:rPr>
              <w:t>0.97</w:t>
            </w:r>
          </w:p>
        </w:tc>
        <w:tc>
          <w:tcPr>
            <w:tcW w:w="756" w:type="dxa"/>
            <w:tcBorders>
              <w:top w:val="nil"/>
              <w:left w:val="nil"/>
              <w:bottom w:val="nil"/>
              <w:right w:val="nil"/>
            </w:tcBorders>
            <w:vAlign w:val="center"/>
          </w:tcPr>
          <w:p w14:paraId="46FBE5DB" w14:textId="77777777" w:rsidR="003C50E1" w:rsidRDefault="00F32BF9">
            <w:pPr>
              <w:spacing w:line="360" w:lineRule="auto"/>
              <w:jc w:val="center"/>
              <w:rPr>
                <w:rFonts w:cs="Times New Roman"/>
              </w:rPr>
            </w:pPr>
            <w:r>
              <w:rPr>
                <w:rFonts w:cs="Times New Roman"/>
              </w:rPr>
              <w:t>1.38</w:t>
            </w:r>
          </w:p>
        </w:tc>
        <w:tc>
          <w:tcPr>
            <w:tcW w:w="1875" w:type="dxa"/>
            <w:tcBorders>
              <w:top w:val="nil"/>
              <w:left w:val="nil"/>
              <w:bottom w:val="nil"/>
              <w:right w:val="nil"/>
            </w:tcBorders>
            <w:vAlign w:val="center"/>
          </w:tcPr>
          <w:p w14:paraId="48ADE9BC"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{"citationID":"xMzWXiMs","properties":{"formattedCitation":"\\super 4\\nosupersub{}","plainCitation":"4","noteIndex":0},"citationItems":[{"id":446,"uris":["http://zotero.org/users/17092864/items/S59UDP8A"],"itemData":{"id":446,"type":"article-journal","container-title":"Joule","DOI":"10.1016/j.joule.2021.06.003","ISSN":"25424351","issue":"8","journalAbbreviation":"Joule","language":"en","page":"2211-2222","source":"DOI.org (Crossref)","title":"Double-network thermocells with extraordinary toughness and boosted power density for continuous heat harvesting","volume":"5","author":[{"family":"Lei","given":"Zhouyue"},{"family":"Gao","given":"Wei"},{"family":"Wu","given":"Peiyi"}],"issued":{"date-parts":[["2021",8]]}}}],"schema":"https://github.com/citation-style-language/schema/raw/master/csl-citation.json"} </w:instrText>
            </w:r>
            <w:r>
              <w:rPr>
                <w:rFonts w:cs="Times New Roman"/>
              </w:rPr>
              <w:fldChar w:fldCharType="separate"/>
            </w:r>
            <w:r>
              <w:rPr>
                <w:rFonts w:cs="Times New Roman"/>
                <w:kern w:val="0"/>
                <w:szCs w:val="24"/>
                <w:vertAlign w:val="superscript"/>
              </w:rPr>
              <w:t>4</w:t>
            </w:r>
            <w:r>
              <w:rPr>
                <w:rFonts w:cs="Times New Roman"/>
              </w:rPr>
              <w:fldChar w:fldCharType="end"/>
            </w:r>
          </w:p>
        </w:tc>
      </w:tr>
      <w:tr w:rsidR="003C50E1" w14:paraId="311CF816" w14:textId="77777777">
        <w:trPr>
          <w:jc w:val="center"/>
        </w:trPr>
        <w:tc>
          <w:tcPr>
            <w:tcW w:w="2493" w:type="dxa"/>
            <w:tcBorders>
              <w:top w:val="nil"/>
              <w:left w:val="nil"/>
              <w:bottom w:val="single" w:sz="12" w:space="0" w:color="auto"/>
              <w:right w:val="nil"/>
            </w:tcBorders>
            <w:shd w:val="clear" w:color="auto" w:fill="auto"/>
            <w:vAlign w:val="center"/>
          </w:tcPr>
          <w:p w14:paraId="5D1D877F" w14:textId="77777777" w:rsidR="003C50E1" w:rsidRDefault="00F32BF9">
            <w:pPr>
              <w:spacing w:line="360" w:lineRule="auto"/>
              <w:jc w:val="center"/>
              <w:rPr>
                <w:rFonts w:cs="Times New Roman"/>
                <w:color w:val="000000" w:themeColor="text1"/>
                <w:szCs w:val="21"/>
              </w:rPr>
            </w:pPr>
            <w:r>
              <w:rPr>
                <w:rFonts w:cs="Times New Roman"/>
              </w:rPr>
              <w:t>Fe(CN)</w:t>
            </w:r>
            <w:r>
              <w:rPr>
                <w:rFonts w:cs="Times New Roman"/>
                <w:vertAlign w:val="subscript"/>
              </w:rPr>
              <w:t>6</w:t>
            </w:r>
            <w:r>
              <w:rPr>
                <w:rFonts w:cs="Times New Roman"/>
                <w:vertAlign w:val="superscript"/>
              </w:rPr>
              <w:t>4-/3-</w:t>
            </w:r>
          </w:p>
        </w:tc>
        <w:tc>
          <w:tcPr>
            <w:tcW w:w="1385" w:type="dxa"/>
            <w:tcBorders>
              <w:top w:val="nil"/>
              <w:left w:val="nil"/>
              <w:bottom w:val="single" w:sz="12" w:space="0" w:color="auto"/>
              <w:right w:val="nil"/>
            </w:tcBorders>
            <w:vAlign w:val="center"/>
          </w:tcPr>
          <w:p w14:paraId="50E3FDAF" w14:textId="77777777" w:rsidR="003C50E1" w:rsidRDefault="00F32BF9">
            <w:pPr>
              <w:spacing w:line="360" w:lineRule="auto"/>
              <w:jc w:val="center"/>
              <w:rPr>
                <w:rFonts w:cs="Times New Roman"/>
                <w:color w:val="000000" w:themeColor="text1"/>
                <w:szCs w:val="21"/>
              </w:rPr>
            </w:pPr>
            <w:r>
              <w:rPr>
                <w:rFonts w:cs="Times New Roman"/>
                <w:color w:val="000000" w:themeColor="text1"/>
                <w:szCs w:val="21"/>
              </w:rPr>
              <w:t>—</w:t>
            </w:r>
          </w:p>
        </w:tc>
        <w:tc>
          <w:tcPr>
            <w:tcW w:w="1797" w:type="dxa"/>
            <w:tcBorders>
              <w:top w:val="nil"/>
              <w:left w:val="nil"/>
              <w:bottom w:val="single" w:sz="12" w:space="0" w:color="auto"/>
              <w:right w:val="nil"/>
            </w:tcBorders>
            <w:shd w:val="clear" w:color="auto" w:fill="auto"/>
            <w:vAlign w:val="center"/>
          </w:tcPr>
          <w:p w14:paraId="558807A7" w14:textId="77777777" w:rsidR="003C50E1" w:rsidRDefault="00F32BF9">
            <w:pPr>
              <w:spacing w:line="360" w:lineRule="auto"/>
              <w:jc w:val="center"/>
              <w:rPr>
                <w:rFonts w:cs="Times New Roman"/>
                <w:color w:val="000000" w:themeColor="text1"/>
                <w:szCs w:val="21"/>
              </w:rPr>
            </w:pPr>
            <w:r>
              <w:rPr>
                <w:rFonts w:cs="Times New Roman"/>
                <w:color w:val="000000" w:themeColor="text1"/>
                <w:szCs w:val="21"/>
              </w:rPr>
              <w:t>0.338</w:t>
            </w:r>
          </w:p>
        </w:tc>
        <w:tc>
          <w:tcPr>
            <w:tcW w:w="756" w:type="dxa"/>
            <w:tcBorders>
              <w:top w:val="nil"/>
              <w:left w:val="nil"/>
              <w:bottom w:val="single" w:sz="12" w:space="0" w:color="auto"/>
              <w:right w:val="nil"/>
            </w:tcBorders>
            <w:vAlign w:val="center"/>
          </w:tcPr>
          <w:p w14:paraId="5E9A6CC7" w14:textId="77777777" w:rsidR="003C50E1" w:rsidRDefault="00F32BF9">
            <w:pPr>
              <w:spacing w:line="360" w:lineRule="auto"/>
              <w:jc w:val="center"/>
              <w:rPr>
                <w:rFonts w:cs="Times New Roman"/>
              </w:rPr>
            </w:pPr>
            <w:r>
              <w:rPr>
                <w:rFonts w:cs="Times New Roman"/>
              </w:rPr>
              <w:t>2.63</w:t>
            </w:r>
          </w:p>
        </w:tc>
        <w:tc>
          <w:tcPr>
            <w:tcW w:w="1875" w:type="dxa"/>
            <w:tcBorders>
              <w:top w:val="nil"/>
              <w:left w:val="nil"/>
              <w:bottom w:val="single" w:sz="12" w:space="0" w:color="auto"/>
              <w:right w:val="nil"/>
            </w:tcBorders>
            <w:vAlign w:val="center"/>
          </w:tcPr>
          <w:p w14:paraId="654C09B3" w14:textId="77777777" w:rsidR="003C50E1" w:rsidRDefault="00F32BF9">
            <w:pPr>
              <w:spacing w:line="360" w:lineRule="auto"/>
              <w:jc w:val="center"/>
              <w:rPr>
                <w:rFonts w:cs="Times New Roman"/>
              </w:rPr>
            </w:pPr>
            <w:r>
              <w:rPr>
                <w:rFonts w:cs="Times New Roman"/>
              </w:rPr>
              <w:fldChar w:fldCharType="begin"/>
            </w:r>
            <w:r>
              <w:rPr>
                <w:rFonts w:cs="Times New Roman"/>
              </w:rPr>
              <w:instrText xml:space="preserve"> ADDIN ZOTERO_ITEM CSL_CITATION {"citationID":"KKdlEuDv","properties":{"formattedCitation":"\\super 14\\nosupersub{}","plainCitation":"14","noteIndex":0},"citationItems":[{"id":447,"uris":["http://zotero.org/users/17092864/items/35MTP86Y"],"itemData":{"id":447,"type":"article-journal","container-title":"Advanced Materials","DOI":"10.1002/adma.201303295","ISSN":"0935-9648, 1521-4095","issue":"45","journalAbbreviation":"Advanced Materials","language":"en","license":"http://onlinelibrary.wiley.com/termsAndConditions#vor","page":"6602-6606","source":"DOI.org (Crossref)","title":"Carbon Nanotube – Reduced Graphene Oxide Composites for Thermal Energy Harvesting Applications","volume":"25","author":[{"family":"Romano","given":"Mark S."},{"family":"Li","given":"Na"},{"family":"Antiohos","given":"Dennis"},{"family":"Razal","given":"Joselito M."},{"family":"Nattestad","given":"Andrew"},{"family":"Beirne","given":"Stephen"},{"family":"Fang","given":"Shaoli"},{"family":"Chen","given":"Yongsheng"},{"family":"Jalili","given":"Rouhollah"},{"family":"Wallace","given":"Gordon G."},{"family":"Baughman","given":"Ray"},{"family":"Chen","given":"Jun"}],"issued":{"date-parts":[["2013",12]]}}}],"schema":"https://github.com/citation-style-language/schema/raw/master/csl-citation.json"} </w:instrText>
            </w:r>
            <w:r>
              <w:rPr>
                <w:rFonts w:cs="Times New Roman"/>
              </w:rPr>
              <w:fldChar w:fldCharType="separate"/>
            </w:r>
            <w:r>
              <w:rPr>
                <w:rFonts w:cs="Times New Roman"/>
                <w:kern w:val="0"/>
                <w:szCs w:val="24"/>
                <w:vertAlign w:val="superscript"/>
              </w:rPr>
              <w:t>14</w:t>
            </w:r>
            <w:r>
              <w:rPr>
                <w:rFonts w:cs="Times New Roman"/>
              </w:rPr>
              <w:fldChar w:fldCharType="end"/>
            </w:r>
          </w:p>
        </w:tc>
      </w:tr>
    </w:tbl>
    <w:p w14:paraId="3F663896" w14:textId="77777777" w:rsidR="003C50E1" w:rsidRDefault="003C50E1">
      <w:pPr>
        <w:spacing w:line="360" w:lineRule="auto"/>
        <w:rPr>
          <w:rFonts w:cs="Times New Roman"/>
          <w:b/>
          <w:bCs/>
        </w:rPr>
      </w:pPr>
    </w:p>
    <w:p w14:paraId="4F95AF1A" w14:textId="77777777" w:rsidR="003C50E1" w:rsidRDefault="00F32BF9">
      <w:pPr>
        <w:widowControl/>
        <w:spacing w:line="360" w:lineRule="auto"/>
        <w:jc w:val="left"/>
        <w:rPr>
          <w:rFonts w:cs="Times New Roman"/>
        </w:rPr>
      </w:pPr>
      <w:r>
        <w:rPr>
          <w:rFonts w:cs="Times New Roman"/>
        </w:rPr>
        <w:br w:type="page"/>
      </w:r>
    </w:p>
    <w:p w14:paraId="3C6B65C4" w14:textId="77777777" w:rsidR="003C50E1" w:rsidRDefault="00F32BF9">
      <w:pPr>
        <w:pStyle w:val="1"/>
        <w:spacing w:line="360" w:lineRule="auto"/>
        <w:rPr>
          <w:rFonts w:ascii="Times New Roman" w:hAnsi="Times New Roman" w:cs="Times New Roman"/>
          <w:sz w:val="28"/>
          <w:szCs w:val="28"/>
        </w:rPr>
      </w:pPr>
      <w:bookmarkStart w:id="12" w:name="_Toc172305014"/>
      <w:r>
        <w:rPr>
          <w:rFonts w:ascii="Times New Roman" w:hAnsi="Times New Roman" w:cs="Times New Roman"/>
          <w:sz w:val="28"/>
          <w:szCs w:val="28"/>
        </w:rPr>
        <w:lastRenderedPageBreak/>
        <w:t>Supplementary References</w:t>
      </w:r>
      <w:bookmarkEnd w:id="12"/>
    </w:p>
    <w:p w14:paraId="7F2BEA90" w14:textId="77777777" w:rsidR="003C50E1" w:rsidRDefault="00F32BF9">
      <w:pPr>
        <w:pStyle w:val="20"/>
        <w:rPr>
          <w:rFonts w:cs="Times New Roman"/>
        </w:rPr>
      </w:pPr>
      <w:r>
        <w:rPr>
          <w:szCs w:val="28"/>
        </w:rPr>
        <w:fldChar w:fldCharType="begin"/>
      </w:r>
      <w:r>
        <w:rPr>
          <w:szCs w:val="28"/>
        </w:rPr>
        <w:instrText xml:space="preserve"> ADDIN ZOTERO_BIBL {"uncited":[],"omitted":[],"custom":[]} CSL_BIBLIOGRAPHY </w:instrText>
      </w:r>
      <w:r>
        <w:rPr>
          <w:szCs w:val="28"/>
        </w:rPr>
        <w:fldChar w:fldCharType="separate"/>
      </w:r>
      <w:r>
        <w:rPr>
          <w:rFonts w:cs="Times New Roman"/>
        </w:rPr>
        <w:t>1.</w:t>
      </w:r>
      <w:r>
        <w:rPr>
          <w:rFonts w:cs="Times New Roman"/>
        </w:rPr>
        <w:tab/>
        <w:t xml:space="preserve">Zhang, D. </w:t>
      </w:r>
      <w:r>
        <w:rPr>
          <w:rFonts w:cs="Times New Roman"/>
          <w:i/>
          <w:iCs/>
        </w:rPr>
        <w:t>et al.</w:t>
      </w:r>
      <w:r>
        <w:rPr>
          <w:rFonts w:cs="Times New Roman"/>
        </w:rPr>
        <w:t xml:space="preserve"> Stretchable thermogalvanic hydrogel thermocell with record-high specific output power density enabled by ion-induced crystallization. </w:t>
      </w:r>
      <w:r>
        <w:rPr>
          <w:rFonts w:cs="Times New Roman"/>
          <w:i/>
          <w:iCs/>
        </w:rPr>
        <w:t>Energy Environ. Sci.</w:t>
      </w:r>
      <w:r>
        <w:rPr>
          <w:rFonts w:cs="Times New Roman"/>
        </w:rPr>
        <w:t xml:space="preserve"> </w:t>
      </w:r>
      <w:r>
        <w:rPr>
          <w:rFonts w:cs="Times New Roman"/>
          <w:b/>
          <w:bCs/>
        </w:rPr>
        <w:t>15</w:t>
      </w:r>
      <w:r>
        <w:rPr>
          <w:rFonts w:cs="Times New Roman"/>
        </w:rPr>
        <w:t>, 2974–2982 (2022).</w:t>
      </w:r>
      <w:bookmarkStart w:id="13" w:name="_GoBack"/>
      <w:bookmarkEnd w:id="13"/>
    </w:p>
    <w:p w14:paraId="52D298C3" w14:textId="77777777" w:rsidR="003C50E1" w:rsidRDefault="00F32BF9">
      <w:pPr>
        <w:pStyle w:val="20"/>
        <w:rPr>
          <w:rFonts w:cs="Times New Roman"/>
        </w:rPr>
      </w:pPr>
      <w:r>
        <w:rPr>
          <w:rFonts w:cs="Times New Roman"/>
        </w:rPr>
        <w:t>2.</w:t>
      </w:r>
      <w:r>
        <w:rPr>
          <w:rFonts w:cs="Times New Roman"/>
        </w:rPr>
        <w:tab/>
        <w:t xml:space="preserve">Wang, Y. </w:t>
      </w:r>
      <w:r>
        <w:rPr>
          <w:rFonts w:cs="Times New Roman"/>
          <w:i/>
          <w:iCs/>
        </w:rPr>
        <w:t>et al.</w:t>
      </w:r>
      <w:r>
        <w:rPr>
          <w:rFonts w:cs="Times New Roman"/>
        </w:rPr>
        <w:t xml:space="preserve"> In situ photocatalytically enhanced thermogalvanic cells for electricity and hydrogen production. </w:t>
      </w:r>
      <w:r>
        <w:rPr>
          <w:rFonts w:cs="Times New Roman"/>
          <w:i/>
          <w:iCs/>
        </w:rPr>
        <w:t>Science</w:t>
      </w:r>
      <w:r>
        <w:rPr>
          <w:rFonts w:cs="Times New Roman"/>
        </w:rPr>
        <w:t xml:space="preserve"> </w:t>
      </w:r>
      <w:r>
        <w:rPr>
          <w:rFonts w:cs="Times New Roman"/>
          <w:b/>
          <w:bCs/>
        </w:rPr>
        <w:t>381</w:t>
      </w:r>
      <w:r>
        <w:rPr>
          <w:rFonts w:cs="Times New Roman"/>
        </w:rPr>
        <w:t>, 291–296 (2023).</w:t>
      </w:r>
    </w:p>
    <w:p w14:paraId="743B53D1" w14:textId="77777777" w:rsidR="003C50E1" w:rsidRDefault="00F32BF9">
      <w:pPr>
        <w:pStyle w:val="20"/>
        <w:rPr>
          <w:rFonts w:cs="Times New Roman"/>
        </w:rPr>
      </w:pPr>
      <w:r>
        <w:rPr>
          <w:rFonts w:cs="Times New Roman"/>
        </w:rPr>
        <w:t>3.</w:t>
      </w:r>
      <w:r>
        <w:rPr>
          <w:rFonts w:cs="Times New Roman"/>
        </w:rPr>
        <w:tab/>
        <w:t xml:space="preserve">Yang, W. </w:t>
      </w:r>
      <w:r>
        <w:rPr>
          <w:rFonts w:cs="Times New Roman"/>
          <w:i/>
          <w:iCs/>
        </w:rPr>
        <w:t>et al.</w:t>
      </w:r>
      <w:r>
        <w:rPr>
          <w:rFonts w:cs="Times New Roman"/>
        </w:rPr>
        <w:t xml:space="preserve"> Two-Phase Flow Model to Define the Mass Transport in a Bicarbonate Electrolyzer for a CO</w:t>
      </w:r>
      <w:r>
        <w:rPr>
          <w:rFonts w:cs="Times New Roman"/>
          <w:vertAlign w:val="subscript"/>
        </w:rPr>
        <w:t>2</w:t>
      </w:r>
      <w:r>
        <w:rPr>
          <w:rFonts w:cs="Times New Roman"/>
        </w:rPr>
        <w:t xml:space="preserve"> Reduction Reaction. </w:t>
      </w:r>
      <w:r>
        <w:rPr>
          <w:rFonts w:cs="Times New Roman"/>
          <w:i/>
          <w:iCs/>
        </w:rPr>
        <w:t>Ind. Eng. Chem. Res.</w:t>
      </w:r>
      <w:r>
        <w:rPr>
          <w:rFonts w:cs="Times New Roman"/>
        </w:rPr>
        <w:t xml:space="preserve"> </w:t>
      </w:r>
      <w:r>
        <w:rPr>
          <w:rFonts w:cs="Times New Roman"/>
          <w:b/>
          <w:bCs/>
        </w:rPr>
        <w:t>62</w:t>
      </w:r>
      <w:r>
        <w:rPr>
          <w:rFonts w:cs="Times New Roman"/>
        </w:rPr>
        <w:t>, 16469–16480 (2023).</w:t>
      </w:r>
    </w:p>
    <w:p w14:paraId="230B771B" w14:textId="77777777" w:rsidR="003C50E1" w:rsidRDefault="00F32BF9">
      <w:pPr>
        <w:pStyle w:val="20"/>
        <w:rPr>
          <w:rFonts w:cs="Times New Roman"/>
        </w:rPr>
      </w:pPr>
      <w:r>
        <w:rPr>
          <w:rFonts w:cs="Times New Roman"/>
        </w:rPr>
        <w:t>4.</w:t>
      </w:r>
      <w:r>
        <w:rPr>
          <w:rFonts w:cs="Times New Roman"/>
        </w:rPr>
        <w:tab/>
        <w:t xml:space="preserve">Lei, Z., Gao, W. &amp; Wu, P. Double-network thermocells with extraordinary toughness and boosted power density for continuous heat harvesting. </w:t>
      </w:r>
      <w:r>
        <w:rPr>
          <w:rFonts w:cs="Times New Roman"/>
          <w:i/>
          <w:iCs/>
        </w:rPr>
        <w:t>Joule</w:t>
      </w:r>
      <w:r>
        <w:rPr>
          <w:rFonts w:cs="Times New Roman"/>
        </w:rPr>
        <w:t xml:space="preserve"> </w:t>
      </w:r>
      <w:r>
        <w:rPr>
          <w:rFonts w:cs="Times New Roman"/>
          <w:b/>
          <w:bCs/>
        </w:rPr>
        <w:t>5</w:t>
      </w:r>
      <w:r>
        <w:rPr>
          <w:rFonts w:cs="Times New Roman"/>
        </w:rPr>
        <w:t>, 2211–2222 (2021).</w:t>
      </w:r>
    </w:p>
    <w:p w14:paraId="09E51C28" w14:textId="77777777" w:rsidR="003C50E1" w:rsidRDefault="00F32BF9">
      <w:pPr>
        <w:pStyle w:val="20"/>
        <w:rPr>
          <w:rFonts w:cs="Times New Roman"/>
        </w:rPr>
      </w:pPr>
      <w:r>
        <w:rPr>
          <w:rFonts w:cs="Times New Roman"/>
        </w:rPr>
        <w:t>5.</w:t>
      </w:r>
      <w:r>
        <w:rPr>
          <w:rFonts w:cs="Times New Roman"/>
        </w:rPr>
        <w:tab/>
        <w:t xml:space="preserve">Yu, B. </w:t>
      </w:r>
      <w:r>
        <w:rPr>
          <w:rFonts w:cs="Times New Roman"/>
          <w:i/>
          <w:iCs/>
        </w:rPr>
        <w:t>et al.</w:t>
      </w:r>
      <w:r>
        <w:rPr>
          <w:rFonts w:cs="Times New Roman"/>
        </w:rPr>
        <w:t xml:space="preserve"> Thermosensitive crystallization–boosted liquid thermocells for low-grade heat harvesting. </w:t>
      </w:r>
      <w:r>
        <w:rPr>
          <w:rFonts w:cs="Times New Roman"/>
          <w:i/>
          <w:iCs/>
        </w:rPr>
        <w:t>Science</w:t>
      </w:r>
      <w:r>
        <w:rPr>
          <w:rFonts w:cs="Times New Roman"/>
        </w:rPr>
        <w:t xml:space="preserve"> </w:t>
      </w:r>
      <w:r>
        <w:rPr>
          <w:rFonts w:cs="Times New Roman"/>
          <w:b/>
          <w:bCs/>
        </w:rPr>
        <w:t>370</w:t>
      </w:r>
      <w:r>
        <w:rPr>
          <w:rFonts w:cs="Times New Roman"/>
        </w:rPr>
        <w:t>, 342–346 (2020).</w:t>
      </w:r>
    </w:p>
    <w:p w14:paraId="3575D9BD" w14:textId="68E2E57F" w:rsidR="003C50E1" w:rsidRDefault="00F32BF9">
      <w:pPr>
        <w:pStyle w:val="20"/>
        <w:rPr>
          <w:rFonts w:cs="Times New Roman"/>
        </w:rPr>
      </w:pPr>
      <w:r>
        <w:rPr>
          <w:rFonts w:cs="Times New Roman"/>
        </w:rPr>
        <w:t>6.</w:t>
      </w:r>
      <w:r>
        <w:rPr>
          <w:rFonts w:cs="Times New Roman"/>
        </w:rPr>
        <w:tab/>
        <w:t xml:space="preserve">Kim, K., Hwang, S. &amp; Lee, H. Unravelling ionic speciation and hydration structure of Fe(III/II) redox couples for thermoelectrochemical cells. </w:t>
      </w:r>
      <w:r>
        <w:rPr>
          <w:rFonts w:cs="Times New Roman"/>
          <w:i/>
          <w:iCs/>
        </w:rPr>
        <w:t>Electrochim</w:t>
      </w:r>
      <w:r w:rsidR="00BA5800">
        <w:rPr>
          <w:rFonts w:cs="Times New Roman"/>
          <w:i/>
          <w:iCs/>
        </w:rPr>
        <w:t>.</w:t>
      </w:r>
      <w:r>
        <w:rPr>
          <w:rFonts w:cs="Times New Roman"/>
          <w:i/>
          <w:iCs/>
        </w:rPr>
        <w:t xml:space="preserve"> Acta</w:t>
      </w:r>
      <w:r>
        <w:rPr>
          <w:rFonts w:cs="Times New Roman"/>
        </w:rPr>
        <w:t xml:space="preserve"> </w:t>
      </w:r>
      <w:r>
        <w:rPr>
          <w:rFonts w:cs="Times New Roman"/>
          <w:b/>
          <w:bCs/>
        </w:rPr>
        <w:t>335</w:t>
      </w:r>
      <w:r>
        <w:rPr>
          <w:rFonts w:cs="Times New Roman"/>
        </w:rPr>
        <w:t>, 135651 (2020).</w:t>
      </w:r>
    </w:p>
    <w:p w14:paraId="052EEBC6" w14:textId="6ED03406" w:rsidR="003C50E1" w:rsidRDefault="00F32BF9">
      <w:pPr>
        <w:pStyle w:val="20"/>
        <w:rPr>
          <w:rFonts w:cs="Times New Roman"/>
        </w:rPr>
      </w:pPr>
      <w:r>
        <w:rPr>
          <w:rFonts w:cs="Times New Roman"/>
        </w:rPr>
        <w:t>7.</w:t>
      </w:r>
      <w:r>
        <w:rPr>
          <w:rFonts w:cs="Times New Roman"/>
        </w:rPr>
        <w:tab/>
        <w:t xml:space="preserve">Kim, J. H. </w:t>
      </w:r>
      <w:r>
        <w:rPr>
          <w:rFonts w:cs="Times New Roman"/>
          <w:i/>
          <w:iCs/>
        </w:rPr>
        <w:t>et al.</w:t>
      </w:r>
      <w:r>
        <w:rPr>
          <w:rFonts w:cs="Times New Roman"/>
        </w:rPr>
        <w:t xml:space="preserve"> Iron (II/III) perchlorate electrolytes for electrochemically harvesting low-grade thermal energy. </w:t>
      </w:r>
      <w:r>
        <w:rPr>
          <w:rFonts w:cs="Times New Roman"/>
          <w:i/>
          <w:iCs/>
        </w:rPr>
        <w:t>Sci</w:t>
      </w:r>
      <w:r w:rsidR="00BA5800">
        <w:rPr>
          <w:rFonts w:cs="Times New Roman"/>
          <w:i/>
          <w:iCs/>
        </w:rPr>
        <w:t>.</w:t>
      </w:r>
      <w:r>
        <w:rPr>
          <w:rFonts w:cs="Times New Roman"/>
          <w:i/>
          <w:iCs/>
        </w:rPr>
        <w:t xml:space="preserve"> Rep</w:t>
      </w:r>
      <w:r w:rsidR="00BA5800">
        <w:rPr>
          <w:rFonts w:cs="Times New Roman"/>
          <w:i/>
          <w:iCs/>
        </w:rPr>
        <w:t>.</w:t>
      </w:r>
      <w:r>
        <w:rPr>
          <w:rFonts w:cs="Times New Roman"/>
        </w:rPr>
        <w:t xml:space="preserve"> </w:t>
      </w:r>
      <w:r>
        <w:rPr>
          <w:rFonts w:cs="Times New Roman"/>
          <w:b/>
          <w:bCs/>
        </w:rPr>
        <w:t>9</w:t>
      </w:r>
      <w:r>
        <w:rPr>
          <w:rFonts w:cs="Times New Roman"/>
        </w:rPr>
        <w:t>, 8706 (2019).</w:t>
      </w:r>
    </w:p>
    <w:p w14:paraId="7417C2AC" w14:textId="14C723C7" w:rsidR="003C50E1" w:rsidRDefault="00F32BF9">
      <w:pPr>
        <w:pStyle w:val="20"/>
        <w:rPr>
          <w:rFonts w:cs="Times New Roman"/>
        </w:rPr>
      </w:pPr>
      <w:r>
        <w:rPr>
          <w:rFonts w:cs="Times New Roman"/>
        </w:rPr>
        <w:t>8.</w:t>
      </w:r>
      <w:r>
        <w:rPr>
          <w:rFonts w:cs="Times New Roman"/>
        </w:rPr>
        <w:tab/>
        <w:t xml:space="preserve">Li, G. </w:t>
      </w:r>
      <w:r>
        <w:rPr>
          <w:rFonts w:cs="Times New Roman"/>
          <w:i/>
          <w:iCs/>
        </w:rPr>
        <w:t>et al.</w:t>
      </w:r>
      <w:r>
        <w:rPr>
          <w:rFonts w:cs="Times New Roman"/>
        </w:rPr>
        <w:t xml:space="preserve"> High‐Efficiency Cryo‐Thermocells Assembled with Anisotropic Holey Graphene Aerogel Electrodes and a Eutectic Redox Electrolyte. </w:t>
      </w:r>
      <w:r>
        <w:rPr>
          <w:rFonts w:cs="Times New Roman"/>
          <w:i/>
          <w:iCs/>
        </w:rPr>
        <w:t>Adv</w:t>
      </w:r>
      <w:r w:rsidR="00BA5800">
        <w:rPr>
          <w:rFonts w:cs="Times New Roman"/>
          <w:i/>
          <w:iCs/>
        </w:rPr>
        <w:t>.</w:t>
      </w:r>
      <w:r>
        <w:rPr>
          <w:rFonts w:cs="Times New Roman"/>
          <w:i/>
          <w:iCs/>
        </w:rPr>
        <w:t xml:space="preserve"> Mater</w:t>
      </w:r>
      <w:r w:rsidR="00BA5800">
        <w:rPr>
          <w:rFonts w:cs="Times New Roman"/>
          <w:i/>
          <w:iCs/>
        </w:rPr>
        <w:t>.</w:t>
      </w:r>
      <w:r>
        <w:rPr>
          <w:rFonts w:cs="Times New Roman"/>
        </w:rPr>
        <w:t xml:space="preserve"> </w:t>
      </w:r>
      <w:r>
        <w:rPr>
          <w:rFonts w:cs="Times New Roman"/>
          <w:b/>
          <w:bCs/>
        </w:rPr>
        <w:t>31</w:t>
      </w:r>
      <w:r>
        <w:rPr>
          <w:rFonts w:cs="Times New Roman"/>
        </w:rPr>
        <w:t>, 1901403 (2019).</w:t>
      </w:r>
    </w:p>
    <w:p w14:paraId="4E944615" w14:textId="42AA356A" w:rsidR="003C50E1" w:rsidRDefault="00F32BF9">
      <w:pPr>
        <w:pStyle w:val="20"/>
        <w:rPr>
          <w:rFonts w:cs="Times New Roman"/>
        </w:rPr>
      </w:pPr>
      <w:r>
        <w:rPr>
          <w:rFonts w:cs="Times New Roman"/>
        </w:rPr>
        <w:t>9.</w:t>
      </w:r>
      <w:r>
        <w:rPr>
          <w:rFonts w:cs="Times New Roman"/>
        </w:rPr>
        <w:tab/>
        <w:t xml:space="preserve">Duan, J. </w:t>
      </w:r>
      <w:r>
        <w:rPr>
          <w:rFonts w:cs="Times New Roman"/>
          <w:i/>
          <w:iCs/>
        </w:rPr>
        <w:t>et al.</w:t>
      </w:r>
      <w:r>
        <w:rPr>
          <w:rFonts w:cs="Times New Roman"/>
        </w:rPr>
        <w:t xml:space="preserve"> Aqueous thermogalvanic cells with a high Seebeck coefficient for low-grade heat harvest. </w:t>
      </w:r>
      <w:r>
        <w:rPr>
          <w:rFonts w:cs="Times New Roman"/>
          <w:i/>
          <w:iCs/>
        </w:rPr>
        <w:t>Nat</w:t>
      </w:r>
      <w:r w:rsidR="00BA5800">
        <w:rPr>
          <w:rFonts w:cs="Times New Roman"/>
          <w:i/>
          <w:iCs/>
        </w:rPr>
        <w:t>.</w:t>
      </w:r>
      <w:r>
        <w:rPr>
          <w:rFonts w:cs="Times New Roman"/>
          <w:i/>
          <w:iCs/>
        </w:rPr>
        <w:t xml:space="preserve"> Commun</w:t>
      </w:r>
      <w:r w:rsidR="00BA5800">
        <w:rPr>
          <w:rFonts w:cs="Times New Roman"/>
          <w:i/>
          <w:iCs/>
        </w:rPr>
        <w:t>.</w:t>
      </w:r>
      <w:r>
        <w:rPr>
          <w:rFonts w:cs="Times New Roman"/>
        </w:rPr>
        <w:t xml:space="preserve"> </w:t>
      </w:r>
      <w:r>
        <w:rPr>
          <w:rFonts w:cs="Times New Roman"/>
          <w:b/>
          <w:bCs/>
        </w:rPr>
        <w:t>9</w:t>
      </w:r>
      <w:r>
        <w:rPr>
          <w:rFonts w:cs="Times New Roman"/>
        </w:rPr>
        <w:t>, 5146 (2018).</w:t>
      </w:r>
    </w:p>
    <w:p w14:paraId="29516860" w14:textId="77777777" w:rsidR="003C50E1" w:rsidRDefault="00F32BF9">
      <w:pPr>
        <w:pStyle w:val="20"/>
        <w:rPr>
          <w:rFonts w:cs="Times New Roman"/>
        </w:rPr>
      </w:pPr>
      <w:r>
        <w:rPr>
          <w:rFonts w:cs="Times New Roman"/>
        </w:rPr>
        <w:t>10.</w:t>
      </w:r>
      <w:r>
        <w:rPr>
          <w:rFonts w:cs="Times New Roman"/>
        </w:rPr>
        <w:tab/>
        <w:t xml:space="preserve">Zhou, H., Yamada, T. &amp; Kimizuka, N. Supramolecular Thermo-Electrochemical Cells: Enhanced Thermoelectric Performance by Host–Guest Complexation and Salt-Induced Crystallization. </w:t>
      </w:r>
      <w:r>
        <w:rPr>
          <w:rFonts w:cs="Times New Roman"/>
          <w:i/>
          <w:iCs/>
        </w:rPr>
        <w:t>J. Am. Chem. Soc.</w:t>
      </w:r>
      <w:r>
        <w:rPr>
          <w:rFonts w:cs="Times New Roman"/>
        </w:rPr>
        <w:t xml:space="preserve"> </w:t>
      </w:r>
      <w:r>
        <w:rPr>
          <w:rFonts w:cs="Times New Roman"/>
          <w:b/>
          <w:bCs/>
        </w:rPr>
        <w:t>138</w:t>
      </w:r>
      <w:r>
        <w:rPr>
          <w:rFonts w:cs="Times New Roman"/>
        </w:rPr>
        <w:t>, 10502–10507 (2016).</w:t>
      </w:r>
    </w:p>
    <w:p w14:paraId="331DEF10" w14:textId="77777777" w:rsidR="003C50E1" w:rsidRDefault="00F32BF9">
      <w:pPr>
        <w:pStyle w:val="20"/>
        <w:rPr>
          <w:rFonts w:cs="Times New Roman"/>
        </w:rPr>
      </w:pPr>
      <w:r>
        <w:rPr>
          <w:rFonts w:cs="Times New Roman"/>
        </w:rPr>
        <w:t>11.</w:t>
      </w:r>
      <w:r>
        <w:rPr>
          <w:rFonts w:cs="Times New Roman"/>
        </w:rPr>
        <w:tab/>
        <w:t xml:space="preserve">Salazar, P. F., Stephens, S. T., Kazim, A. H., Pringle, J. M. &amp; Cola, B. A. Enhanced </w:t>
      </w:r>
      <w:r>
        <w:rPr>
          <w:rFonts w:cs="Times New Roman"/>
        </w:rPr>
        <w:lastRenderedPageBreak/>
        <w:t xml:space="preserve">thermo-electrochemical power using carbon nanotube additives in ionic liquid redox electrolytes. </w:t>
      </w:r>
      <w:r>
        <w:rPr>
          <w:rFonts w:cs="Times New Roman"/>
          <w:i/>
          <w:iCs/>
        </w:rPr>
        <w:t>J. Mater. Chem. A</w:t>
      </w:r>
      <w:r>
        <w:rPr>
          <w:rFonts w:cs="Times New Roman"/>
        </w:rPr>
        <w:t xml:space="preserve"> </w:t>
      </w:r>
      <w:r>
        <w:rPr>
          <w:rFonts w:cs="Times New Roman"/>
          <w:b/>
          <w:bCs/>
        </w:rPr>
        <w:t>2</w:t>
      </w:r>
      <w:r>
        <w:rPr>
          <w:rFonts w:cs="Times New Roman"/>
        </w:rPr>
        <w:t>, 20676–20682 (2014).</w:t>
      </w:r>
    </w:p>
    <w:p w14:paraId="1E68F788" w14:textId="398AC05C" w:rsidR="003C50E1" w:rsidRDefault="00F32BF9">
      <w:pPr>
        <w:pStyle w:val="20"/>
        <w:rPr>
          <w:rFonts w:cs="Times New Roman"/>
        </w:rPr>
      </w:pPr>
      <w:r>
        <w:rPr>
          <w:rFonts w:cs="Times New Roman"/>
        </w:rPr>
        <w:t>12.</w:t>
      </w:r>
      <w:r>
        <w:rPr>
          <w:rFonts w:cs="Times New Roman"/>
        </w:rPr>
        <w:tab/>
        <w:t xml:space="preserve">Qian, W., Cao, M., Xie, F. &amp; Dong, C. Thermo-Electrochemical Cells Based on Carbon Nanotube Electrodes by Electrophoretic Deposition. </w:t>
      </w:r>
      <w:r>
        <w:rPr>
          <w:rFonts w:cs="Times New Roman"/>
          <w:i/>
          <w:iCs/>
        </w:rPr>
        <w:t>Nano-Micro</w:t>
      </w:r>
      <w:r w:rsidR="00BA5800">
        <w:rPr>
          <w:rFonts w:cs="Times New Roman"/>
          <w:i/>
          <w:iCs/>
        </w:rPr>
        <w:t>.</w:t>
      </w:r>
      <w:r>
        <w:rPr>
          <w:rFonts w:cs="Times New Roman"/>
          <w:i/>
          <w:iCs/>
        </w:rPr>
        <w:t xml:space="preserve"> Lett.</w:t>
      </w:r>
      <w:r>
        <w:rPr>
          <w:rFonts w:cs="Times New Roman"/>
        </w:rPr>
        <w:t xml:space="preserve"> </w:t>
      </w:r>
      <w:r>
        <w:rPr>
          <w:rFonts w:cs="Times New Roman"/>
          <w:b/>
          <w:bCs/>
        </w:rPr>
        <w:t>8</w:t>
      </w:r>
      <w:r>
        <w:rPr>
          <w:rFonts w:cs="Times New Roman"/>
        </w:rPr>
        <w:t>, 240–246 (2016).</w:t>
      </w:r>
    </w:p>
    <w:p w14:paraId="3BECD128" w14:textId="77777777" w:rsidR="003C50E1" w:rsidRDefault="00F32BF9">
      <w:pPr>
        <w:pStyle w:val="20"/>
        <w:rPr>
          <w:rFonts w:cs="Times New Roman"/>
        </w:rPr>
      </w:pPr>
      <w:r>
        <w:rPr>
          <w:rFonts w:cs="Times New Roman"/>
        </w:rPr>
        <w:t>13.</w:t>
      </w:r>
      <w:r>
        <w:rPr>
          <w:rFonts w:cs="Times New Roman"/>
        </w:rPr>
        <w:tab/>
        <w:t xml:space="preserve">Hu, R. </w:t>
      </w:r>
      <w:r>
        <w:rPr>
          <w:rFonts w:cs="Times New Roman"/>
          <w:i/>
          <w:iCs/>
        </w:rPr>
        <w:t>et al.</w:t>
      </w:r>
      <w:r>
        <w:rPr>
          <w:rFonts w:cs="Times New Roman"/>
        </w:rPr>
        <w:t xml:space="preserve"> Harvesting Waste Thermal Energy Using a Carbon-Nanotube-Based Thermo-Electrochemical Cell. </w:t>
      </w:r>
      <w:r>
        <w:rPr>
          <w:rFonts w:cs="Times New Roman"/>
          <w:i/>
          <w:iCs/>
        </w:rPr>
        <w:t>Nano Lett.</w:t>
      </w:r>
      <w:r>
        <w:rPr>
          <w:rFonts w:cs="Times New Roman"/>
        </w:rPr>
        <w:t xml:space="preserve"> </w:t>
      </w:r>
      <w:r>
        <w:rPr>
          <w:rFonts w:cs="Times New Roman"/>
          <w:b/>
          <w:bCs/>
        </w:rPr>
        <w:t>10</w:t>
      </w:r>
      <w:r>
        <w:rPr>
          <w:rFonts w:cs="Times New Roman"/>
        </w:rPr>
        <w:t>, 838–846 (2010).</w:t>
      </w:r>
    </w:p>
    <w:p w14:paraId="0720C094" w14:textId="07AAABBA" w:rsidR="003C50E1" w:rsidRDefault="00F32BF9">
      <w:pPr>
        <w:pStyle w:val="20"/>
        <w:rPr>
          <w:rFonts w:cs="Times New Roman"/>
        </w:rPr>
      </w:pPr>
      <w:r>
        <w:rPr>
          <w:rFonts w:cs="Times New Roman"/>
        </w:rPr>
        <w:t>14.</w:t>
      </w:r>
      <w:r>
        <w:rPr>
          <w:rFonts w:cs="Times New Roman"/>
        </w:rPr>
        <w:tab/>
        <w:t xml:space="preserve">Romano, M. S. </w:t>
      </w:r>
      <w:r>
        <w:rPr>
          <w:rFonts w:cs="Times New Roman"/>
          <w:i/>
          <w:iCs/>
        </w:rPr>
        <w:t>et al.</w:t>
      </w:r>
      <w:r>
        <w:rPr>
          <w:rFonts w:cs="Times New Roman"/>
        </w:rPr>
        <w:t xml:space="preserve"> Carbon Nanotube – Reduced Graphene Oxide Composites for Thermal Energy Harvesting Applications. </w:t>
      </w:r>
      <w:r w:rsidR="00BA5800">
        <w:rPr>
          <w:rFonts w:cs="Times New Roman"/>
          <w:i/>
          <w:iCs/>
        </w:rPr>
        <w:t>Adv. Mater.</w:t>
      </w:r>
      <w:r>
        <w:rPr>
          <w:rFonts w:cs="Times New Roman"/>
        </w:rPr>
        <w:t xml:space="preserve"> </w:t>
      </w:r>
      <w:r>
        <w:rPr>
          <w:rFonts w:cs="Times New Roman"/>
          <w:b/>
          <w:bCs/>
        </w:rPr>
        <w:t>25</w:t>
      </w:r>
      <w:r>
        <w:rPr>
          <w:rFonts w:cs="Times New Roman"/>
        </w:rPr>
        <w:t>, 6602–6606 (2013).</w:t>
      </w:r>
    </w:p>
    <w:p w14:paraId="0E88A777" w14:textId="77777777" w:rsidR="003C50E1" w:rsidRDefault="00F32BF9">
      <w:pPr>
        <w:pStyle w:val="EndNoteBibliography"/>
        <w:ind w:leftChars="0" w:left="0" w:firstLine="0"/>
        <w:rPr>
          <w:rFonts w:eastAsiaTheme="minorEastAsia"/>
          <w:szCs w:val="28"/>
        </w:rPr>
      </w:pPr>
      <w:r>
        <w:rPr>
          <w:szCs w:val="28"/>
        </w:rPr>
        <w:fldChar w:fldCharType="end"/>
      </w:r>
    </w:p>
    <w:sectPr w:rsidR="003C50E1" w:rsidSect="00427952">
      <w:footerReference w:type="default" r:id="rId43"/>
      <w:pgSz w:w="11906" w:h="16838" w:code="9"/>
      <w:pgMar w:top="1440" w:right="1797" w:bottom="1440" w:left="1797" w:header="851" w:footer="68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3B7CE8" w14:textId="77777777" w:rsidR="00B738BC" w:rsidRDefault="00B738BC">
      <w:pPr>
        <w:spacing w:line="240" w:lineRule="auto"/>
      </w:pPr>
      <w:r>
        <w:separator/>
      </w:r>
    </w:p>
  </w:endnote>
  <w:endnote w:type="continuationSeparator" w:id="0">
    <w:p w14:paraId="1E90B33F" w14:textId="77777777" w:rsidR="00B738BC" w:rsidRDefault="00B738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019276"/>
    </w:sdtPr>
    <w:sdtEndPr/>
    <w:sdtContent>
      <w:p w14:paraId="721D2717" w14:textId="75484586" w:rsidR="003C50E1" w:rsidRDefault="00F32BF9" w:rsidP="00986793">
        <w:pPr>
          <w:pStyle w:val="a3"/>
          <w:jc w:val="center"/>
          <w:rPr>
            <w:rFonts w:hint="eastAsia"/>
          </w:rPr>
        </w:pPr>
        <w:r>
          <w:fldChar w:fldCharType="begin"/>
        </w:r>
        <w:r>
          <w:instrText>PAGE   \* MERGEFORMAT</w:instrText>
        </w:r>
        <w:r>
          <w:fldChar w:fldCharType="separate"/>
        </w:r>
        <w:r w:rsidR="00427952" w:rsidRPr="00427952">
          <w:rPr>
            <w:noProof/>
            <w:lang w:val="zh-CN"/>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0E0B7F" w14:textId="77777777" w:rsidR="00B738BC" w:rsidRDefault="00B738BC">
      <w:pPr>
        <w:spacing w:line="240" w:lineRule="auto"/>
      </w:pPr>
      <w:r>
        <w:separator/>
      </w:r>
    </w:p>
  </w:footnote>
  <w:footnote w:type="continuationSeparator" w:id="0">
    <w:p w14:paraId="3221CAB1" w14:textId="77777777" w:rsidR="00B738BC" w:rsidRDefault="00B738B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DBB513B"/>
    <w:multiLevelType w:val="singleLevel"/>
    <w:tmpl w:val="6DBB513B"/>
    <w:lvl w:ilvl="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A4ZmFlNDAzY2E0YzdhYWJlMTg4MjRiODI2YmRjZjQifQ=="/>
    <w:docVar w:name="EN.InstantFormat" w:val="&lt;ENInstantFormat&gt;&lt;Enabled&gt;1&lt;/Enabled&gt;&lt;ScanUnformatted&gt;1&lt;/ScanUnformatted&gt;&lt;ScanChanges&gt;1&lt;/ScanChanges&gt;&lt;Suspended&gt;0&lt;/Suspended&gt;&lt;/ENInstantFormat&gt;"/>
    <w:docVar w:name="EN.Layout" w:val="&lt;ENLayout&gt;&lt;Style&gt;Angewandte Chemie 复制&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59zwrve55xsdbedtv0xxz54perd5wzazxvd&quot;&gt;我的EndNote库&lt;record-ids&gt;&lt;item&gt;37&lt;/item&gt;&lt;item&gt;168&lt;/item&gt;&lt;item&gt;242&lt;/item&gt;&lt;item&gt;259&lt;/item&gt;&lt;item&gt;260&lt;/item&gt;&lt;item&gt;261&lt;/item&gt;&lt;/record-ids&gt;&lt;/item&gt;&lt;/Libraries&gt;"/>
  </w:docVars>
  <w:rsids>
    <w:rsidRoot w:val="00253E24"/>
    <w:rsid w:val="00001B72"/>
    <w:rsid w:val="00011E43"/>
    <w:rsid w:val="00017606"/>
    <w:rsid w:val="00017FC8"/>
    <w:rsid w:val="000221EC"/>
    <w:rsid w:val="00027F15"/>
    <w:rsid w:val="0006061C"/>
    <w:rsid w:val="00073C7C"/>
    <w:rsid w:val="00075303"/>
    <w:rsid w:val="000761F4"/>
    <w:rsid w:val="000875C6"/>
    <w:rsid w:val="00095D85"/>
    <w:rsid w:val="000A2A52"/>
    <w:rsid w:val="000B20A5"/>
    <w:rsid w:val="000B74AB"/>
    <w:rsid w:val="000C48A5"/>
    <w:rsid w:val="000D00ED"/>
    <w:rsid w:val="000D1DC2"/>
    <w:rsid w:val="000E5871"/>
    <w:rsid w:val="000F18FD"/>
    <w:rsid w:val="00103FE4"/>
    <w:rsid w:val="00122851"/>
    <w:rsid w:val="00124820"/>
    <w:rsid w:val="00140EE4"/>
    <w:rsid w:val="00154440"/>
    <w:rsid w:val="0016279C"/>
    <w:rsid w:val="00166CCE"/>
    <w:rsid w:val="001718C5"/>
    <w:rsid w:val="00175365"/>
    <w:rsid w:val="00180EF0"/>
    <w:rsid w:val="001975AD"/>
    <w:rsid w:val="00197620"/>
    <w:rsid w:val="00197DD1"/>
    <w:rsid w:val="001C10B5"/>
    <w:rsid w:val="001C79E0"/>
    <w:rsid w:val="001D0E45"/>
    <w:rsid w:val="001D4C37"/>
    <w:rsid w:val="001E2055"/>
    <w:rsid w:val="001E2961"/>
    <w:rsid w:val="001F36C6"/>
    <w:rsid w:val="00231517"/>
    <w:rsid w:val="00233517"/>
    <w:rsid w:val="00253E24"/>
    <w:rsid w:val="002601EB"/>
    <w:rsid w:val="00263DE1"/>
    <w:rsid w:val="0027076E"/>
    <w:rsid w:val="0027657F"/>
    <w:rsid w:val="0028679E"/>
    <w:rsid w:val="00292867"/>
    <w:rsid w:val="002A3314"/>
    <w:rsid w:val="002A5F52"/>
    <w:rsid w:val="002B0917"/>
    <w:rsid w:val="002F6347"/>
    <w:rsid w:val="003030D7"/>
    <w:rsid w:val="003208D5"/>
    <w:rsid w:val="00320A11"/>
    <w:rsid w:val="00341E4D"/>
    <w:rsid w:val="00345E21"/>
    <w:rsid w:val="00346CF3"/>
    <w:rsid w:val="00361660"/>
    <w:rsid w:val="0036243A"/>
    <w:rsid w:val="00376733"/>
    <w:rsid w:val="00383396"/>
    <w:rsid w:val="00383BFA"/>
    <w:rsid w:val="003A676B"/>
    <w:rsid w:val="003B1D5B"/>
    <w:rsid w:val="003B3B2D"/>
    <w:rsid w:val="003B4A34"/>
    <w:rsid w:val="003B74E3"/>
    <w:rsid w:val="003C0BBA"/>
    <w:rsid w:val="003C2765"/>
    <w:rsid w:val="003C50E1"/>
    <w:rsid w:val="003C738C"/>
    <w:rsid w:val="003D21DF"/>
    <w:rsid w:val="003E319E"/>
    <w:rsid w:val="003E653E"/>
    <w:rsid w:val="00400CD2"/>
    <w:rsid w:val="00404F96"/>
    <w:rsid w:val="004069A6"/>
    <w:rsid w:val="00410352"/>
    <w:rsid w:val="004117CB"/>
    <w:rsid w:val="00411B78"/>
    <w:rsid w:val="00427952"/>
    <w:rsid w:val="00446212"/>
    <w:rsid w:val="004476F7"/>
    <w:rsid w:val="004579BE"/>
    <w:rsid w:val="0046253B"/>
    <w:rsid w:val="00464D4A"/>
    <w:rsid w:val="00471E09"/>
    <w:rsid w:val="00487BC3"/>
    <w:rsid w:val="004A0323"/>
    <w:rsid w:val="004B23C2"/>
    <w:rsid w:val="004B5AFB"/>
    <w:rsid w:val="004C7595"/>
    <w:rsid w:val="004D1D23"/>
    <w:rsid w:val="004E143E"/>
    <w:rsid w:val="004E3D48"/>
    <w:rsid w:val="004E4E74"/>
    <w:rsid w:val="00502EB4"/>
    <w:rsid w:val="00532C01"/>
    <w:rsid w:val="005419B6"/>
    <w:rsid w:val="00550FDE"/>
    <w:rsid w:val="00572631"/>
    <w:rsid w:val="005844D5"/>
    <w:rsid w:val="005A011B"/>
    <w:rsid w:val="005B041E"/>
    <w:rsid w:val="005C241B"/>
    <w:rsid w:val="005C4DBB"/>
    <w:rsid w:val="005F5111"/>
    <w:rsid w:val="00601E05"/>
    <w:rsid w:val="00607E3C"/>
    <w:rsid w:val="00611671"/>
    <w:rsid w:val="00613607"/>
    <w:rsid w:val="00613D78"/>
    <w:rsid w:val="006217E8"/>
    <w:rsid w:val="006222B9"/>
    <w:rsid w:val="006306A4"/>
    <w:rsid w:val="0063373E"/>
    <w:rsid w:val="00633D51"/>
    <w:rsid w:val="0063794D"/>
    <w:rsid w:val="00657410"/>
    <w:rsid w:val="00665274"/>
    <w:rsid w:val="0067707C"/>
    <w:rsid w:val="0069101B"/>
    <w:rsid w:val="00691ADA"/>
    <w:rsid w:val="00696679"/>
    <w:rsid w:val="006A7214"/>
    <w:rsid w:val="006B132F"/>
    <w:rsid w:val="006B626B"/>
    <w:rsid w:val="006C06F4"/>
    <w:rsid w:val="006C2294"/>
    <w:rsid w:val="006D6053"/>
    <w:rsid w:val="006E1DEC"/>
    <w:rsid w:val="006E2D6E"/>
    <w:rsid w:val="006E4DE7"/>
    <w:rsid w:val="007021A4"/>
    <w:rsid w:val="0071496A"/>
    <w:rsid w:val="00716712"/>
    <w:rsid w:val="00737D7E"/>
    <w:rsid w:val="0074092B"/>
    <w:rsid w:val="00764916"/>
    <w:rsid w:val="00767C26"/>
    <w:rsid w:val="00773793"/>
    <w:rsid w:val="00786B6F"/>
    <w:rsid w:val="007908C4"/>
    <w:rsid w:val="00797ECC"/>
    <w:rsid w:val="007A036B"/>
    <w:rsid w:val="007A1A29"/>
    <w:rsid w:val="007C0889"/>
    <w:rsid w:val="007D4B25"/>
    <w:rsid w:val="007E5D8E"/>
    <w:rsid w:val="008047CA"/>
    <w:rsid w:val="008118D3"/>
    <w:rsid w:val="00820C0C"/>
    <w:rsid w:val="008213DE"/>
    <w:rsid w:val="008214F9"/>
    <w:rsid w:val="008221F0"/>
    <w:rsid w:val="00827436"/>
    <w:rsid w:val="00831765"/>
    <w:rsid w:val="00843169"/>
    <w:rsid w:val="00856400"/>
    <w:rsid w:val="00873638"/>
    <w:rsid w:val="00874A62"/>
    <w:rsid w:val="00883B89"/>
    <w:rsid w:val="00890275"/>
    <w:rsid w:val="00897CFD"/>
    <w:rsid w:val="008B0781"/>
    <w:rsid w:val="008E4AAD"/>
    <w:rsid w:val="008E4E71"/>
    <w:rsid w:val="008F19A4"/>
    <w:rsid w:val="008F269F"/>
    <w:rsid w:val="00904A24"/>
    <w:rsid w:val="00907E4A"/>
    <w:rsid w:val="009142C0"/>
    <w:rsid w:val="00925F6D"/>
    <w:rsid w:val="00926454"/>
    <w:rsid w:val="009439F2"/>
    <w:rsid w:val="00963BDE"/>
    <w:rsid w:val="009723F7"/>
    <w:rsid w:val="00980316"/>
    <w:rsid w:val="00986793"/>
    <w:rsid w:val="009913BF"/>
    <w:rsid w:val="009A6F0E"/>
    <w:rsid w:val="009B05C1"/>
    <w:rsid w:val="009D1B2F"/>
    <w:rsid w:val="009F5751"/>
    <w:rsid w:val="00A173E8"/>
    <w:rsid w:val="00A25ED8"/>
    <w:rsid w:val="00A47118"/>
    <w:rsid w:val="00A537F6"/>
    <w:rsid w:val="00A67C76"/>
    <w:rsid w:val="00A719ED"/>
    <w:rsid w:val="00A7267F"/>
    <w:rsid w:val="00A831B8"/>
    <w:rsid w:val="00A86AE5"/>
    <w:rsid w:val="00A9606C"/>
    <w:rsid w:val="00AA23FD"/>
    <w:rsid w:val="00AA7FCB"/>
    <w:rsid w:val="00AB7BF5"/>
    <w:rsid w:val="00AC402B"/>
    <w:rsid w:val="00AE2A42"/>
    <w:rsid w:val="00AE53AA"/>
    <w:rsid w:val="00AF5A7A"/>
    <w:rsid w:val="00B020B2"/>
    <w:rsid w:val="00B033AB"/>
    <w:rsid w:val="00B15A1D"/>
    <w:rsid w:val="00B44161"/>
    <w:rsid w:val="00B5631A"/>
    <w:rsid w:val="00B738BC"/>
    <w:rsid w:val="00B83D68"/>
    <w:rsid w:val="00B84A1C"/>
    <w:rsid w:val="00B855B0"/>
    <w:rsid w:val="00B90D4D"/>
    <w:rsid w:val="00B95C35"/>
    <w:rsid w:val="00BA1B7B"/>
    <w:rsid w:val="00BA5800"/>
    <w:rsid w:val="00BB23B4"/>
    <w:rsid w:val="00BC4F91"/>
    <w:rsid w:val="00BE0C95"/>
    <w:rsid w:val="00BE24A4"/>
    <w:rsid w:val="00BE79E0"/>
    <w:rsid w:val="00BF1AC8"/>
    <w:rsid w:val="00C000DF"/>
    <w:rsid w:val="00C04B40"/>
    <w:rsid w:val="00C05893"/>
    <w:rsid w:val="00C11F4E"/>
    <w:rsid w:val="00C145FF"/>
    <w:rsid w:val="00C153DF"/>
    <w:rsid w:val="00C1608A"/>
    <w:rsid w:val="00C238E1"/>
    <w:rsid w:val="00C33DB1"/>
    <w:rsid w:val="00C4080A"/>
    <w:rsid w:val="00C60F42"/>
    <w:rsid w:val="00C61E05"/>
    <w:rsid w:val="00C6313D"/>
    <w:rsid w:val="00C64D35"/>
    <w:rsid w:val="00C70035"/>
    <w:rsid w:val="00C757AA"/>
    <w:rsid w:val="00C7728C"/>
    <w:rsid w:val="00C77D0F"/>
    <w:rsid w:val="00C82F0B"/>
    <w:rsid w:val="00C868BC"/>
    <w:rsid w:val="00C91996"/>
    <w:rsid w:val="00C938D3"/>
    <w:rsid w:val="00CA08CA"/>
    <w:rsid w:val="00CA4B8E"/>
    <w:rsid w:val="00CA54AC"/>
    <w:rsid w:val="00CA7E27"/>
    <w:rsid w:val="00CB4811"/>
    <w:rsid w:val="00CC726F"/>
    <w:rsid w:val="00CD29EA"/>
    <w:rsid w:val="00CE0504"/>
    <w:rsid w:val="00CE7E88"/>
    <w:rsid w:val="00CF0314"/>
    <w:rsid w:val="00D0166D"/>
    <w:rsid w:val="00D20705"/>
    <w:rsid w:val="00D20D69"/>
    <w:rsid w:val="00D23579"/>
    <w:rsid w:val="00D24268"/>
    <w:rsid w:val="00D26B6C"/>
    <w:rsid w:val="00D311D4"/>
    <w:rsid w:val="00D32A25"/>
    <w:rsid w:val="00D522A5"/>
    <w:rsid w:val="00D67A2D"/>
    <w:rsid w:val="00D747EE"/>
    <w:rsid w:val="00D756C5"/>
    <w:rsid w:val="00D82DBF"/>
    <w:rsid w:val="00DB21A8"/>
    <w:rsid w:val="00DC0026"/>
    <w:rsid w:val="00DC65CB"/>
    <w:rsid w:val="00DE2027"/>
    <w:rsid w:val="00DE5915"/>
    <w:rsid w:val="00DF0D1A"/>
    <w:rsid w:val="00DF2715"/>
    <w:rsid w:val="00DF45DB"/>
    <w:rsid w:val="00DF4B1B"/>
    <w:rsid w:val="00DF5EE9"/>
    <w:rsid w:val="00E03E07"/>
    <w:rsid w:val="00E30CA3"/>
    <w:rsid w:val="00E311CB"/>
    <w:rsid w:val="00E42839"/>
    <w:rsid w:val="00E471B0"/>
    <w:rsid w:val="00E47801"/>
    <w:rsid w:val="00E609ED"/>
    <w:rsid w:val="00E65025"/>
    <w:rsid w:val="00E85882"/>
    <w:rsid w:val="00E976DF"/>
    <w:rsid w:val="00EA37FE"/>
    <w:rsid w:val="00EA5E47"/>
    <w:rsid w:val="00EB09A1"/>
    <w:rsid w:val="00EB0B85"/>
    <w:rsid w:val="00EB10B5"/>
    <w:rsid w:val="00EC2DD2"/>
    <w:rsid w:val="00ED054A"/>
    <w:rsid w:val="00EE0E5F"/>
    <w:rsid w:val="00EE20D7"/>
    <w:rsid w:val="00F11AA7"/>
    <w:rsid w:val="00F14F82"/>
    <w:rsid w:val="00F2170E"/>
    <w:rsid w:val="00F32831"/>
    <w:rsid w:val="00F32BF9"/>
    <w:rsid w:val="00F35C25"/>
    <w:rsid w:val="00F9124A"/>
    <w:rsid w:val="00F93B5A"/>
    <w:rsid w:val="00F9668D"/>
    <w:rsid w:val="00FA6EA0"/>
    <w:rsid w:val="00FC4F70"/>
    <w:rsid w:val="00FD5FB5"/>
    <w:rsid w:val="00FE13CC"/>
    <w:rsid w:val="00FE1A1F"/>
    <w:rsid w:val="00FE36E0"/>
    <w:rsid w:val="00FE5C8C"/>
    <w:rsid w:val="00FF3302"/>
    <w:rsid w:val="0270659C"/>
    <w:rsid w:val="0BCD6BA2"/>
    <w:rsid w:val="0FF00FEF"/>
    <w:rsid w:val="11DF131B"/>
    <w:rsid w:val="132D60B6"/>
    <w:rsid w:val="16227D78"/>
    <w:rsid w:val="1EF34EDB"/>
    <w:rsid w:val="2F295116"/>
    <w:rsid w:val="36C12B1C"/>
    <w:rsid w:val="4DB50C9B"/>
    <w:rsid w:val="566F2D69"/>
    <w:rsid w:val="64B0248E"/>
    <w:rsid w:val="67E20393"/>
    <w:rsid w:val="69807E63"/>
    <w:rsid w:val="711846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075DA1"/>
  <w15:docId w15:val="{05BB05DB-F046-4B1D-8B4E-84C8AC5F3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440" w:lineRule="exact"/>
      <w:jc w:val="both"/>
    </w:pPr>
    <w:rPr>
      <w:rFonts w:cstheme="minorBidi"/>
      <w:kern w:val="2"/>
      <w:sz w:val="24"/>
      <w:szCs w:val="22"/>
    </w:rPr>
  </w:style>
  <w:style w:type="paragraph" w:styleId="1">
    <w:name w:val="heading 1"/>
    <w:basedOn w:val="a"/>
    <w:next w:val="a"/>
    <w:link w:val="10"/>
    <w:uiPriority w:val="9"/>
    <w:qFormat/>
    <w:pPr>
      <w:keepNext/>
      <w:keepLines/>
      <w:spacing w:before="340" w:after="330" w:line="578" w:lineRule="auto"/>
      <w:outlineLvl w:val="0"/>
    </w:pPr>
    <w:rPr>
      <w:rFonts w:asciiTheme="minorHAnsi" w:eastAsiaTheme="minorEastAsia" w:hAnsiTheme="minorHAnsi"/>
      <w:b/>
      <w:bCs/>
      <w:kern w:val="44"/>
      <w:sz w:val="44"/>
      <w:szCs w:val="44"/>
    </w:rPr>
  </w:style>
  <w:style w:type="paragraph" w:styleId="3">
    <w:name w:val="heading 3"/>
    <w:basedOn w:val="a"/>
    <w:next w:val="a"/>
    <w:link w:val="30"/>
    <w:uiPriority w:val="9"/>
    <w:semiHidden/>
    <w:unhideWhenUsed/>
    <w:qFormat/>
    <w:pPr>
      <w:keepNext/>
      <w:keepLines/>
      <w:spacing w:before="260" w:after="260" w:line="416" w:lineRule="atLeast"/>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tLeast"/>
      <w:jc w:val="left"/>
    </w:pPr>
    <w:rPr>
      <w:sz w:val="18"/>
      <w:szCs w:val="18"/>
    </w:rPr>
  </w:style>
  <w:style w:type="paragraph" w:styleId="a5">
    <w:name w:val="header"/>
    <w:basedOn w:val="a"/>
    <w:link w:val="a6"/>
    <w:uiPriority w:val="99"/>
    <w:unhideWhenUsed/>
    <w:qFormat/>
    <w:pPr>
      <w:tabs>
        <w:tab w:val="center" w:pos="4153"/>
        <w:tab w:val="right" w:pos="8306"/>
      </w:tabs>
      <w:snapToGrid w:val="0"/>
      <w:spacing w:line="240" w:lineRule="atLeast"/>
      <w:jc w:val="center"/>
    </w:pPr>
    <w:rPr>
      <w:sz w:val="18"/>
      <w:szCs w:val="18"/>
    </w:rPr>
  </w:style>
  <w:style w:type="paragraph" w:styleId="11">
    <w:name w:val="toc 1"/>
    <w:basedOn w:val="a"/>
    <w:next w:val="a"/>
    <w:autoRedefine/>
    <w:uiPriority w:val="39"/>
    <w:unhideWhenUsed/>
    <w:qFormat/>
    <w:pPr>
      <w:tabs>
        <w:tab w:val="right" w:leader="dot" w:pos="8296"/>
      </w:tabs>
      <w:spacing w:line="360" w:lineRule="auto"/>
    </w:pPr>
    <w:rPr>
      <w:rFonts w:eastAsiaTheme="minorEastAsia" w:cs="Times New Roman"/>
      <w:sz w:val="21"/>
    </w:rPr>
  </w:style>
  <w:style w:type="paragraph" w:styleId="a7">
    <w:name w:val="Normal (Web)"/>
    <w:basedOn w:val="a"/>
    <w:uiPriority w:val="99"/>
    <w:semiHidden/>
    <w:unhideWhenUsed/>
    <w:qFormat/>
    <w:pPr>
      <w:widowControl/>
      <w:spacing w:before="100" w:beforeAutospacing="1" w:after="100" w:afterAutospacing="1" w:line="240" w:lineRule="auto"/>
      <w:jc w:val="left"/>
    </w:pPr>
    <w:rPr>
      <w:rFonts w:ascii="宋体" w:hAnsi="宋体" w:cs="宋体"/>
      <w:kern w:val="0"/>
      <w:szCs w:val="24"/>
    </w:rPr>
  </w:style>
  <w:style w:type="character" w:styleId="a8">
    <w:name w:val="Hyperlink"/>
    <w:basedOn w:val="a0"/>
    <w:uiPriority w:val="99"/>
    <w:unhideWhenUsed/>
    <w:qFormat/>
    <w:rPr>
      <w:color w:val="0563C1" w:themeColor="hyperlink"/>
      <w:u w:val="single"/>
    </w:rPr>
  </w:style>
  <w:style w:type="paragraph" w:customStyle="1" w:styleId="EndNoteBibliography">
    <w:name w:val="EndNote Bibliography"/>
    <w:basedOn w:val="a"/>
    <w:link w:val="EndNoteBibliography0"/>
    <w:autoRedefine/>
    <w:qFormat/>
    <w:pPr>
      <w:spacing w:line="240" w:lineRule="auto"/>
      <w:ind w:leftChars="100" w:left="960" w:rightChars="100" w:right="240" w:hanging="720"/>
    </w:pPr>
    <w:rPr>
      <w:rFonts w:eastAsia="Times New Roman" w:cs="Times New Roman"/>
      <w:sz w:val="20"/>
      <w:szCs w:val="21"/>
    </w:rPr>
  </w:style>
  <w:style w:type="character" w:customStyle="1" w:styleId="EndNoteBibliography0">
    <w:name w:val="EndNote Bibliography 字符"/>
    <w:basedOn w:val="a0"/>
    <w:link w:val="EndNoteBibliography"/>
    <w:qFormat/>
    <w:rPr>
      <w:rFonts w:ascii="Times New Roman" w:eastAsia="Times New Roman" w:hAnsi="Times New Roman" w:cs="Times New Roman"/>
      <w:sz w:val="20"/>
    </w:rPr>
  </w:style>
  <w:style w:type="character" w:customStyle="1" w:styleId="a6">
    <w:name w:val="页眉 字符"/>
    <w:basedOn w:val="a0"/>
    <w:link w:val="a5"/>
    <w:uiPriority w:val="99"/>
    <w:qFormat/>
    <w:rPr>
      <w:rFonts w:ascii="Times New Roman" w:eastAsia="宋体" w:hAnsi="Times New Roman"/>
      <w:sz w:val="18"/>
      <w:szCs w:val="18"/>
    </w:rPr>
  </w:style>
  <w:style w:type="character" w:customStyle="1" w:styleId="a4">
    <w:name w:val="页脚 字符"/>
    <w:basedOn w:val="a0"/>
    <w:link w:val="a3"/>
    <w:uiPriority w:val="99"/>
    <w:qFormat/>
    <w:rPr>
      <w:rFonts w:ascii="Times New Roman" w:eastAsia="宋体" w:hAnsi="Times New Roman"/>
      <w:sz w:val="18"/>
      <w:szCs w:val="18"/>
    </w:rPr>
  </w:style>
  <w:style w:type="character" w:customStyle="1" w:styleId="10">
    <w:name w:val="标题 1 字符"/>
    <w:basedOn w:val="a0"/>
    <w:link w:val="1"/>
    <w:uiPriority w:val="9"/>
    <w:qFormat/>
    <w:rPr>
      <w:b/>
      <w:bCs/>
      <w:kern w:val="44"/>
      <w:sz w:val="44"/>
      <w:szCs w:val="44"/>
    </w:rPr>
  </w:style>
  <w:style w:type="character" w:styleId="a9">
    <w:name w:val="Placeholder Text"/>
    <w:basedOn w:val="a0"/>
    <w:uiPriority w:val="99"/>
    <w:semiHidden/>
    <w:qFormat/>
    <w:rPr>
      <w:color w:val="666666"/>
    </w:rPr>
  </w:style>
  <w:style w:type="paragraph" w:styleId="aa">
    <w:name w:val="List Paragraph"/>
    <w:basedOn w:val="a"/>
    <w:uiPriority w:val="34"/>
    <w:qFormat/>
    <w:pPr>
      <w:spacing w:line="240" w:lineRule="auto"/>
      <w:ind w:firstLineChars="200" w:firstLine="420"/>
    </w:pPr>
    <w:rPr>
      <w:rFonts w:asciiTheme="minorHAnsi" w:eastAsiaTheme="minorEastAsia" w:hAnsiTheme="minorHAnsi"/>
      <w:sz w:val="21"/>
    </w:rPr>
  </w:style>
  <w:style w:type="paragraph" w:customStyle="1" w:styleId="EndNoteBibliographyTitle">
    <w:name w:val="EndNote Bibliography Title"/>
    <w:basedOn w:val="a"/>
    <w:link w:val="EndNoteBibliographyTitle0"/>
    <w:qFormat/>
    <w:pPr>
      <w:spacing w:line="240" w:lineRule="auto"/>
      <w:jc w:val="center"/>
    </w:pPr>
    <w:rPr>
      <w:rFonts w:eastAsia="等线" w:cs="Times New Roman"/>
      <w:sz w:val="20"/>
    </w:rPr>
  </w:style>
  <w:style w:type="character" w:customStyle="1" w:styleId="EndNoteBibliographyTitle0">
    <w:name w:val="EndNote Bibliography Title 字符"/>
    <w:basedOn w:val="a0"/>
    <w:link w:val="EndNoteBibliographyTitle"/>
    <w:qFormat/>
    <w:rPr>
      <w:rFonts w:ascii="Times New Roman" w:eastAsia="等线" w:hAnsi="Times New Roman" w:cs="Times New Roman"/>
      <w:sz w:val="20"/>
      <w:szCs w:val="22"/>
    </w:rPr>
  </w:style>
  <w:style w:type="character" w:customStyle="1" w:styleId="12">
    <w:name w:val="未处理的提及1"/>
    <w:basedOn w:val="a0"/>
    <w:uiPriority w:val="99"/>
    <w:semiHidden/>
    <w:unhideWhenUsed/>
    <w:qFormat/>
    <w:rPr>
      <w:color w:val="605E5C"/>
      <w:shd w:val="clear" w:color="auto" w:fill="E1DFDD"/>
    </w:rPr>
  </w:style>
  <w:style w:type="character" w:customStyle="1" w:styleId="30">
    <w:name w:val="标题 3 字符"/>
    <w:basedOn w:val="a0"/>
    <w:link w:val="3"/>
    <w:uiPriority w:val="9"/>
    <w:semiHidden/>
    <w:qFormat/>
    <w:rPr>
      <w:rFonts w:ascii="Times New Roman" w:eastAsia="宋体" w:hAnsi="Times New Roman"/>
      <w:b/>
      <w:bCs/>
      <w:sz w:val="32"/>
      <w:szCs w:val="32"/>
    </w:rPr>
  </w:style>
  <w:style w:type="character" w:customStyle="1" w:styleId="2">
    <w:name w:val="未处理的提及2"/>
    <w:basedOn w:val="a0"/>
    <w:uiPriority w:val="99"/>
    <w:semiHidden/>
    <w:unhideWhenUsed/>
    <w:rPr>
      <w:color w:val="605E5C"/>
      <w:shd w:val="clear" w:color="auto" w:fill="E1DFDD"/>
    </w:rPr>
  </w:style>
  <w:style w:type="paragraph" w:customStyle="1" w:styleId="13">
    <w:name w:val="书目1"/>
    <w:basedOn w:val="a"/>
    <w:next w:val="a"/>
    <w:uiPriority w:val="37"/>
    <w:unhideWhenUsed/>
    <w:pPr>
      <w:tabs>
        <w:tab w:val="left" w:pos="264"/>
      </w:tabs>
      <w:spacing w:line="480" w:lineRule="exact"/>
      <w:ind w:left="264" w:hanging="264"/>
    </w:pPr>
  </w:style>
  <w:style w:type="paragraph" w:customStyle="1" w:styleId="20">
    <w:name w:val="书目2"/>
    <w:basedOn w:val="a"/>
    <w:next w:val="a"/>
    <w:uiPriority w:val="37"/>
    <w:unhideWhenUsed/>
    <w:pPr>
      <w:tabs>
        <w:tab w:val="left" w:pos="384"/>
      </w:tabs>
      <w:spacing w:line="480" w:lineRule="exact"/>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tiff"/><Relationship Id="rId21" Type="http://schemas.openxmlformats.org/officeDocument/2006/relationships/image" Target="media/image14.png"/><Relationship Id="rId34" Type="http://schemas.openxmlformats.org/officeDocument/2006/relationships/image" Target="media/image27.wmf"/><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oleObject" Target="embeddings/oleObject2.bin"/><Relationship Id="rId40" Type="http://schemas.openxmlformats.org/officeDocument/2006/relationships/image" Target="media/image31.tif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image" Target="media/image28.emf"/><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oleObject" Target="embeddings/oleObject1.bin"/><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20" Type="http://schemas.openxmlformats.org/officeDocument/2006/relationships/image" Target="media/image13.png"/><Relationship Id="rId41" Type="http://schemas.openxmlformats.org/officeDocument/2006/relationships/image" Target="media/image3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795D55-2D3A-4334-BD64-D419426B6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38</Pages>
  <Words>6597</Words>
  <Characters>37605</Characters>
  <Application>Microsoft Office Word</Application>
  <DocSecurity>0</DocSecurity>
  <Lines>313</Lines>
  <Paragraphs>88</Paragraphs>
  <ScaleCrop>false</ScaleCrop>
  <Company/>
  <LinksUpToDate>false</LinksUpToDate>
  <CharactersWithSpaces>44114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晓添 李</dc:creator>
  <cp:lastModifiedBy>nkdumiao</cp:lastModifiedBy>
  <cp:revision>5</cp:revision>
  <dcterms:created xsi:type="dcterms:W3CDTF">2025-09-24T14:02:00Z</dcterms:created>
  <dcterms:modified xsi:type="dcterms:W3CDTF">2025-09-29T12:46:00Z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0663138C55844DA79D4E37339556FBF7_13</vt:lpwstr>
  </property>
  <property fmtid="{D5CDD505-2E9C-101B-9397-08002B2CF9AE}" pid="4" name="ZOTERO_PREF_1">
    <vt:lpwstr>&lt;data data-version="3" zotero-version="7.0.24"&gt;&lt;session id="VPIJmXaH"/&gt;&lt;style id="http://www.zotero.org/styles/nature" hasBibliography="1" bibliographyStyleHasBeenSet="1"/&gt;&lt;prefs&gt;&lt;pref name="fieldType" value="Field"/&gt;&lt;/prefs&gt;&lt;/data&gt;</vt:lpwstr>
  </property>
</Properties>
</file>