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6F3BD" w14:textId="77777777" w:rsidR="00C252FE" w:rsidRDefault="000A0CA0">
      <w:pPr>
        <w:spacing w:before="100" w:beforeAutospacing="1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ethods</w:t>
      </w:r>
    </w:p>
    <w:p w14:paraId="24415B73" w14:textId="77777777" w:rsidR="00C252FE" w:rsidRDefault="000A0CA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Kaplan-Meier methods were used to calculate OS and the log-rank test was used for statistical comparisons. Competing risks regression analysis was used according to the model of Fine and Gray to calculate the cumulative probability of lung cancer-specific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mortality using death from non-lung cancer as the competing variable. Multivariate Cox regression analysis incorporating LNR classification or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a covariate was carried out to identify independent risk factors of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Meanwhile, Akaike information criteria (AIC) was calculated to evaluate fitness between the model incorporating LNR classification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versus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model incorporating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category with a lower value of AIC indicating the better fit of a statistical model. Fina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lly, multivariate competing risks regression analysis incorporating LNR classification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versus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model incorporating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category as a covariate was performed to examine the association between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OS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independent prognostic factors. Hazard ratios (HRs) or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sub-distribution hazard ratios (SHRs) were calculated with 95% confidence intervals (CIs). Statistical analyses were performed using the statistical package R, Version 3.1.0 (R Project for Statistical Computing, Vienna, Austria) with a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value &lt;0.05 consid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ered statistically significant.</w:t>
      </w:r>
    </w:p>
    <w:p w14:paraId="7A5E10AF" w14:textId="77777777" w:rsidR="00C252FE" w:rsidRDefault="000A0CA0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d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ata</w:t>
      </w:r>
    </w:p>
    <w:p w14:paraId="05B2F57A" w14:textId="77777777" w:rsidR="00C252FE" w:rsidRDefault="000A0CA0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OS</w:t>
      </w:r>
    </w:p>
    <w:p w14:paraId="3D7FEC03" w14:textId="77777777" w:rsidR="00C252FE" w:rsidRDefault="000A0CA0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median OS stratified by N stage is shown in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Patients with a low LNR had a significantly higher OS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versus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patients with middle or high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LNR (log rank test,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&lt; 0.001)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Our multivariate Cox regression analysis using LNR as a covariate showed that higher LNR was also an independent and significant adverse predictor of OS (LNR3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vs.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LNR1: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HR: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2.47 95%CI 2.27, 2.69; </w:t>
      </w:r>
      <w:r>
        <w:rPr>
          <w:rFonts w:ascii="Times New Roman" w:hAnsi="Times New Roman" w:cs="Times New Roman"/>
          <w:i/>
          <w:color w:val="000000" w:themeColor="text1"/>
          <w:kern w:val="0"/>
          <w:sz w:val="24"/>
          <w:szCs w:val="24"/>
        </w:rPr>
        <w:t xml:space="preserve">P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&lt; 0.001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14:paraId="6F8E0CBF" w14:textId="77777777" w:rsidR="00C252FE" w:rsidRDefault="000A0CA0">
      <w:pPr>
        <w:spacing w:before="100" w:beforeAutospacing="1" w:line="480" w:lineRule="auto"/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LNR and N stage</w:t>
      </w:r>
    </w:p>
    <w:p w14:paraId="378BFD8A" w14:textId="77777777" w:rsidR="00C252FE" w:rsidRDefault="000A0CA0">
      <w:pPr>
        <w:spacing w:after="100" w:afterAutospacing="1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X-tile analysis of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O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S data of N1 stage NSCLC cases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showed that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the optimal cut-off points of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LNR for the N1 NSCLC subpopulation were 0.1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0.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40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 and B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Kaplan-Meier analysis further showed that patients with a low LNR had a significantly higher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OS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versus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patients with middle or high LNR (log rank test,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&lt; 0.001) (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5C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Furthermore, the results of X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-tile analysis of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O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S data of N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2 and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N3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stage NSCLC cases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are shown in </w:t>
      </w:r>
      <w:r>
        <w:rPr>
          <w:rFonts w:ascii="Times New Roman" w:hAnsi="Times New Roman" w:cs="Times New Roman"/>
          <w:b/>
          <w:color w:val="000000" w:themeColor="text1"/>
          <w:kern w:val="0"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Figure 6 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b/>
          <w:color w:val="000000" w:themeColor="text1"/>
          <w:kern w:val="0"/>
          <w:sz w:val="24"/>
          <w:szCs w:val="24"/>
        </w:rPr>
        <w:t>7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08A5E3E" w14:textId="77777777" w:rsidR="00C252FE" w:rsidRDefault="000A0CA0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l</w:t>
      </w:r>
      <w:r>
        <w:rPr>
          <w:rFonts w:ascii="Times New Roman" w:hAnsi="Times New Roman" w:cs="Times New Roman" w:hint="eastAsia"/>
          <w:b/>
          <w:sz w:val="24"/>
          <w:szCs w:val="24"/>
        </w:rPr>
        <w:t>egends</w:t>
      </w:r>
    </w:p>
    <w:p w14:paraId="274E3276" w14:textId="77777777" w:rsidR="00C252FE" w:rsidRDefault="000A0CA0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1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X-tile analysis of </w:t>
      </w:r>
      <w:r>
        <w:rPr>
          <w:rFonts w:ascii="Times New Roman" w:hAnsi="Times New Roman" w:cs="Times New Roman"/>
          <w:sz w:val="24"/>
          <w:szCs w:val="24"/>
        </w:rPr>
        <w:t>cause-specific survival (CSS)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data of node positive (N2) NSCLC cases from the SEER registry. (A) The plot shows the </w:t>
      </w:r>
      <w:r>
        <w:rPr>
          <w:rFonts w:ascii="Symbol" w:hAnsi="Symbol" w:cs="Times New Roman"/>
          <w:kern w:val="0"/>
          <w:sz w:val="24"/>
          <w:szCs w:val="24"/>
        </w:rPr>
        <w:t>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log-rank values produced when dividing the cohort with two cut-points,</w:t>
      </w:r>
      <w:r>
        <w:rPr>
          <w:rFonts w:ascii="Times New Roman" w:hAnsi="Times New Roman" w:cs="Times New Roman"/>
          <w:sz w:val="24"/>
          <w:szCs w:val="24"/>
        </w:rPr>
        <w:t xml:space="preserve">0.30 and 0.80, </w:t>
      </w:r>
      <w:r>
        <w:rPr>
          <w:rFonts w:ascii="Times New Roman" w:hAnsi="Times New Roman" w:cs="Times New Roman"/>
          <w:kern w:val="0"/>
          <w:sz w:val="24"/>
          <w:szCs w:val="24"/>
        </w:rPr>
        <w:t>producing high, middle, and low subsets (low subset: blue, middle subset: gray, h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igh subset: magenta).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hAnsi="Times New Roman" w:cs="Times New Roman"/>
          <w:kern w:val="0"/>
          <w:sz w:val="24"/>
          <w:szCs w:val="24"/>
        </w:rPr>
        <w:t>-axis represents all potential cut-points from low to high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left to right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 that define a low subset, whereas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>
        <w:rPr>
          <w:rFonts w:ascii="Times New Roman" w:hAnsi="Times New Roman" w:cs="Times New Roman"/>
          <w:kern w:val="0"/>
          <w:sz w:val="24"/>
          <w:szCs w:val="24"/>
        </w:rPr>
        <w:t>-axis represents cut-points from high to low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top to bottom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), that define a high subset.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arrows </w:t>
      </w:r>
      <w:r>
        <w:rPr>
          <w:rFonts w:ascii="Times New Roman" w:hAnsi="Times New Roman" w:cs="Times New Roman"/>
          <w:kern w:val="0"/>
          <w:sz w:val="24"/>
          <w:szCs w:val="24"/>
        </w:rPr>
        <w:t>represent the d</w:t>
      </w:r>
      <w:r>
        <w:rPr>
          <w:rFonts w:ascii="Times New Roman" w:hAnsi="Times New Roman" w:cs="Times New Roman"/>
          <w:kern w:val="0"/>
          <w:sz w:val="24"/>
          <w:szCs w:val="24"/>
        </w:rPr>
        <w:t>irection in which the low subs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hAnsi="Times New Roman" w:cs="Times New Roman"/>
          <w:kern w:val="0"/>
          <w:sz w:val="24"/>
          <w:szCs w:val="24"/>
        </w:rPr>
        <w:t>-axis) and the high subset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-axis) increase in size.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Red coloration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of cut-points indicates an inverse correlation with CSS, whereas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green coloration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represents direct associations. The optimal cut-point occurs at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br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ightest pixel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green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or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red</w:t>
      </w:r>
      <w:r>
        <w:rPr>
          <w:rFonts w:ascii="Times New Roman" w:hAnsi="Times New Roman" w:cs="Times New Roman"/>
          <w:kern w:val="0"/>
          <w:sz w:val="24"/>
          <w:szCs w:val="24"/>
        </w:rPr>
        <w:t>). The cut-point in (A)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is shown on a histogram of the entire cohort (B), and the relative risk (RR) is displayed in (C)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DF2ACB5" w14:textId="77777777" w:rsidR="00C252FE" w:rsidRDefault="000A0CA0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2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X-tile analysis of </w:t>
      </w:r>
      <w:r>
        <w:rPr>
          <w:rFonts w:ascii="Times New Roman" w:hAnsi="Times New Roman" w:cs="Times New Roman" w:hint="eastAsia"/>
          <w:sz w:val="24"/>
          <w:szCs w:val="24"/>
        </w:rPr>
        <w:t>cause-specific survival (CSS)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data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of node positive (N3) NSCLC cases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from the SEER registry.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(A)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plot shows the </w:t>
      </w:r>
      <w:r>
        <w:rPr>
          <w:rFonts w:ascii="Symbol" w:hAnsi="Symbol" w:cs="Times New Roman"/>
          <w:kern w:val="0"/>
          <w:sz w:val="24"/>
          <w:szCs w:val="24"/>
        </w:rPr>
        <w:t>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log-rank values produced when dividing the cohort with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the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cut-point,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 w:hint="eastAsia"/>
          <w:sz w:val="24"/>
          <w:szCs w:val="24"/>
        </w:rPr>
        <w:t xml:space="preserve">03, </w:t>
      </w:r>
      <w:r>
        <w:rPr>
          <w:rFonts w:ascii="Times New Roman" w:hAnsi="Times New Roman" w:cs="Times New Roman"/>
          <w:kern w:val="0"/>
          <w:sz w:val="24"/>
          <w:szCs w:val="24"/>
        </w:rPr>
        <w:t>producing low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and high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subsets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(low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blue,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high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: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magenta).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hAnsi="Times New Roman" w:cs="Times New Roman"/>
          <w:kern w:val="0"/>
          <w:sz w:val="24"/>
          <w:szCs w:val="24"/>
        </w:rPr>
        <w:t>-axis represen</w:t>
      </w:r>
      <w:r>
        <w:rPr>
          <w:rFonts w:ascii="Times New Roman" w:hAnsi="Times New Roman" w:cs="Times New Roman"/>
          <w:kern w:val="0"/>
          <w:sz w:val="24"/>
          <w:szCs w:val="24"/>
        </w:rPr>
        <w:t>ts all potential cut-points from low to high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left to right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 that define a low subset, whereas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>
        <w:rPr>
          <w:rFonts w:ascii="Times New Roman" w:hAnsi="Times New Roman" w:cs="Times New Roman"/>
          <w:kern w:val="0"/>
          <w:sz w:val="24"/>
          <w:szCs w:val="24"/>
        </w:rPr>
        <w:t>-axis represents cut-points from high to low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top to bottom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), that define a high subset.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arrows </w:t>
      </w:r>
      <w:r>
        <w:rPr>
          <w:rFonts w:ascii="Times New Roman" w:hAnsi="Times New Roman" w:cs="Times New Roman"/>
          <w:kern w:val="0"/>
          <w:sz w:val="24"/>
          <w:szCs w:val="24"/>
        </w:rPr>
        <w:t>represent the direction in which the low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hAnsi="Times New Roman" w:cs="Times New Roman"/>
          <w:kern w:val="0"/>
          <w:sz w:val="24"/>
          <w:szCs w:val="24"/>
        </w:rPr>
        <w:t>-axis)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and the high subset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-axis) increase in size.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Red coloration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of cut-points </w:t>
      </w: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indicates an inverse correlation with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CSS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whereas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green coloration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represents direct associations. The optimal cut-point occurs at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brightest pixel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green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or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red</w:t>
      </w:r>
      <w:r>
        <w:rPr>
          <w:rFonts w:ascii="Times New Roman" w:hAnsi="Times New Roman" w:cs="Times New Roman"/>
          <w:kern w:val="0"/>
          <w:sz w:val="24"/>
          <w:szCs w:val="24"/>
        </w:rPr>
        <w:t>). The cut-poi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nt in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(A)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is shown on a histogram of the entire cohort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(B)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and </w:t>
      </w:r>
      <w:r>
        <w:rPr>
          <w:rFonts w:ascii="Times New Roman" w:hAnsi="Times New Roman" w:cs="Times New Roman"/>
          <w:kern w:val="0"/>
          <w:sz w:val="24"/>
          <w:szCs w:val="24"/>
        </w:rPr>
        <w:t>the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relative risk (RR) is displayed in (C)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61D8A5C5" w14:textId="77777777" w:rsidR="00C252FE" w:rsidRDefault="000A0CA0">
      <w:pPr>
        <w:autoSpaceDE w:val="0"/>
        <w:autoSpaceDN w:val="0"/>
        <w:adjustRightInd w:val="0"/>
        <w:spacing w:before="100" w:beforeAutospacing="1" w:after="100" w:afterAutospacing="1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Overall survival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stratified by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pN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patients with lung cancer in the Surveillance, Epidemiology, and End Results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database.</w:t>
      </w:r>
      <w:bookmarkStart w:id="0" w:name="_GoBack"/>
      <w:bookmarkEnd w:id="0"/>
    </w:p>
    <w:p w14:paraId="4F5C66E2" w14:textId="5CFA92B9" w:rsidR="00C252FE" w:rsidRDefault="000A0CA0">
      <w:pPr>
        <w:autoSpaceDE w:val="0"/>
        <w:autoSpaceDN w:val="0"/>
        <w:adjustRightInd w:val="0"/>
        <w:spacing w:before="100" w:beforeAutospacing="1" w:after="100" w:afterAutospacing="1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Figure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verall survival (A) of patients with lung cancer in the SEER database are stratified using the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optimal cut-off points (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0.28 and 0.81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)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lymph node ratio (LNR) by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X-tile analysis: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LNR1 ≤ 0.28; 0.28 &lt; LNR2&lt; 0.81; LNR3&gt; 0.81. Forest plots showing results of multivariate Cox regression analysis using the LNR as a covariate for prediction of OS (B). </w:t>
      </w:r>
      <w:r>
        <w:rPr>
          <w:rFonts w:ascii="Times New Roman" w:eastAsia="OTNEJMScalaSansLF" w:hAnsi="Times New Roman" w:cs="Times New Roman"/>
          <w:color w:val="000000" w:themeColor="text1"/>
          <w:kern w:val="0"/>
          <w:sz w:val="24"/>
          <w:szCs w:val="24"/>
        </w:rPr>
        <w:t xml:space="preserve">On the basis of the Cox model, prespecified subgroup analyses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of covariates of interest</w:t>
      </w:r>
      <w:r>
        <w:rPr>
          <w:rFonts w:ascii="Times New Roman" w:eastAsia="OTNEJMScalaSansLF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OTNEJMScalaSansLF" w:hAnsi="Times New Roman" w:cs="Times New Roman"/>
          <w:color w:val="000000" w:themeColor="text1"/>
          <w:kern w:val="0"/>
          <w:sz w:val="24"/>
          <w:szCs w:val="24"/>
        </w:rPr>
        <w:t>were conducted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OTNEJMScalaSansLF" w:hAnsi="Times New Roman" w:cs="Times New Roman"/>
          <w:color w:val="000000" w:themeColor="text1"/>
          <w:kern w:val="0"/>
          <w:sz w:val="24"/>
          <w:szCs w:val="24"/>
        </w:rPr>
        <w:t xml:space="preserve">to estimate hazard ratios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(HR) </w:t>
      </w:r>
      <w:r>
        <w:rPr>
          <w:rFonts w:ascii="Times New Roman" w:eastAsia="OTNEJMScalaSansLF" w:hAnsi="Times New Roman" w:cs="Times New Roman"/>
          <w:color w:val="000000" w:themeColor="text1"/>
          <w:kern w:val="0"/>
          <w:sz w:val="24"/>
          <w:szCs w:val="24"/>
        </w:rPr>
        <w:t xml:space="preserve">with 95% confidence intervals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(CI) </w:t>
      </w:r>
      <w:r>
        <w:rPr>
          <w:rFonts w:ascii="Times New Roman" w:eastAsia="OTNEJMScalaSansLF" w:hAnsi="Times New Roman" w:cs="Times New Roman"/>
          <w:color w:val="000000" w:themeColor="text1"/>
          <w:kern w:val="0"/>
          <w:sz w:val="24"/>
          <w:szCs w:val="24"/>
        </w:rPr>
        <w:t>and to test for interaction among subgroups with the use</w:t>
      </w:r>
      <w:r>
        <w:rPr>
          <w:rFonts w:ascii="Times New Roman" w:hAnsi="Times New Roman" w:cs="Times New Roman" w:hint="eastAsia"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imes New Roman" w:eastAsia="OTNEJMScalaSansLF" w:hAnsi="Times New Roman" w:cs="Times New Roman"/>
          <w:color w:val="000000" w:themeColor="text1"/>
          <w:kern w:val="0"/>
          <w:sz w:val="24"/>
          <w:szCs w:val="24"/>
        </w:rPr>
        <w:t xml:space="preserve">of two-sided </w:t>
      </w:r>
      <w:r>
        <w:rPr>
          <w:rFonts w:ascii="Times New Roman" w:eastAsia="OTNEJMScalaSansLF" w:hAnsi="Times New Roman" w:cs="Times New Roman"/>
          <w:i/>
          <w:color w:val="000000" w:themeColor="text1"/>
          <w:kern w:val="0"/>
          <w:sz w:val="24"/>
          <w:szCs w:val="24"/>
        </w:rPr>
        <w:t>P</w:t>
      </w:r>
      <w:r>
        <w:rPr>
          <w:rFonts w:ascii="Times New Roman" w:eastAsia="OTNEJMScalaSansLF" w:hAnsi="Times New Roman" w:cs="Times New Roman"/>
          <w:color w:val="000000" w:themeColor="text1"/>
          <w:kern w:val="0"/>
          <w:sz w:val="24"/>
          <w:szCs w:val="24"/>
        </w:rPr>
        <w:t xml:space="preserve"> values. A 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HR</w:t>
      </w:r>
      <w:r>
        <w:rPr>
          <w:rFonts w:ascii="Times New Roman" w:eastAsia="OTNEJMScalaSansLF" w:hAnsi="Times New Roman" w:cs="Times New Roman"/>
          <w:color w:val="000000" w:themeColor="text1"/>
          <w:kern w:val="0"/>
          <w:sz w:val="24"/>
          <w:szCs w:val="24"/>
        </w:rPr>
        <w:t xml:space="preserve"> of less than 1 implies a lower risk of death</w:t>
      </w:r>
      <w:r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.</w:t>
      </w:r>
    </w:p>
    <w:p w14:paraId="26E3D0A8" w14:textId="77777777" w:rsidR="00C252FE" w:rsidRDefault="000A0CA0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5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X-tile analysis of </w:t>
      </w:r>
      <w:r>
        <w:rPr>
          <w:rFonts w:ascii="Times New Roman" w:hAnsi="Times New Roman" w:cs="Times New Roman" w:hint="eastAsia"/>
          <w:sz w:val="24"/>
          <w:szCs w:val="24"/>
        </w:rPr>
        <w:t>overall survival (OS)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data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of node positive N1 NSCLC cases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from the SEER registry.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(A)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plot shows the </w:t>
      </w:r>
      <w:r>
        <w:rPr>
          <w:rFonts w:ascii="Symbol" w:hAnsi="Symbol" w:cs="Times New Roman"/>
          <w:kern w:val="0"/>
          <w:sz w:val="24"/>
          <w:szCs w:val="24"/>
        </w:rPr>
        <w:t>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log-rank values produced when dividing the cohort with two cut-points,</w:t>
      </w:r>
      <w:r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 and 0.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producing high, middle, and low subsets(low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kern w:val="0"/>
          <w:sz w:val="24"/>
          <w:szCs w:val="24"/>
        </w:rPr>
        <w:t>blue, middle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kern w:val="0"/>
          <w:sz w:val="24"/>
          <w:szCs w:val="24"/>
        </w:rPr>
        <w:t>gray, high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: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magenta).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hAnsi="Times New Roman" w:cs="Times New Roman"/>
          <w:kern w:val="0"/>
          <w:sz w:val="24"/>
          <w:szCs w:val="24"/>
        </w:rPr>
        <w:t>-axis represents all potential cut-points from low to high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lef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t to right</w:t>
      </w:r>
      <w:r>
        <w:rPr>
          <w:rFonts w:ascii="Times New Roman" w:hAnsi="Times New Roman" w:cs="Times New Roman"/>
          <w:kern w:val="0"/>
          <w:sz w:val="24"/>
          <w:szCs w:val="24"/>
        </w:rPr>
        <w:t>) that define a low subset, whereas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>
        <w:rPr>
          <w:rFonts w:ascii="Times New Roman" w:hAnsi="Times New Roman" w:cs="Times New Roman"/>
          <w:kern w:val="0"/>
          <w:sz w:val="24"/>
          <w:szCs w:val="24"/>
        </w:rPr>
        <w:t>-axis represents cut-points from high to low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top to bottom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), that define a high subset.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arrows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represent the direction in </w:t>
      </w: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which the low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hAnsi="Times New Roman" w:cs="Times New Roman"/>
          <w:kern w:val="0"/>
          <w:sz w:val="24"/>
          <w:szCs w:val="24"/>
        </w:rPr>
        <w:t>-axis) and the high subset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-axis) increase in size.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R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ed coloration </w:t>
      </w:r>
      <w:r>
        <w:rPr>
          <w:rFonts w:ascii="Times New Roman" w:hAnsi="Times New Roman" w:cs="Times New Roman"/>
          <w:kern w:val="0"/>
          <w:sz w:val="24"/>
          <w:szCs w:val="24"/>
        </w:rPr>
        <w:t>of cut-points indicates an inverse correlation with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OS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whereas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green</w:t>
      </w:r>
      <w:r>
        <w:rPr>
          <w:rFonts w:ascii="Times New Roman" w:hAnsi="Times New Roman" w:cs="Times New Roman" w:hint="eastAsia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coloration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represents direct associations. The optimal cut-point occurs at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brightest pixel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green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or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red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). The cut-point in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(A) </w:t>
      </w:r>
      <w:r>
        <w:rPr>
          <w:rFonts w:ascii="Times New Roman" w:hAnsi="Times New Roman" w:cs="Times New Roman"/>
          <w:kern w:val="0"/>
          <w:sz w:val="24"/>
          <w:szCs w:val="24"/>
        </w:rPr>
        <w:t>is shown on a histogram of the entire co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hort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(B)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 Kaplan-Meier plot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(C) is drawn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CC88DBC" w14:textId="77777777" w:rsidR="00C252FE" w:rsidRDefault="000A0CA0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6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X-tile analysis of </w:t>
      </w:r>
      <w:r>
        <w:rPr>
          <w:rFonts w:ascii="Times New Roman" w:hAnsi="Times New Roman" w:cs="Times New Roman" w:hint="eastAsia"/>
          <w:sz w:val="24"/>
          <w:szCs w:val="24"/>
        </w:rPr>
        <w:t>overall survival (OS)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data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of node positive N2 NSCLC cases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from the SEER registry.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(A)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plot shows the </w:t>
      </w:r>
      <w:r>
        <w:rPr>
          <w:rFonts w:ascii="Symbol" w:hAnsi="Symbol" w:cs="Times New Roman"/>
          <w:kern w:val="0"/>
          <w:sz w:val="24"/>
          <w:szCs w:val="24"/>
        </w:rPr>
        <w:t>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log-rank values produced when dividing the cohort with two cut-points,</w:t>
      </w:r>
      <w:r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0 and 0.</w:t>
      </w:r>
      <w:r>
        <w:rPr>
          <w:rFonts w:ascii="Times New Roman" w:hAnsi="Times New Roman" w:cs="Times New Roman" w:hint="eastAsia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producing high, middle, and low subsets (low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kern w:val="0"/>
          <w:sz w:val="24"/>
          <w:szCs w:val="24"/>
        </w:rPr>
        <w:t>blue, middle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kern w:val="0"/>
          <w:sz w:val="24"/>
          <w:szCs w:val="24"/>
        </w:rPr>
        <w:t>gray, high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: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magenta).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hAnsi="Times New Roman" w:cs="Times New Roman"/>
          <w:kern w:val="0"/>
          <w:sz w:val="24"/>
          <w:szCs w:val="24"/>
        </w:rPr>
        <w:t>-axis represents all potential cut-points from low to high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le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ft to right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 that define a low subset, whereas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>
        <w:rPr>
          <w:rFonts w:ascii="Times New Roman" w:hAnsi="Times New Roman" w:cs="Times New Roman"/>
          <w:kern w:val="0"/>
          <w:sz w:val="24"/>
          <w:szCs w:val="24"/>
        </w:rPr>
        <w:t>-axis represents cut-points from high to low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top to bottom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), that define a high subset.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arrows </w:t>
      </w:r>
      <w:r>
        <w:rPr>
          <w:rFonts w:ascii="Times New Roman" w:hAnsi="Times New Roman" w:cs="Times New Roman"/>
          <w:kern w:val="0"/>
          <w:sz w:val="24"/>
          <w:szCs w:val="24"/>
        </w:rPr>
        <w:t>represent the direction in which the low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hAnsi="Times New Roman" w:cs="Times New Roman"/>
          <w:kern w:val="0"/>
          <w:sz w:val="24"/>
          <w:szCs w:val="24"/>
        </w:rPr>
        <w:t>-axis) and the high subset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-axis) increase in size.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Red coloration </w:t>
      </w:r>
      <w:r>
        <w:rPr>
          <w:rFonts w:ascii="Times New Roman" w:hAnsi="Times New Roman" w:cs="Times New Roman"/>
          <w:kern w:val="0"/>
          <w:sz w:val="24"/>
          <w:szCs w:val="24"/>
        </w:rPr>
        <w:t>of cut-points indicates an inverse correlation with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OS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whereas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green coloration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represents direct associations. The optimal cut-point occurs at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brightest pixel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green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or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red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). The cut-point in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(A)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is shown on a histogram of the entire cohort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(B)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 Kaplan-Meier plot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(D) is drawn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04F20A77" w14:textId="77777777" w:rsidR="00C252FE" w:rsidRDefault="000A0CA0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7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X-tile analysis of </w:t>
      </w:r>
      <w:r>
        <w:rPr>
          <w:rFonts w:ascii="Times New Roman" w:hAnsi="Times New Roman" w:cs="Times New Roman" w:hint="eastAsia"/>
          <w:sz w:val="24"/>
          <w:szCs w:val="24"/>
        </w:rPr>
        <w:t>overall survival (OS)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data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of node positive N3 NSCLC cases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from the SEER registry.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(A)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The plot shows the </w:t>
      </w:r>
      <w:r>
        <w:rPr>
          <w:rFonts w:ascii="Symbol" w:hAnsi="Symbol" w:cs="Times New Roman"/>
          <w:kern w:val="0"/>
          <w:sz w:val="24"/>
          <w:szCs w:val="24"/>
        </w:rPr>
        <w:t></w:t>
      </w: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log-rank values p</w:t>
      </w:r>
      <w:r>
        <w:rPr>
          <w:rFonts w:ascii="Times New Roman" w:hAnsi="Times New Roman" w:cs="Times New Roman"/>
          <w:kern w:val="0"/>
          <w:sz w:val="24"/>
          <w:szCs w:val="24"/>
        </w:rPr>
        <w:t>roduced when dividing the cohort with two cut-points,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0.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0 and 0.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producing high, and low subsets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(low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: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blue,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and </w:t>
      </w:r>
      <w:r>
        <w:rPr>
          <w:rFonts w:ascii="Times New Roman" w:hAnsi="Times New Roman" w:cs="Times New Roman"/>
          <w:kern w:val="0"/>
          <w:sz w:val="24"/>
          <w:szCs w:val="24"/>
        </w:rPr>
        <w:t>high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: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magenta).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lastRenderedPageBreak/>
        <w:t>X</w:t>
      </w:r>
      <w:r>
        <w:rPr>
          <w:rFonts w:ascii="Times New Roman" w:hAnsi="Times New Roman" w:cs="Times New Roman"/>
          <w:kern w:val="0"/>
          <w:sz w:val="24"/>
          <w:szCs w:val="24"/>
        </w:rPr>
        <w:t>-axis represents all potential cut-points from low to high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left to right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 that define a low subset, whereas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>
        <w:rPr>
          <w:rFonts w:ascii="Times New Roman" w:hAnsi="Times New Roman" w:cs="Times New Roman"/>
          <w:kern w:val="0"/>
          <w:sz w:val="24"/>
          <w:szCs w:val="24"/>
        </w:rPr>
        <w:t>-axis represents cut-points from high to low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top to bottom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), that define a high subset.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arrows </w:t>
      </w:r>
      <w:r>
        <w:rPr>
          <w:rFonts w:ascii="Times New Roman" w:hAnsi="Times New Roman" w:cs="Times New Roman"/>
          <w:kern w:val="0"/>
          <w:sz w:val="24"/>
          <w:szCs w:val="24"/>
        </w:rPr>
        <w:t>represent the direction in which the low subset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X</w:t>
      </w:r>
      <w:r>
        <w:rPr>
          <w:rFonts w:ascii="Times New Roman" w:hAnsi="Times New Roman" w:cs="Times New Roman"/>
          <w:kern w:val="0"/>
          <w:sz w:val="24"/>
          <w:szCs w:val="24"/>
        </w:rPr>
        <w:t>-axis) and the high subset 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-axis) increase in size.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Red colorat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ion </w:t>
      </w:r>
      <w:r>
        <w:rPr>
          <w:rFonts w:ascii="Times New Roman" w:hAnsi="Times New Roman" w:cs="Times New Roman"/>
          <w:kern w:val="0"/>
          <w:sz w:val="24"/>
          <w:szCs w:val="24"/>
        </w:rPr>
        <w:t>of cut-points indicates an inverse correlation with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OS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whereas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green</w:t>
      </w:r>
      <w:r>
        <w:rPr>
          <w:rFonts w:ascii="Times New Roman" w:hAnsi="Times New Roman" w:cs="Times New Roman" w:hint="eastAsia"/>
          <w:i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coloration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represents direct associations. The optimal cut-point occurs at the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brightest pixel </w:t>
      </w:r>
      <w:r>
        <w:rPr>
          <w:rFonts w:ascii="Times New Roman" w:hAnsi="Times New Roman" w:cs="Times New Roman"/>
          <w:kern w:val="0"/>
          <w:sz w:val="24"/>
          <w:szCs w:val="24"/>
        </w:rPr>
        <w:t>(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green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or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red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). The cut-point in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(A)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is shown on a histogram of the entire cohort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(B)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and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a Kaplan-Meier plot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(D) is drawn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54882E4D" w14:textId="77777777" w:rsidR="00C252FE" w:rsidRDefault="00C252FE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07652D39" w14:textId="77777777" w:rsidR="00C252FE" w:rsidRDefault="00C252FE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4F8490BD" w14:textId="77777777" w:rsidR="00C252FE" w:rsidRDefault="00C252FE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2BB182DF" w14:textId="77777777" w:rsidR="00C252FE" w:rsidRDefault="00C252FE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53F6612E" w14:textId="77777777" w:rsidR="00C252FE" w:rsidRDefault="00C252FE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2DFAF615" w14:textId="77777777" w:rsidR="00C252FE" w:rsidRDefault="00C252FE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0FBF4B57" w14:textId="77777777" w:rsidR="00C252FE" w:rsidRDefault="00C252FE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38B9F590" w14:textId="77777777" w:rsidR="00C252FE" w:rsidRDefault="00C252FE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14:paraId="510E6E8D" w14:textId="77777777" w:rsidR="00C252FE" w:rsidRDefault="00C252FE">
      <w:pPr>
        <w:rPr>
          <w:rFonts w:ascii="Times New Roman" w:hAnsi="Times New Roman" w:cs="Times New Roman"/>
          <w:sz w:val="24"/>
          <w:szCs w:val="24"/>
        </w:rPr>
      </w:pPr>
    </w:p>
    <w:p w14:paraId="31B3FDE0" w14:textId="77777777" w:rsidR="00C252FE" w:rsidRDefault="00C252FE">
      <w:pPr>
        <w:rPr>
          <w:rFonts w:ascii="Times New Roman" w:hAnsi="Times New Roman" w:cs="Times New Roman"/>
          <w:sz w:val="24"/>
          <w:szCs w:val="24"/>
        </w:rPr>
        <w:sectPr w:rsidR="00C252F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1F4E5E" w14:textId="77777777" w:rsidR="00C252FE" w:rsidRDefault="000A0CA0">
      <w:pPr>
        <w:widowControl/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Lymph node ratio (LNR) distribution by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pN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stage and retrieved lymph node status</w:t>
      </w:r>
      <w:r>
        <w:rPr>
          <w:rFonts w:ascii="Times New Roman" w:hAnsi="Times New Roman" w:cs="Times New Roman"/>
          <w:sz w:val="24"/>
          <w:szCs w:val="24"/>
        </w:rPr>
        <w:t xml:space="preserve"> of NSCLC patients in the Surveillance, Epidemiology, and End Results (SEER) database</w:t>
      </w:r>
    </w:p>
    <w:tbl>
      <w:tblPr>
        <w:tblStyle w:val="a3"/>
        <w:tblW w:w="10491" w:type="dxa"/>
        <w:jc w:val="center"/>
        <w:tblLook w:val="04A0" w:firstRow="1" w:lastRow="0" w:firstColumn="1" w:lastColumn="0" w:noHBand="0" w:noVBand="1"/>
      </w:tblPr>
      <w:tblGrid>
        <w:gridCol w:w="3527"/>
        <w:gridCol w:w="1502"/>
        <w:gridCol w:w="1502"/>
        <w:gridCol w:w="1502"/>
        <w:gridCol w:w="1503"/>
        <w:gridCol w:w="955"/>
      </w:tblGrid>
      <w:tr w:rsidR="00C252FE" w14:paraId="4B2891D1" w14:textId="77777777" w:rsidTr="00C252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vMerge w:val="restart"/>
          </w:tcPr>
          <w:p w14:paraId="090E5DBE" w14:textId="77777777" w:rsidR="00C252FE" w:rsidRDefault="00C252FE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6009" w:type="dxa"/>
            <w:gridSpan w:val="4"/>
            <w:tcBorders>
              <w:bottom w:val="nil"/>
            </w:tcBorders>
          </w:tcPr>
          <w:p w14:paraId="072F0397" w14:textId="77777777" w:rsidR="00C252FE" w:rsidRDefault="000A0C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Lymph node ratio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(LNR)</w:t>
            </w:r>
          </w:p>
        </w:tc>
        <w:tc>
          <w:tcPr>
            <w:tcW w:w="955" w:type="dxa"/>
            <w:vMerge w:val="restart"/>
          </w:tcPr>
          <w:p w14:paraId="31A968DC" w14:textId="77777777" w:rsidR="00C252FE" w:rsidRDefault="000A0CA0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P</w:t>
            </w:r>
          </w:p>
        </w:tc>
      </w:tr>
      <w:tr w:rsidR="00C252FE" w14:paraId="1A5E14CC" w14:textId="77777777" w:rsidTr="00C252F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vMerge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6E6EED38" w14:textId="77777777" w:rsidR="00C252FE" w:rsidRDefault="00C252FE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02" w:type="dxa"/>
            <w:tcBorders>
              <w:top w:val="nil"/>
              <w:right w:val="nil"/>
            </w:tcBorders>
            <w:shd w:val="clear" w:color="auto" w:fill="C0C0C0" w:themeFill="text1" w:themeFillTint="3F"/>
          </w:tcPr>
          <w:p w14:paraId="308F6592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502" w:type="dxa"/>
            <w:tcBorders>
              <w:top w:val="single" w:sz="4" w:space="0" w:color="auto"/>
              <w:right w:val="nil"/>
            </w:tcBorders>
            <w:shd w:val="clear" w:color="auto" w:fill="C0C0C0" w:themeFill="text1" w:themeFillTint="3F"/>
          </w:tcPr>
          <w:p w14:paraId="08385EFF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≤ 0.28</w:t>
            </w:r>
          </w:p>
        </w:tc>
        <w:tc>
          <w:tcPr>
            <w:tcW w:w="1502" w:type="dxa"/>
            <w:tcBorders>
              <w:top w:val="single" w:sz="4" w:space="0" w:color="auto"/>
              <w:right w:val="nil"/>
            </w:tcBorders>
            <w:shd w:val="clear" w:color="auto" w:fill="C0C0C0" w:themeFill="text1" w:themeFillTint="3F"/>
          </w:tcPr>
          <w:p w14:paraId="75A0FEA7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0.28- 0.81</w:t>
            </w:r>
          </w:p>
        </w:tc>
        <w:tc>
          <w:tcPr>
            <w:tcW w:w="1503" w:type="dxa"/>
            <w:tcBorders>
              <w:top w:val="single" w:sz="4" w:space="0" w:color="auto"/>
              <w:right w:val="nil"/>
            </w:tcBorders>
            <w:shd w:val="clear" w:color="auto" w:fill="C0C0C0" w:themeFill="text1" w:themeFillTint="3F"/>
          </w:tcPr>
          <w:p w14:paraId="3C563857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&gt;0.81</w:t>
            </w:r>
          </w:p>
        </w:tc>
        <w:tc>
          <w:tcPr>
            <w:tcW w:w="955" w:type="dxa"/>
            <w:vMerge/>
            <w:tcBorders>
              <w:right w:val="nil"/>
            </w:tcBorders>
            <w:shd w:val="clear" w:color="auto" w:fill="C0C0C0" w:themeFill="text1" w:themeFillTint="3F"/>
          </w:tcPr>
          <w:p w14:paraId="52BC3C31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2FE" w14:paraId="39DB6D84" w14:textId="77777777" w:rsidTr="00C252F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</w:tcPr>
          <w:p w14:paraId="2650864A" w14:textId="77777777" w:rsidR="00C252FE" w:rsidRDefault="000A0CA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N(%)</w:t>
            </w:r>
          </w:p>
        </w:tc>
        <w:tc>
          <w:tcPr>
            <w:tcW w:w="1502" w:type="dxa"/>
          </w:tcPr>
          <w:p w14:paraId="7A3C96DA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11341</w:t>
            </w:r>
          </w:p>
        </w:tc>
        <w:tc>
          <w:tcPr>
            <w:tcW w:w="1502" w:type="dxa"/>
          </w:tcPr>
          <w:p w14:paraId="01741E76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6580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(58.0%)</w:t>
            </w:r>
          </w:p>
        </w:tc>
        <w:tc>
          <w:tcPr>
            <w:tcW w:w="1502" w:type="dxa"/>
          </w:tcPr>
          <w:p w14:paraId="5EC152AE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025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(26.7)</w:t>
            </w:r>
          </w:p>
        </w:tc>
        <w:tc>
          <w:tcPr>
            <w:tcW w:w="1503" w:type="dxa"/>
          </w:tcPr>
          <w:p w14:paraId="398DD7CC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1736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(15.3)</w:t>
            </w:r>
          </w:p>
        </w:tc>
        <w:tc>
          <w:tcPr>
            <w:tcW w:w="955" w:type="dxa"/>
          </w:tcPr>
          <w:p w14:paraId="119C7259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2FE" w14:paraId="2D4F3ABD" w14:textId="77777777" w:rsidTr="00C252F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320528BC" w14:textId="77777777" w:rsidR="00C252FE" w:rsidRDefault="000A0CA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pT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, n(%)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0AF88E97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7C82E59B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44AF78B3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3" w:type="dxa"/>
            <w:tcBorders>
              <w:right w:val="nil"/>
            </w:tcBorders>
            <w:shd w:val="clear" w:color="auto" w:fill="C0C0C0" w:themeFill="text1" w:themeFillTint="3F"/>
          </w:tcPr>
          <w:p w14:paraId="1AB63B94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  <w:tcBorders>
              <w:right w:val="nil"/>
            </w:tcBorders>
            <w:shd w:val="clear" w:color="auto" w:fill="C0C0C0" w:themeFill="text1" w:themeFillTint="3F"/>
          </w:tcPr>
          <w:p w14:paraId="5C185A5B" w14:textId="77777777" w:rsidR="00C252FE" w:rsidRDefault="000A0C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252FE" w14:paraId="1D94BA33" w14:textId="77777777" w:rsidTr="00C252F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noWrap/>
          </w:tcPr>
          <w:p w14:paraId="538D2ACB" w14:textId="77777777" w:rsidR="00C252FE" w:rsidRDefault="000A0CA0">
            <w:pPr>
              <w:widowControl/>
              <w:spacing w:line="480" w:lineRule="auto"/>
              <w:ind w:firstLineChars="50" w:firstLine="90"/>
              <w:jc w:val="left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T1</w:t>
            </w:r>
          </w:p>
        </w:tc>
        <w:tc>
          <w:tcPr>
            <w:tcW w:w="1502" w:type="dxa"/>
          </w:tcPr>
          <w:p w14:paraId="69AF882F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2842(25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2" w:type="dxa"/>
            <w:noWrap/>
          </w:tcPr>
          <w:p w14:paraId="0E085622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1680(25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7)</w:t>
            </w:r>
          </w:p>
        </w:tc>
        <w:tc>
          <w:tcPr>
            <w:tcW w:w="1502" w:type="dxa"/>
            <w:noWrap/>
          </w:tcPr>
          <w:p w14:paraId="70DD0EC5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813(27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3" w:type="dxa"/>
            <w:noWrap/>
          </w:tcPr>
          <w:p w14:paraId="6B8C9326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349(23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5" w:type="dxa"/>
            <w:noWrap/>
          </w:tcPr>
          <w:p w14:paraId="0AF6151D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252FE" w14:paraId="466E05A3" w14:textId="77777777" w:rsidTr="00C252F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tcBorders>
              <w:left w:val="nil"/>
              <w:right w:val="nil"/>
            </w:tcBorders>
            <w:shd w:val="clear" w:color="auto" w:fill="C0C0C0" w:themeFill="text1" w:themeFillTint="3F"/>
            <w:noWrap/>
          </w:tcPr>
          <w:p w14:paraId="6DB806FF" w14:textId="77777777" w:rsidR="00C252FE" w:rsidRDefault="000A0CA0">
            <w:pPr>
              <w:widowControl/>
              <w:spacing w:line="480" w:lineRule="auto"/>
              <w:ind w:firstLineChars="50" w:firstLine="90"/>
              <w:jc w:val="left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T2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47F167FC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5892(53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132F186C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3741(57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10C8B3F7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1628(54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6)</w:t>
            </w:r>
          </w:p>
        </w:tc>
        <w:tc>
          <w:tcPr>
            <w:tcW w:w="1503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7EACBE34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523(35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3)</w:t>
            </w:r>
          </w:p>
        </w:tc>
        <w:tc>
          <w:tcPr>
            <w:tcW w:w="955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4409C8ED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252FE" w14:paraId="508D140A" w14:textId="77777777" w:rsidTr="00C252F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noWrap/>
          </w:tcPr>
          <w:p w14:paraId="05DB1A61" w14:textId="77777777" w:rsidR="00C252FE" w:rsidRDefault="000A0CA0">
            <w:pPr>
              <w:widowControl/>
              <w:spacing w:line="480" w:lineRule="auto"/>
              <w:ind w:firstLineChars="50" w:firstLine="90"/>
              <w:jc w:val="left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T3</w:t>
            </w:r>
          </w:p>
        </w:tc>
        <w:tc>
          <w:tcPr>
            <w:tcW w:w="1502" w:type="dxa"/>
          </w:tcPr>
          <w:p w14:paraId="418FBEC0" w14:textId="77777777" w:rsidR="00C252FE" w:rsidRDefault="000A0CA0">
            <w:pPr>
              <w:widowControl/>
              <w:spacing w:line="480" w:lineRule="auto"/>
              <w:ind w:firstLineChars="50" w:firstLine="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665(6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2" w:type="dxa"/>
            <w:noWrap/>
          </w:tcPr>
          <w:p w14:paraId="4295987A" w14:textId="77777777" w:rsidR="00C252FE" w:rsidRDefault="000A0CA0">
            <w:pPr>
              <w:widowControl/>
              <w:spacing w:line="480" w:lineRule="auto"/>
              <w:ind w:firstLineChars="50" w:firstLine="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432(6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6)</w:t>
            </w:r>
          </w:p>
        </w:tc>
        <w:tc>
          <w:tcPr>
            <w:tcW w:w="1502" w:type="dxa"/>
            <w:noWrap/>
          </w:tcPr>
          <w:p w14:paraId="00075A2A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152(5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1)</w:t>
            </w:r>
          </w:p>
        </w:tc>
        <w:tc>
          <w:tcPr>
            <w:tcW w:w="1503" w:type="dxa"/>
            <w:noWrap/>
          </w:tcPr>
          <w:p w14:paraId="351AA891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81(5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5" w:type="dxa"/>
            <w:noWrap/>
          </w:tcPr>
          <w:p w14:paraId="5AC19C11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252FE" w14:paraId="1076ACB1" w14:textId="77777777" w:rsidTr="00C252F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tcBorders>
              <w:left w:val="nil"/>
              <w:right w:val="nil"/>
            </w:tcBorders>
            <w:shd w:val="clear" w:color="auto" w:fill="C0C0C0" w:themeFill="text1" w:themeFillTint="3F"/>
            <w:noWrap/>
          </w:tcPr>
          <w:p w14:paraId="4F4691A2" w14:textId="77777777" w:rsidR="00C252FE" w:rsidRDefault="000A0CA0">
            <w:pPr>
              <w:widowControl/>
              <w:spacing w:line="480" w:lineRule="auto"/>
              <w:ind w:firstLineChars="50" w:firstLine="90"/>
              <w:jc w:val="left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T4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614DD110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1596(14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015A2B28" w14:textId="77777777" w:rsidR="00C252FE" w:rsidRDefault="000A0CA0">
            <w:pPr>
              <w:widowControl/>
              <w:spacing w:line="480" w:lineRule="auto"/>
              <w:ind w:firstLineChars="50" w:firstLine="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681(10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7B3656EC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388(13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0)</w:t>
            </w:r>
          </w:p>
        </w:tc>
        <w:tc>
          <w:tcPr>
            <w:tcW w:w="1503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6EB1A12E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527(35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6)</w:t>
            </w:r>
          </w:p>
        </w:tc>
        <w:tc>
          <w:tcPr>
            <w:tcW w:w="955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2F815A6C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252FE" w14:paraId="2026B1CE" w14:textId="77777777" w:rsidTr="00C252F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noWrap/>
          </w:tcPr>
          <w:p w14:paraId="33CBB268" w14:textId="77777777" w:rsidR="00C252FE" w:rsidRDefault="000A0CA0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 w:val="0"/>
                <w:bCs w:val="0"/>
                <w:color w:val="000000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pN</w:t>
            </w:r>
            <w:proofErr w:type="spellEnd"/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, n(%)</w:t>
            </w:r>
          </w:p>
        </w:tc>
        <w:tc>
          <w:tcPr>
            <w:tcW w:w="1502" w:type="dxa"/>
          </w:tcPr>
          <w:p w14:paraId="28880AC9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2" w:type="dxa"/>
            <w:noWrap/>
          </w:tcPr>
          <w:p w14:paraId="0612940B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2" w:type="dxa"/>
            <w:noWrap/>
          </w:tcPr>
          <w:p w14:paraId="11C6275E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noWrap/>
          </w:tcPr>
          <w:p w14:paraId="79E0EB8E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55" w:type="dxa"/>
            <w:noWrap/>
          </w:tcPr>
          <w:p w14:paraId="44B99F72" w14:textId="77777777" w:rsidR="00C252FE" w:rsidRDefault="000A0CA0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252FE" w14:paraId="3540CE34" w14:textId="77777777" w:rsidTr="00C252F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tcBorders>
              <w:left w:val="nil"/>
              <w:right w:val="nil"/>
            </w:tcBorders>
            <w:shd w:val="clear" w:color="auto" w:fill="C0C0C0" w:themeFill="text1" w:themeFillTint="3F"/>
            <w:noWrap/>
          </w:tcPr>
          <w:p w14:paraId="077FFA11" w14:textId="77777777" w:rsidR="00C252FE" w:rsidRDefault="000A0CA0">
            <w:pPr>
              <w:widowControl/>
              <w:spacing w:line="480" w:lineRule="auto"/>
              <w:ind w:firstLineChars="50" w:firstLine="90"/>
              <w:jc w:val="left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N1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53A90390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6384(56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15FA9DA8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4593(69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4A7EF08D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1478(48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3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02DF25BF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313(18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5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45B7BFAB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252FE" w14:paraId="74449526" w14:textId="77777777" w:rsidTr="00C252F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noWrap/>
          </w:tcPr>
          <w:p w14:paraId="12336B86" w14:textId="77777777" w:rsidR="00C252FE" w:rsidRDefault="000A0CA0">
            <w:pPr>
              <w:widowControl/>
              <w:spacing w:line="480" w:lineRule="auto"/>
              <w:ind w:firstLineChars="50" w:firstLine="90"/>
              <w:jc w:val="left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lastRenderedPageBreak/>
              <w:t>N2</w:t>
            </w:r>
          </w:p>
        </w:tc>
        <w:tc>
          <w:tcPr>
            <w:tcW w:w="1502" w:type="dxa"/>
          </w:tcPr>
          <w:p w14:paraId="59B0A3DB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4362(38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2" w:type="dxa"/>
            <w:noWrap/>
          </w:tcPr>
          <w:p w14:paraId="688B00E4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1921(29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2" w:type="dxa"/>
            <w:noWrap/>
          </w:tcPr>
          <w:p w14:paraId="37AE2017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1483(49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0)</w:t>
            </w:r>
          </w:p>
        </w:tc>
        <w:tc>
          <w:tcPr>
            <w:tcW w:w="1503" w:type="dxa"/>
            <w:noWrap/>
          </w:tcPr>
          <w:p w14:paraId="2E11F676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958(55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5" w:type="dxa"/>
            <w:noWrap/>
          </w:tcPr>
          <w:p w14:paraId="0228DA1F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252FE" w14:paraId="42050280" w14:textId="77777777" w:rsidTr="00C252FE">
        <w:trPr>
          <w:trHeight w:val="28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tcBorders>
              <w:left w:val="nil"/>
              <w:right w:val="nil"/>
            </w:tcBorders>
            <w:shd w:val="clear" w:color="auto" w:fill="C0C0C0" w:themeFill="text1" w:themeFillTint="3F"/>
            <w:noWrap/>
          </w:tcPr>
          <w:p w14:paraId="061AD45D" w14:textId="77777777" w:rsidR="00C252FE" w:rsidRDefault="000A0CA0">
            <w:pPr>
              <w:widowControl/>
              <w:spacing w:line="480" w:lineRule="auto"/>
              <w:ind w:firstLineChars="50" w:firstLine="90"/>
              <w:jc w:val="left"/>
              <w:rPr>
                <w:rFonts w:ascii="Times New Roman" w:eastAsia="等线" w:hAnsi="Times New Roman" w:cs="Times New Roman"/>
                <w:bCs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N3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4E519A13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595(5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2B909DC6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66(1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66018AB8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64(2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1)</w:t>
            </w:r>
          </w:p>
        </w:tc>
        <w:tc>
          <w:tcPr>
            <w:tcW w:w="1503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6433B438" w14:textId="77777777" w:rsidR="00C252FE" w:rsidRDefault="000A0CA0">
            <w:pPr>
              <w:widowControl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465(26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.8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5" w:type="dxa"/>
            <w:tcBorders>
              <w:right w:val="nil"/>
            </w:tcBorders>
            <w:shd w:val="clear" w:color="auto" w:fill="C0C0C0" w:themeFill="text1" w:themeFillTint="3F"/>
            <w:noWrap/>
          </w:tcPr>
          <w:p w14:paraId="2E95C075" w14:textId="77777777" w:rsidR="00C252FE" w:rsidRDefault="00C252FE">
            <w:pPr>
              <w:widowControl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C252FE" w14:paraId="00EF124F" w14:textId="77777777" w:rsidTr="00C252F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</w:tcPr>
          <w:p w14:paraId="553DB29A" w14:textId="77777777" w:rsidR="00C252FE" w:rsidRDefault="000A0CA0">
            <w:pPr>
              <w:spacing w:line="480" w:lineRule="auto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No.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of retrieved lymph nodes</w:t>
            </w:r>
          </w:p>
        </w:tc>
        <w:tc>
          <w:tcPr>
            <w:tcW w:w="1502" w:type="dxa"/>
          </w:tcPr>
          <w:p w14:paraId="3AF9B070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2" w:type="dxa"/>
          </w:tcPr>
          <w:p w14:paraId="17F28125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2" w:type="dxa"/>
          </w:tcPr>
          <w:p w14:paraId="4D5134B8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3" w:type="dxa"/>
          </w:tcPr>
          <w:p w14:paraId="3F604D3D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5" w:type="dxa"/>
          </w:tcPr>
          <w:p w14:paraId="6C7FE131" w14:textId="77777777" w:rsidR="00C252FE" w:rsidRDefault="00C252FE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252FE" w14:paraId="24B70705" w14:textId="77777777" w:rsidTr="00C252F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6E9E1DC3" w14:textId="77777777" w:rsidR="00C252FE" w:rsidRDefault="000A0CA0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 w:val="0"/>
                <w:color w:val="000000"/>
                <w:kern w:val="0"/>
                <w:sz w:val="18"/>
                <w:szCs w:val="18"/>
              </w:rPr>
              <w:t>M</w:t>
            </w: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>edian, Q1,Q3:)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42E8C378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9(4,15)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769F9ABF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12(8,18)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64008E84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7(4,11)</w:t>
            </w:r>
          </w:p>
        </w:tc>
        <w:tc>
          <w:tcPr>
            <w:tcW w:w="1503" w:type="dxa"/>
            <w:tcBorders>
              <w:right w:val="nil"/>
            </w:tcBorders>
            <w:shd w:val="clear" w:color="auto" w:fill="C0C0C0" w:themeFill="text1" w:themeFillTint="3F"/>
          </w:tcPr>
          <w:p w14:paraId="046844FC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1(1,3)</w:t>
            </w:r>
          </w:p>
        </w:tc>
        <w:tc>
          <w:tcPr>
            <w:tcW w:w="955" w:type="dxa"/>
            <w:tcBorders>
              <w:right w:val="nil"/>
            </w:tcBorders>
            <w:shd w:val="clear" w:color="auto" w:fill="C0C0C0" w:themeFill="text1" w:themeFillTint="3F"/>
          </w:tcPr>
          <w:p w14:paraId="2F2B21A8" w14:textId="77777777" w:rsidR="00C252FE" w:rsidRDefault="000A0C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252FE" w14:paraId="4E37AE78" w14:textId="77777777" w:rsidTr="00C252F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</w:tcPr>
          <w:p w14:paraId="1C950E41" w14:textId="77777777" w:rsidR="00C252FE" w:rsidRDefault="000A0CA0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 w:val="0"/>
                <w:color w:val="000000"/>
                <w:kern w:val="0"/>
                <w:sz w:val="18"/>
                <w:szCs w:val="18"/>
              </w:rPr>
              <w:t>No.</w:t>
            </w: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 xml:space="preserve"> of positive lymph node(median, Q1,Q3:)</w:t>
            </w:r>
          </w:p>
        </w:tc>
        <w:tc>
          <w:tcPr>
            <w:tcW w:w="1502" w:type="dxa"/>
          </w:tcPr>
          <w:p w14:paraId="1D509960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2(1,3)</w:t>
            </w:r>
          </w:p>
        </w:tc>
        <w:tc>
          <w:tcPr>
            <w:tcW w:w="1502" w:type="dxa"/>
          </w:tcPr>
          <w:p w14:paraId="3818AF79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1(1,2)</w:t>
            </w:r>
          </w:p>
        </w:tc>
        <w:tc>
          <w:tcPr>
            <w:tcW w:w="1502" w:type="dxa"/>
          </w:tcPr>
          <w:p w14:paraId="26108642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3(2,5)</w:t>
            </w:r>
          </w:p>
        </w:tc>
        <w:tc>
          <w:tcPr>
            <w:tcW w:w="1503" w:type="dxa"/>
          </w:tcPr>
          <w:p w14:paraId="62FB4886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1(1,3)</w:t>
            </w:r>
          </w:p>
        </w:tc>
        <w:tc>
          <w:tcPr>
            <w:tcW w:w="955" w:type="dxa"/>
          </w:tcPr>
          <w:p w14:paraId="5D1A1F82" w14:textId="77777777" w:rsidR="00C252FE" w:rsidRDefault="000A0C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  <w:tr w:rsidR="00C252FE" w14:paraId="593BDDCF" w14:textId="77777777" w:rsidTr="00C252F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7" w:type="dxa"/>
            <w:tcBorders>
              <w:left w:val="nil"/>
              <w:right w:val="nil"/>
            </w:tcBorders>
            <w:shd w:val="clear" w:color="auto" w:fill="C0C0C0" w:themeFill="text1" w:themeFillTint="3F"/>
          </w:tcPr>
          <w:p w14:paraId="492D0F2E" w14:textId="77777777" w:rsidR="00C252FE" w:rsidRDefault="000A0CA0">
            <w:pPr>
              <w:spacing w:line="480" w:lineRule="auto"/>
              <w:ind w:firstLineChars="100" w:firstLine="18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 w:hint="eastAsia"/>
                <w:b w:val="0"/>
                <w:color w:val="000000"/>
                <w:kern w:val="0"/>
                <w:sz w:val="18"/>
                <w:szCs w:val="18"/>
              </w:rPr>
              <w:t>No.</w:t>
            </w:r>
            <w:r>
              <w:rPr>
                <w:rFonts w:ascii="Times New Roman" w:eastAsia="等线" w:hAnsi="Times New Roman" w:cs="Times New Roman"/>
                <w:b w:val="0"/>
                <w:color w:val="000000"/>
                <w:kern w:val="0"/>
                <w:sz w:val="18"/>
                <w:szCs w:val="18"/>
              </w:rPr>
              <w:t xml:space="preserve"> of negative lymph node(median, Q1,Q3:)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60AC2C87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7(2,12)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4835288F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11(7,16)</w:t>
            </w:r>
          </w:p>
        </w:tc>
        <w:tc>
          <w:tcPr>
            <w:tcW w:w="1502" w:type="dxa"/>
            <w:tcBorders>
              <w:right w:val="nil"/>
            </w:tcBorders>
            <w:shd w:val="clear" w:color="auto" w:fill="C0C0C0" w:themeFill="text1" w:themeFillTint="3F"/>
          </w:tcPr>
          <w:p w14:paraId="3A61D6E8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4(2,6)</w:t>
            </w:r>
          </w:p>
        </w:tc>
        <w:tc>
          <w:tcPr>
            <w:tcW w:w="1503" w:type="dxa"/>
            <w:tcBorders>
              <w:right w:val="nil"/>
            </w:tcBorders>
            <w:shd w:val="clear" w:color="auto" w:fill="C0C0C0" w:themeFill="text1" w:themeFillTint="3F"/>
          </w:tcPr>
          <w:p w14:paraId="567E5DC5" w14:textId="77777777" w:rsidR="00C252FE" w:rsidRDefault="000A0CA0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0(0,0)</w:t>
            </w:r>
          </w:p>
        </w:tc>
        <w:tc>
          <w:tcPr>
            <w:tcW w:w="955" w:type="dxa"/>
            <w:tcBorders>
              <w:right w:val="nil"/>
            </w:tcBorders>
            <w:shd w:val="clear" w:color="auto" w:fill="C0C0C0" w:themeFill="text1" w:themeFillTint="3F"/>
          </w:tcPr>
          <w:p w14:paraId="48E02017" w14:textId="77777777" w:rsidR="00C252FE" w:rsidRDefault="000A0CA0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0.001</w:t>
            </w:r>
          </w:p>
        </w:tc>
      </w:tr>
    </w:tbl>
    <w:p w14:paraId="68B924AA" w14:textId="77777777" w:rsidR="00C252FE" w:rsidRDefault="000A0CA0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*Chi-squared test</w:t>
      </w:r>
    </w:p>
    <w:p w14:paraId="21C07F20" w14:textId="77777777" w:rsidR="00C252FE" w:rsidRDefault="00C252FE">
      <w:pPr>
        <w:widowControl/>
        <w:spacing w:line="480" w:lineRule="auto"/>
        <w:jc w:val="left"/>
        <w:rPr>
          <w:rFonts w:ascii="宋体" w:eastAsia="宋体" w:hAnsi="宋体"/>
          <w:b/>
        </w:rPr>
      </w:pPr>
    </w:p>
    <w:p w14:paraId="70D9C1A5" w14:textId="77777777" w:rsidR="00C252FE" w:rsidRDefault="00C252FE">
      <w:pPr>
        <w:rPr>
          <w:rFonts w:ascii="Times New Roman" w:hAnsi="Times New Roman" w:cs="Times New Roman"/>
          <w:sz w:val="24"/>
          <w:szCs w:val="24"/>
        </w:rPr>
      </w:pPr>
    </w:p>
    <w:sectPr w:rsidR="00C252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TNEJMScalaSansLF">
    <w:altName w:val="MS Gothic"/>
    <w:charset w:val="80"/>
    <w:family w:val="swiss"/>
    <w:pitch w:val="default"/>
    <w:sig w:usb0="00000000" w:usb1="00000000" w:usb2="00000010" w:usb3="00000000" w:csb0="0002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2FE"/>
    <w:rsid w:val="000A0CA0"/>
    <w:rsid w:val="00C252FE"/>
    <w:rsid w:val="148C1414"/>
    <w:rsid w:val="2BAB36F5"/>
    <w:rsid w:val="39536C2D"/>
    <w:rsid w:val="492C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942954"/>
  <w15:docId w15:val="{8EA9655D-2C0B-4FA1-B064-863BB3CD65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Light Shading"/>
    <w:basedOn w:val="a1"/>
    <w:uiPriority w:val="60"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1327</Words>
  <Characters>7567</Characters>
  <Application>Microsoft Office Word</Application>
  <DocSecurity>0</DocSecurity>
  <Lines>63</Lines>
  <Paragraphs>17</Paragraphs>
  <ScaleCrop>false</ScaleCrop>
  <Company/>
  <LinksUpToDate>false</LinksUpToDate>
  <CharactersWithSpaces>8877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柳 凯</cp:lastModifiedBy>
  <cp:revision>2</cp:revision>
  <dcterms:created xsi:type="dcterms:W3CDTF">2020-02-25T14:04:00Z</dcterms:created>
  <dcterms:modified xsi:type="dcterms:W3CDTF">2020-02-25T14:04:00Z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