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SUPPLEMENTARY FIGURES AND FIGURE LEGENDS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noProof/>
          <w:kern w:val="2"/>
          <w:sz w:val="22"/>
          <w:szCs w:val="22"/>
          <w:lang w:val="en-US" w:eastAsia="en-US"/>
        </w:rPr>
        <w:lastRenderedPageBreak/>
        <w:drawing>
          <wp:inline distT="0" distB="0" distL="0" distR="0">
            <wp:extent cx="5612130" cy="8106410"/>
            <wp:effectExtent l="0" t="0" r="762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lastRenderedPageBreak/>
        <w:t xml:space="preserve">Supp. Figure 1. LCI results in minimal DNA damage in microglia and monocyte infiltration. 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(A)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Representative confocal images of double-strand breaks labeled with 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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H2AX at 6h after LCI showing DAPI (white), 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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H2AX (red) and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fms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-EGFP (cyan) staining 6h after LCI.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(B)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Representative images of a 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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H2AX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nucleus (red) indicated with a white arrow and other nuclei labeled with 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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H2AX puncta indicated by white arrowheads (cells 1-3). A microglial nucleus labeled with DAPI (white), Pu.1 (magenta), and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fms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-EGFP (cyan) not expressing 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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H2AX 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is shown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(cell 4).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/>
        </w:rPr>
        <w:t>(</w:t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/>
        </w:rPr>
        <w:t>C</w:t>
      </w:r>
      <w:r>
        <w:rPr>
          <w:rFonts w:ascii="Arial" w:eastAsia="Calibri" w:hAnsi="Arial" w:cs="Arial"/>
          <w:b/>
          <w:iCs/>
          <w:kern w:val="2"/>
          <w:sz w:val="22"/>
          <w:szCs w:val="22"/>
          <w:lang w:val="en-US"/>
        </w:rPr>
        <w:t>)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 xml:space="preserve">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Number of 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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H2AX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nuclei in the DG per septal hippocampus.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 w:eastAsia="es-ES"/>
        </w:rPr>
        <w:t>(</w:t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D)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Percentage of nuclear volume (DAPI) occupied by 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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H2AX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puncta.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 w:eastAsia="es-ES"/>
        </w:rPr>
        <w:t>(</w:t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E)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Percentage of microglial nuclear volume (Pu.1) occupied by 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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H2AX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puncta.</w:t>
      </w:r>
    </w:p>
    <w:p w:rsidR="00614439" w:rsidRDefault="00614439" w:rsidP="00614439">
      <w:pPr>
        <w:spacing w:line="360" w:lineRule="auto"/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 w:eastAsia="es-ES"/>
        </w:rPr>
        <w:t>(</w:t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 xml:space="preserve">F)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Representative confocal images of microglia and monocytes/macrophages at 24h after LCI. Microglia 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are labeled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with both P2Y12 (red) and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fms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-EGFP (cyan), while monocytes/macrophages only express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fms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-EGFP (cyan). DAPI (white) staining shows nuclei. The elongated, smooth-surfaced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fms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-EGFP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, P2Y12- cell is likely a perivascular macrophage.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/>
        </w:rPr>
        <w:t>(G)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Percentage of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fms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-EGFP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cells identified as microglia (P2Y12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) and monocyte/macrophages (P2Y12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-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)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(H)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Representative images of the monocytes/macrophage gene </w:t>
      </w:r>
      <w:r>
        <w:rPr>
          <w:rFonts w:ascii="Arial" w:eastAsia="Calibri" w:hAnsi="Arial" w:cs="Arial"/>
          <w:i/>
          <w:iCs/>
          <w:kern w:val="2"/>
          <w:sz w:val="22"/>
          <w:szCs w:val="22"/>
          <w:lang w:val="en-US" w:eastAsia="es-ES"/>
        </w:rPr>
        <w:t>Ms4a7</w:t>
      </w:r>
      <w:r>
        <w:rPr>
          <w:rFonts w:ascii="Arial" w:eastAsia="Calibri" w:hAnsi="Arial" w:cs="Arial"/>
          <w:bCs/>
          <w:i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by </w:t>
      </w:r>
      <w:proofErr w:type="spell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RNAScope</w:t>
      </w:r>
      <w:proofErr w:type="spell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, s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howing DAPI (white), </w:t>
      </w:r>
      <w:r>
        <w:rPr>
          <w:rFonts w:ascii="Arial" w:eastAsia="Calibri" w:hAnsi="Arial" w:cs="Arial"/>
          <w:i/>
          <w:iCs/>
          <w:kern w:val="2"/>
          <w:sz w:val="22"/>
          <w:szCs w:val="22"/>
          <w:lang w:val="en-US" w:eastAsia="es-ES"/>
        </w:rPr>
        <w:t>Ms4a7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mRNA (red) and P2Y12 (cyan) staining in the DG 24h and 7d after LCI. The white dotted rectangle shows in higher magnification two </w:t>
      </w:r>
      <w:r>
        <w:rPr>
          <w:rFonts w:ascii="Arial" w:eastAsia="Calibri" w:hAnsi="Arial" w:cs="Arial"/>
          <w:i/>
          <w:iCs/>
          <w:kern w:val="2"/>
          <w:sz w:val="22"/>
          <w:szCs w:val="22"/>
          <w:lang w:val="en-US" w:eastAsia="es-ES"/>
        </w:rPr>
        <w:t xml:space="preserve">Ms4a7+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cells (white arrowheads) that are not microglia (P2Y12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-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)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 w:eastAsia="es-ES"/>
        </w:rPr>
        <w:t>(I</w:t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)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Percentage of </w:t>
      </w:r>
      <w:r>
        <w:rPr>
          <w:rFonts w:ascii="Arial" w:eastAsia="Calibri" w:hAnsi="Arial" w:cs="Arial"/>
          <w:i/>
          <w:iCs/>
          <w:kern w:val="2"/>
          <w:sz w:val="22"/>
          <w:szCs w:val="22"/>
          <w:lang w:val="en-US" w:eastAsia="es-ES"/>
        </w:rPr>
        <w:t>Ms4a7</w:t>
      </w:r>
      <w:r>
        <w:rPr>
          <w:rFonts w:ascii="Arial" w:eastAsia="Calibri" w:hAnsi="Arial" w:cs="Arial"/>
          <w:i/>
          <w:iCs/>
          <w:kern w:val="2"/>
          <w:sz w:val="22"/>
          <w:szCs w:val="22"/>
          <w:vertAlign w:val="superscript"/>
          <w:lang w:val="en-US" w:eastAsia="es-ES"/>
        </w:rPr>
        <w:t xml:space="preserve">+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cells in the DG 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24h and 7d after LCI.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Bars show mean ± SEM of n=3-4 mice. Data 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was analyzed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by one-way ANOVA followed by Holm-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Sidak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post hoc tests when appropriate. When homoscedasticity was not 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accomplished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a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Kruskal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-Wallis test was performed [C]. Asterisks represent significance between control and LCI (6h, 24h, 3d, 7d, 30d). * represents p&lt;0.05, *** represents p&lt;0.001.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Scale bars= 100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[A, B, H], 10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(inserts in [B])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;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10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[F]. z=16.8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[A]; z=26.6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m, z=0.7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[B]; z= 17.5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[F]; z=16.45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m, z=17.5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,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</w:t>
      </w:r>
      <w:proofErr w:type="gramEnd"/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z=8.75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[D]; [H, left to right];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br w:type="page"/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noProof/>
          <w:kern w:val="2"/>
          <w:sz w:val="22"/>
          <w:szCs w:val="22"/>
          <w:lang w:val="en-US" w:eastAsia="en-US"/>
        </w:rPr>
        <w:lastRenderedPageBreak/>
        <w:drawing>
          <wp:inline distT="0" distB="0" distL="0" distR="0">
            <wp:extent cx="5612130" cy="8106410"/>
            <wp:effectExtent l="0" t="0" r="762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lastRenderedPageBreak/>
        <w:t>Supp. Figure 2. Single-cell RNA-</w:t>
      </w:r>
      <w:proofErr w:type="spellStart"/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seq</w:t>
      </w:r>
      <w:proofErr w:type="spellEnd"/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 xml:space="preserve"> processing of microglia after LCI. </w:t>
      </w:r>
    </w:p>
    <w:p w:rsidR="00614439" w:rsidRPr="00637F03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4"/>
          <w:sz w:val="22"/>
          <w:szCs w:val="22"/>
          <w:lang w:val="en-US"/>
        </w:rPr>
      </w:pPr>
      <w:r w:rsidRPr="00637F03">
        <w:rPr>
          <w:rFonts w:ascii="Arial" w:eastAsia="Calibri" w:hAnsi="Arial" w:cs="Arial"/>
          <w:b/>
          <w:bCs/>
          <w:iCs/>
          <w:kern w:val="24"/>
          <w:sz w:val="22"/>
          <w:szCs w:val="22"/>
          <w:lang w:val="en-US" w:eastAsia="es-ES"/>
        </w:rPr>
        <w:t>(A)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Summary table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showing the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total number of sequenced cells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per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condition and the final cell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count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following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quality control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filtering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and microglia subset selection</w:t>
      </w:r>
    </w:p>
    <w:p w:rsidR="00614439" w:rsidRPr="00637F03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</w:pPr>
      <w:r w:rsidRPr="00637F03">
        <w:rPr>
          <w:rFonts w:ascii="Arial" w:eastAsia="Calibri" w:hAnsi="Arial" w:cs="Arial"/>
          <w:b/>
          <w:bCs/>
          <w:iCs/>
          <w:kern w:val="24"/>
          <w:sz w:val="22"/>
          <w:szCs w:val="22"/>
          <w:lang w:val="en-US" w:eastAsia="es-ES"/>
        </w:rPr>
        <w:t>(B)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Violin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plot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s depicting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the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distribution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of genes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counts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detected per cell before (left) and after (right)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</w:t>
      </w:r>
      <w:proofErr w:type="gramStart"/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quality</w:t>
      </w:r>
      <w:proofErr w:type="gramEnd"/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control filtering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. Red lines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denote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the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filtering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.</w:t>
      </w:r>
    </w:p>
    <w:p w:rsidR="00614439" w:rsidRPr="00637F03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4"/>
          <w:sz w:val="22"/>
          <w:szCs w:val="22"/>
          <w:lang w:val="en-US"/>
        </w:rPr>
      </w:pPr>
      <w:r w:rsidRPr="00637F03">
        <w:rPr>
          <w:rFonts w:ascii="Arial" w:eastAsia="Calibri" w:hAnsi="Arial" w:cs="Arial"/>
          <w:b/>
          <w:iCs/>
          <w:kern w:val="24"/>
          <w:sz w:val="22"/>
          <w:szCs w:val="22"/>
          <w:lang w:val="en-US"/>
        </w:rPr>
        <w:t>(</w:t>
      </w:r>
      <w:r w:rsidRPr="00637F03">
        <w:rPr>
          <w:rFonts w:ascii="Arial" w:eastAsia="Calibri" w:hAnsi="Arial" w:cs="Arial"/>
          <w:b/>
          <w:bCs/>
          <w:iCs/>
          <w:kern w:val="24"/>
          <w:sz w:val="22"/>
          <w:szCs w:val="22"/>
          <w:lang w:val="en-US"/>
        </w:rPr>
        <w:t>C</w:t>
      </w:r>
      <w:r w:rsidRPr="00637F03">
        <w:rPr>
          <w:rFonts w:ascii="Arial" w:eastAsia="Calibri" w:hAnsi="Arial" w:cs="Arial"/>
          <w:b/>
          <w:iCs/>
          <w:kern w:val="24"/>
          <w:sz w:val="22"/>
          <w:szCs w:val="22"/>
          <w:lang w:val="en-US"/>
        </w:rPr>
        <w:t>)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/>
        </w:rPr>
        <w:t xml:space="preserve">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Violin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plot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s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illustrating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the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percentage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of mitochondrial genes detected per cell before (left) and after (right)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</w:t>
      </w:r>
      <w:proofErr w:type="gramStart"/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quality</w:t>
      </w:r>
      <w:proofErr w:type="gramEnd"/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control filtering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. Red lines indicate the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filtering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thresholds.</w:t>
      </w:r>
    </w:p>
    <w:p w:rsidR="00614439" w:rsidRPr="00637F03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</w:pPr>
      <w:r w:rsidRPr="00637F03">
        <w:rPr>
          <w:rFonts w:ascii="Arial" w:eastAsia="Calibri" w:hAnsi="Arial" w:cs="Arial"/>
          <w:b/>
          <w:iCs/>
          <w:kern w:val="24"/>
          <w:sz w:val="22"/>
          <w:szCs w:val="22"/>
          <w:lang w:val="en-US" w:eastAsia="es-ES"/>
        </w:rPr>
        <w:t>(</w:t>
      </w:r>
      <w:r w:rsidRPr="00637F03">
        <w:rPr>
          <w:rFonts w:ascii="Arial" w:eastAsia="Calibri" w:hAnsi="Arial" w:cs="Arial"/>
          <w:b/>
          <w:bCs/>
          <w:iCs/>
          <w:kern w:val="24"/>
          <w:sz w:val="22"/>
          <w:szCs w:val="22"/>
          <w:lang w:val="en-US" w:eastAsia="es-ES"/>
        </w:rPr>
        <w:t>D)</w:t>
      </w:r>
      <w:r w:rsidRPr="00637F03">
        <w:rPr>
          <w:rFonts w:ascii="Arial" w:eastAsia="Calibri" w:hAnsi="Arial" w:cs="Arial"/>
          <w:bCs/>
          <w:iCs/>
          <w:kern w:val="24"/>
          <w:sz w:val="22"/>
          <w:szCs w:val="22"/>
          <w:lang w:val="en-US" w:eastAsia="es-ES"/>
        </w:rPr>
        <w:t xml:space="preserve">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UMAP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visualization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of the supervised clustering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annotation, based on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the 30 most significant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principal components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(PCs)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derived from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Principal Component Analysis (PCA).</w:t>
      </w:r>
    </w:p>
    <w:p w:rsidR="00614439" w:rsidRPr="00637F03" w:rsidRDefault="00614439" w:rsidP="00614439">
      <w:pPr>
        <w:spacing w:line="360" w:lineRule="auto"/>
        <w:jc w:val="both"/>
        <w:rPr>
          <w:rFonts w:ascii="Arial" w:eastAsia="Calibri" w:hAnsi="Arial" w:cs="Arial"/>
          <w:bCs/>
          <w:iCs/>
          <w:kern w:val="24"/>
          <w:sz w:val="22"/>
          <w:szCs w:val="22"/>
          <w:lang w:val="en-US" w:eastAsia="es-ES"/>
        </w:rPr>
      </w:pPr>
      <w:r w:rsidRPr="00637F03">
        <w:rPr>
          <w:rFonts w:ascii="Arial" w:eastAsia="Calibri" w:hAnsi="Arial" w:cs="Arial"/>
          <w:b/>
          <w:iCs/>
          <w:kern w:val="24"/>
          <w:sz w:val="22"/>
          <w:szCs w:val="22"/>
          <w:lang w:val="en-US" w:eastAsia="es-ES"/>
        </w:rPr>
        <w:t>(</w:t>
      </w:r>
      <w:r w:rsidRPr="00637F03">
        <w:rPr>
          <w:rFonts w:ascii="Arial" w:eastAsia="Calibri" w:hAnsi="Arial" w:cs="Arial"/>
          <w:b/>
          <w:bCs/>
          <w:iCs/>
          <w:kern w:val="24"/>
          <w:sz w:val="22"/>
          <w:szCs w:val="22"/>
          <w:lang w:val="en-US" w:eastAsia="es-ES"/>
        </w:rPr>
        <w:t>E)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UMAP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representation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of selected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clusters, excluding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non-myeloid cells, macrophages, and ex vivo reactive microglia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.</w:t>
      </w:r>
    </w:p>
    <w:p w:rsidR="00614439" w:rsidRPr="00637F03" w:rsidRDefault="00614439" w:rsidP="00614439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</w:pPr>
      <w:r w:rsidRPr="00637F03">
        <w:rPr>
          <w:rFonts w:ascii="Arial" w:eastAsia="Calibri" w:hAnsi="Arial" w:cs="Arial"/>
          <w:b/>
          <w:iCs/>
          <w:kern w:val="24"/>
          <w:sz w:val="22"/>
          <w:szCs w:val="22"/>
          <w:lang w:val="en-US" w:eastAsia="es-ES"/>
        </w:rPr>
        <w:t>(</w:t>
      </w:r>
      <w:r w:rsidRPr="00637F03">
        <w:rPr>
          <w:rFonts w:ascii="Arial" w:eastAsia="Calibri" w:hAnsi="Arial" w:cs="Arial"/>
          <w:b/>
          <w:bCs/>
          <w:iCs/>
          <w:kern w:val="24"/>
          <w:sz w:val="22"/>
          <w:szCs w:val="22"/>
          <w:lang w:val="en-US" w:eastAsia="es-ES"/>
        </w:rPr>
        <w:t xml:space="preserve">F)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Summary table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s reporting the number (left) and percentage (right) of cells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detected per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population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and treatment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condition shown in D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.</w:t>
      </w:r>
    </w:p>
    <w:p w:rsidR="00614439" w:rsidRPr="00637F03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</w:pPr>
      <w:r w:rsidRPr="00637F03">
        <w:rPr>
          <w:rFonts w:ascii="Arial" w:eastAsia="Calibri" w:hAnsi="Arial" w:cs="Arial"/>
          <w:b/>
          <w:iCs/>
          <w:kern w:val="24"/>
          <w:sz w:val="22"/>
          <w:szCs w:val="22"/>
          <w:lang w:val="en-US" w:eastAsia="es-ES"/>
        </w:rPr>
        <w:t>(</w:t>
      </w:r>
      <w:r>
        <w:rPr>
          <w:rFonts w:ascii="Arial" w:eastAsia="Calibri" w:hAnsi="Arial" w:cs="Arial"/>
          <w:b/>
          <w:bCs/>
          <w:iCs/>
          <w:kern w:val="24"/>
          <w:sz w:val="22"/>
          <w:szCs w:val="22"/>
          <w:lang w:val="en-US" w:eastAsia="es-ES"/>
        </w:rPr>
        <w:t>G</w:t>
      </w:r>
      <w:r w:rsidRPr="00637F03">
        <w:rPr>
          <w:rFonts w:ascii="Arial" w:eastAsia="Calibri" w:hAnsi="Arial" w:cs="Arial"/>
          <w:b/>
          <w:bCs/>
          <w:iCs/>
          <w:kern w:val="24"/>
          <w:sz w:val="22"/>
          <w:szCs w:val="22"/>
          <w:lang w:val="en-US" w:eastAsia="es-ES"/>
        </w:rPr>
        <w:t xml:space="preserve">) 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Summary table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s reporting the number (left) and percentage (right) of cells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detected per 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microglia subpopulation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and treatment</w:t>
      </w:r>
      <w:r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 xml:space="preserve"> condition shown in E</w:t>
      </w:r>
      <w:r w:rsidRPr="00637F03">
        <w:rPr>
          <w:rFonts w:ascii="Arial" w:eastAsia="Calibri" w:hAnsi="Arial" w:cs="Arial"/>
          <w:iCs/>
          <w:kern w:val="24"/>
          <w:sz w:val="22"/>
          <w:szCs w:val="22"/>
          <w:lang w:val="en-US" w:eastAsia="es-ES"/>
        </w:rPr>
        <w:t>.</w:t>
      </w:r>
    </w:p>
    <w:p w:rsidR="00614439" w:rsidRDefault="00614439" w:rsidP="00614439">
      <w:pPr>
        <w:spacing w:line="360" w:lineRule="auto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br w:type="page"/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noProof/>
          <w:kern w:val="2"/>
          <w:sz w:val="22"/>
          <w:szCs w:val="22"/>
          <w:lang w:val="en-US" w:eastAsia="en-US"/>
        </w:rPr>
        <w:lastRenderedPageBreak/>
        <w:drawing>
          <wp:inline distT="0" distB="0" distL="0" distR="0">
            <wp:extent cx="5612130" cy="8106410"/>
            <wp:effectExtent l="0" t="0" r="762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S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lastRenderedPageBreak/>
        <w:t>Supp. Figure 3. CD68 is not a specific marker of post-phagocytic microglia.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 xml:space="preserve">(A)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UMAP showing </w:t>
      </w:r>
      <w:r>
        <w:rPr>
          <w:rFonts w:ascii="Arial" w:eastAsia="Calibri" w:hAnsi="Arial" w:cs="Arial"/>
          <w:i/>
          <w:iCs/>
          <w:kern w:val="2"/>
          <w:sz w:val="22"/>
          <w:szCs w:val="22"/>
          <w:lang w:val="en-US" w:eastAsia="es-ES"/>
        </w:rPr>
        <w:t xml:space="preserve">Cd68 </w:t>
      </w:r>
      <w:r w:rsidRPr="00C62906"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gene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expression after LCI. The </w:t>
      </w:r>
      <w:r>
        <w:rPr>
          <w:rFonts w:ascii="Arial" w:eastAsia="+mn-ea" w:hAnsi="Arial" w:cs="Arial"/>
          <w:bCs/>
          <w:iCs/>
          <w:kern w:val="2"/>
          <w:sz w:val="22"/>
          <w:szCs w:val="22"/>
          <w:lang w:val="en-US" w:eastAsia="es-ES"/>
        </w:rPr>
        <w:t xml:space="preserve">LM cluster </w:t>
      </w:r>
      <w:proofErr w:type="gramStart"/>
      <w:r>
        <w:rPr>
          <w:rFonts w:ascii="Arial" w:eastAsia="+mn-ea" w:hAnsi="Arial" w:cs="Arial"/>
          <w:bCs/>
          <w:iCs/>
          <w:kern w:val="2"/>
          <w:sz w:val="22"/>
          <w:szCs w:val="22"/>
          <w:lang w:val="en-US" w:eastAsia="es-ES"/>
        </w:rPr>
        <w:t>is highlighted</w:t>
      </w:r>
      <w:proofErr w:type="gramEnd"/>
      <w:r>
        <w:rPr>
          <w:rFonts w:ascii="Arial" w:eastAsia="+mn-ea" w:hAnsi="Arial" w:cs="Arial"/>
          <w:bCs/>
          <w:iCs/>
          <w:kern w:val="2"/>
          <w:sz w:val="22"/>
          <w:szCs w:val="22"/>
          <w:lang w:val="en-US" w:eastAsia="es-ES"/>
        </w:rPr>
        <w:t xml:space="preserve"> by a dotted black circle. 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 w:eastAsia="es-ES"/>
        </w:rPr>
        <w:t xml:space="preserve">(B)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Representative confocal image of CD68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puncta in phagocytic microglia (white arrows) and non-microglial cells (red arrowhead) 6h after LCI, showing DAPI (white), CD68 (red), and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fms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-EGFP (cyan).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 w:eastAsia="es-ES"/>
        </w:rPr>
        <w:t>(C)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Representative confocal images of CD68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post-phagocytic microglia from the DG (white arrows) and non-phagocytic microglia (red arrows) from the CA and the cortex 24h after LCI, showing DAPI (white), CD68 (red), and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fms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-EGFP (cyan).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Scale bars= 20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[B, C]. z=16.8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[B]; z=11.2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m, z=16.8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m, z=19.6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[C, left to right].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br w:type="page"/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noProof/>
          <w:kern w:val="2"/>
          <w:sz w:val="22"/>
          <w:szCs w:val="22"/>
          <w:lang w:val="en-US" w:eastAsia="en-US"/>
        </w:rPr>
        <w:lastRenderedPageBreak/>
        <w:drawing>
          <wp:inline distT="0" distB="0" distL="0" distR="0">
            <wp:extent cx="5612130" cy="62928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S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Supp. Figure 4. The IRM cluster does not contain post-phagocytic microglia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(A)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Representative confocal images of the IRM signature gene </w:t>
      </w:r>
      <w:r>
        <w:rPr>
          <w:rFonts w:ascii="Arial" w:eastAsia="Calibri" w:hAnsi="Arial" w:cs="Arial"/>
          <w:bCs/>
          <w:i/>
          <w:iCs/>
          <w:kern w:val="2"/>
          <w:sz w:val="22"/>
          <w:szCs w:val="22"/>
          <w:lang w:val="en-US" w:eastAsia="es-ES"/>
        </w:rPr>
        <w:t>Ifit3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by </w:t>
      </w:r>
      <w:proofErr w:type="spell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RNAScope</w:t>
      </w:r>
      <w:proofErr w:type="spell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, showing DAPI (white), </w:t>
      </w:r>
      <w:r>
        <w:rPr>
          <w:rFonts w:ascii="Arial" w:eastAsia="Calibri" w:hAnsi="Arial" w:cs="Arial"/>
          <w:bCs/>
          <w:i/>
          <w:iCs/>
          <w:kern w:val="2"/>
          <w:sz w:val="22"/>
          <w:szCs w:val="22"/>
          <w:lang w:val="en-US" w:eastAsia="es-ES"/>
        </w:rPr>
        <w:t>Ifit3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mRNA (red) and P2Y12 (cyan) staining in the DG 24h and 7d after LCI.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The white arrowhead points to an </w:t>
      </w:r>
      <w:proofErr w:type="spellStart"/>
      <w:r>
        <w:rPr>
          <w:rFonts w:ascii="Arial" w:eastAsia="Calibri" w:hAnsi="Arial" w:cs="Arial"/>
          <w:bCs/>
          <w:i/>
          <w:iCs/>
          <w:kern w:val="2"/>
          <w:sz w:val="22"/>
          <w:szCs w:val="22"/>
          <w:lang w:val="en-US" w:eastAsia="es-ES"/>
        </w:rPr>
        <w:t>Ifit</w:t>
      </w:r>
      <w:proofErr w:type="spell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microglia, and the black arrowhead to an </w:t>
      </w:r>
      <w:r>
        <w:rPr>
          <w:rFonts w:ascii="Arial" w:eastAsia="Calibri" w:hAnsi="Arial" w:cs="Arial"/>
          <w:bCs/>
          <w:i/>
          <w:iCs/>
          <w:kern w:val="2"/>
          <w:sz w:val="22"/>
          <w:szCs w:val="22"/>
          <w:lang w:val="en-US" w:eastAsia="es-ES"/>
        </w:rPr>
        <w:t>Ifit3</w:t>
      </w:r>
      <w:r>
        <w:rPr>
          <w:rFonts w:ascii="Arial" w:eastAsia="Calibri" w:hAnsi="Arial" w:cs="Arial"/>
          <w:bCs/>
          <w:iCs/>
          <w:kern w:val="2"/>
          <w:sz w:val="22"/>
          <w:szCs w:val="22"/>
          <w:vertAlign w:val="superscript"/>
          <w:lang w:val="en-US" w:eastAsia="es-ES"/>
        </w:rPr>
        <w:t xml:space="preserve"> </w:t>
      </w:r>
      <w:r>
        <w:rPr>
          <w:rFonts w:ascii="Arial" w:eastAsia="Calibri" w:hAnsi="Arial" w:cs="Arial"/>
          <w:iCs/>
          <w:kern w:val="2"/>
          <w:sz w:val="22"/>
          <w:szCs w:val="22"/>
          <w:vertAlign w:val="superscript"/>
          <w:lang w:val="en-US" w:eastAsia="es-ES"/>
        </w:rPr>
        <w:t>-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microglia.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(B)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Analysis of the percentage of </w:t>
      </w:r>
      <w:r>
        <w:rPr>
          <w:rFonts w:ascii="Arial" w:eastAsia="Calibri" w:hAnsi="Arial" w:cs="Arial"/>
          <w:bCs/>
          <w:i/>
          <w:iCs/>
          <w:kern w:val="2"/>
          <w:sz w:val="22"/>
          <w:szCs w:val="22"/>
          <w:lang w:val="en-US" w:eastAsia="es-ES"/>
        </w:rPr>
        <w:t>Ifit3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bCs/>
          <w:iCs/>
          <w:kern w:val="2"/>
          <w:sz w:val="22"/>
          <w:szCs w:val="22"/>
          <w:vertAlign w:val="superscript"/>
          <w:lang w:val="en-US" w:eastAsia="es-ES"/>
        </w:rPr>
        <w:t>+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microglia in the DG and CA 24h and 7d after LCI.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(C)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Representative images of the IRM signature protein IFITM3 showing DAPI (white), IFITM3 (red) and P2Y12 (cyan) staining at 24h and 7d after LCI. The control image shows 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lastRenderedPageBreak/>
        <w:t xml:space="preserve">a large blood vessel labeled with IFITM3, whereas no staining </w:t>
      </w:r>
      <w:proofErr w:type="gram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was detected</w:t>
      </w:r>
      <w:proofErr w:type="gram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in microglia from the DG 24h and 7d after LCI.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 w:eastAsia="es-ES"/>
        </w:rPr>
        <w:t>(</w:t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D)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Representative confocal images of P2Y12 expression in the DG after LCI, showing DAPI (white), P2Y12 (red) and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fms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-EGFP (cyan) staining.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Bars show mean ± SEM of n=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3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mice. Data 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was analyzed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by one-way ANOVA followed by Holm-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Sidak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post hoc tests when appropriate. 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Scale bars=50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[A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,C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, D], 10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(inserts in [A,D]); z=12.25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m, z=11.2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m, z=10.15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[A]; z=32.9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[C1], z=27.3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[C2], z=24.5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[C3]; z=16.1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m, z=18.9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m, z=20.3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m, z=12.6</w:t>
      </w:r>
      <w:r>
        <w:rPr>
          <w:rFonts w:ascii="Symbol" w:eastAsia="Calibri" w:hAnsi="Symbol" w:cs="Arial"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 [D, left to right].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br w:type="page"/>
      </w:r>
    </w:p>
    <w:p w:rsidR="00614439" w:rsidRDefault="00614439" w:rsidP="00614439">
      <w:pPr>
        <w:spacing w:line="360" w:lineRule="auto"/>
        <w:jc w:val="both"/>
        <w:rPr>
          <w:rFonts w:ascii="Arial" w:hAnsi="Arial" w:cs="Arial"/>
          <w:b/>
          <w:bCs/>
          <w:i/>
          <w:color w:val="000000" w:themeColor="text1"/>
          <w:sz w:val="22"/>
          <w:szCs w:val="22"/>
          <w:lang w:val="en-US"/>
        </w:rPr>
      </w:pPr>
      <w:r>
        <w:rPr>
          <w:rFonts w:ascii="Arial" w:eastAsia="Calibri" w:hAnsi="Arial" w:cs="Arial"/>
          <w:b/>
          <w:bCs/>
          <w:iCs/>
          <w:noProof/>
          <w:color w:val="000000" w:themeColor="text1"/>
          <w:kern w:val="2"/>
          <w:sz w:val="22"/>
          <w:szCs w:val="22"/>
          <w:lang w:val="en-US" w:eastAsia="en-US"/>
        </w:rPr>
        <w:lastRenderedPageBreak/>
        <w:drawing>
          <wp:inline distT="0" distB="0" distL="0" distR="0">
            <wp:extent cx="5612130" cy="75723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S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iCs/>
          <w:color w:val="000000" w:themeColor="text1"/>
          <w:kern w:val="2"/>
          <w:sz w:val="22"/>
          <w:szCs w:val="22"/>
          <w:lang w:val="en-US" w:eastAsia="es-ES"/>
        </w:rPr>
        <w:t xml:space="preserve">Sup Fig. 5.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Functional analysis of phagocytic microglia by WGCNA and IPA analysis.</w:t>
      </w:r>
    </w:p>
    <w:p w:rsidR="00614439" w:rsidRDefault="00614439" w:rsidP="00614439">
      <w:pPr>
        <w:spacing w:line="360" w:lineRule="auto"/>
        <w:jc w:val="both"/>
        <w:rPr>
          <w:rFonts w:ascii="Arial" w:hAnsi="Arial" w:cs="Arial"/>
          <w:b/>
          <w:bCs/>
          <w:sz w:val="22"/>
          <w:lang w:val="en-US"/>
        </w:rPr>
      </w:pPr>
      <w:r>
        <w:rPr>
          <w:rFonts w:ascii="Arial" w:hAnsi="Arial" w:cs="Arial"/>
          <w:b/>
          <w:bCs/>
          <w:sz w:val="22"/>
          <w:lang w:val="en-US"/>
        </w:rPr>
        <w:lastRenderedPageBreak/>
        <w:t xml:space="preserve">(A) 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Percentage of phagocytic microglia after phagocytosis </w:t>
      </w:r>
      <w:r>
        <w:rPr>
          <w:rFonts w:ascii="Arial" w:eastAsia="Calibri" w:hAnsi="Arial" w:cs="Arial"/>
          <w:bCs/>
          <w:i/>
          <w:iCs/>
          <w:kern w:val="2"/>
          <w:sz w:val="22"/>
          <w:szCs w:val="22"/>
          <w:lang w:val="en-US" w:eastAsia="es-ES"/>
        </w:rPr>
        <w:t>in vitro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(24h) and pre-treatment with the antioxidant N-</w:t>
      </w:r>
      <w:proofErr w:type="spell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Acetylcysteine</w:t>
      </w:r>
      <w:proofErr w:type="spell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(NAC).</w:t>
      </w:r>
      <w:r>
        <w:rPr>
          <w:rFonts w:ascii="Arial" w:hAnsi="Arial" w:cs="Arial"/>
          <w:b/>
          <w:bCs/>
          <w:sz w:val="22"/>
          <w:lang w:val="en-US"/>
        </w:rPr>
        <w:t xml:space="preserve"> </w:t>
      </w:r>
    </w:p>
    <w:p w:rsidR="00614439" w:rsidRDefault="00614439" w:rsidP="00614439">
      <w:pPr>
        <w:spacing w:line="360" w:lineRule="auto"/>
        <w:jc w:val="both"/>
        <w:rPr>
          <w:rFonts w:ascii="Arial" w:hAnsi="Arial" w:cs="Arial"/>
          <w:bCs/>
          <w:sz w:val="22"/>
          <w:lang w:val="en-US"/>
        </w:rPr>
      </w:pPr>
      <w:r>
        <w:rPr>
          <w:rFonts w:ascii="Arial" w:hAnsi="Arial" w:cs="Arial"/>
          <w:b/>
          <w:bCs/>
          <w:sz w:val="22"/>
          <w:lang w:val="en-US"/>
        </w:rPr>
        <w:t xml:space="preserve">(B) </w:t>
      </w:r>
      <w:r>
        <w:rPr>
          <w:rFonts w:ascii="Arial" w:hAnsi="Arial" w:cs="Arial"/>
          <w:bCs/>
          <w:sz w:val="22"/>
          <w:lang w:val="en-US"/>
        </w:rPr>
        <w:t xml:space="preserve">Modules obtained by WGCNA analysis of gene arrays comparing primary cultures of naïve and phagocytic microglia at 3h and 24h. 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Cs w:val="22"/>
          <w:highlight w:val="magenta"/>
          <w:lang w:val="en-US" w:eastAsia="es-ES"/>
        </w:rPr>
      </w:pPr>
      <w:r>
        <w:rPr>
          <w:rFonts w:ascii="Arial" w:hAnsi="Arial" w:cs="Arial"/>
          <w:b/>
          <w:bCs/>
          <w:sz w:val="22"/>
          <w:lang w:val="en-US"/>
        </w:rPr>
        <w:t xml:space="preserve">(C) </w:t>
      </w:r>
      <w:r>
        <w:rPr>
          <w:rFonts w:ascii="Arial" w:hAnsi="Arial" w:cs="Arial"/>
          <w:bCs/>
          <w:sz w:val="22"/>
          <w:lang w:val="en-US"/>
        </w:rPr>
        <w:t xml:space="preserve">IPA analysis showing the top 20 significantly changed GO terms </w:t>
      </w:r>
      <w:r w:rsidRPr="00682B58">
        <w:rPr>
          <w:rFonts w:ascii="Arial" w:hAnsi="Arial" w:cs="Arial"/>
          <w:bCs/>
          <w:sz w:val="22"/>
          <w:lang w:val="en-US"/>
        </w:rPr>
        <w:t>associated with</w:t>
      </w:r>
      <w:r>
        <w:rPr>
          <w:rFonts w:ascii="Arial" w:hAnsi="Arial" w:cs="Arial"/>
          <w:bCs/>
          <w:sz w:val="22"/>
          <w:lang w:val="en-US"/>
        </w:rPr>
        <w:t xml:space="preserve"> each module. </w:t>
      </w:r>
      <w:proofErr w:type="gramStart"/>
      <w:r>
        <w:rPr>
          <w:rFonts w:ascii="Arial" w:hAnsi="Arial" w:cs="Arial"/>
          <w:bCs/>
          <w:sz w:val="22"/>
          <w:lang w:val="en-US"/>
        </w:rPr>
        <w:t xml:space="preserve">Up module (yellow): </w:t>
      </w:r>
      <w:r>
        <w:rPr>
          <w:rFonts w:ascii="Arial" w:hAnsi="Arial" w:cs="Arial"/>
          <w:color w:val="000000"/>
          <w:sz w:val="22"/>
          <w:lang w:val="en-US"/>
        </w:rPr>
        <w:t>GO:0022613, ribonucleoprotein complex biogenesis; GO:0006396, RNA processing; GO:0043603, cellular amide metabolic process; GO:0034622, cellular macromolecular complex assembly; GO:0044265, cellular macromolecule catabolic process; GO:0007005, mitochondrion organization; GO:0006974, cellular response to DNA damage stimulus; GO:0031175, neuron projection development; GO:0090150, establishment of protein localization to membrane; GO:0016569, covalent chromatin modification; GO:0048167, regulation of synaptic plasticity; GO:1905114, cell surface receptor signaling pathway involved in cell-cell signaling; GO:0060341, regulation of cellular localization; R.HSA.1852241, organelle biogenesis and maintenance; GO:0007017, microtubule-based process; GO:0043086, negative regulation of catalytic activity; GO:2000573, positive regulation of DNA biosynthetic process; GO:1900006, positive regulation of dendrite development; GO:0051338, regulation of transferase activity; ko05010, Alzheimer's disease.</w:t>
      </w:r>
      <w:proofErr w:type="gramEnd"/>
      <w:r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gramStart"/>
      <w:r>
        <w:rPr>
          <w:rFonts w:ascii="Arial" w:hAnsi="Arial" w:cs="Arial"/>
          <w:bCs/>
          <w:sz w:val="22"/>
          <w:lang w:val="en-US"/>
        </w:rPr>
        <w:t xml:space="preserve">Down module (brown): </w:t>
      </w:r>
      <w:r>
        <w:rPr>
          <w:rFonts w:ascii="Arial" w:hAnsi="Arial" w:cs="Arial"/>
          <w:color w:val="000000"/>
          <w:sz w:val="22"/>
          <w:lang w:val="en-US"/>
        </w:rPr>
        <w:t xml:space="preserve">GO:0030054, cell junction; GO:0005657, replication fork; GO:0016323, basolateral plasma membrane; GO:0031252, leading edge; GO:0005912, </w:t>
      </w:r>
      <w:proofErr w:type="spellStart"/>
      <w:r>
        <w:rPr>
          <w:rFonts w:ascii="Arial" w:hAnsi="Arial" w:cs="Arial"/>
          <w:color w:val="000000"/>
          <w:sz w:val="22"/>
          <w:lang w:val="en-US"/>
        </w:rPr>
        <w:t>adherens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 xml:space="preserve"> junction; GO:0005924, cell substrate </w:t>
      </w:r>
      <w:proofErr w:type="spellStart"/>
      <w:r>
        <w:rPr>
          <w:rFonts w:ascii="Arial" w:hAnsi="Arial" w:cs="Arial"/>
          <w:color w:val="000000"/>
          <w:sz w:val="22"/>
          <w:lang w:val="en-US"/>
        </w:rPr>
        <w:t>adherens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 xml:space="preserve"> junction; GO:0009989, cell matrix junction; GO:0001726, ruffle; GO:0005925, focal adhesion; GO:0044427, chromosomal part; GO:0006886, intracellular protein transport; GO:0032270, positive regulation of cellular protein metabolic process; GO:0015031, protein transport; GO:0019955, cytokine binding; GO:0005794, Golgi apparatus; GO:0007599, hemostasis; GO:0017038, protein import; GO:0051325, interphase; GO:0044431, </w:t>
      </w:r>
      <w:proofErr w:type="spellStart"/>
      <w:r>
        <w:rPr>
          <w:rFonts w:ascii="Arial" w:hAnsi="Arial" w:cs="Arial"/>
          <w:color w:val="000000"/>
          <w:sz w:val="22"/>
          <w:lang w:val="en-US"/>
        </w:rPr>
        <w:t>golgi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 xml:space="preserve"> apparatus part; GO:0006915, apoptotic program.</w:t>
      </w:r>
      <w:proofErr w:type="gramEnd"/>
      <w:r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gramStart"/>
      <w:r>
        <w:rPr>
          <w:rFonts w:ascii="Arial" w:hAnsi="Arial" w:cs="Arial"/>
          <w:bCs/>
          <w:sz w:val="22"/>
          <w:lang w:val="en-US"/>
        </w:rPr>
        <w:t>Up-Down (blue)</w:t>
      </w:r>
      <w:r>
        <w:rPr>
          <w:rFonts w:ascii="Arial" w:hAnsi="Arial" w:cs="Arial"/>
          <w:b/>
          <w:bCs/>
          <w:sz w:val="22"/>
          <w:lang w:val="en-US"/>
        </w:rPr>
        <w:t xml:space="preserve"> </w:t>
      </w:r>
      <w:r>
        <w:rPr>
          <w:rFonts w:ascii="Arial" w:hAnsi="Arial" w:cs="Arial"/>
          <w:bCs/>
          <w:sz w:val="22"/>
          <w:lang w:val="en-US"/>
        </w:rPr>
        <w:t xml:space="preserve">module: </w:t>
      </w:r>
      <w:r>
        <w:rPr>
          <w:rFonts w:ascii="Arial" w:hAnsi="Arial" w:cs="Arial"/>
          <w:color w:val="000000"/>
          <w:sz w:val="22"/>
          <w:lang w:val="en-US"/>
        </w:rPr>
        <w:t xml:space="preserve">GO:0051321, meiotic cell cycle; GO:0051318, G1 phase; GO:0004422, </w:t>
      </w:r>
      <w:proofErr w:type="spellStart"/>
      <w:r>
        <w:rPr>
          <w:rFonts w:ascii="Arial" w:hAnsi="Arial" w:cs="Arial"/>
          <w:color w:val="000000"/>
          <w:sz w:val="22"/>
          <w:lang w:val="en-US"/>
        </w:rPr>
        <w:t>metalloendopeptidase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 xml:space="preserve"> activity; GO:0000794, condensed nuclear chromosome; GO:0004527, exonuclease activity; GO:0004707, MAP kinase activity; GO:0000775, chromosome </w:t>
      </w:r>
      <w:proofErr w:type="spellStart"/>
      <w:r>
        <w:rPr>
          <w:rFonts w:ascii="Arial" w:hAnsi="Arial" w:cs="Arial"/>
          <w:color w:val="000000"/>
          <w:sz w:val="22"/>
          <w:lang w:val="en-US"/>
        </w:rPr>
        <w:t>centromeric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 xml:space="preserve"> region; GO:0000776, kinetochore; GO:0000910, cytokinesis; GO:0051301, cell division; GO:0008237, metallopeptidase activity; GO:0000793, condensed chromosome; GO:0006310, DNA recombination; GO:0007565, female pregnancy; GO:0000279, M phase; GO:0007093, mitotic cell cycle checkpoint; GO:0022402, cell cycle process; GO:0051017, actin filament bundle formation; GO:0051640, organelle localization; GO:0001934, positive </w:t>
      </w:r>
      <w:r>
        <w:rPr>
          <w:rFonts w:ascii="Arial" w:hAnsi="Arial" w:cs="Arial"/>
          <w:color w:val="000000"/>
          <w:sz w:val="22"/>
          <w:lang w:val="en-US"/>
        </w:rPr>
        <w:lastRenderedPageBreak/>
        <w:t>regulation of protein amino acid phosphorylation.</w:t>
      </w:r>
      <w:proofErr w:type="gramEnd"/>
      <w:r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22"/>
          <w:lang w:val="en-US"/>
        </w:rPr>
        <w:t xml:space="preserve">Down-Up </w:t>
      </w:r>
      <w:r>
        <w:rPr>
          <w:rFonts w:ascii="Arial" w:hAnsi="Arial" w:cs="Arial"/>
          <w:bCs/>
          <w:sz w:val="22"/>
          <w:lang w:val="en-US"/>
        </w:rPr>
        <w:t xml:space="preserve">module (turquoise): </w:t>
      </w:r>
      <w:r>
        <w:rPr>
          <w:rFonts w:ascii="Arial" w:hAnsi="Arial" w:cs="Arial"/>
          <w:color w:val="000000"/>
          <w:sz w:val="22"/>
          <w:lang w:val="en-US"/>
        </w:rPr>
        <w:t xml:space="preserve">GO:0044437, vacuolar part; GO:0005765, lysosomal membrane; GO:0005774, vacuolar membrane; GO:0030136, </w:t>
      </w:r>
      <w:proofErr w:type="spellStart"/>
      <w:r>
        <w:rPr>
          <w:rFonts w:ascii="Arial" w:hAnsi="Arial" w:cs="Arial"/>
          <w:color w:val="000000"/>
          <w:sz w:val="22"/>
          <w:lang w:val="en-US"/>
        </w:rPr>
        <w:t>clathrin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 xml:space="preserve"> coated vesicle; GO:0043235, receptor complex; GO:0030140, trans Golgi network transport vesicle; GO:0008360, regulation of cell shape; GO:0022604, regulation of cell morphogenesis; GO:0046519, </w:t>
      </w:r>
      <w:proofErr w:type="spellStart"/>
      <w:r>
        <w:rPr>
          <w:rFonts w:ascii="Arial" w:hAnsi="Arial" w:cs="Arial"/>
          <w:color w:val="000000"/>
          <w:sz w:val="22"/>
          <w:lang w:val="en-US"/>
        </w:rPr>
        <w:t>sphingoid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 xml:space="preserve"> metabolic process; GO:0006959, humoral immune response; GO:0007423, sensory organ development; GO:0016627, oxidoreductase activity acting on the </w:t>
      </w:r>
      <w:proofErr w:type="spellStart"/>
      <w:r>
        <w:rPr>
          <w:rFonts w:ascii="Arial" w:hAnsi="Arial" w:cs="Arial"/>
          <w:color w:val="000000"/>
          <w:sz w:val="22"/>
          <w:lang w:val="en-US"/>
        </w:rPr>
        <w:t>ch-ch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 xml:space="preserve"> group of donors; GO:0005179, hormone activity; GO:0016830, carbon </w:t>
      </w:r>
      <w:proofErr w:type="spellStart"/>
      <w:r>
        <w:rPr>
          <w:rFonts w:ascii="Arial" w:hAnsi="Arial" w:cs="Arial"/>
          <w:color w:val="000000"/>
          <w:sz w:val="22"/>
          <w:lang w:val="en-US"/>
        </w:rPr>
        <w:t>carbon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lang w:val="en-US"/>
        </w:rPr>
        <w:t>lyase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 xml:space="preserve"> activity; GO:0005048, signal sequence binding; GO:0000151, ubiquitin ligase complex; GO:1903622, transcription from RNA polymerase III promoter; GO:0004930, G protein coupled receptor activity; GO:0051087, chaperone binding; GO:0030135, coated vesicle.</w:t>
      </w:r>
      <w:proofErr w:type="gramEnd"/>
      <w:r>
        <w:rPr>
          <w:rFonts w:ascii="Arial" w:hAnsi="Arial" w:cs="Arial"/>
          <w:color w:val="000000"/>
          <w:sz w:val="22"/>
          <w:lang w:val="en-US"/>
        </w:rPr>
        <w:t xml:space="preserve"> 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 xml:space="preserve">[D] 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Cartoon representing genes codifying for metabolic enzymes upregulated (green) and downregulated (magenta) 24h after phagocytosis in microglia. Raw data was published in </w:t>
      </w:r>
      <w:r>
        <w:fldChar w:fldCharType="begin"/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instrText>ADDIN ZOTERO_ITEM CSL_CITATION {"citationID":"UfaJvHyp","properties":{"formattedCitation":"\\super 10\\nosupersub{}","plainCitation":"10","noteIndex":0},"citationItems":[{"id":50,"uris":["http://zotero.org/users/local/yOluUn4h/items/LK6J4MWW"],"itemData":{"id":50,"type":"article-journal","container-title":"The Journal of Neuroscience","DOI":"10.1523/JNEUROSCI.0993-19.2019","ISSN":"0270-6474, 1529-2401","issue":"7","journalAbbreviation":"J. Neurosci.","language":"en","page":"1453-1482","source":"DOI.org (Crossref)","title":"Microglia Actively Remodel Adult Hippocampal Neurogenesis through the Phagocytosis Secretome","volume":"40","author":[{"family":"Diaz-Aparicio","given":"Irune"},{"family":"Paris","given":"Iñaki"},{"family":"Sierra-Torre","given":"Virginia"},{"family":"Plaza-Zabala","given":"Ainhoa"},{"family":"Rodríguez-Iglesias","given":"Noelia"},{"family":"Márquez-Ropero","given":"Mar"},{"family":"Beccari","given":"Sol"},{"family":"Huguet","given":"Paloma"},{"family":"Abiega","given":"Oihane"},{"family":"Alberdi","given":"Elena"},{"family":"Matute","given":"Carlos"},{"family":"Bernales","given":"Irantzu"},{"family":"Schulz","given":"Angela"},{"family":"Otrokocsi","given":"Lilla"},{"family":"Sperlagh","given":"Beata"},{"family":"Happonen","given":"Kaisa E."},{"family":"Lemke","given":"Greg"},{"family":"Maletic-Savatic","given":"Mirjana"},{"family":"Valero","given":"Jorge"},{"family":"Sierra","given":"Amanda"}],"issued":{"date-parts":[["2020",2,12]]}}}],"schema":"https://github.com/citation-style-language/schema/raw/master/csl-citation.json"}</w:instrTex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fldChar w:fldCharType="separate"/>
      </w:r>
      <w:r>
        <w:rPr>
          <w:rFonts w:ascii="Arial" w:hAnsi="Arial" w:cs="Arial"/>
          <w:sz w:val="22"/>
          <w:vertAlign w:val="superscript"/>
        </w:rPr>
        <w:t>10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fldChar w:fldCharType="end"/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.</w:t>
      </w:r>
      <w:r>
        <w:br w:type="page"/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noProof/>
          <w:kern w:val="2"/>
          <w:sz w:val="22"/>
          <w:szCs w:val="22"/>
          <w:lang w:val="en-US" w:eastAsia="en-US"/>
        </w:rPr>
        <w:lastRenderedPageBreak/>
        <w:drawing>
          <wp:inline distT="0" distB="0" distL="0" distR="0">
            <wp:extent cx="5612130" cy="562483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S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Supp. Figure 6. Phagocytosis remodels the microglial mitochondrial network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(A)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Comparison of the methods used to assess mitochondria morphology in naïve and phagocytic BV2 microglia using confocal images Mitochondria were labelled with GFPmito7 (green) and 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mitochondrial morphology and networks were assessed by Huygens and Fiji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, respectively.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/>
        </w:rPr>
        <w:t>(</w:t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/>
        </w:rPr>
        <w:t>B</w:t>
      </w:r>
      <w:r>
        <w:rPr>
          <w:rFonts w:ascii="Arial" w:eastAsia="Calibri" w:hAnsi="Arial" w:cs="Arial"/>
          <w:b/>
          <w:iCs/>
          <w:kern w:val="2"/>
          <w:sz w:val="22"/>
          <w:szCs w:val="22"/>
          <w:lang w:val="en-US"/>
        </w:rPr>
        <w:t>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Analysis of mitochondrial morphology by Huygens showing the percentage of different mitochondrial parameters in BV2 naïve and phagocytic microglia.</w:t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 xml:space="preserve"> 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(B)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Analysis of mitochondrial networks by Fiji showing the percentage of different mitochondrial parameters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in BV2 naïve and phagocytic microglia.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 w:eastAsia="es-ES"/>
        </w:rPr>
        <w:lastRenderedPageBreak/>
        <w:t>(</w:t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D)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Representative TEM images of primary naïve and phagocytic microglia showing mitochondria (</w:t>
      </w:r>
      <w:proofErr w:type="spell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pink</w:t>
      </w:r>
      <w:proofErr w:type="gram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,Mt</w:t>
      </w:r>
      <w:proofErr w:type="spellEnd"/>
      <w:proofErr w:type="gram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) and other organelles, such as lysosomes (</w:t>
      </w:r>
      <w:proofErr w:type="spell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dark,Ly</w:t>
      </w:r>
      <w:proofErr w:type="spell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). In control cells, abundant primary and secondary </w:t>
      </w:r>
      <w:proofErr w:type="spell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autophagosmes</w:t>
      </w:r>
      <w:proofErr w:type="spell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(purple and blue, respectively; </w:t>
      </w:r>
      <w:proofErr w:type="spell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APh</w:t>
      </w:r>
      <w:proofErr w:type="spell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) were found, whereas in phagocytic cells several degradative organelles such as </w:t>
      </w:r>
      <w:proofErr w:type="spell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multilamelated</w:t>
      </w:r>
      <w:proofErr w:type="spell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bodies (</w:t>
      </w:r>
      <w:proofErr w:type="spell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green</w:t>
      </w:r>
      <w:proofErr w:type="gram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,MLB</w:t>
      </w:r>
      <w:proofErr w:type="spellEnd"/>
      <w:proofErr w:type="gram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) were found. </w:t>
      </w:r>
      <w:proofErr w:type="spell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Lipidic</w:t>
      </w:r>
      <w:proofErr w:type="spell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content (lip) and phagosomes (Ph) </w:t>
      </w:r>
      <w:proofErr w:type="gramStart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were also found</w:t>
      </w:r>
      <w:proofErr w:type="gramEnd"/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 in phagocytic cells.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 w:eastAsia="es-ES"/>
        </w:rPr>
        <w:t>(</w:t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 xml:space="preserve">E) 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T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EM analysis of mitochondrial object number and area per microglial cytoplasmic area in microglial cytoplasm in primary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naïve and phagocytic microglia.</w:t>
      </w:r>
    </w:p>
    <w:p w:rsidR="00614439" w:rsidRDefault="00614439" w:rsidP="0061443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eastAsia="Calibri" w:hAnsi="Arial" w:cs="Arial"/>
          <w:b/>
          <w:iCs/>
          <w:color w:val="auto"/>
          <w:kern w:val="2"/>
          <w:sz w:val="22"/>
          <w:szCs w:val="22"/>
          <w:lang w:val="en-US" w:eastAsia="es-ES"/>
        </w:rPr>
        <w:t>(</w:t>
      </w:r>
      <w:r>
        <w:rPr>
          <w:rFonts w:ascii="Arial" w:eastAsia="Calibri" w:hAnsi="Arial" w:cs="Arial"/>
          <w:b/>
          <w:bCs/>
          <w:iCs/>
          <w:color w:val="auto"/>
          <w:kern w:val="2"/>
          <w:sz w:val="22"/>
          <w:szCs w:val="22"/>
          <w:lang w:val="en-US" w:eastAsia="es-ES"/>
        </w:rPr>
        <w:t xml:space="preserve">F) </w:t>
      </w:r>
      <w:r>
        <w:rPr>
          <w:rFonts w:ascii="Arial" w:eastAsia="Calibri" w:hAnsi="Arial" w:cs="Arial"/>
          <w:bCs/>
          <w:iCs/>
          <w:color w:val="auto"/>
          <w:kern w:val="2"/>
          <w:sz w:val="22"/>
          <w:szCs w:val="22"/>
          <w:lang w:val="en-US" w:eastAsia="es-ES"/>
        </w:rPr>
        <w:t>T</w:t>
      </w:r>
      <w:r>
        <w:rPr>
          <w:rFonts w:ascii="Arial" w:eastAsia="Calibri" w:hAnsi="Arial" w:cs="Arial"/>
          <w:iCs/>
          <w:color w:val="auto"/>
          <w:kern w:val="2"/>
          <w:sz w:val="22"/>
          <w:szCs w:val="22"/>
          <w:lang w:val="en-US" w:eastAsia="es-ES"/>
        </w:rPr>
        <w:t xml:space="preserve">EM analysis of mitochondrial morphology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in primary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naïve and phagocytic microglia.</w:t>
      </w:r>
    </w:p>
    <w:p w:rsidR="00614439" w:rsidRDefault="00614439" w:rsidP="00614439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/>
        </w:rPr>
        <w:t>(G)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Histogram of mitochondrial objects according to their size (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%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of mitochondria) in primary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naïve and phagocytic microglia.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Data shows the information of n=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3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 xml:space="preserve"> independent experiments.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Violin plots show the data distribution including extreme values; lower and upper hinges correspond to the third quartile respectively. Data 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was analyzed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by Student’s t-test. Some data [B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,C,E,F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] were log-transformed to comply with homoscedasticity and/or normality. * indicates p &lt;0.05, ** indicates p &lt;0.01, *** indicates p &lt;0.001. 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/>
        </w:rPr>
      </w:pP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Scale bars=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10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μ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 xml:space="preserve">m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[A]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,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2m for whole cell images and 0.5μm for details [D].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z=7.64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μ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 xml:space="preserve">m 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[A]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/>
        </w:rPr>
      </w:pPr>
    </w:p>
    <w:p w:rsidR="00614439" w:rsidRDefault="00614439" w:rsidP="00614439">
      <w:pP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br w:type="page"/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noProof/>
          <w:kern w:val="2"/>
          <w:sz w:val="22"/>
          <w:szCs w:val="22"/>
          <w:lang w:val="en-US" w:eastAsia="en-US"/>
        </w:rPr>
        <w:lastRenderedPageBreak/>
        <w:drawing>
          <wp:inline distT="0" distB="0" distL="0" distR="0">
            <wp:extent cx="5612130" cy="7040880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S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Supp</w:t>
      </w:r>
      <w:proofErr w:type="spellEnd"/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 xml:space="preserve"> Fig. 7.</w:t>
      </w:r>
      <w:r>
        <w:rPr>
          <w:rFonts w:ascii="Arial" w:eastAsia="Calibri" w:hAnsi="Arial" w:cs="Arial"/>
          <w:b/>
          <w:bCs/>
          <w:iCs/>
          <w:color w:val="000000" w:themeColor="text1"/>
          <w:kern w:val="2"/>
          <w:sz w:val="22"/>
          <w:szCs w:val="22"/>
          <w:lang w:val="en-US" w:eastAsia="es-ES"/>
        </w:rPr>
        <w:t xml:space="preserve"> Phagocytosis alters the synthesis pathways of polyamines and glutathione in microglia.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hAnsi="Arial" w:cs="Arial"/>
          <w:b/>
          <w:bCs/>
          <w:iCs/>
          <w:sz w:val="22"/>
          <w:szCs w:val="22"/>
          <w:lang w:val="en-US"/>
        </w:rPr>
        <w:t xml:space="preserve">(A) </w:t>
      </w:r>
      <w:r>
        <w:rPr>
          <w:rFonts w:ascii="Arial" w:hAnsi="Arial" w:cs="Arial"/>
          <w:iCs/>
          <w:sz w:val="22"/>
          <w:szCs w:val="22"/>
          <w:lang w:val="en-US"/>
        </w:rPr>
        <w:t>Graphical cartoon of the analyzed metabolites (purple) by mass spectrometry and the metabolic pathways in which they are involved</w:t>
      </w:r>
      <w:r>
        <w:rPr>
          <w:iCs/>
          <w:sz w:val="22"/>
          <w:szCs w:val="22"/>
          <w:lang w:val="en-US"/>
        </w:rPr>
        <w:t>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/>
        </w:rPr>
        <w:lastRenderedPageBreak/>
        <w:t>(B)</w:t>
      </w:r>
      <w:r>
        <w:rPr>
          <w:rFonts w:ascii="Calibri" w:eastAsia="Calibri" w:hAnsi="Calibri"/>
          <w:sz w:val="22"/>
          <w:szCs w:val="22"/>
          <w:lang w:val="en-US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Relative production of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GSH in arbitrary units (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a.u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.) and GSH/GSSG ratio in naïve and phagocytic microglia.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/>
        </w:rPr>
        <w:t>(C)</w:t>
      </w:r>
      <w:r>
        <w:rPr>
          <w:rFonts w:ascii="Calibri" w:eastAsia="Calibri" w:hAnsi="Calibri"/>
          <w:sz w:val="22"/>
          <w:szCs w:val="22"/>
          <w:lang w:val="en-US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Relative production of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 xml:space="preserve">methionine, </w:t>
      </w:r>
      <w:proofErr w:type="spellStart"/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SAMe</w:t>
      </w:r>
      <w:proofErr w:type="spellEnd"/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, betaine and choline in arbitrary units (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a.u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.) in naïve and phagocytic microglia.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/>
        </w:rPr>
        <w:t>(D)</w:t>
      </w:r>
      <w:r>
        <w:rPr>
          <w:rFonts w:ascii="Calibri" w:eastAsia="Calibri" w:hAnsi="Calibri"/>
          <w:sz w:val="22"/>
          <w:szCs w:val="22"/>
          <w:lang w:val="en-US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Relative production of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serine, threonine, glutamate and glutamine in arbitrary units (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a.u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.) in naïve and phagocytic microglia.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/>
        </w:rPr>
        <w:t>(E)</w:t>
      </w:r>
      <w:r>
        <w:rPr>
          <w:rFonts w:ascii="Calibri" w:eastAsia="Calibri" w:hAnsi="Calibri"/>
          <w:sz w:val="22"/>
          <w:szCs w:val="22"/>
          <w:lang w:val="en-US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Relative production of </w:t>
      </w:r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glucose, succinate, fumarate, and malate in arbitrary units (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a.u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/>
        </w:rPr>
        <w:t>.) in naïve and phagocytic microglia.</w:t>
      </w:r>
    </w:p>
    <w:p w:rsidR="00614439" w:rsidRDefault="00614439" w:rsidP="00614439">
      <w:pPr>
        <w:spacing w:line="360" w:lineRule="auto"/>
        <w:rPr>
          <w:rFonts w:ascii="Arial" w:hAnsi="Arial" w:cs="Arial"/>
          <w:b/>
          <w:sz w:val="22"/>
          <w:szCs w:val="22"/>
          <w:lang w:val="en-US"/>
        </w:rPr>
      </w:pPr>
    </w:p>
    <w:p w:rsidR="00614439" w:rsidRDefault="00614439" w:rsidP="00614439">
      <w:pPr>
        <w:rPr>
          <w:rFonts w:ascii="Arial" w:hAnsi="Arial" w:cs="Arial"/>
          <w:b/>
          <w:sz w:val="22"/>
          <w:szCs w:val="22"/>
          <w:lang w:val="en-US"/>
        </w:rPr>
      </w:pPr>
      <w:r>
        <w:br w:type="page"/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noProof/>
          <w:kern w:val="2"/>
          <w:sz w:val="22"/>
          <w:szCs w:val="22"/>
          <w:lang w:val="en-US" w:eastAsia="en-US"/>
        </w:rPr>
        <w:lastRenderedPageBreak/>
        <w:drawing>
          <wp:inline distT="0" distB="0" distL="0" distR="0">
            <wp:extent cx="5612130" cy="391096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S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Supp. Fig. 8. Galectin 3 deficient mice fail to recover the neurogenic niche after LCI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iCs/>
          <w:kern w:val="2"/>
          <w:sz w:val="22"/>
          <w:szCs w:val="22"/>
          <w:lang w:val="en-US" w:eastAsia="es-ES"/>
        </w:rPr>
        <w:t>(A)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Relative density of mature (CD, EF)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neuroblasts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in the DG per septal hippocampus.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+mn-cs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b/>
          <w:bCs/>
          <w:iCs/>
          <w:kern w:val="2"/>
          <w:sz w:val="22"/>
          <w:szCs w:val="22"/>
          <w:lang w:val="en-US" w:eastAsia="es-ES"/>
        </w:rPr>
        <w:t>(B)</w:t>
      </w: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</w:t>
      </w:r>
      <w:r>
        <w:rPr>
          <w:rFonts w:ascii="Arial" w:eastAsia="Calibri" w:hAnsi="Arial" w:cs="+mn-cs"/>
          <w:iCs/>
          <w:kern w:val="2"/>
          <w:sz w:val="22"/>
          <w:szCs w:val="22"/>
          <w:lang w:val="en-US" w:eastAsia="es-ES"/>
        </w:rPr>
        <w:t xml:space="preserve">Representative image of the hippocampus showing DAPI (white), the proliferation marker Ki67 (red), and the radial processes of the </w:t>
      </w:r>
      <w:proofErr w:type="spellStart"/>
      <w:r>
        <w:rPr>
          <w:rFonts w:ascii="Arial" w:eastAsia="Calibri" w:hAnsi="Arial" w:cs="+mn-cs"/>
          <w:iCs/>
          <w:kern w:val="2"/>
          <w:sz w:val="22"/>
          <w:szCs w:val="22"/>
          <w:lang w:val="en-US" w:eastAsia="es-ES"/>
        </w:rPr>
        <w:t>rNPCs</w:t>
      </w:r>
      <w:proofErr w:type="spellEnd"/>
      <w:r>
        <w:rPr>
          <w:rFonts w:ascii="Arial" w:eastAsia="Calibri" w:hAnsi="Arial" w:cs="+mn-cs"/>
          <w:iCs/>
          <w:kern w:val="2"/>
          <w:sz w:val="22"/>
          <w:szCs w:val="22"/>
          <w:lang w:val="en-US" w:eastAsia="es-ES"/>
        </w:rPr>
        <w:t xml:space="preserve"> labeled with both </w:t>
      </w:r>
      <w:proofErr w:type="spellStart"/>
      <w:r>
        <w:rPr>
          <w:rFonts w:ascii="Arial" w:eastAsia="Calibri" w:hAnsi="Arial" w:cs="+mn-cs"/>
          <w:iCs/>
          <w:kern w:val="2"/>
          <w:sz w:val="22"/>
          <w:szCs w:val="22"/>
          <w:lang w:val="en-US" w:eastAsia="es-ES"/>
        </w:rPr>
        <w:t>nestin</w:t>
      </w:r>
      <w:proofErr w:type="spellEnd"/>
      <w:r>
        <w:rPr>
          <w:rFonts w:ascii="Arial" w:eastAsia="Calibri" w:hAnsi="Arial" w:cs="+mn-cs"/>
          <w:iCs/>
          <w:kern w:val="2"/>
          <w:sz w:val="22"/>
          <w:szCs w:val="22"/>
          <w:lang w:val="en-US" w:eastAsia="es-ES"/>
        </w:rPr>
        <w:t xml:space="preserve"> (green) and GFAP (magenta). 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Bars show the mean ± SEM of n=4-6 mice. </w:t>
      </w:r>
      <w:proofErr w:type="spell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Neuroblasts</w:t>
      </w:r>
      <w:proofErr w:type="spell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were analyzed as relative densities (compared to the WT group 7 days after LCI) because this experiment was analyzed in 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2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independent batches of animals, each comprising the four experimental groups.</w:t>
      </w:r>
    </w:p>
    <w:p w:rsidR="00614439" w:rsidRDefault="00614439" w:rsidP="00614439">
      <w:pPr>
        <w:spacing w:line="360" w:lineRule="auto"/>
        <w:jc w:val="both"/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</w:pP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Data </w:t>
      </w:r>
      <w:proofErr w:type="gramStart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was analyzed</w:t>
      </w:r>
      <w:proofErr w:type="gramEnd"/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 xml:space="preserve"> by one-way ANOVA.</w:t>
      </w:r>
    </w:p>
    <w:p w:rsidR="00180B52" w:rsidRDefault="00614439" w:rsidP="00614439">
      <w:pPr>
        <w:spacing w:line="360" w:lineRule="auto"/>
        <w:jc w:val="both"/>
      </w:pPr>
      <w:r>
        <w:rPr>
          <w:rFonts w:ascii="Arial" w:eastAsia="Calibri" w:hAnsi="Arial" w:cs="Arial"/>
          <w:iCs/>
          <w:kern w:val="2"/>
          <w:sz w:val="22"/>
          <w:szCs w:val="22"/>
          <w:lang w:val="en-US" w:eastAsia="es-ES"/>
        </w:rPr>
        <w:t>S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cale bars=100</w:t>
      </w:r>
      <w:r>
        <w:rPr>
          <w:rFonts w:ascii="Symbol" w:eastAsia="Calibri" w:hAnsi="Symbol" w:cs="Arial"/>
          <w:bCs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 xml:space="preserve">m. z=16.8, 20.3, 16.8, 16.8 </w:t>
      </w:r>
      <w:r>
        <w:rPr>
          <w:rFonts w:ascii="Symbol" w:eastAsia="Calibri" w:hAnsi="Symbol" w:cs="Arial"/>
          <w:bCs/>
          <w:iCs/>
          <w:kern w:val="2"/>
          <w:sz w:val="22"/>
          <w:szCs w:val="22"/>
          <w:lang w:val="en-US" w:eastAsia="es-ES"/>
        </w:rPr>
        <w:t></w:t>
      </w:r>
      <w:r>
        <w:rPr>
          <w:rFonts w:ascii="Arial" w:eastAsia="Calibri" w:hAnsi="Arial" w:cs="Arial"/>
          <w:bCs/>
          <w:iCs/>
          <w:kern w:val="2"/>
          <w:sz w:val="22"/>
          <w:szCs w:val="22"/>
          <w:lang w:val="en-US" w:eastAsia="es-ES"/>
        </w:rPr>
        <w:t>m (top to bottom).</w:t>
      </w:r>
      <w:bookmarkStart w:id="0" w:name="_GoBack"/>
      <w:bookmarkEnd w:id="0"/>
    </w:p>
    <w:sectPr w:rsidR="00180B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439"/>
    <w:rsid w:val="00180B52"/>
    <w:rsid w:val="0061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8E9B26"/>
  <w15:chartTrackingRefBased/>
  <w15:docId w15:val="{E5350960-299D-4C4C-87B7-0EC7C6A7C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44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qFormat/>
    <w:rsid w:val="00614439"/>
    <w:pPr>
      <w:suppressAutoHyphens/>
      <w:spacing w:after="0" w:line="240" w:lineRule="auto"/>
    </w:pPr>
    <w:rPr>
      <w:rFonts w:ascii="Times New Roman" w:eastAsia="DengXian" w:hAnsi="Times New Roman" w:cs="Times New Roman"/>
      <w:color w:val="000000"/>
      <w:sz w:val="24"/>
      <w:szCs w:val="24"/>
      <w:lang w:val="es-ES_tradn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2103</Words>
  <Characters>11989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UPV/EHU</Company>
  <LinksUpToDate>false</LinksUpToDate>
  <CharactersWithSpaces>14064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</dc:creator>
  <cp:keywords/>
  <dc:description/>
  <cp:lastModifiedBy>Amanda</cp:lastModifiedBy>
  <cp:revision>1</cp:revision>
  <dcterms:created xsi:type="dcterms:W3CDTF">2025-09-18T14:42:00Z</dcterms:created>
  <dcterms:modified xsi:type="dcterms:W3CDTF">2025-09-18T14:44:00Z</dcterms:modified>
</cp:coreProperties>
</file>