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829901A" w14:textId="77777777" w:rsidR="00501998" w:rsidRDefault="00501998" w:rsidP="00501998">
      <w:pPr>
        <w:spacing w:line="360" w:lineRule="auto"/>
        <w:jc w:val="both"/>
        <w:rPr>
          <w:rFonts w:ascii="Arial" w:eastAsia="Arial" w:hAnsi="Arial" w:cs="Arial"/>
          <w:b/>
        </w:rPr>
      </w:pPr>
      <w:r>
        <w:rPr>
          <w:rFonts w:ascii="Arial" w:eastAsia="Arial" w:hAnsi="Arial" w:cs="Arial"/>
          <w:b/>
        </w:rPr>
        <w:t>Supplementary figures</w:t>
      </w:r>
    </w:p>
    <w:p w14:paraId="2D8A1235" w14:textId="77777777" w:rsidR="00501998" w:rsidRDefault="00501998" w:rsidP="00501998">
      <w:pPr>
        <w:spacing w:line="360" w:lineRule="auto"/>
        <w:jc w:val="center"/>
        <w:rPr>
          <w:rFonts w:ascii="Arial" w:eastAsia="Arial" w:hAnsi="Arial" w:cs="Arial"/>
          <w:i/>
          <w:sz w:val="22"/>
          <w:szCs w:val="22"/>
        </w:rPr>
      </w:pPr>
    </w:p>
    <w:p w14:paraId="24E95026" w14:textId="77777777" w:rsidR="00501998" w:rsidRDefault="00501998" w:rsidP="00501998">
      <w:pPr>
        <w:spacing w:line="360" w:lineRule="auto"/>
        <w:jc w:val="both"/>
        <w:rPr>
          <w:rFonts w:ascii="Arial" w:eastAsia="Arial" w:hAnsi="Arial" w:cs="Arial"/>
          <w:sz w:val="22"/>
          <w:szCs w:val="22"/>
        </w:rPr>
      </w:pPr>
      <w:r>
        <w:rPr>
          <w:rFonts w:ascii="Arial" w:eastAsia="Arial" w:hAnsi="Arial" w:cs="Arial"/>
          <w:b/>
          <w:sz w:val="22"/>
          <w:szCs w:val="22"/>
        </w:rPr>
        <w:t>Supplementary figure S1.</w:t>
      </w:r>
      <w:r>
        <w:rPr>
          <w:rFonts w:ascii="Arial" w:eastAsia="Arial" w:hAnsi="Arial" w:cs="Arial"/>
          <w:sz w:val="22"/>
          <w:szCs w:val="22"/>
        </w:rPr>
        <w:t xml:space="preserve"> </w:t>
      </w:r>
      <w:r>
        <w:rPr>
          <w:rFonts w:ascii="Arial" w:eastAsia="Arial" w:hAnsi="Arial" w:cs="Arial"/>
          <w:b/>
          <w:sz w:val="22"/>
          <w:szCs w:val="22"/>
        </w:rPr>
        <w:t xml:space="preserve">Distribution of input parameters and sequencing outcomes in the targeted enrichment WGS of </w:t>
      </w:r>
      <w:r>
        <w:rPr>
          <w:rFonts w:ascii="Arial" w:eastAsia="Arial" w:hAnsi="Arial" w:cs="Arial"/>
          <w:b/>
          <w:i/>
          <w:sz w:val="22"/>
          <w:szCs w:val="22"/>
        </w:rPr>
        <w:t>C. trachomatis</w:t>
      </w:r>
      <w:r>
        <w:rPr>
          <w:rFonts w:ascii="Arial" w:eastAsia="Arial" w:hAnsi="Arial" w:cs="Arial"/>
          <w:b/>
          <w:sz w:val="22"/>
          <w:szCs w:val="22"/>
        </w:rPr>
        <w:t xml:space="preserve">. A) </w:t>
      </w:r>
      <w:r>
        <w:rPr>
          <w:rFonts w:ascii="Arial" w:eastAsia="Arial" w:hAnsi="Arial" w:cs="Arial"/>
          <w:sz w:val="22"/>
          <w:szCs w:val="22"/>
        </w:rPr>
        <w:t xml:space="preserve">Distribution of </w:t>
      </w:r>
      <w:r>
        <w:rPr>
          <w:rFonts w:ascii="Arial" w:eastAsia="Arial" w:hAnsi="Arial" w:cs="Arial"/>
          <w:i/>
          <w:sz w:val="22"/>
          <w:szCs w:val="22"/>
        </w:rPr>
        <w:t>C. trachomatis</w:t>
      </w:r>
      <w:r>
        <w:rPr>
          <w:rFonts w:ascii="Arial" w:eastAsia="Arial" w:hAnsi="Arial" w:cs="Arial"/>
          <w:sz w:val="22"/>
          <w:szCs w:val="22"/>
        </w:rPr>
        <w:t xml:space="preserve"> genome copies (left boxplot, n=835) and dsDNA amount (right boxplot, n=246) in the target enrichment WGS input volume (7 µL), with dots colored according to WGS selection status. WGS selected samples (n=148) are represented in green and orange for genome copies and DNA amount, respectively, and non-selected samples in grey. The red dashed lines represent the thresholds of 10</w:t>
      </w:r>
      <w:r>
        <w:rPr>
          <w:rFonts w:ascii="Arial" w:eastAsia="Arial" w:hAnsi="Arial" w:cs="Arial"/>
          <w:sz w:val="22"/>
          <w:szCs w:val="22"/>
          <w:vertAlign w:val="superscript"/>
        </w:rPr>
        <w:t>4</w:t>
      </w:r>
      <w:r>
        <w:rPr>
          <w:rFonts w:ascii="Arial" w:eastAsia="Arial" w:hAnsi="Arial" w:cs="Arial"/>
          <w:sz w:val="22"/>
          <w:szCs w:val="22"/>
        </w:rPr>
        <w:t xml:space="preserve"> genome copies and 10 ng (both in 7 µL), used to prioritize samples for sequencing.</w:t>
      </w:r>
      <w:r>
        <w:rPr>
          <w:rFonts w:ascii="Arial" w:eastAsia="Arial" w:hAnsi="Arial" w:cs="Arial"/>
          <w:b/>
          <w:sz w:val="22"/>
          <w:szCs w:val="22"/>
        </w:rPr>
        <w:t xml:space="preserve"> B)</w:t>
      </w:r>
      <w:r>
        <w:rPr>
          <w:rFonts w:ascii="Arial" w:eastAsia="Arial" w:hAnsi="Arial" w:cs="Arial"/>
          <w:sz w:val="22"/>
          <w:szCs w:val="22"/>
        </w:rPr>
        <w:t xml:space="preserve"> Distribution of the number of </w:t>
      </w:r>
      <w:r>
        <w:rPr>
          <w:rFonts w:ascii="Arial" w:eastAsia="Arial" w:hAnsi="Arial" w:cs="Arial"/>
          <w:i/>
          <w:sz w:val="22"/>
          <w:szCs w:val="22"/>
        </w:rPr>
        <w:t>C. trachomatis</w:t>
      </w:r>
      <w:r>
        <w:rPr>
          <w:rFonts w:ascii="Arial" w:eastAsia="Arial" w:hAnsi="Arial" w:cs="Arial"/>
          <w:sz w:val="22"/>
          <w:szCs w:val="22"/>
        </w:rPr>
        <w:t xml:space="preserve"> copies in the WGS input volume and the corresponding percentage of “on-target” reads in log</w:t>
      </w:r>
      <w:r>
        <w:rPr>
          <w:rFonts w:ascii="Arial" w:eastAsia="Arial" w:hAnsi="Arial" w:cs="Arial"/>
          <w:sz w:val="22"/>
          <w:szCs w:val="22"/>
          <w:vertAlign w:val="subscript"/>
        </w:rPr>
        <w:t>10</w:t>
      </w:r>
      <w:r>
        <w:rPr>
          <w:rFonts w:ascii="Arial" w:eastAsia="Arial" w:hAnsi="Arial" w:cs="Arial"/>
          <w:sz w:val="22"/>
          <w:szCs w:val="22"/>
        </w:rPr>
        <w:t xml:space="preserve"> scale for the 148 isolates selected for WGS. Each point represents one sample submitted for targeted enrichment WGS, being colored in dark blue when passing the inclusion criteria for the final curated genome dataset and in light blue when not passing these criteria. “On-target” reads were assumed as QC-passed reads classified as </w:t>
      </w:r>
      <w:r>
        <w:rPr>
          <w:rFonts w:ascii="Arial" w:eastAsia="Arial" w:hAnsi="Arial" w:cs="Arial"/>
          <w:i/>
          <w:sz w:val="22"/>
          <w:szCs w:val="22"/>
        </w:rPr>
        <w:t>Chlamydiales, i.e.</w:t>
      </w:r>
      <w:r>
        <w:rPr>
          <w:rFonts w:ascii="Arial" w:eastAsia="Arial" w:hAnsi="Arial" w:cs="Arial"/>
          <w:sz w:val="22"/>
          <w:szCs w:val="22"/>
        </w:rPr>
        <w:t xml:space="preserve">, reads used for </w:t>
      </w:r>
      <w:r>
        <w:rPr>
          <w:rFonts w:ascii="Arial" w:eastAsia="Arial" w:hAnsi="Arial" w:cs="Arial"/>
          <w:i/>
          <w:sz w:val="22"/>
          <w:szCs w:val="22"/>
        </w:rPr>
        <w:t>C. trachomatis</w:t>
      </w:r>
      <w:r>
        <w:rPr>
          <w:rFonts w:ascii="Arial" w:eastAsia="Arial" w:hAnsi="Arial" w:cs="Arial"/>
          <w:sz w:val="22"/>
          <w:szCs w:val="22"/>
        </w:rPr>
        <w:t xml:space="preserve"> genome assembly</w:t>
      </w:r>
      <w:r>
        <w:rPr>
          <w:rFonts w:ascii="Arial" w:eastAsia="Arial" w:hAnsi="Arial" w:cs="Arial"/>
          <w:i/>
          <w:sz w:val="22"/>
          <w:szCs w:val="22"/>
        </w:rPr>
        <w:t xml:space="preserve"> </w:t>
      </w:r>
      <w:r>
        <w:rPr>
          <w:rFonts w:ascii="Arial" w:eastAsia="Arial" w:hAnsi="Arial" w:cs="Arial"/>
          <w:sz w:val="22"/>
          <w:szCs w:val="22"/>
        </w:rPr>
        <w:t>(see Materials and Methods).</w:t>
      </w:r>
    </w:p>
    <w:p w14:paraId="25B493EE" w14:textId="77777777" w:rsidR="00501998" w:rsidRDefault="00501998" w:rsidP="00501998">
      <w:pPr>
        <w:spacing w:line="360" w:lineRule="auto"/>
        <w:jc w:val="both"/>
        <w:rPr>
          <w:rFonts w:ascii="Arial" w:eastAsia="Arial" w:hAnsi="Arial" w:cs="Arial"/>
          <w:sz w:val="22"/>
          <w:szCs w:val="22"/>
        </w:rPr>
      </w:pPr>
    </w:p>
    <w:p w14:paraId="1B9BC7F0" w14:textId="77777777" w:rsidR="00501998" w:rsidRDefault="00501998" w:rsidP="00501998">
      <w:pPr>
        <w:spacing w:line="360" w:lineRule="auto"/>
        <w:jc w:val="both"/>
        <w:rPr>
          <w:rFonts w:ascii="Arial" w:eastAsia="Arial" w:hAnsi="Arial" w:cs="Arial"/>
          <w:sz w:val="22"/>
          <w:szCs w:val="22"/>
        </w:rPr>
      </w:pPr>
      <w:r>
        <w:rPr>
          <w:rFonts w:ascii="Arial" w:eastAsia="Arial" w:hAnsi="Arial" w:cs="Arial"/>
          <w:b/>
          <w:sz w:val="22"/>
          <w:szCs w:val="22"/>
        </w:rPr>
        <w:t xml:space="preserve">Supplementary figure S2. Evaluation and benchmarking of the novel </w:t>
      </w:r>
      <w:r>
        <w:rPr>
          <w:rFonts w:ascii="Arial" w:eastAsia="Arial" w:hAnsi="Arial" w:cs="Arial"/>
          <w:b/>
          <w:i/>
          <w:sz w:val="22"/>
          <w:szCs w:val="22"/>
        </w:rPr>
        <w:t xml:space="preserve">C. trachomatis </w:t>
      </w:r>
      <w:r>
        <w:rPr>
          <w:rFonts w:ascii="Arial" w:eastAsia="Arial" w:hAnsi="Arial" w:cs="Arial"/>
          <w:b/>
          <w:sz w:val="22"/>
          <w:szCs w:val="22"/>
        </w:rPr>
        <w:t xml:space="preserve">cgMLST schema. A) </w:t>
      </w:r>
      <w:r>
        <w:rPr>
          <w:rFonts w:ascii="Arial" w:eastAsia="Arial" w:hAnsi="Arial" w:cs="Arial"/>
          <w:sz w:val="22"/>
          <w:szCs w:val="22"/>
        </w:rPr>
        <w:t xml:space="preserve">Distribution of the number of unique alleles per locus of the cgMLST schema. </w:t>
      </w:r>
      <w:r>
        <w:rPr>
          <w:rFonts w:ascii="Arial" w:eastAsia="Arial" w:hAnsi="Arial" w:cs="Arial"/>
          <w:b/>
          <w:sz w:val="22"/>
          <w:szCs w:val="22"/>
        </w:rPr>
        <w:t xml:space="preserve">B) </w:t>
      </w:r>
      <w:r>
        <w:rPr>
          <w:rFonts w:ascii="Arial" w:eastAsia="Arial" w:hAnsi="Arial" w:cs="Arial"/>
          <w:sz w:val="22"/>
          <w:szCs w:val="22"/>
        </w:rPr>
        <w:t xml:space="preserve">Comparison of the distribution of the percentage of loci called per sample in the novel cgMLST schema (blue) and the local deployment of the PubMLST schema with chewBBACA allele caller (orange) using the global </w:t>
      </w:r>
      <w:r>
        <w:rPr>
          <w:rFonts w:ascii="Arial" w:eastAsia="Arial" w:hAnsi="Arial" w:cs="Arial"/>
          <w:i/>
          <w:sz w:val="22"/>
          <w:szCs w:val="22"/>
        </w:rPr>
        <w:t xml:space="preserve">C. trachomatis </w:t>
      </w:r>
      <w:r>
        <w:rPr>
          <w:rFonts w:ascii="Arial" w:eastAsia="Arial" w:hAnsi="Arial" w:cs="Arial"/>
          <w:sz w:val="22"/>
          <w:szCs w:val="22"/>
        </w:rPr>
        <w:t xml:space="preserve">dataset (n=1230). </w:t>
      </w:r>
      <w:r>
        <w:rPr>
          <w:rFonts w:ascii="Arial" w:eastAsia="Arial" w:hAnsi="Arial" w:cs="Arial"/>
          <w:b/>
          <w:sz w:val="22"/>
          <w:szCs w:val="22"/>
        </w:rPr>
        <w:t>C)</w:t>
      </w:r>
      <w:r>
        <w:rPr>
          <w:rFonts w:ascii="Arial" w:eastAsia="Arial" w:hAnsi="Arial" w:cs="Arial"/>
          <w:sz w:val="22"/>
          <w:szCs w:val="22"/>
        </w:rPr>
        <w:t xml:space="preserve"> Number of partitions (clusters and singletons) obtained at each possible distance threshold level in the novel cgMLST schema and the local deployment of the PubMLST schema with chewBBACA </w:t>
      </w:r>
      <w:r>
        <w:rPr>
          <w:rFonts w:ascii="Arial" w:eastAsia="Arial" w:hAnsi="Arial" w:cs="Arial"/>
          <w:color w:val="000000"/>
          <w:sz w:val="22"/>
          <w:szCs w:val="22"/>
          <w:vertAlign w:val="superscript"/>
        </w:rPr>
        <w:t>56</w:t>
      </w:r>
      <w:r>
        <w:rPr>
          <w:rFonts w:ascii="Arial" w:eastAsia="Arial" w:hAnsi="Arial" w:cs="Arial"/>
          <w:sz w:val="22"/>
          <w:szCs w:val="22"/>
        </w:rPr>
        <w:t xml:space="preserve">, both using ReporTree single-linkage hierarchical clustering </w:t>
      </w:r>
      <w:r>
        <w:rPr>
          <w:rFonts w:ascii="Arial" w:eastAsia="Arial" w:hAnsi="Arial" w:cs="Arial"/>
          <w:color w:val="000000"/>
          <w:sz w:val="22"/>
          <w:szCs w:val="22"/>
          <w:vertAlign w:val="superscript"/>
        </w:rPr>
        <w:t>82</w:t>
      </w:r>
      <w:r>
        <w:rPr>
          <w:rFonts w:ascii="Arial" w:eastAsia="Arial" w:hAnsi="Arial" w:cs="Arial"/>
          <w:sz w:val="22"/>
          <w:szCs w:val="22"/>
        </w:rPr>
        <w:t xml:space="preserve">. </w:t>
      </w:r>
      <w:r>
        <w:rPr>
          <w:rFonts w:ascii="Arial" w:eastAsia="Arial" w:hAnsi="Arial" w:cs="Arial"/>
          <w:b/>
          <w:sz w:val="22"/>
          <w:szCs w:val="22"/>
        </w:rPr>
        <w:t>D)</w:t>
      </w:r>
      <w:r>
        <w:rPr>
          <w:rFonts w:ascii="Arial" w:eastAsia="Arial" w:hAnsi="Arial" w:cs="Arial"/>
          <w:sz w:val="22"/>
          <w:szCs w:val="22"/>
        </w:rPr>
        <w:t xml:space="preserve"> Heatmap of the congruence score (0 - no congruence; 3 - absolute congruence) obtained for the pairwise comparisons performed between all possible threshold combinations of the two approaches analysed in C. </w:t>
      </w:r>
      <w:r>
        <w:rPr>
          <w:rFonts w:ascii="Arial" w:eastAsia="Arial" w:hAnsi="Arial" w:cs="Arial"/>
          <w:b/>
          <w:sz w:val="22"/>
          <w:szCs w:val="22"/>
        </w:rPr>
        <w:t>E)</w:t>
      </w:r>
      <w:r>
        <w:rPr>
          <w:rFonts w:ascii="Arial" w:eastAsia="Arial" w:hAnsi="Arial" w:cs="Arial"/>
          <w:sz w:val="22"/>
          <w:szCs w:val="22"/>
        </w:rPr>
        <w:t xml:space="preserve"> Number of partitions at each possible distance threshold level in the novel cgMLST schema using ReporTree single-linkage hierarchical clustering and GrapeTree MSTreeV2 algorithm </w:t>
      </w:r>
      <w:r>
        <w:rPr>
          <w:rFonts w:ascii="Arial" w:eastAsia="Arial" w:hAnsi="Arial" w:cs="Arial"/>
          <w:color w:val="000000"/>
          <w:sz w:val="22"/>
          <w:szCs w:val="22"/>
          <w:vertAlign w:val="superscript"/>
        </w:rPr>
        <w:t>82,83</w:t>
      </w:r>
      <w:r>
        <w:rPr>
          <w:rFonts w:ascii="Arial" w:eastAsia="Arial" w:hAnsi="Arial" w:cs="Arial"/>
          <w:sz w:val="22"/>
          <w:szCs w:val="22"/>
        </w:rPr>
        <w:t xml:space="preserve">. </w:t>
      </w:r>
      <w:r>
        <w:rPr>
          <w:rFonts w:ascii="Arial" w:eastAsia="Arial" w:hAnsi="Arial" w:cs="Arial"/>
          <w:b/>
          <w:sz w:val="22"/>
          <w:szCs w:val="22"/>
        </w:rPr>
        <w:t>F)</w:t>
      </w:r>
      <w:r>
        <w:rPr>
          <w:rFonts w:ascii="Arial" w:eastAsia="Arial" w:hAnsi="Arial" w:cs="Arial"/>
          <w:sz w:val="22"/>
          <w:szCs w:val="22"/>
        </w:rPr>
        <w:t xml:space="preserve"> Heatmap of the congruence score obtained for the pairwise comparisons performed between all possible threshold combinations of the two approaches analysed in E. </w:t>
      </w:r>
      <w:r>
        <w:rPr>
          <w:rFonts w:ascii="Arial" w:eastAsia="Arial" w:hAnsi="Arial" w:cs="Arial"/>
          <w:b/>
          <w:sz w:val="22"/>
          <w:szCs w:val="22"/>
        </w:rPr>
        <w:t>G)</w:t>
      </w:r>
      <w:r>
        <w:rPr>
          <w:rFonts w:ascii="Arial" w:eastAsia="Arial" w:hAnsi="Arial" w:cs="Arial"/>
          <w:sz w:val="22"/>
          <w:szCs w:val="22"/>
        </w:rPr>
        <w:t xml:space="preserve"> Number of partitions at each possible distance threshold level in the novel cgMLST schema and the curated core genome alignment of the 53 complete assemblies, both cases using ReporTree single-linkage hierarchical clustering </w:t>
      </w:r>
      <w:r>
        <w:rPr>
          <w:rFonts w:ascii="Arial" w:eastAsia="Arial" w:hAnsi="Arial" w:cs="Arial"/>
          <w:color w:val="000000"/>
          <w:sz w:val="22"/>
          <w:szCs w:val="22"/>
          <w:vertAlign w:val="superscript"/>
        </w:rPr>
        <w:t>82</w:t>
      </w:r>
      <w:r>
        <w:rPr>
          <w:rFonts w:ascii="Arial" w:eastAsia="Arial" w:hAnsi="Arial" w:cs="Arial"/>
          <w:sz w:val="22"/>
          <w:szCs w:val="22"/>
        </w:rPr>
        <w:t xml:space="preserve">. </w:t>
      </w:r>
      <w:r>
        <w:rPr>
          <w:rFonts w:ascii="Arial" w:eastAsia="Arial" w:hAnsi="Arial" w:cs="Arial"/>
          <w:b/>
          <w:sz w:val="22"/>
          <w:szCs w:val="22"/>
        </w:rPr>
        <w:t>H)</w:t>
      </w:r>
      <w:r>
        <w:rPr>
          <w:rFonts w:ascii="Arial" w:eastAsia="Arial" w:hAnsi="Arial" w:cs="Arial"/>
          <w:sz w:val="22"/>
          <w:szCs w:val="22"/>
        </w:rPr>
        <w:t xml:space="preserve"> Heatmap of the congruence score (0 - no congruence; 3 - absolute congruence) </w:t>
      </w:r>
      <w:r>
        <w:rPr>
          <w:rFonts w:ascii="Arial" w:eastAsia="Arial" w:hAnsi="Arial" w:cs="Arial"/>
          <w:sz w:val="22"/>
          <w:szCs w:val="22"/>
        </w:rPr>
        <w:lastRenderedPageBreak/>
        <w:t xml:space="preserve">obtained in the pairwise comparisons performed between all possible threshold combinations of the two approaches analysed in G. </w:t>
      </w:r>
      <w:r>
        <w:rPr>
          <w:rFonts w:ascii="Arial" w:eastAsia="Arial" w:hAnsi="Arial" w:cs="Arial"/>
          <w:b/>
          <w:sz w:val="22"/>
          <w:szCs w:val="22"/>
        </w:rPr>
        <w:t>I)</w:t>
      </w:r>
      <w:r>
        <w:rPr>
          <w:rFonts w:ascii="Arial" w:eastAsia="Arial" w:hAnsi="Arial" w:cs="Arial"/>
          <w:sz w:val="22"/>
          <w:szCs w:val="22"/>
        </w:rPr>
        <w:t xml:space="preserve"> Number of partitions at each possible distance threshold level in the novel cgMLST schema and the Parsnp </w:t>
      </w:r>
      <w:r>
        <w:rPr>
          <w:rFonts w:ascii="Arial" w:eastAsia="Arial" w:hAnsi="Arial" w:cs="Arial"/>
          <w:color w:val="000000"/>
          <w:sz w:val="22"/>
          <w:szCs w:val="22"/>
          <w:vertAlign w:val="superscript"/>
        </w:rPr>
        <w:t>89</w:t>
      </w:r>
      <w:r>
        <w:rPr>
          <w:rFonts w:ascii="Arial" w:eastAsia="Arial" w:hAnsi="Arial" w:cs="Arial"/>
          <w:sz w:val="22"/>
          <w:szCs w:val="22"/>
        </w:rPr>
        <w:t xml:space="preserve"> alignment of the global dataset, both using ReporTree single-linkage hierarchical clustering </w:t>
      </w:r>
      <w:r>
        <w:rPr>
          <w:rFonts w:ascii="Arial" w:eastAsia="Arial" w:hAnsi="Arial" w:cs="Arial"/>
          <w:color w:val="000000"/>
          <w:sz w:val="22"/>
          <w:szCs w:val="22"/>
          <w:vertAlign w:val="superscript"/>
        </w:rPr>
        <w:t>82</w:t>
      </w:r>
      <w:r>
        <w:rPr>
          <w:rFonts w:ascii="Arial" w:eastAsia="Arial" w:hAnsi="Arial" w:cs="Arial"/>
          <w:sz w:val="22"/>
          <w:szCs w:val="22"/>
        </w:rPr>
        <w:t xml:space="preserve">. </w:t>
      </w:r>
      <w:r>
        <w:rPr>
          <w:rFonts w:ascii="Arial" w:eastAsia="Arial" w:hAnsi="Arial" w:cs="Arial"/>
          <w:b/>
          <w:sz w:val="22"/>
          <w:szCs w:val="22"/>
        </w:rPr>
        <w:t>J)</w:t>
      </w:r>
      <w:r>
        <w:rPr>
          <w:rFonts w:ascii="Arial" w:eastAsia="Arial" w:hAnsi="Arial" w:cs="Arial"/>
          <w:sz w:val="22"/>
          <w:szCs w:val="22"/>
        </w:rPr>
        <w:t xml:space="preserve"> Heatmap of the congruence score obtained for the pairwise comparisons performed between all possible threshold combinations of the two approaches analysed in I. </w:t>
      </w:r>
    </w:p>
    <w:p w14:paraId="4251F7B0" w14:textId="77777777" w:rsidR="00501998" w:rsidRDefault="00501998" w:rsidP="00501998">
      <w:pPr>
        <w:spacing w:line="360" w:lineRule="auto"/>
        <w:rPr>
          <w:rFonts w:ascii="Arial" w:eastAsia="Arial" w:hAnsi="Arial" w:cs="Arial"/>
          <w:sz w:val="22"/>
          <w:szCs w:val="22"/>
        </w:rPr>
      </w:pPr>
    </w:p>
    <w:p w14:paraId="5D97E8F0" w14:textId="77777777" w:rsidR="00501998" w:rsidRDefault="00501998" w:rsidP="00501998">
      <w:pPr>
        <w:spacing w:line="360" w:lineRule="auto"/>
        <w:jc w:val="both"/>
        <w:rPr>
          <w:rFonts w:ascii="Arial" w:eastAsia="Arial" w:hAnsi="Arial" w:cs="Arial"/>
          <w:sz w:val="22"/>
          <w:szCs w:val="22"/>
        </w:rPr>
      </w:pPr>
      <w:r>
        <w:rPr>
          <w:rFonts w:ascii="Arial" w:eastAsia="Arial" w:hAnsi="Arial" w:cs="Arial"/>
          <w:b/>
          <w:sz w:val="22"/>
          <w:szCs w:val="22"/>
        </w:rPr>
        <w:t xml:space="preserve">Supplementary figure S3. Neighbor-joining phylogenetic tree of </w:t>
      </w:r>
      <w:r>
        <w:rPr>
          <w:rFonts w:ascii="Arial" w:eastAsia="Arial" w:hAnsi="Arial" w:cs="Arial"/>
          <w:b/>
          <w:i/>
          <w:sz w:val="22"/>
          <w:szCs w:val="22"/>
        </w:rPr>
        <w:t>C. trachomatis</w:t>
      </w:r>
      <w:r>
        <w:rPr>
          <w:rFonts w:ascii="Arial" w:eastAsia="Arial" w:hAnsi="Arial" w:cs="Arial"/>
          <w:b/>
          <w:sz w:val="22"/>
          <w:szCs w:val="22"/>
        </w:rPr>
        <w:t xml:space="preserve"> </w:t>
      </w:r>
      <w:r>
        <w:rPr>
          <w:rFonts w:ascii="Arial" w:eastAsia="Arial" w:hAnsi="Arial" w:cs="Arial"/>
          <w:b/>
          <w:i/>
          <w:sz w:val="22"/>
          <w:szCs w:val="22"/>
        </w:rPr>
        <w:t>ompA</w:t>
      </w:r>
      <w:r>
        <w:rPr>
          <w:rFonts w:ascii="Arial" w:eastAsia="Arial" w:hAnsi="Arial" w:cs="Arial"/>
          <w:b/>
          <w:sz w:val="22"/>
          <w:szCs w:val="22"/>
        </w:rPr>
        <w:t xml:space="preserve"> alleles identified by cgMLST in the studied genome dataset. </w:t>
      </w:r>
      <w:r>
        <w:rPr>
          <w:rFonts w:ascii="Arial" w:eastAsia="Arial" w:hAnsi="Arial" w:cs="Arial"/>
          <w:sz w:val="22"/>
          <w:szCs w:val="22"/>
        </w:rPr>
        <w:t xml:space="preserve">Nodes are coloured by the </w:t>
      </w:r>
      <w:r>
        <w:rPr>
          <w:rFonts w:ascii="Arial" w:eastAsia="Arial" w:hAnsi="Arial" w:cs="Arial"/>
          <w:i/>
          <w:sz w:val="22"/>
          <w:szCs w:val="22"/>
        </w:rPr>
        <w:t xml:space="preserve">ompA </w:t>
      </w:r>
      <w:r>
        <w:rPr>
          <w:rFonts w:ascii="Arial" w:eastAsia="Arial" w:hAnsi="Arial" w:cs="Arial"/>
          <w:sz w:val="22"/>
          <w:szCs w:val="22"/>
        </w:rPr>
        <w:t xml:space="preserve">genotype. Supplementary file S4 provides a summary of </w:t>
      </w:r>
      <w:r>
        <w:rPr>
          <w:rFonts w:ascii="Arial" w:eastAsia="Arial" w:hAnsi="Arial" w:cs="Arial"/>
          <w:i/>
          <w:sz w:val="22"/>
          <w:szCs w:val="22"/>
        </w:rPr>
        <w:t xml:space="preserve">ompA </w:t>
      </w:r>
      <w:r>
        <w:rPr>
          <w:rFonts w:ascii="Arial" w:eastAsia="Arial" w:hAnsi="Arial" w:cs="Arial"/>
          <w:sz w:val="22"/>
          <w:szCs w:val="22"/>
        </w:rPr>
        <w:t xml:space="preserve">allele distributions across lineages, and Supplementary file S2 details the </w:t>
      </w:r>
      <w:r>
        <w:rPr>
          <w:rFonts w:ascii="Arial" w:eastAsia="Arial" w:hAnsi="Arial" w:cs="Arial"/>
          <w:i/>
          <w:sz w:val="22"/>
          <w:szCs w:val="22"/>
        </w:rPr>
        <w:t xml:space="preserve">ompA </w:t>
      </w:r>
      <w:r>
        <w:rPr>
          <w:rFonts w:ascii="Arial" w:eastAsia="Arial" w:hAnsi="Arial" w:cs="Arial"/>
          <w:sz w:val="22"/>
          <w:szCs w:val="22"/>
        </w:rPr>
        <w:t>alleles identified in individual genomes. Allele 112, which was identified in a single genome, was excluded, as a shorter CDS was inferred by cgMLST. Scale bar represents numbers of substitutions</w:t>
      </w:r>
      <w:r>
        <w:rPr>
          <w:rFonts w:ascii="Arial" w:eastAsia="Arial" w:hAnsi="Arial" w:cs="Arial"/>
          <w:i/>
          <w:sz w:val="22"/>
          <w:szCs w:val="22"/>
        </w:rPr>
        <w:t xml:space="preserve"> per</w:t>
      </w:r>
      <w:r>
        <w:rPr>
          <w:rFonts w:ascii="Arial" w:eastAsia="Arial" w:hAnsi="Arial" w:cs="Arial"/>
          <w:sz w:val="22"/>
          <w:szCs w:val="22"/>
        </w:rPr>
        <w:t xml:space="preserve"> site.</w:t>
      </w:r>
    </w:p>
    <w:p w14:paraId="27D01C66" w14:textId="77777777" w:rsidR="00501998" w:rsidRDefault="00501998" w:rsidP="00501998">
      <w:pPr>
        <w:spacing w:line="360" w:lineRule="auto"/>
        <w:jc w:val="both"/>
        <w:rPr>
          <w:rFonts w:ascii="Arial" w:eastAsia="Arial" w:hAnsi="Arial" w:cs="Arial"/>
          <w:sz w:val="22"/>
          <w:szCs w:val="22"/>
        </w:rPr>
      </w:pPr>
    </w:p>
    <w:p w14:paraId="75DE4D64" w14:textId="77777777" w:rsidR="00501998" w:rsidRDefault="00501998" w:rsidP="00501998">
      <w:pPr>
        <w:spacing w:line="360" w:lineRule="auto"/>
        <w:jc w:val="both"/>
        <w:rPr>
          <w:rFonts w:ascii="Arial" w:eastAsia="Arial" w:hAnsi="Arial" w:cs="Arial"/>
          <w:sz w:val="22"/>
          <w:szCs w:val="22"/>
        </w:rPr>
      </w:pPr>
      <w:r>
        <w:rPr>
          <w:rFonts w:ascii="Arial" w:eastAsia="Arial" w:hAnsi="Arial" w:cs="Arial"/>
          <w:b/>
          <w:sz w:val="22"/>
          <w:szCs w:val="22"/>
        </w:rPr>
        <w:t xml:space="preserve">Supplementary figure S4. Core SNP maximum-likelihood phylogenetic tree of the epidemic L2b </w:t>
      </w:r>
      <w:r>
        <w:rPr>
          <w:rFonts w:ascii="Arial" w:eastAsia="Arial" w:hAnsi="Arial" w:cs="Arial"/>
          <w:b/>
          <w:i/>
          <w:sz w:val="22"/>
          <w:szCs w:val="22"/>
        </w:rPr>
        <w:t xml:space="preserve">C. trachomatis </w:t>
      </w:r>
      <w:r>
        <w:rPr>
          <w:rFonts w:ascii="Arial" w:eastAsia="Arial" w:hAnsi="Arial" w:cs="Arial"/>
          <w:b/>
          <w:sz w:val="22"/>
          <w:szCs w:val="22"/>
        </w:rPr>
        <w:t xml:space="preserve">strain. </w:t>
      </w:r>
      <w:r>
        <w:rPr>
          <w:rFonts w:ascii="Arial" w:eastAsia="Arial" w:hAnsi="Arial" w:cs="Arial"/>
          <w:sz w:val="22"/>
          <w:szCs w:val="22"/>
        </w:rPr>
        <w:t xml:space="preserve">The tree was reconstructed from a core alignment comprising 156 SNVs using IQ-TREE v2.1.4 (68) and rooted to the earliest available L2b sequences from the 1980s (ERR348840 and ERR348841). *All recombination-driven SNVs within the previously identified </w:t>
      </w:r>
      <w:r>
        <w:rPr>
          <w:rFonts w:ascii="Arial" w:eastAsia="Arial" w:hAnsi="Arial" w:cs="Arial"/>
          <w:i/>
          <w:sz w:val="22"/>
          <w:szCs w:val="22"/>
        </w:rPr>
        <w:t>ompA</w:t>
      </w:r>
      <w:r>
        <w:rPr>
          <w:rFonts w:ascii="Arial" w:eastAsia="Arial" w:hAnsi="Arial" w:cs="Arial"/>
          <w:sz w:val="22"/>
          <w:szCs w:val="22"/>
        </w:rPr>
        <w:t xml:space="preserve">-containing recombinant region of the L2b/D-Da strain (NC_010280; ~positions 55,221–59,461) (25, 27) were excluded prior to phylogenetic analysis. Edges are coloured by the </w:t>
      </w:r>
      <w:r>
        <w:rPr>
          <w:rFonts w:ascii="Arial" w:eastAsia="Arial" w:hAnsi="Arial" w:cs="Arial"/>
          <w:i/>
          <w:sz w:val="22"/>
          <w:szCs w:val="22"/>
        </w:rPr>
        <w:t>ompA-</w:t>
      </w:r>
      <w:r>
        <w:rPr>
          <w:rFonts w:ascii="Arial" w:eastAsia="Arial" w:hAnsi="Arial" w:cs="Arial"/>
          <w:sz w:val="22"/>
          <w:szCs w:val="22"/>
        </w:rPr>
        <w:t xml:space="preserve">genotype and nodes by LGV </w:t>
      </w:r>
      <w:r>
        <w:rPr>
          <w:rFonts w:ascii="Arial" w:eastAsia="Arial" w:hAnsi="Arial" w:cs="Arial"/>
          <w:i/>
          <w:sz w:val="22"/>
          <w:szCs w:val="22"/>
        </w:rPr>
        <w:t xml:space="preserve">ompA </w:t>
      </w:r>
      <w:r>
        <w:rPr>
          <w:rFonts w:ascii="Arial" w:eastAsia="Arial" w:hAnsi="Arial" w:cs="Arial"/>
          <w:sz w:val="22"/>
          <w:szCs w:val="22"/>
        </w:rPr>
        <w:t xml:space="preserve">subvariant (with ‘new’ indicating additional subvariants not included in a recent compilation) </w:t>
      </w:r>
      <w:r>
        <w:rPr>
          <w:rFonts w:ascii="Arial" w:eastAsia="Arial" w:hAnsi="Arial" w:cs="Arial"/>
          <w:color w:val="000000"/>
          <w:sz w:val="22"/>
          <w:szCs w:val="22"/>
          <w:vertAlign w:val="superscript"/>
        </w:rPr>
        <w:t>48</w:t>
      </w:r>
      <w:r>
        <w:rPr>
          <w:rFonts w:ascii="Arial" w:eastAsia="Arial" w:hAnsi="Arial" w:cs="Arial"/>
          <w:sz w:val="22"/>
          <w:szCs w:val="22"/>
        </w:rPr>
        <w:t>. Scale bar represents numbers of SNPs.</w:t>
      </w:r>
    </w:p>
    <w:p w14:paraId="6C4BFB73" w14:textId="77777777" w:rsidR="00501998" w:rsidRDefault="00501998" w:rsidP="00501998">
      <w:pPr>
        <w:spacing w:line="360" w:lineRule="auto"/>
        <w:jc w:val="both"/>
        <w:rPr>
          <w:rFonts w:ascii="Arial" w:eastAsia="Arial" w:hAnsi="Arial" w:cs="Arial"/>
          <w:sz w:val="22"/>
          <w:szCs w:val="22"/>
        </w:rPr>
      </w:pPr>
    </w:p>
    <w:p w14:paraId="39FA4A03" w14:textId="77777777" w:rsidR="00501998" w:rsidRDefault="00501998" w:rsidP="00501998">
      <w:pPr>
        <w:spacing w:line="360" w:lineRule="auto"/>
        <w:jc w:val="both"/>
        <w:rPr>
          <w:rFonts w:ascii="Arial" w:eastAsia="Arial" w:hAnsi="Arial" w:cs="Arial"/>
          <w:sz w:val="22"/>
          <w:szCs w:val="22"/>
        </w:rPr>
      </w:pPr>
      <w:r>
        <w:rPr>
          <w:rFonts w:ascii="Arial" w:eastAsia="Arial" w:hAnsi="Arial" w:cs="Arial"/>
          <w:b/>
          <w:sz w:val="22"/>
          <w:szCs w:val="22"/>
        </w:rPr>
        <w:t>Supplementary figure S5.</w:t>
      </w:r>
      <w:r>
        <w:rPr>
          <w:rFonts w:ascii="Arial" w:eastAsia="Arial" w:hAnsi="Arial" w:cs="Arial"/>
          <w:sz w:val="22"/>
          <w:szCs w:val="22"/>
        </w:rPr>
        <w:t xml:space="preserve"> </w:t>
      </w:r>
      <w:r>
        <w:rPr>
          <w:rFonts w:ascii="Arial" w:eastAsia="Arial" w:hAnsi="Arial" w:cs="Arial"/>
          <w:b/>
          <w:sz w:val="22"/>
          <w:szCs w:val="22"/>
        </w:rPr>
        <w:t xml:space="preserve">Tanglegram comparing cgMLST-based single-linkage hierarchical clustering built from the whole cgMLST scheme (left) and plasmid-only loci (right). </w:t>
      </w:r>
      <w:r>
        <w:rPr>
          <w:rFonts w:ascii="Arial" w:eastAsia="Arial" w:hAnsi="Arial" w:cs="Arial"/>
          <w:sz w:val="22"/>
          <w:szCs w:val="22"/>
        </w:rPr>
        <w:t>Branches, as connectors linking the same isolates in both trees, are colored by lineage. Distances are based on allelic differences.</w:t>
      </w:r>
    </w:p>
    <w:p w14:paraId="51F629D5" w14:textId="77777777" w:rsidR="00501998" w:rsidRDefault="00501998" w:rsidP="00501998">
      <w:pPr>
        <w:spacing w:line="360" w:lineRule="auto"/>
        <w:rPr>
          <w:rFonts w:ascii="Arial" w:eastAsia="Arial" w:hAnsi="Arial" w:cs="Arial"/>
          <w:sz w:val="22"/>
          <w:szCs w:val="22"/>
        </w:rPr>
      </w:pPr>
    </w:p>
    <w:p w14:paraId="6BAFBAED" w14:textId="77777777" w:rsidR="00501998" w:rsidRDefault="00501998" w:rsidP="00501998">
      <w:pPr>
        <w:spacing w:line="360" w:lineRule="auto"/>
        <w:jc w:val="both"/>
        <w:rPr>
          <w:rFonts w:ascii="Arial" w:eastAsia="Arial" w:hAnsi="Arial" w:cs="Arial"/>
          <w:sz w:val="22"/>
          <w:szCs w:val="22"/>
        </w:rPr>
      </w:pPr>
      <w:r>
        <w:rPr>
          <w:rFonts w:ascii="Arial" w:eastAsia="Arial" w:hAnsi="Arial" w:cs="Arial"/>
          <w:b/>
          <w:sz w:val="22"/>
          <w:szCs w:val="22"/>
        </w:rPr>
        <w:t xml:space="preserve">Supplementary figure S6. Sankey plot illustrating the relationships between </w:t>
      </w:r>
      <w:r>
        <w:rPr>
          <w:rFonts w:ascii="Arial" w:eastAsia="Arial" w:hAnsi="Arial" w:cs="Arial"/>
          <w:b/>
          <w:i/>
          <w:sz w:val="22"/>
          <w:szCs w:val="22"/>
        </w:rPr>
        <w:t>Chlamydia trachomatis</w:t>
      </w:r>
      <w:r>
        <w:rPr>
          <w:rFonts w:ascii="Arial" w:eastAsia="Arial" w:hAnsi="Arial" w:cs="Arial"/>
          <w:b/>
          <w:sz w:val="22"/>
          <w:szCs w:val="22"/>
        </w:rPr>
        <w:t xml:space="preserve"> classifications at four levels: </w:t>
      </w:r>
      <w:r>
        <w:rPr>
          <w:rFonts w:ascii="Arial" w:eastAsia="Arial" w:hAnsi="Arial" w:cs="Arial"/>
          <w:i/>
          <w:sz w:val="22"/>
          <w:szCs w:val="22"/>
        </w:rPr>
        <w:t>ompA</w:t>
      </w:r>
      <w:r>
        <w:rPr>
          <w:rFonts w:ascii="Arial" w:eastAsia="Arial" w:hAnsi="Arial" w:cs="Arial"/>
          <w:sz w:val="22"/>
          <w:szCs w:val="22"/>
        </w:rPr>
        <w:t xml:space="preserve"> class (historical “disease groups” inferred from the traditional </w:t>
      </w:r>
      <w:r>
        <w:rPr>
          <w:rFonts w:ascii="Arial" w:eastAsia="Arial" w:hAnsi="Arial" w:cs="Arial"/>
          <w:i/>
          <w:sz w:val="22"/>
          <w:szCs w:val="22"/>
        </w:rPr>
        <w:t>ompA</w:t>
      </w:r>
      <w:r>
        <w:rPr>
          <w:rFonts w:ascii="Arial" w:eastAsia="Arial" w:hAnsi="Arial" w:cs="Arial"/>
          <w:sz w:val="22"/>
          <w:szCs w:val="22"/>
        </w:rPr>
        <w:t xml:space="preserve"> classification*), </w:t>
      </w:r>
      <w:r>
        <w:rPr>
          <w:rFonts w:ascii="Arial" w:eastAsia="Arial" w:hAnsi="Arial" w:cs="Arial"/>
          <w:i/>
          <w:sz w:val="22"/>
          <w:szCs w:val="22"/>
        </w:rPr>
        <w:t>ompA</w:t>
      </w:r>
      <w:r>
        <w:rPr>
          <w:rFonts w:ascii="Arial" w:eastAsia="Arial" w:hAnsi="Arial" w:cs="Arial"/>
          <w:sz w:val="22"/>
          <w:szCs w:val="22"/>
        </w:rPr>
        <w:t xml:space="preserve">-genotype, cgMLST lineage, and MLST-derived sequence type (ST). Each node represents a category within a given stage, and the width of the connecting flows is proportional to the number of isolates sharing the corresponding combination of categories. *Grouping in </w:t>
      </w:r>
      <w:r>
        <w:rPr>
          <w:rFonts w:ascii="Arial" w:eastAsia="Arial" w:hAnsi="Arial" w:cs="Arial"/>
          <w:sz w:val="22"/>
          <w:szCs w:val="22"/>
        </w:rPr>
        <w:lastRenderedPageBreak/>
        <w:t>“</w:t>
      </w:r>
      <w:r>
        <w:rPr>
          <w:rFonts w:ascii="Arial" w:eastAsia="Arial" w:hAnsi="Arial" w:cs="Arial"/>
          <w:b/>
          <w:i/>
          <w:sz w:val="22"/>
          <w:szCs w:val="22"/>
        </w:rPr>
        <w:t>ompA</w:t>
      </w:r>
      <w:r>
        <w:rPr>
          <w:rFonts w:ascii="Arial" w:eastAsia="Arial" w:hAnsi="Arial" w:cs="Arial"/>
          <w:b/>
          <w:sz w:val="22"/>
          <w:szCs w:val="22"/>
        </w:rPr>
        <w:t>_class”</w:t>
      </w:r>
      <w:r>
        <w:rPr>
          <w:rFonts w:ascii="Arial" w:eastAsia="Arial" w:hAnsi="Arial" w:cs="Arial"/>
          <w:sz w:val="22"/>
          <w:szCs w:val="22"/>
        </w:rPr>
        <w:t xml:space="preserve"> was strictly based on </w:t>
      </w:r>
      <w:r>
        <w:rPr>
          <w:rFonts w:ascii="Arial" w:eastAsia="Arial" w:hAnsi="Arial" w:cs="Arial"/>
          <w:i/>
          <w:sz w:val="22"/>
          <w:szCs w:val="22"/>
        </w:rPr>
        <w:t>ompA</w:t>
      </w:r>
      <w:r>
        <w:rPr>
          <w:rFonts w:ascii="Arial" w:eastAsia="Arial" w:hAnsi="Arial" w:cs="Arial"/>
          <w:sz w:val="22"/>
          <w:szCs w:val="22"/>
        </w:rPr>
        <w:t xml:space="preserve"> sequence, so the recombinant L2/L2b–D/Da strain </w:t>
      </w:r>
      <w:r>
        <w:rPr>
          <w:rFonts w:ascii="Arial" w:eastAsia="Arial" w:hAnsi="Arial" w:cs="Arial"/>
          <w:color w:val="000000"/>
          <w:sz w:val="22"/>
          <w:szCs w:val="22"/>
          <w:vertAlign w:val="superscript"/>
        </w:rPr>
        <w:t>43,45</w:t>
      </w:r>
      <w:r>
        <w:rPr>
          <w:rFonts w:ascii="Arial" w:eastAsia="Arial" w:hAnsi="Arial" w:cs="Arial"/>
          <w:sz w:val="22"/>
          <w:szCs w:val="22"/>
        </w:rPr>
        <w:t xml:space="preserve"> was classified as “genital”, as most of its sequence (~75%) derives from a genital genotype (D/Da). Supplementary files S2 and S4 provide source data.</w:t>
      </w:r>
    </w:p>
    <w:p w14:paraId="277ED1CA" w14:textId="77777777" w:rsidR="00865217" w:rsidRDefault="00865217"/>
    <w:sectPr w:rsidR="00865217" w:rsidSect="00501998">
      <w:pgSz w:w="11906" w:h="16838"/>
      <w:pgMar w:top="1417" w:right="1701" w:bottom="1417" w:left="1701" w:header="708" w:footer="708"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01998"/>
    <w:rsid w:val="002E281E"/>
    <w:rsid w:val="003201BB"/>
    <w:rsid w:val="00501998"/>
    <w:rsid w:val="00564D5C"/>
    <w:rsid w:val="0086521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D328825"/>
  <w15:chartTrackingRefBased/>
  <w15:docId w15:val="{6EB284A6-0B63-4B5A-A105-0745B9FA67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501998"/>
    <w:pPr>
      <w:spacing w:after="0" w:line="240" w:lineRule="auto"/>
    </w:pPr>
    <w:rPr>
      <w:rFonts w:ascii="Calibri" w:eastAsia="Calibri" w:hAnsi="Calibri" w:cs="Calibri"/>
      <w:kern w:val="0"/>
      <w:lang w:val="en-GB" w:eastAsia="pt-PT"/>
      <w14:ligatures w14:val="none"/>
    </w:rPr>
  </w:style>
  <w:style w:type="paragraph" w:styleId="Heading1">
    <w:name w:val="heading 1"/>
    <w:basedOn w:val="Normal"/>
    <w:next w:val="Normal"/>
    <w:link w:val="Heading1Char"/>
    <w:uiPriority w:val="9"/>
    <w:qFormat/>
    <w:rsid w:val="00501998"/>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lang w:val="en-US" w:eastAsia="en-US"/>
      <w14:ligatures w14:val="standardContextual"/>
    </w:rPr>
  </w:style>
  <w:style w:type="paragraph" w:styleId="Heading2">
    <w:name w:val="heading 2"/>
    <w:basedOn w:val="Normal"/>
    <w:next w:val="Normal"/>
    <w:link w:val="Heading2Char"/>
    <w:uiPriority w:val="9"/>
    <w:semiHidden/>
    <w:unhideWhenUsed/>
    <w:qFormat/>
    <w:rsid w:val="00501998"/>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lang w:val="en-US" w:eastAsia="en-US"/>
      <w14:ligatures w14:val="standardContextual"/>
    </w:rPr>
  </w:style>
  <w:style w:type="paragraph" w:styleId="Heading3">
    <w:name w:val="heading 3"/>
    <w:basedOn w:val="Normal"/>
    <w:next w:val="Normal"/>
    <w:link w:val="Heading3Char"/>
    <w:uiPriority w:val="9"/>
    <w:semiHidden/>
    <w:unhideWhenUsed/>
    <w:qFormat/>
    <w:rsid w:val="00501998"/>
    <w:pPr>
      <w:keepNext/>
      <w:keepLines/>
      <w:spacing w:before="160" w:after="80" w:line="278" w:lineRule="auto"/>
      <w:outlineLvl w:val="2"/>
    </w:pPr>
    <w:rPr>
      <w:rFonts w:asciiTheme="minorHAnsi" w:eastAsiaTheme="majorEastAsia" w:hAnsiTheme="minorHAnsi" w:cstheme="majorBidi"/>
      <w:color w:val="0F4761" w:themeColor="accent1" w:themeShade="BF"/>
      <w:kern w:val="2"/>
      <w:sz w:val="28"/>
      <w:szCs w:val="28"/>
      <w:lang w:val="en-US" w:eastAsia="en-US"/>
      <w14:ligatures w14:val="standardContextual"/>
    </w:rPr>
  </w:style>
  <w:style w:type="paragraph" w:styleId="Heading4">
    <w:name w:val="heading 4"/>
    <w:basedOn w:val="Normal"/>
    <w:next w:val="Normal"/>
    <w:link w:val="Heading4Char"/>
    <w:uiPriority w:val="9"/>
    <w:semiHidden/>
    <w:unhideWhenUsed/>
    <w:qFormat/>
    <w:rsid w:val="00501998"/>
    <w:pPr>
      <w:keepNext/>
      <w:keepLines/>
      <w:spacing w:before="80" w:after="40" w:line="278" w:lineRule="auto"/>
      <w:outlineLvl w:val="3"/>
    </w:pPr>
    <w:rPr>
      <w:rFonts w:asciiTheme="minorHAnsi" w:eastAsiaTheme="majorEastAsia" w:hAnsiTheme="minorHAnsi" w:cstheme="majorBidi"/>
      <w:i/>
      <w:iCs/>
      <w:color w:val="0F4761" w:themeColor="accent1" w:themeShade="BF"/>
      <w:kern w:val="2"/>
      <w:lang w:val="en-US" w:eastAsia="en-US"/>
      <w14:ligatures w14:val="standardContextual"/>
    </w:rPr>
  </w:style>
  <w:style w:type="paragraph" w:styleId="Heading5">
    <w:name w:val="heading 5"/>
    <w:basedOn w:val="Normal"/>
    <w:next w:val="Normal"/>
    <w:link w:val="Heading5Char"/>
    <w:uiPriority w:val="9"/>
    <w:semiHidden/>
    <w:unhideWhenUsed/>
    <w:qFormat/>
    <w:rsid w:val="00501998"/>
    <w:pPr>
      <w:keepNext/>
      <w:keepLines/>
      <w:spacing w:before="80" w:after="40" w:line="278" w:lineRule="auto"/>
      <w:outlineLvl w:val="4"/>
    </w:pPr>
    <w:rPr>
      <w:rFonts w:asciiTheme="minorHAnsi" w:eastAsiaTheme="majorEastAsia" w:hAnsiTheme="minorHAnsi" w:cstheme="majorBidi"/>
      <w:color w:val="0F4761" w:themeColor="accent1" w:themeShade="BF"/>
      <w:kern w:val="2"/>
      <w:lang w:val="en-US" w:eastAsia="en-US"/>
      <w14:ligatures w14:val="standardContextual"/>
    </w:rPr>
  </w:style>
  <w:style w:type="paragraph" w:styleId="Heading6">
    <w:name w:val="heading 6"/>
    <w:basedOn w:val="Normal"/>
    <w:next w:val="Normal"/>
    <w:link w:val="Heading6Char"/>
    <w:uiPriority w:val="9"/>
    <w:semiHidden/>
    <w:unhideWhenUsed/>
    <w:qFormat/>
    <w:rsid w:val="00501998"/>
    <w:pPr>
      <w:keepNext/>
      <w:keepLines/>
      <w:spacing w:before="40" w:line="278" w:lineRule="auto"/>
      <w:outlineLvl w:val="5"/>
    </w:pPr>
    <w:rPr>
      <w:rFonts w:asciiTheme="minorHAnsi" w:eastAsiaTheme="majorEastAsia" w:hAnsiTheme="minorHAnsi" w:cstheme="majorBidi"/>
      <w:i/>
      <w:iCs/>
      <w:color w:val="595959" w:themeColor="text1" w:themeTint="A6"/>
      <w:kern w:val="2"/>
      <w:lang w:val="en-US" w:eastAsia="en-US"/>
      <w14:ligatures w14:val="standardContextual"/>
    </w:rPr>
  </w:style>
  <w:style w:type="paragraph" w:styleId="Heading7">
    <w:name w:val="heading 7"/>
    <w:basedOn w:val="Normal"/>
    <w:next w:val="Normal"/>
    <w:link w:val="Heading7Char"/>
    <w:uiPriority w:val="9"/>
    <w:semiHidden/>
    <w:unhideWhenUsed/>
    <w:qFormat/>
    <w:rsid w:val="00501998"/>
    <w:pPr>
      <w:keepNext/>
      <w:keepLines/>
      <w:spacing w:before="40" w:line="278" w:lineRule="auto"/>
      <w:outlineLvl w:val="6"/>
    </w:pPr>
    <w:rPr>
      <w:rFonts w:asciiTheme="minorHAnsi" w:eastAsiaTheme="majorEastAsia" w:hAnsiTheme="minorHAnsi" w:cstheme="majorBidi"/>
      <w:color w:val="595959" w:themeColor="text1" w:themeTint="A6"/>
      <w:kern w:val="2"/>
      <w:lang w:val="en-US" w:eastAsia="en-US"/>
      <w14:ligatures w14:val="standardContextual"/>
    </w:rPr>
  </w:style>
  <w:style w:type="paragraph" w:styleId="Heading8">
    <w:name w:val="heading 8"/>
    <w:basedOn w:val="Normal"/>
    <w:next w:val="Normal"/>
    <w:link w:val="Heading8Char"/>
    <w:uiPriority w:val="9"/>
    <w:semiHidden/>
    <w:unhideWhenUsed/>
    <w:qFormat/>
    <w:rsid w:val="00501998"/>
    <w:pPr>
      <w:keepNext/>
      <w:keepLines/>
      <w:spacing w:line="278" w:lineRule="auto"/>
      <w:outlineLvl w:val="7"/>
    </w:pPr>
    <w:rPr>
      <w:rFonts w:asciiTheme="minorHAnsi" w:eastAsiaTheme="majorEastAsia" w:hAnsiTheme="minorHAnsi" w:cstheme="majorBidi"/>
      <w:i/>
      <w:iCs/>
      <w:color w:val="272727" w:themeColor="text1" w:themeTint="D8"/>
      <w:kern w:val="2"/>
      <w:lang w:val="en-US" w:eastAsia="en-US"/>
      <w14:ligatures w14:val="standardContextual"/>
    </w:rPr>
  </w:style>
  <w:style w:type="paragraph" w:styleId="Heading9">
    <w:name w:val="heading 9"/>
    <w:basedOn w:val="Normal"/>
    <w:next w:val="Normal"/>
    <w:link w:val="Heading9Char"/>
    <w:uiPriority w:val="9"/>
    <w:semiHidden/>
    <w:unhideWhenUsed/>
    <w:qFormat/>
    <w:rsid w:val="00501998"/>
    <w:pPr>
      <w:keepNext/>
      <w:keepLines/>
      <w:spacing w:line="278" w:lineRule="auto"/>
      <w:outlineLvl w:val="8"/>
    </w:pPr>
    <w:rPr>
      <w:rFonts w:asciiTheme="minorHAnsi" w:eastAsiaTheme="majorEastAsia" w:hAnsiTheme="minorHAnsi" w:cstheme="majorBidi"/>
      <w:color w:val="272727" w:themeColor="text1" w:themeTint="D8"/>
      <w:kern w:val="2"/>
      <w:lang w:val="en-US" w:eastAsia="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0199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50199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501998"/>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501998"/>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501998"/>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0199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0199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0199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01998"/>
    <w:rPr>
      <w:rFonts w:eastAsiaTheme="majorEastAsia" w:cstheme="majorBidi"/>
      <w:color w:val="272727" w:themeColor="text1" w:themeTint="D8"/>
    </w:rPr>
  </w:style>
  <w:style w:type="paragraph" w:styleId="Title">
    <w:name w:val="Title"/>
    <w:basedOn w:val="Normal"/>
    <w:next w:val="Normal"/>
    <w:link w:val="TitleChar"/>
    <w:uiPriority w:val="10"/>
    <w:qFormat/>
    <w:rsid w:val="00501998"/>
    <w:pPr>
      <w:spacing w:after="80"/>
      <w:contextualSpacing/>
    </w:pPr>
    <w:rPr>
      <w:rFonts w:asciiTheme="majorHAnsi" w:eastAsiaTheme="majorEastAsia" w:hAnsiTheme="majorHAnsi" w:cstheme="majorBidi"/>
      <w:spacing w:val="-10"/>
      <w:kern w:val="28"/>
      <w:sz w:val="56"/>
      <w:szCs w:val="56"/>
      <w:lang w:val="en-US" w:eastAsia="en-US"/>
      <w14:ligatures w14:val="standardContextual"/>
    </w:rPr>
  </w:style>
  <w:style w:type="character" w:customStyle="1" w:styleId="TitleChar">
    <w:name w:val="Title Char"/>
    <w:basedOn w:val="DefaultParagraphFont"/>
    <w:link w:val="Title"/>
    <w:uiPriority w:val="10"/>
    <w:rsid w:val="0050199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01998"/>
    <w:pPr>
      <w:numPr>
        <w:ilvl w:val="1"/>
      </w:numPr>
      <w:spacing w:after="160" w:line="278" w:lineRule="auto"/>
    </w:pPr>
    <w:rPr>
      <w:rFonts w:asciiTheme="minorHAnsi" w:eastAsiaTheme="majorEastAsia" w:hAnsiTheme="minorHAnsi" w:cstheme="majorBidi"/>
      <w:color w:val="595959" w:themeColor="text1" w:themeTint="A6"/>
      <w:spacing w:val="15"/>
      <w:kern w:val="2"/>
      <w:sz w:val="28"/>
      <w:szCs w:val="28"/>
      <w:lang w:val="en-US" w:eastAsia="en-US"/>
      <w14:ligatures w14:val="standardContextual"/>
    </w:rPr>
  </w:style>
  <w:style w:type="character" w:customStyle="1" w:styleId="SubtitleChar">
    <w:name w:val="Subtitle Char"/>
    <w:basedOn w:val="DefaultParagraphFont"/>
    <w:link w:val="Subtitle"/>
    <w:uiPriority w:val="11"/>
    <w:rsid w:val="0050199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01998"/>
    <w:pPr>
      <w:spacing w:before="160" w:after="160" w:line="278" w:lineRule="auto"/>
      <w:jc w:val="center"/>
    </w:pPr>
    <w:rPr>
      <w:rFonts w:asciiTheme="minorHAnsi" w:eastAsiaTheme="minorHAnsi" w:hAnsiTheme="minorHAnsi" w:cstheme="minorBidi"/>
      <w:i/>
      <w:iCs/>
      <w:color w:val="404040" w:themeColor="text1" w:themeTint="BF"/>
      <w:kern w:val="2"/>
      <w:lang w:val="en-US" w:eastAsia="en-US"/>
      <w14:ligatures w14:val="standardContextual"/>
    </w:rPr>
  </w:style>
  <w:style w:type="character" w:customStyle="1" w:styleId="QuoteChar">
    <w:name w:val="Quote Char"/>
    <w:basedOn w:val="DefaultParagraphFont"/>
    <w:link w:val="Quote"/>
    <w:uiPriority w:val="29"/>
    <w:rsid w:val="00501998"/>
    <w:rPr>
      <w:i/>
      <w:iCs/>
      <w:color w:val="404040" w:themeColor="text1" w:themeTint="BF"/>
    </w:rPr>
  </w:style>
  <w:style w:type="paragraph" w:styleId="ListParagraph">
    <w:name w:val="List Paragraph"/>
    <w:basedOn w:val="Normal"/>
    <w:uiPriority w:val="34"/>
    <w:qFormat/>
    <w:rsid w:val="00501998"/>
    <w:pPr>
      <w:spacing w:after="160" w:line="278" w:lineRule="auto"/>
      <w:ind w:left="720"/>
      <w:contextualSpacing/>
    </w:pPr>
    <w:rPr>
      <w:rFonts w:asciiTheme="minorHAnsi" w:eastAsiaTheme="minorHAnsi" w:hAnsiTheme="minorHAnsi" w:cstheme="minorBidi"/>
      <w:kern w:val="2"/>
      <w:lang w:val="en-US" w:eastAsia="en-US"/>
      <w14:ligatures w14:val="standardContextual"/>
    </w:rPr>
  </w:style>
  <w:style w:type="character" w:styleId="IntenseEmphasis">
    <w:name w:val="Intense Emphasis"/>
    <w:basedOn w:val="DefaultParagraphFont"/>
    <w:uiPriority w:val="21"/>
    <w:qFormat/>
    <w:rsid w:val="00501998"/>
    <w:rPr>
      <w:i/>
      <w:iCs/>
      <w:color w:val="0F4761" w:themeColor="accent1" w:themeShade="BF"/>
    </w:rPr>
  </w:style>
  <w:style w:type="paragraph" w:styleId="IntenseQuote">
    <w:name w:val="Intense Quote"/>
    <w:basedOn w:val="Normal"/>
    <w:next w:val="Normal"/>
    <w:link w:val="IntenseQuoteChar"/>
    <w:uiPriority w:val="30"/>
    <w:qFormat/>
    <w:rsid w:val="00501998"/>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asciiTheme="minorHAnsi" w:eastAsiaTheme="minorHAnsi" w:hAnsiTheme="minorHAnsi" w:cstheme="minorBidi"/>
      <w:i/>
      <w:iCs/>
      <w:color w:val="0F4761" w:themeColor="accent1" w:themeShade="BF"/>
      <w:kern w:val="2"/>
      <w:lang w:val="en-US" w:eastAsia="en-US"/>
      <w14:ligatures w14:val="standardContextual"/>
    </w:rPr>
  </w:style>
  <w:style w:type="character" w:customStyle="1" w:styleId="IntenseQuoteChar">
    <w:name w:val="Intense Quote Char"/>
    <w:basedOn w:val="DefaultParagraphFont"/>
    <w:link w:val="IntenseQuote"/>
    <w:uiPriority w:val="30"/>
    <w:rsid w:val="00501998"/>
    <w:rPr>
      <w:i/>
      <w:iCs/>
      <w:color w:val="0F4761" w:themeColor="accent1" w:themeShade="BF"/>
    </w:rPr>
  </w:style>
  <w:style w:type="character" w:styleId="IntenseReference">
    <w:name w:val="Intense Reference"/>
    <w:basedOn w:val="DefaultParagraphFont"/>
    <w:uiPriority w:val="32"/>
    <w:qFormat/>
    <w:rsid w:val="00501998"/>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829</Words>
  <Characters>4728</Characters>
  <Application>Microsoft Office Word</Application>
  <DocSecurity>0</DocSecurity>
  <Lines>39</Lines>
  <Paragraphs>11</Paragraphs>
  <ScaleCrop>false</ScaleCrop>
  <Company>Springer Nature</Company>
  <LinksUpToDate>false</LinksUpToDate>
  <CharactersWithSpaces>5546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Trupti Sudge</dc:creator>
  <cp:keywords/>
  <dc:description/>
  <cp:lastModifiedBy>Trupti Sudge</cp:lastModifiedBy>
  <cp:revision>1</cp:revision>
  <dcterms:created xsi:type="dcterms:W3CDTF">2025-10-01T08:20:00Z</dcterms:created>
  <dcterms:modified xsi:type="dcterms:W3CDTF">2025-10-01T08:21:00Z</dcterms:modified>
</cp:coreProperties>
</file>