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C4F80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9705" cy="5476240"/>
            <wp:effectExtent l="0" t="0" r="23495" b="10160"/>
            <wp:docPr id="4" name="图片 4" descr="2-补充数据1第二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补充数据1第二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ADB4">
      <w:pPr>
        <w:jc w:val="both"/>
        <w:rPr>
          <w:rFonts w:ascii="Times New Roman" w:hAnsi="Times New Roman" w:cs="Times New Roman"/>
          <w:sz w:val="21"/>
          <w:szCs w:val="21"/>
        </w:rPr>
      </w:pPr>
      <w:bookmarkStart w:id="0" w:name="OLE_LINK461"/>
      <w:bookmarkStart w:id="1" w:name="OLE_LINK462"/>
      <w:r>
        <w:rPr>
          <w:rFonts w:hint="eastAsia" w:ascii="Times New Roman" w:hAnsi="Times New Roman" w:cs="Times New Roman"/>
          <w:sz w:val="21"/>
          <w:szCs w:val="21"/>
        </w:rPr>
        <w:t>Supplementary Figure 1</w:t>
      </w:r>
    </w:p>
    <w:bookmarkEnd w:id="0"/>
    <w:bookmarkEnd w:id="1"/>
    <w:p w14:paraId="727EA1D0">
      <w:pPr>
        <w:spacing w:after="24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  <w:bookmarkStart w:id="2" w:name="OLE_LINK457"/>
      <w:bookmarkStart w:id="3" w:name="OLE_LINK458"/>
      <w:r>
        <w:rPr>
          <w:rFonts w:hint="eastAsia" w:ascii="Times New Roman" w:hAnsi="Times New Roman" w:cs="Times New Roman"/>
          <w:sz w:val="21"/>
          <w:szCs w:val="21"/>
        </w:rPr>
        <w:t>A: Statistical graph showing elevated levels of CCL2, CCL12, CCL5, ICAM-1, IL-6, TNF, TNF RI and TNF RII in peripheral blood cytokine protein array analysis on day 4 of METH exposure</w:t>
      </w:r>
      <w:bookmarkEnd w:id="2"/>
      <w:bookmarkEnd w:id="3"/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=6</w:t>
      </w:r>
      <w:r>
        <w:rPr>
          <w:rFonts w:hint="eastAsia" w:ascii="Times New Roman" w:hAnsi="Times New Roman" w:cs="Times New Roman"/>
          <w:sz w:val="21"/>
          <w:szCs w:val="21"/>
        </w:rPr>
        <w:t>).</w:t>
      </w:r>
      <w:r>
        <w:rPr>
          <w:rFonts w:ascii="Times New Roman" w:hAnsi="Times New Roman" w:cs="Times New Roman"/>
          <w:sz w:val="21"/>
          <w:szCs w:val="21"/>
        </w:rPr>
        <w:t xml:space="preserve"> B: Cluster bar graph of cytokines with no statistically significant differences.</w:t>
      </w:r>
      <w:r>
        <w:rPr>
          <w:rFonts w:hint="eastAsia" w:ascii="Times New Roman" w:hAnsi="Times New Roman" w:cs="Times New Roman"/>
          <w:sz w:val="21"/>
          <w:szCs w:val="21"/>
        </w:rPr>
        <w:t xml:space="preserve"> C</w:t>
      </w:r>
      <w:r>
        <w:rPr>
          <w:rFonts w:ascii="Times New Roman" w:hAnsi="Times New Roman" w:cs="Times New Roman"/>
          <w:sz w:val="21"/>
          <w:szCs w:val="21"/>
        </w:rPr>
        <w:t>: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Enrichment of peripheral cytokines and chemokines in GO</w:t>
      </w:r>
      <w:r>
        <w:rPr>
          <w:rFonts w:hint="eastAsia"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 xml:space="preserve">CC </w:t>
      </w:r>
      <w:r>
        <w:rPr>
          <w:rFonts w:hint="eastAsia" w:ascii="Times New Roman" w:hAnsi="Times New Roman" w:cs="Times New Roman"/>
          <w:sz w:val="21"/>
          <w:szCs w:val="21"/>
        </w:rPr>
        <w:t>analysis</w:t>
      </w:r>
      <w:r>
        <w:rPr>
          <w:rFonts w:ascii="Times New Roman" w:hAnsi="Times New Roman" w:cs="Times New Roman"/>
          <w:sz w:val="21"/>
          <w:szCs w:val="21"/>
        </w:rPr>
        <w:t xml:space="preserve"> after METH exposure.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</w:t>
      </w:r>
      <w:r>
        <w:rPr>
          <w:rFonts w:hint="eastAsia" w:ascii="Times New Roman" w:hAnsi="Times New Roman" w:cs="Times New Roman"/>
          <w:sz w:val="21"/>
          <w:szCs w:val="21"/>
        </w:rPr>
        <w:t xml:space="preserve">: </w:t>
      </w:r>
      <w:r>
        <w:rPr>
          <w:rFonts w:ascii="Times New Roman" w:hAnsi="Times New Roman" w:cs="Times New Roman"/>
          <w:sz w:val="21"/>
          <w:szCs w:val="21"/>
        </w:rPr>
        <w:t xml:space="preserve">Enrichment of peripheral cytokines and chemokines in KEGG </w:t>
      </w:r>
      <w:r>
        <w:rPr>
          <w:rFonts w:hint="eastAsia" w:ascii="Times New Roman" w:hAnsi="Times New Roman" w:cs="Times New Roman"/>
          <w:sz w:val="21"/>
          <w:szCs w:val="21"/>
        </w:rPr>
        <w:t>analysis</w:t>
      </w:r>
      <w:r>
        <w:rPr>
          <w:rFonts w:ascii="Times New Roman" w:hAnsi="Times New Roman" w:cs="Times New Roman"/>
          <w:sz w:val="21"/>
          <w:szCs w:val="21"/>
        </w:rPr>
        <w:t xml:space="preserve"> after METH exposure. E</w:t>
      </w:r>
      <w:r>
        <w:rPr>
          <w:rFonts w:hint="eastAsia"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sz w:val="21"/>
          <w:szCs w:val="21"/>
        </w:rPr>
        <w:t xml:space="preserve"> Gating strategy </w:t>
      </w:r>
      <w:r>
        <w:rPr>
          <w:rFonts w:hint="eastAsia" w:ascii="Times New Roman" w:hAnsi="Times New Roman" w:cs="Times New Roman"/>
          <w:sz w:val="21"/>
          <w:szCs w:val="21"/>
        </w:rPr>
        <w:t xml:space="preserve">and the effect of METH treatment on the proportion of </w:t>
      </w:r>
      <w:r>
        <w:rPr>
          <w:rFonts w:ascii="Times New Roman" w:hAnsi="Times New Roman" w:cs="Times New Roman"/>
          <w:sz w:val="21"/>
          <w:szCs w:val="21"/>
        </w:rPr>
        <w:t>CD11</w:t>
      </w:r>
      <w:r>
        <w:rPr>
          <w:rFonts w:hint="eastAsia"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  <w:vertAlign w:val="superscript"/>
        </w:rPr>
        <w:t xml:space="preserve">+ </w:t>
      </w:r>
      <w:r>
        <w:rPr>
          <w:rFonts w:hint="eastAsia" w:ascii="Times New Roman" w:hAnsi="Times New Roman" w:cs="Times New Roman"/>
          <w:sz w:val="21"/>
          <w:szCs w:val="21"/>
        </w:rPr>
        <w:t xml:space="preserve">cells in mononuclear cells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=6-7</w:t>
      </w:r>
      <w:r>
        <w:rPr>
          <w:rFonts w:hint="eastAsia"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 xml:space="preserve">: Gating strategy </w:t>
      </w:r>
      <w:r>
        <w:rPr>
          <w:rFonts w:hint="eastAsia" w:ascii="Times New Roman" w:hAnsi="Times New Roman" w:cs="Times New Roman"/>
          <w:sz w:val="21"/>
          <w:szCs w:val="21"/>
        </w:rPr>
        <w:t xml:space="preserve">and the effect of METH treatment on the proportion of </w:t>
      </w:r>
      <w:r>
        <w:rPr>
          <w:rFonts w:ascii="Times New Roman" w:hAnsi="Times New Roman" w:cs="Times New Roman"/>
          <w:sz w:val="21"/>
          <w:szCs w:val="21"/>
        </w:rPr>
        <w:t>NK1.1</w:t>
      </w:r>
      <w:r>
        <w:rPr>
          <w:rFonts w:ascii="Times New Roman" w:hAnsi="Times New Roman" w:cs="Times New Roman"/>
          <w:sz w:val="21"/>
          <w:szCs w:val="21"/>
          <w:vertAlign w:val="superscript"/>
        </w:rPr>
        <w:t xml:space="preserve">+ </w:t>
      </w:r>
      <w:r>
        <w:rPr>
          <w:rFonts w:hint="eastAsia" w:ascii="Times New Roman" w:hAnsi="Times New Roman" w:cs="Times New Roman"/>
          <w:sz w:val="21"/>
          <w:szCs w:val="21"/>
        </w:rPr>
        <w:t xml:space="preserve">cells in mononuclear cells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=7-10</w:t>
      </w:r>
      <w:r>
        <w:rPr>
          <w:rFonts w:hint="eastAsia"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>.</w:t>
      </w:r>
      <w:r>
        <w:rPr>
          <w:rFonts w:hint="eastAsia" w:ascii="Times New Roman" w:hAnsi="Times New Roman" w:cs="Times New Roman"/>
          <w:sz w:val="21"/>
          <w:szCs w:val="21"/>
        </w:rPr>
        <w:t xml:space="preserve"> G</w:t>
      </w:r>
      <w:r>
        <w:rPr>
          <w:rFonts w:ascii="Times New Roman" w:hAnsi="Times New Roman" w:cs="Times New Roman"/>
          <w:sz w:val="21"/>
          <w:szCs w:val="21"/>
        </w:rPr>
        <w:t>: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Gating strategy </w:t>
      </w:r>
      <w:r>
        <w:rPr>
          <w:rFonts w:hint="eastAsia" w:ascii="Times New Roman" w:hAnsi="Times New Roman" w:cs="Times New Roman"/>
          <w:sz w:val="21"/>
          <w:szCs w:val="21"/>
        </w:rPr>
        <w:t xml:space="preserve">and the effect of METH treatment on the proportion of </w:t>
      </w:r>
      <w:r>
        <w:rPr>
          <w:rFonts w:ascii="Times New Roman" w:hAnsi="Times New Roman" w:cs="Times New Roman"/>
          <w:sz w:val="21"/>
          <w:szCs w:val="21"/>
        </w:rPr>
        <w:t>CD4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and CD8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hint="eastAsia" w:ascii="Times New Roman" w:hAnsi="Times New Roman" w:cs="Times New Roman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 cells</w:t>
      </w:r>
      <w:r>
        <w:rPr>
          <w:rFonts w:hint="eastAsia" w:ascii="Times New Roman" w:hAnsi="Times New Roman" w:cs="Times New Roman"/>
          <w:sz w:val="21"/>
          <w:szCs w:val="21"/>
        </w:rPr>
        <w:t xml:space="preserve"> in mononuclear cells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=6-10</w:t>
      </w:r>
      <w:r>
        <w:rPr>
          <w:rFonts w:hint="eastAsia"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</w:rPr>
        <w:t xml:space="preserve">: Gating strategy </w:t>
      </w:r>
      <w:r>
        <w:rPr>
          <w:rFonts w:hint="eastAsia" w:ascii="Times New Roman" w:hAnsi="Times New Roman" w:cs="Times New Roman"/>
          <w:sz w:val="21"/>
          <w:szCs w:val="21"/>
        </w:rPr>
        <w:t>and representative flow cytometry image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of</w:t>
      </w:r>
      <w:r>
        <w:rPr>
          <w:rFonts w:ascii="Times New Roman" w:hAnsi="Times New Roman" w:cs="Times New Roman"/>
          <w:sz w:val="21"/>
          <w:szCs w:val="21"/>
        </w:rPr>
        <w:t xml:space="preserve"> CD11</w:t>
      </w:r>
      <w:r>
        <w:rPr>
          <w:rFonts w:hint="eastAsia"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>L</w:t>
      </w:r>
      <w:r>
        <w:rPr>
          <w:rFonts w:hint="eastAsia" w:ascii="Times New Roman" w:hAnsi="Times New Roman" w:cs="Times New Roman"/>
          <w:sz w:val="21"/>
          <w:szCs w:val="21"/>
        </w:rPr>
        <w:t>y</w:t>
      </w:r>
      <w:r>
        <w:rPr>
          <w:rFonts w:ascii="Times New Roman" w:hAnsi="Times New Roman" w:cs="Times New Roman"/>
          <w:sz w:val="21"/>
          <w:szCs w:val="21"/>
        </w:rPr>
        <w:t>6C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labeled inflammatory monocytes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in</w:t>
      </w:r>
      <w:r>
        <w:rPr>
          <w:rFonts w:ascii="Times New Roman" w:hAnsi="Times New Roman" w:cs="Times New Roman"/>
          <w:sz w:val="21"/>
          <w:szCs w:val="21"/>
        </w:rPr>
        <w:t xml:space="preserve"> S</w:t>
      </w:r>
      <w:r>
        <w:rPr>
          <w:rFonts w:hint="eastAsia" w:ascii="Times New Roman" w:hAnsi="Times New Roman" w:cs="Times New Roman"/>
          <w:sz w:val="21"/>
          <w:szCs w:val="21"/>
        </w:rPr>
        <w:t>aline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kern w:val="2"/>
          <w:sz w:val="21"/>
          <w:szCs w:val="21"/>
        </w:rPr>
        <w:t>group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measured on the 4th and 7th days</w:t>
      </w:r>
      <w:r>
        <w:rPr>
          <w:rFonts w:hint="eastAsia" w:ascii="Times New Roman" w:hAnsi="Times New Roman" w:cs="Times New Roman"/>
          <w:kern w:val="2"/>
          <w:sz w:val="21"/>
          <w:szCs w:val="21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</w:rPr>
        <w:t>I</w:t>
      </w:r>
      <w:r>
        <w:rPr>
          <w:rFonts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Gating strategy </w:t>
      </w:r>
      <w:r>
        <w:rPr>
          <w:rFonts w:hint="eastAsia" w:ascii="Times New Roman" w:hAnsi="Times New Roman" w:cs="Times New Roman"/>
          <w:sz w:val="21"/>
          <w:szCs w:val="21"/>
        </w:rPr>
        <w:t>for macrophages and a r</w:t>
      </w:r>
      <w:r>
        <w:rPr>
          <w:rFonts w:ascii="Times New Roman" w:hAnsi="Times New Roman" w:cs="Times New Roman"/>
          <w:sz w:val="21"/>
          <w:szCs w:val="21"/>
        </w:rPr>
        <w:t xml:space="preserve">epresentative flow </w:t>
      </w:r>
      <w:r>
        <w:rPr>
          <w:rFonts w:hint="eastAsia" w:ascii="Times New Roman" w:hAnsi="Times New Roman" w:cs="Times New Roman"/>
          <w:sz w:val="21"/>
          <w:szCs w:val="21"/>
        </w:rPr>
        <w:t xml:space="preserve">cytometry </w:t>
      </w:r>
      <w:r>
        <w:rPr>
          <w:rFonts w:ascii="Times New Roman" w:hAnsi="Times New Roman" w:cs="Times New Roman"/>
          <w:sz w:val="21"/>
          <w:szCs w:val="21"/>
        </w:rPr>
        <w:t>image of F4/80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>CD11b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macrophages proportion after M-CSF stimulation.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kern w:val="2"/>
          <w:sz w:val="21"/>
          <w:szCs w:val="21"/>
        </w:rPr>
        <w:t xml:space="preserve">J: </w:t>
      </w:r>
      <w:r>
        <w:rPr>
          <w:rFonts w:hint="eastAsia" w:ascii="Times New Roman" w:hAnsi="Times New Roman" w:cs="Times New Roman"/>
          <w:sz w:val="21"/>
          <w:szCs w:val="21"/>
        </w:rPr>
        <w:t xml:space="preserve">Effect of METH treatment on the proportion of </w:t>
      </w:r>
      <w:r>
        <w:rPr>
          <w:rFonts w:ascii="Times New Roman" w:hAnsi="Times New Roman" w:cs="Times New Roman"/>
          <w:sz w:val="21"/>
          <w:szCs w:val="21"/>
        </w:rPr>
        <w:t>F4/80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>CD86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hint="eastAsia" w:ascii="Times New Roman" w:hAnsi="Times New Roman" w:cs="Times New Roman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labeled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M1 macrophages after LPS and IFN</w:t>
      </w:r>
      <w:r>
        <w:rPr>
          <w:rFonts w:hint="eastAsia"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γ stimulation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 w:ascii="Times New Roman" w:hAnsi="Times New Roman" w:cs="Times New Roman"/>
          <w:sz w:val="21"/>
          <w:szCs w:val="21"/>
        </w:rPr>
        <w:t>5</w:t>
      </w:r>
      <w:r>
        <w:rPr>
          <w:rFonts w:ascii="Times New Roman" w:hAnsi="Times New Roman" w:cs="Times New Roman"/>
          <w:sz w:val="21"/>
          <w:szCs w:val="21"/>
        </w:rPr>
        <w:t>-7</w:t>
      </w:r>
      <w:r>
        <w:rPr>
          <w:rFonts w:hint="eastAsia"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</w:rPr>
        <w:t>K</w:t>
      </w:r>
      <w:r>
        <w:rPr>
          <w:rFonts w:ascii="Times New Roman" w:hAnsi="Times New Roman" w:cs="Times New Roman"/>
          <w:sz w:val="21"/>
          <w:szCs w:val="21"/>
        </w:rPr>
        <w:t>: Flow cytometry analysis of the frequency of F4/80</w:t>
      </w:r>
      <w:r>
        <w:rPr>
          <w:rFonts w:hint="eastAsia"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 xml:space="preserve">ells, which were pretreated with Clodronate </w:t>
      </w:r>
      <w:bookmarkStart w:id="4" w:name="OLE_LINK369"/>
      <w:bookmarkStart w:id="5" w:name="OLE_LINK370"/>
      <w:r>
        <w:rPr>
          <w:rFonts w:ascii="Times New Roman" w:hAnsi="Times New Roman" w:cs="Times New Roman"/>
          <w:sz w:val="21"/>
          <w:szCs w:val="21"/>
        </w:rPr>
        <w:t>Liposomes</w:t>
      </w:r>
      <w:bookmarkEnd w:id="4"/>
      <w:bookmarkEnd w:id="5"/>
      <w:r>
        <w:rPr>
          <w:rFonts w:ascii="Times New Roman" w:hAnsi="Times New Roman" w:cs="Times New Roman"/>
          <w:sz w:val="21"/>
          <w:szCs w:val="21"/>
        </w:rPr>
        <w:t xml:space="preserve"> or C</w:t>
      </w:r>
      <w:r>
        <w:rPr>
          <w:rFonts w:hint="eastAsia" w:ascii="Times New Roman" w:hAnsi="Times New Roman" w:cs="Times New Roman"/>
          <w:sz w:val="21"/>
          <w:szCs w:val="21"/>
        </w:rPr>
        <w:t>ontrol</w:t>
      </w:r>
      <w:r>
        <w:rPr>
          <w:rFonts w:ascii="Times New Roman" w:hAnsi="Times New Roman" w:cs="Times New Roman"/>
          <w:sz w:val="21"/>
          <w:szCs w:val="21"/>
        </w:rPr>
        <w:t xml:space="preserve"> Liposomes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 w:ascii="Times New Roman" w:hAnsi="Times New Roman" w:cs="Times New Roman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-</w:t>
      </w:r>
      <w:r>
        <w:rPr>
          <w:rFonts w:hint="eastAsia" w:ascii="Times New Roman" w:hAnsi="Times New Roman" w:cs="Times New Roman"/>
          <w:sz w:val="21"/>
          <w:szCs w:val="21"/>
        </w:rPr>
        <w:t>6)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</w:rPr>
        <w:t>Data are presented as mean ± SEM.</w:t>
      </w:r>
    </w:p>
    <w:p w14:paraId="7F129714">
      <w:pPr>
        <w:spacing w:after="24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</w:p>
    <w:p w14:paraId="073AD779">
      <w:pPr>
        <w:spacing w:after="24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drawing>
          <wp:inline distT="0" distB="0" distL="114300" distR="114300">
            <wp:extent cx="5269230" cy="4850130"/>
            <wp:effectExtent l="0" t="0" r="13970" b="1270"/>
            <wp:docPr id="2" name="图片 2" descr="2-补充数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补充数据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048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 xml:space="preserve">Supplementary Figure </w:t>
      </w:r>
      <w:r>
        <w:rPr>
          <w:rFonts w:ascii="Times New Roman" w:hAnsi="Times New Roman" w:cs="Times New Roman"/>
          <w:sz w:val="21"/>
          <w:szCs w:val="21"/>
        </w:rPr>
        <w:t>2</w:t>
      </w:r>
    </w:p>
    <w:p w14:paraId="12DF0157">
      <w:pPr>
        <w:jc w:val="both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kern w:val="2"/>
          <w:sz w:val="21"/>
          <w:szCs w:val="21"/>
        </w:rPr>
        <w:t>Representative images of co-localized CD11b</w:t>
      </w:r>
      <w:r>
        <w:rPr>
          <w:rFonts w:ascii="Times New Roman" w:hAnsi="Times New Roman" w:cs="Times New Roman" w:eastAsiaTheme="minorEastAsia"/>
          <w:kern w:val="2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>CD45</w:t>
      </w:r>
      <w:r>
        <w:rPr>
          <w:rFonts w:ascii="Times New Roman" w:hAnsi="Times New Roman" w:cs="Times New Roman" w:eastAsiaTheme="minorEastAsia"/>
          <w:kern w:val="2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macrophages in the amygdala (A), hippocampal CA1 region (B) and CA3 region (C) at day 4 after METH exposure; scale bar = 50 μm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bookmarkStart w:id="6" w:name="OLE_LINK29"/>
      <w:bookmarkStart w:id="7" w:name="OLE_LINK30"/>
      <w:r>
        <w:rPr>
          <w:rFonts w:hint="eastAsia"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: </w:t>
      </w:r>
      <w:bookmarkEnd w:id="6"/>
      <w:bookmarkEnd w:id="7"/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Visual t-SNE plot of highly expressed genes in subpopulations 2, 5, and 8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of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macrophage.</w:t>
      </w:r>
    </w:p>
    <w:p w14:paraId="104321E1">
      <w:pPr>
        <w:spacing w:line="440" w:lineRule="exact"/>
        <w:rPr>
          <w:rFonts w:ascii="Times New Roman" w:hAnsi="Times New Roman" w:cs="Times New Roman"/>
          <w:szCs w:val="21"/>
        </w:rPr>
      </w:pPr>
    </w:p>
    <w:p w14:paraId="7A775BD9">
      <w:pPr>
        <w:jc w:val="both"/>
        <w:rPr>
          <w:rFonts w:hint="eastAsia"/>
        </w:rPr>
      </w:pPr>
    </w:p>
    <w:p w14:paraId="500B8CFE">
      <w:pPr>
        <w:jc w:val="both"/>
        <w:rPr>
          <w:rFonts w:ascii="Times New Roman" w:hAnsi="Times New Roman" w:cs="Times New Roman"/>
          <w:sz w:val="21"/>
          <w:szCs w:val="21"/>
        </w:rPr>
      </w:pPr>
      <w:bookmarkStart w:id="14" w:name="_GoBack"/>
      <w:r>
        <w:rPr>
          <w:rFonts w:hint="eastAsia" w:ascii="Times New Roman" w:hAnsi="Times New Roman" w:cs="Times New Roman"/>
          <w:sz w:val="21"/>
          <w:szCs w:val="21"/>
        </w:rPr>
        <w:drawing>
          <wp:inline distT="0" distB="0" distL="114300" distR="114300">
            <wp:extent cx="5271135" cy="6687185"/>
            <wp:effectExtent l="0" t="0" r="12065" b="18415"/>
            <wp:docPr id="5" name="图片 5" descr="2-补充数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补充数据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  <w:r>
        <w:rPr>
          <w:rFonts w:hint="eastAsia" w:ascii="Times New Roman" w:hAnsi="Times New Roman" w:cs="Times New Roman"/>
          <w:sz w:val="21"/>
          <w:szCs w:val="21"/>
        </w:rPr>
        <w:t xml:space="preserve">Supplementary Figure </w:t>
      </w:r>
      <w:r>
        <w:rPr>
          <w:rFonts w:ascii="Times New Roman" w:hAnsi="Times New Roman" w:cs="Times New Roman"/>
          <w:sz w:val="21"/>
          <w:szCs w:val="21"/>
        </w:rPr>
        <w:t>3</w:t>
      </w:r>
    </w:p>
    <w:p w14:paraId="662CBB2C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A: </w:t>
      </w:r>
      <w:bookmarkStart w:id="8" w:name="OLE_LINK464"/>
      <w:bookmarkStart w:id="9" w:name="OLE_LINK463"/>
      <w:r>
        <w:rPr>
          <w:rFonts w:hint="eastAsia" w:ascii="Times New Roman" w:hAnsi="Times New Roman" w:cs="Times New Roman"/>
          <w:sz w:val="21"/>
          <w:szCs w:val="21"/>
        </w:rPr>
        <w:t>In the saline control group, wild-type + METH-treated group (WT+METH group), and CCR2 knockout + METH-treated group (CCR2KO+METH group), monocytes in peripheral blood were gated based on cell diameter via forward scatter (FSC) signals and according to cell granularity using side scatter (SSC) signals.</w:t>
      </w:r>
      <w:r>
        <w:rPr>
          <w:rFonts w:ascii="Times New Roman" w:hAnsi="Times New Roman" w:cs="Times New Roman"/>
          <w:sz w:val="21"/>
          <w:szCs w:val="21"/>
        </w:rPr>
        <w:t xml:space="preserve"> B:</w:t>
      </w:r>
      <w:r>
        <w:rPr>
          <w:rFonts w:hint="eastAsia" w:ascii="Times New Roman" w:hAnsi="Times New Roman" w:cs="Times New Roman"/>
          <w:sz w:val="21"/>
          <w:szCs w:val="21"/>
        </w:rPr>
        <w:t xml:space="preserve"> Bar Chart of Monocyte Percentages </w:t>
      </w:r>
      <w:r>
        <w:rPr>
          <w:rFonts w:ascii="Times New Roman" w:hAnsi="Times New Roman" w:cs="Times New Roman"/>
          <w:sz w:val="21"/>
          <w:szCs w:val="21"/>
        </w:rPr>
        <w:t>(n =</w:t>
      </w:r>
      <w:r>
        <w:rPr>
          <w:rFonts w:hint="eastAsia" w:ascii="Times New Roman" w:hAnsi="Times New Roman" w:cs="Times New Roman"/>
          <w:sz w:val="21"/>
          <w:szCs w:val="21"/>
        </w:rPr>
        <w:t>4-6</w:t>
      </w:r>
      <w:r>
        <w:rPr>
          <w:rFonts w:ascii="Times New Roman" w:hAnsi="Times New Roman" w:cs="Times New Roman"/>
          <w:sz w:val="21"/>
          <w:szCs w:val="21"/>
        </w:rPr>
        <w:t>)</w:t>
      </w:r>
      <w:r>
        <w:rPr>
          <w:rFonts w:hint="eastAsia"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C-D: Body temperature changes in mice following METH administration (n=10).</w:t>
      </w:r>
      <w:bookmarkEnd w:id="8"/>
      <w:bookmarkEnd w:id="9"/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E: D</w:t>
      </w:r>
      <w:r>
        <w:rPr>
          <w:rFonts w:hint="eastAsia" w:ascii="Times New Roman" w:hAnsi="Times New Roman" w:cs="Times New Roman"/>
          <w:sz w:val="21"/>
          <w:szCs w:val="21"/>
        </w:rPr>
        <w:t>iscrimination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index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in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Novel object recognition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in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CCR2KO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and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WT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mice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(n = 9-12)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F: L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atency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to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reach target box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and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Time around the target box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in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Barnes maze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 xml:space="preserve"> test in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CCR2KO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and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WT 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1"/>
        </w:rPr>
        <w:t>mice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(n=12)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>. Data are presented as mean</w:t>
      </w:r>
      <w:r>
        <w:rPr>
          <w:rFonts w:hint="eastAsia" w:ascii="Times New Roman" w:hAnsi="Times New Roman" w:cs="Times New Roman"/>
          <w:sz w:val="21"/>
          <w:szCs w:val="21"/>
        </w:rPr>
        <w:t>±</w:t>
      </w:r>
      <w:r>
        <w:rPr>
          <w:rFonts w:ascii="Times New Roman" w:hAnsi="Times New Roman" w:cs="Times New Roman" w:eastAsiaTheme="minorEastAsia"/>
          <w:kern w:val="2"/>
          <w:sz w:val="21"/>
          <w:szCs w:val="21"/>
        </w:rPr>
        <w:t>SEM.</w:t>
      </w:r>
    </w:p>
    <w:p w14:paraId="5D156B16">
      <w:pPr>
        <w:rPr>
          <w:rFonts w:hint="eastAsia"/>
        </w:rPr>
      </w:pPr>
    </w:p>
    <w:p w14:paraId="19BA1E9C">
      <w:pPr>
        <w:rPr>
          <w:rFonts w:hint="eastAsia"/>
        </w:rPr>
      </w:pPr>
      <w:r>
        <w:drawing>
          <wp:inline distT="0" distB="0" distL="0" distR="0">
            <wp:extent cx="5274310" cy="46043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0491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 xml:space="preserve">Supplementary Figure </w:t>
      </w:r>
      <w:r>
        <w:rPr>
          <w:rFonts w:ascii="Times New Roman" w:hAnsi="Times New Roman" w:cs="Times New Roman"/>
          <w:sz w:val="21"/>
          <w:szCs w:val="21"/>
        </w:rPr>
        <w:t>4</w:t>
      </w:r>
    </w:p>
    <w:p w14:paraId="50FCE380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A: </w:t>
      </w:r>
      <w:bookmarkStart w:id="10" w:name="OLE_LINK189"/>
      <w:bookmarkStart w:id="11" w:name="OLE_LINK190"/>
      <w:r>
        <w:rPr>
          <w:rFonts w:ascii="Times New Roman" w:hAnsi="Times New Roman" w:cs="Times New Roman"/>
          <w:sz w:val="21"/>
          <w:szCs w:val="21"/>
        </w:rPr>
        <w:t xml:space="preserve">Increased levels of chemokines in the choroid plexus caused </w:t>
      </w:r>
      <w:r>
        <w:rPr>
          <w:rFonts w:hint="eastAsia" w:ascii="Times New Roman" w:hAnsi="Times New Roman" w:cs="Times New Roman"/>
          <w:sz w:val="21"/>
          <w:szCs w:val="21"/>
        </w:rPr>
        <w:t>by</w:t>
      </w:r>
      <w:r>
        <w:rPr>
          <w:rFonts w:ascii="Times New Roman" w:hAnsi="Times New Roman" w:cs="Times New Roman"/>
          <w:sz w:val="21"/>
          <w:szCs w:val="21"/>
        </w:rPr>
        <w:t xml:space="preserve"> METH exposure.</w:t>
      </w:r>
      <w:bookmarkEnd w:id="10"/>
      <w:bookmarkEnd w:id="11"/>
      <w:r>
        <w:rPr>
          <w:rFonts w:ascii="Times New Roman" w:hAnsi="Times New Roman" w:cs="Times New Roman"/>
          <w:sz w:val="21"/>
          <w:szCs w:val="21"/>
        </w:rPr>
        <w:t xml:space="preserve"> B: Increased levels of chemokines in the meninges caused </w:t>
      </w:r>
      <w:r>
        <w:rPr>
          <w:rFonts w:hint="eastAsia" w:ascii="Times New Roman" w:hAnsi="Times New Roman" w:cs="Times New Roman"/>
          <w:sz w:val="21"/>
          <w:szCs w:val="21"/>
        </w:rPr>
        <w:t>by</w:t>
      </w:r>
      <w:r>
        <w:rPr>
          <w:rFonts w:ascii="Times New Roman" w:hAnsi="Times New Roman" w:cs="Times New Roman"/>
          <w:sz w:val="21"/>
          <w:szCs w:val="21"/>
        </w:rPr>
        <w:t xml:space="preserve"> METH exposure. C: Cluster bar graph of cytokines in the choroid plexus with no statistically significant differences. D: Cluster bar graph of cytokines in the meninges with no statistically significant differences.</w:t>
      </w:r>
    </w:p>
    <w:p w14:paraId="10B08184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E655A86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2758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C202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 xml:space="preserve">Supplementary Figure </w:t>
      </w:r>
      <w:r>
        <w:rPr>
          <w:rFonts w:ascii="Times New Roman" w:hAnsi="Times New Roman" w:cs="Times New Roman"/>
          <w:sz w:val="21"/>
          <w:szCs w:val="21"/>
        </w:rPr>
        <w:t>5</w:t>
      </w:r>
    </w:p>
    <w:p w14:paraId="7575C62D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 xml:space="preserve">A: Heat map of differential gene expression in macrophages; B: </w:t>
      </w:r>
      <w:r>
        <w:rPr>
          <w:rFonts w:hint="eastAsia" w:ascii="Times New Roman" w:hAnsi="Times New Roman" w:cs="Times New Roman"/>
          <w:sz w:val="21"/>
          <w:szCs w:val="21"/>
        </w:rPr>
        <w:t>V</w:t>
      </w:r>
      <w:r>
        <w:rPr>
          <w:rFonts w:ascii="Times New Roman" w:hAnsi="Times New Roman" w:cs="Times New Roman"/>
          <w:sz w:val="21"/>
          <w:szCs w:val="21"/>
        </w:rPr>
        <w:t>olcano plot of differentially expressed genes (DEGs) in macrophages</w:t>
      </w:r>
      <w:r>
        <w:rPr>
          <w:rFonts w:hint="eastAsia"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bookmarkStart w:id="12" w:name="OLE_LINK467"/>
      <w:bookmarkStart w:id="13" w:name="OLE_LINK468"/>
      <w:r>
        <w:rPr>
          <w:rFonts w:ascii="Times New Roman" w:hAnsi="Times New Roman" w:cs="Times New Roman"/>
          <w:sz w:val="21"/>
          <w:szCs w:val="21"/>
        </w:rPr>
        <w:t>C</w:t>
      </w:r>
      <w:r>
        <w:rPr>
          <w:rFonts w:hint="eastAsia"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sz w:val="21"/>
          <w:szCs w:val="21"/>
        </w:rPr>
        <w:t xml:space="preserve"> GO analysis for up-regulated genes of macrophages. D: KEGG analysis for up-regulated genes of macrophages.</w:t>
      </w:r>
      <w:bookmarkEnd w:id="12"/>
      <w:bookmarkEnd w:id="13"/>
      <w:r>
        <w:rPr>
          <w:rFonts w:ascii="Times New Roman" w:hAnsi="Times New Roman" w:cs="Times New Roman"/>
          <w:sz w:val="21"/>
          <w:szCs w:val="21"/>
        </w:rPr>
        <w:t xml:space="preserve"> E</w:t>
      </w:r>
      <w:r>
        <w:rPr>
          <w:rFonts w:hint="eastAsia"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sz w:val="21"/>
          <w:szCs w:val="21"/>
        </w:rPr>
        <w:t xml:space="preserve"> GO analysis for </w:t>
      </w:r>
      <w:r>
        <w:rPr>
          <w:rFonts w:hint="eastAsia" w:ascii="Times New Roman" w:hAnsi="Times New Roman" w:cs="Times New Roman"/>
          <w:sz w:val="21"/>
          <w:szCs w:val="21"/>
        </w:rPr>
        <w:t>down</w:t>
      </w:r>
      <w:r>
        <w:rPr>
          <w:rFonts w:ascii="Times New Roman" w:hAnsi="Times New Roman" w:cs="Times New Roman"/>
          <w:sz w:val="21"/>
          <w:szCs w:val="21"/>
        </w:rPr>
        <w:t xml:space="preserve">-regulated genes of macrophages. F: KEGG analysis for </w:t>
      </w:r>
      <w:r>
        <w:rPr>
          <w:rFonts w:hint="eastAsia" w:ascii="Times New Roman" w:hAnsi="Times New Roman" w:cs="Times New Roman"/>
          <w:sz w:val="21"/>
          <w:szCs w:val="21"/>
        </w:rPr>
        <w:t>down</w:t>
      </w:r>
      <w:r>
        <w:rPr>
          <w:rFonts w:ascii="Times New Roman" w:hAnsi="Times New Roman" w:cs="Times New Roman"/>
          <w:sz w:val="21"/>
          <w:szCs w:val="21"/>
        </w:rPr>
        <w:t>-regulated genes of macrophages.</w:t>
      </w:r>
    </w:p>
    <w:p w14:paraId="4240AB80">
      <w:pPr>
        <w:rPr>
          <w:rFonts w:ascii="Times New Roman" w:hAnsi="Times New Roman" w:cs="Times New Roman"/>
          <w:sz w:val="21"/>
          <w:szCs w:val="21"/>
        </w:rPr>
      </w:pPr>
    </w:p>
    <w:p w14:paraId="460030C8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5274310" cy="65443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35FC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>Supplementary Figure 6</w:t>
      </w:r>
    </w:p>
    <w:p w14:paraId="3C8FC968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A-B: scRNA-seq analysis showed significant changes in the number of differentially expressed genes (DEGs) in the </w:t>
      </w:r>
      <w:r>
        <w:rPr>
          <w:rFonts w:hint="eastAsia" w:ascii="Times New Roman" w:hAnsi="Times New Roman" w:cs="Times New Roman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PFC following METH exposure.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C: Heatmap of DEGs in microglia. D: Volcano plot of DEGs in microglia. E: Distribution characteristics of IL-1β, IL-1α, TNF and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CSF1R in different </w:t>
      </w:r>
      <w:r>
        <w:rPr>
          <w:rFonts w:hint="eastAsia" w:ascii="Times New Roman" w:hAnsi="Times New Roman" w:cs="Times New Roman"/>
          <w:sz w:val="21"/>
          <w:szCs w:val="21"/>
        </w:rPr>
        <w:t>cluster</w:t>
      </w:r>
      <w:r>
        <w:rPr>
          <w:rFonts w:ascii="Times New Roman" w:hAnsi="Times New Roman" w:cs="Times New Roman"/>
          <w:sz w:val="21"/>
          <w:szCs w:val="21"/>
        </w:rPr>
        <w:t>s of microglia. F</w:t>
      </w:r>
      <w:r>
        <w:rPr>
          <w:rFonts w:hint="eastAsia"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/>
          <w:sz w:val="21"/>
          <w:szCs w:val="21"/>
        </w:rPr>
        <w:t xml:space="preserve"> GO analysis for up-regulated genes of macrophages. G: KEGG analysis for up-regulated genes of macrophages.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30"/>
    <w:rsid w:val="00002564"/>
    <w:rsid w:val="0000432F"/>
    <w:rsid w:val="00011593"/>
    <w:rsid w:val="00051A15"/>
    <w:rsid w:val="0005593D"/>
    <w:rsid w:val="000629AF"/>
    <w:rsid w:val="00066182"/>
    <w:rsid w:val="0006768E"/>
    <w:rsid w:val="00081B65"/>
    <w:rsid w:val="0008264A"/>
    <w:rsid w:val="000A1DDC"/>
    <w:rsid w:val="000A51D9"/>
    <w:rsid w:val="000C3748"/>
    <w:rsid w:val="000C6424"/>
    <w:rsid w:val="0010650C"/>
    <w:rsid w:val="001137A8"/>
    <w:rsid w:val="001143B2"/>
    <w:rsid w:val="00126BA7"/>
    <w:rsid w:val="001531BA"/>
    <w:rsid w:val="00154F3E"/>
    <w:rsid w:val="00156E23"/>
    <w:rsid w:val="00163A3A"/>
    <w:rsid w:val="00174D3C"/>
    <w:rsid w:val="0017763E"/>
    <w:rsid w:val="001A487C"/>
    <w:rsid w:val="001C4511"/>
    <w:rsid w:val="001D78E1"/>
    <w:rsid w:val="001F58EE"/>
    <w:rsid w:val="001F765A"/>
    <w:rsid w:val="00213872"/>
    <w:rsid w:val="00221734"/>
    <w:rsid w:val="00224FD6"/>
    <w:rsid w:val="00244416"/>
    <w:rsid w:val="00247810"/>
    <w:rsid w:val="002559D9"/>
    <w:rsid w:val="002707BD"/>
    <w:rsid w:val="0029492B"/>
    <w:rsid w:val="0029575A"/>
    <w:rsid w:val="002C4A89"/>
    <w:rsid w:val="002E2C32"/>
    <w:rsid w:val="00302FAA"/>
    <w:rsid w:val="003170F5"/>
    <w:rsid w:val="00337986"/>
    <w:rsid w:val="0034001D"/>
    <w:rsid w:val="0034499F"/>
    <w:rsid w:val="003520F2"/>
    <w:rsid w:val="00374C7B"/>
    <w:rsid w:val="00374DC7"/>
    <w:rsid w:val="0037507D"/>
    <w:rsid w:val="003A1D25"/>
    <w:rsid w:val="003B4E1E"/>
    <w:rsid w:val="003B539D"/>
    <w:rsid w:val="003C1ECA"/>
    <w:rsid w:val="003C740D"/>
    <w:rsid w:val="003D4618"/>
    <w:rsid w:val="003F5F33"/>
    <w:rsid w:val="00415360"/>
    <w:rsid w:val="00422CAD"/>
    <w:rsid w:val="00423C3F"/>
    <w:rsid w:val="004354F5"/>
    <w:rsid w:val="00460644"/>
    <w:rsid w:val="0047438C"/>
    <w:rsid w:val="0047688F"/>
    <w:rsid w:val="00476CD5"/>
    <w:rsid w:val="004840FD"/>
    <w:rsid w:val="00485B46"/>
    <w:rsid w:val="004900EC"/>
    <w:rsid w:val="0049639E"/>
    <w:rsid w:val="0049669F"/>
    <w:rsid w:val="004A0B50"/>
    <w:rsid w:val="004A1F46"/>
    <w:rsid w:val="004C0F93"/>
    <w:rsid w:val="004E1A82"/>
    <w:rsid w:val="004E2935"/>
    <w:rsid w:val="004F4978"/>
    <w:rsid w:val="0050564A"/>
    <w:rsid w:val="00507C36"/>
    <w:rsid w:val="00510283"/>
    <w:rsid w:val="00523F26"/>
    <w:rsid w:val="00542D71"/>
    <w:rsid w:val="0055020D"/>
    <w:rsid w:val="005517F5"/>
    <w:rsid w:val="00557431"/>
    <w:rsid w:val="005576FE"/>
    <w:rsid w:val="00587DFA"/>
    <w:rsid w:val="005C17B6"/>
    <w:rsid w:val="005D25DE"/>
    <w:rsid w:val="005E7327"/>
    <w:rsid w:val="005F793A"/>
    <w:rsid w:val="00607E1C"/>
    <w:rsid w:val="00611BD2"/>
    <w:rsid w:val="00622A32"/>
    <w:rsid w:val="00623147"/>
    <w:rsid w:val="00623BE9"/>
    <w:rsid w:val="00633B18"/>
    <w:rsid w:val="00665278"/>
    <w:rsid w:val="0069788E"/>
    <w:rsid w:val="006B0D19"/>
    <w:rsid w:val="006C1114"/>
    <w:rsid w:val="006D3071"/>
    <w:rsid w:val="006D5C5C"/>
    <w:rsid w:val="006E0180"/>
    <w:rsid w:val="006F69E3"/>
    <w:rsid w:val="00720BC8"/>
    <w:rsid w:val="00727FA8"/>
    <w:rsid w:val="007307BF"/>
    <w:rsid w:val="00753EAB"/>
    <w:rsid w:val="00756176"/>
    <w:rsid w:val="00757966"/>
    <w:rsid w:val="00772F8C"/>
    <w:rsid w:val="00783904"/>
    <w:rsid w:val="00784046"/>
    <w:rsid w:val="007F37F1"/>
    <w:rsid w:val="00807552"/>
    <w:rsid w:val="00812CF9"/>
    <w:rsid w:val="00816154"/>
    <w:rsid w:val="008242FD"/>
    <w:rsid w:val="00826497"/>
    <w:rsid w:val="00830B90"/>
    <w:rsid w:val="0083226B"/>
    <w:rsid w:val="00835367"/>
    <w:rsid w:val="00852848"/>
    <w:rsid w:val="00887861"/>
    <w:rsid w:val="008B1E81"/>
    <w:rsid w:val="008C760F"/>
    <w:rsid w:val="008D4F66"/>
    <w:rsid w:val="008E0351"/>
    <w:rsid w:val="008E6660"/>
    <w:rsid w:val="0092467C"/>
    <w:rsid w:val="00926643"/>
    <w:rsid w:val="0092685F"/>
    <w:rsid w:val="009408D7"/>
    <w:rsid w:val="0094591B"/>
    <w:rsid w:val="0095060F"/>
    <w:rsid w:val="00967329"/>
    <w:rsid w:val="009779B3"/>
    <w:rsid w:val="00993571"/>
    <w:rsid w:val="009A0530"/>
    <w:rsid w:val="009B32FA"/>
    <w:rsid w:val="009C1E36"/>
    <w:rsid w:val="009D57F5"/>
    <w:rsid w:val="009D5C98"/>
    <w:rsid w:val="009D5D6B"/>
    <w:rsid w:val="009D78A0"/>
    <w:rsid w:val="009E0A88"/>
    <w:rsid w:val="009E7DBB"/>
    <w:rsid w:val="009F6BFE"/>
    <w:rsid w:val="00A1448D"/>
    <w:rsid w:val="00A16165"/>
    <w:rsid w:val="00A21035"/>
    <w:rsid w:val="00A2186A"/>
    <w:rsid w:val="00A3014C"/>
    <w:rsid w:val="00A37DDE"/>
    <w:rsid w:val="00A47EC0"/>
    <w:rsid w:val="00A64742"/>
    <w:rsid w:val="00A6569E"/>
    <w:rsid w:val="00A82B66"/>
    <w:rsid w:val="00AA2130"/>
    <w:rsid w:val="00AB4BDD"/>
    <w:rsid w:val="00AC03C3"/>
    <w:rsid w:val="00AD13F3"/>
    <w:rsid w:val="00AD523C"/>
    <w:rsid w:val="00AD6CD9"/>
    <w:rsid w:val="00AE7734"/>
    <w:rsid w:val="00AF0D32"/>
    <w:rsid w:val="00B01445"/>
    <w:rsid w:val="00B35123"/>
    <w:rsid w:val="00B4030D"/>
    <w:rsid w:val="00B52E8B"/>
    <w:rsid w:val="00B653A0"/>
    <w:rsid w:val="00B671F9"/>
    <w:rsid w:val="00B6768C"/>
    <w:rsid w:val="00B80402"/>
    <w:rsid w:val="00B82FA6"/>
    <w:rsid w:val="00B848AA"/>
    <w:rsid w:val="00B87AE3"/>
    <w:rsid w:val="00B87B85"/>
    <w:rsid w:val="00B914F1"/>
    <w:rsid w:val="00B95FE9"/>
    <w:rsid w:val="00BB161A"/>
    <w:rsid w:val="00BF1D79"/>
    <w:rsid w:val="00BF6A47"/>
    <w:rsid w:val="00C02264"/>
    <w:rsid w:val="00C12389"/>
    <w:rsid w:val="00C26CAE"/>
    <w:rsid w:val="00C26F06"/>
    <w:rsid w:val="00C311C1"/>
    <w:rsid w:val="00C45AB6"/>
    <w:rsid w:val="00C90A63"/>
    <w:rsid w:val="00C93966"/>
    <w:rsid w:val="00CC365B"/>
    <w:rsid w:val="00CC3C65"/>
    <w:rsid w:val="00CC584D"/>
    <w:rsid w:val="00CC7C9B"/>
    <w:rsid w:val="00CD5545"/>
    <w:rsid w:val="00CE4629"/>
    <w:rsid w:val="00D213CF"/>
    <w:rsid w:val="00D305C8"/>
    <w:rsid w:val="00D74FD9"/>
    <w:rsid w:val="00D9001E"/>
    <w:rsid w:val="00D92D32"/>
    <w:rsid w:val="00D940D2"/>
    <w:rsid w:val="00DA0FC6"/>
    <w:rsid w:val="00DA5360"/>
    <w:rsid w:val="00DB7E6B"/>
    <w:rsid w:val="00DD66A3"/>
    <w:rsid w:val="00DE360A"/>
    <w:rsid w:val="00DF4317"/>
    <w:rsid w:val="00E23967"/>
    <w:rsid w:val="00E35539"/>
    <w:rsid w:val="00E47D26"/>
    <w:rsid w:val="00E60ACD"/>
    <w:rsid w:val="00E61120"/>
    <w:rsid w:val="00E61399"/>
    <w:rsid w:val="00E656AF"/>
    <w:rsid w:val="00E71539"/>
    <w:rsid w:val="00E8468D"/>
    <w:rsid w:val="00E8546B"/>
    <w:rsid w:val="00EA423C"/>
    <w:rsid w:val="00EA4467"/>
    <w:rsid w:val="00EB2C04"/>
    <w:rsid w:val="00EB3E80"/>
    <w:rsid w:val="00EF50C8"/>
    <w:rsid w:val="00F03DF1"/>
    <w:rsid w:val="00F218E1"/>
    <w:rsid w:val="00F25641"/>
    <w:rsid w:val="00F270E0"/>
    <w:rsid w:val="00F27343"/>
    <w:rsid w:val="00F424A4"/>
    <w:rsid w:val="00F433D3"/>
    <w:rsid w:val="00F4662F"/>
    <w:rsid w:val="00F47FD6"/>
    <w:rsid w:val="00F63F6C"/>
    <w:rsid w:val="00F645C9"/>
    <w:rsid w:val="00F66FA3"/>
    <w:rsid w:val="00F8430A"/>
    <w:rsid w:val="00FA458A"/>
    <w:rsid w:val="00FC5ACF"/>
    <w:rsid w:val="00FE6058"/>
    <w:rsid w:val="36BF4044"/>
    <w:rsid w:val="3EF679A1"/>
    <w:rsid w:val="5CFF67E6"/>
    <w:rsid w:val="5EBE96F6"/>
    <w:rsid w:val="6FE951A6"/>
    <w:rsid w:val="7F93BD9C"/>
    <w:rsid w:val="B7BFF317"/>
    <w:rsid w:val="BDED02F3"/>
    <w:rsid w:val="CDD57921"/>
    <w:rsid w:val="E32A67E7"/>
    <w:rsid w:val="E3AFFB81"/>
    <w:rsid w:val="F78BA389"/>
    <w:rsid w:val="FF5F8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6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14">
    <w:name w:val="修订1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15">
    <w:name w:val="Revision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6">
    <w:name w:val="批注文字 字符"/>
    <w:basedOn w:val="8"/>
    <w:link w:val="2"/>
    <w:qFormat/>
    <w:uiPriority w:val="99"/>
    <w:rPr>
      <w:rFonts w:ascii="宋体" w:hAnsi="宋体" w:cs="宋体"/>
      <w:sz w:val="24"/>
      <w:szCs w:val="24"/>
    </w:rPr>
  </w:style>
  <w:style w:type="character" w:customStyle="1" w:styleId="17">
    <w:name w:val="批注主题 字符"/>
    <w:basedOn w:val="16"/>
    <w:link w:val="6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544</Words>
  <Characters>3101</Characters>
  <Lines>25</Lines>
  <Paragraphs>7</Paragraphs>
  <TotalTime>8</TotalTime>
  <ScaleCrop>false</ScaleCrop>
  <LinksUpToDate>false</LinksUpToDate>
  <CharactersWithSpaces>3638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2025-07-04T03:42:00Z</dcterms:created>
  <dc:creator>8002</dc:creator>
  <cp:lastModifiedBy>侯聪聪</cp:lastModifiedBy>
  <dcterms:modified xsi:type="dcterms:W3CDTF">2025-09-29T11:05:53Z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4B790C754C6BB54C7DB5A968F2D1BDF2_42</vt:lpwstr>
  </property>
</Properties>
</file>