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7AC4" w:rsidRPr="008E2407" w:rsidRDefault="00CB7AC4" w:rsidP="008E2407">
      <w:pPr>
        <w:pStyle w:val="a7"/>
        <w:numPr>
          <w:ilvl w:val="0"/>
          <w:numId w:val="54"/>
        </w:numPr>
        <w:jc w:val="left"/>
        <w:outlineLvl w:val="1"/>
        <w:rPr>
          <w:b/>
          <w:bCs/>
          <w:sz w:val="36"/>
          <w:szCs w:val="36"/>
        </w:rPr>
      </w:pPr>
      <w:r w:rsidRPr="008E2407">
        <w:rPr>
          <w:b/>
          <w:bCs/>
          <w:sz w:val="36"/>
          <w:szCs w:val="36"/>
        </w:rPr>
        <w:t>ECM failure as a systems problem</w:t>
      </w:r>
    </w:p>
    <w:p w:rsidR="00CB7AC4" w:rsidRPr="00CB7AC4" w:rsidRDefault="00CB7AC4" w:rsidP="00CB7AC4">
      <w:pPr>
        <w:jc w:val="left"/>
        <w:outlineLvl w:val="9"/>
      </w:pPr>
      <w:r w:rsidRPr="00CB7AC4">
        <w:t>Cutaneous ageing and injury feature accelerated turnover and net loss of the fibrillar scaffold—principally collagens I/III and elastin—driven by protease activity and chronic inflammatory tone. In wound and photo-damaged settings, collagenolytic matrix metalloproteinases (e.g., MMP-1) and serine proteases (e.g., neutrophil elastase) rise early, degrade matrix proteins, and can cleave cell-surface receptors, while reactive-oxygen stress further amplifies protease expression and derails repair signalling. A network view captures these processes as coordinated pathway perturbations in ECM organisation, focal adhesion, and cytokine/chemokine modules (e.g., KEGG, Reactome, GO), which collectively decide between fibrosis, chronicity, or orderly re-epithelialisation and remodelling [90–93]. Protein–protein interaction resources (STRING) and graph analysis environments (Cytoscape) consistently place MMPs, neutrophil elastase, and elastin-linked nodes in ECM-centred modules relevant to dermal repair, supporting a multi-target intervention strategy [85–87].</w:t>
      </w:r>
    </w:p>
    <w:p w:rsidR="00CB7AC4" w:rsidRPr="00CB7AC4" w:rsidRDefault="00CB7AC4" w:rsidP="00CB7AC4">
      <w:pPr>
        <w:jc w:val="left"/>
        <w:outlineLvl w:val="1"/>
        <w:rPr>
          <w:b/>
          <w:bCs/>
          <w:sz w:val="36"/>
          <w:szCs w:val="36"/>
        </w:rPr>
      </w:pPr>
      <w:r w:rsidRPr="00CB7AC4">
        <w:rPr>
          <w:b/>
          <w:bCs/>
          <w:sz w:val="36"/>
          <w:szCs w:val="36"/>
        </w:rPr>
        <w:t>Fibrocytes and progenitor partners</w:t>
      </w:r>
    </w:p>
    <w:p w:rsidR="00CB7AC4" w:rsidRPr="00CB7AC4" w:rsidRDefault="00CB7AC4" w:rsidP="00CB7AC4">
      <w:pPr>
        <w:jc w:val="left"/>
        <w:outlineLvl w:val="9"/>
      </w:pPr>
      <w:r w:rsidRPr="00CB7AC4">
        <w:t>Circulating fibrocytes—CD34⁺/CD45⁺ leukocyte-derived cells—traffic to sites of injury, produce type I collagen and other matrix constituents, and secrete cytokines that shape re-epithelialisation and angiogenesis [1–2]. Their actions complement dermal fibroblast subsets, whose heterogeneity spans pro-fibrotic, matrix-remodelling, and immunoregulatory phenotypes [3]. Although this cellular repertoire has intrinsic reparative capacity, cosmetic-grade small molecules rarely steer fibrocyte programs consistently toward pro-regenerative outcomes. Two practical contributors are (i) weak and promiscuous binding typical of many phytochemicals and (ii) in-silico funnels that overweight enthalpic “fit” while mishandling conformational/solvent entropy and non-polar burial—limitations documented for docking and end-point scoring that lead to brittle rank orders across chemotypes [12, 16–20, 70–71].</w:t>
      </w:r>
    </w:p>
    <w:p w:rsidR="00CB7AC4" w:rsidRPr="00CB7AC4" w:rsidRDefault="00CB7AC4" w:rsidP="00CB7AC4">
      <w:pPr>
        <w:jc w:val="left"/>
        <w:outlineLvl w:val="1"/>
        <w:rPr>
          <w:b/>
          <w:bCs/>
          <w:sz w:val="36"/>
          <w:szCs w:val="36"/>
        </w:rPr>
      </w:pPr>
      <w:r w:rsidRPr="00CB7AC4">
        <w:rPr>
          <w:b/>
          <w:bCs/>
          <w:sz w:val="36"/>
          <w:szCs w:val="36"/>
        </w:rPr>
        <w:t>An ERC/NEU1-aware molecular vantage point</w:t>
      </w:r>
    </w:p>
    <w:p w:rsidR="00CB7AC4" w:rsidRPr="00CB7AC4" w:rsidRDefault="00CB7AC4" w:rsidP="00CB7AC4">
      <w:pPr>
        <w:jc w:val="left"/>
        <w:outlineLvl w:val="9"/>
      </w:pPr>
      <w:r w:rsidRPr="00CB7AC4">
        <w:t>The elastin receptor complex (ERC)—a multiprotein assembly of the elastin-binding/</w:t>
      </w:r>
      <w:r w:rsidRPr="00CB7AC4">
        <w:rPr>
          <w:lang w:val="el-GR"/>
        </w:rPr>
        <w:t>β</w:t>
      </w:r>
      <w:r w:rsidRPr="00CB7AC4">
        <w:t xml:space="preserve">-galactosidase–related subunit (also called S-gal/EBP), protective protein/cathepsin A (PPCA), and neuraminidase-1 (NEU1)—binds elastin-derived peptides (e.g., VGVAPG) and transduces signals that modulate chemotaxis, protease expression (including MMP-1), and cellular plasticity in skin and vasculature [4–10, 154]. ERC stability and signalling are shaped by </w:t>
      </w:r>
      <w:r w:rsidRPr="00CB7AC4">
        <w:rPr>
          <w:lang w:val="el-GR"/>
        </w:rPr>
        <w:t>α</w:t>
      </w:r>
      <w:r w:rsidRPr="00CB7AC4">
        <w:t>-elastin binding and PPCA-mediated protection from proteolysis, while NEU1 surface targeting and activity extend ERC influence to broader inflammatory and tissue-remodelling contexts [7–8, 168–169]. Contemporary reviews emphasise ERC/NEU1 as a tractable node connecting extracellular elastin cues to fibroblast/fibrocyte behaviour and matrix protease control—precisely the biology this work aims to modulate [9–10, 171–172].</w:t>
      </w:r>
    </w:p>
    <w:p w:rsidR="00CB7AC4" w:rsidRPr="00CB7AC4" w:rsidRDefault="00CB7AC4" w:rsidP="00CB7AC4">
      <w:pPr>
        <w:jc w:val="left"/>
        <w:outlineLvl w:val="1"/>
        <w:rPr>
          <w:b/>
          <w:bCs/>
          <w:sz w:val="36"/>
          <w:szCs w:val="36"/>
        </w:rPr>
      </w:pPr>
      <w:r w:rsidRPr="00CB7AC4">
        <w:rPr>
          <w:b/>
          <w:bCs/>
          <w:sz w:val="36"/>
          <w:szCs w:val="36"/>
        </w:rPr>
        <w:t>From screening to measurement-driven discovery</w:t>
      </w:r>
    </w:p>
    <w:p w:rsidR="00CB7AC4" w:rsidRPr="00CB7AC4" w:rsidRDefault="00CB7AC4" w:rsidP="00CB7AC4">
      <w:pPr>
        <w:jc w:val="left"/>
        <w:outlineLvl w:val="9"/>
      </w:pPr>
      <w:r w:rsidRPr="00CB7AC4">
        <w:t>To address the above gaps,</w:t>
      </w:r>
      <w:r w:rsidR="00356057">
        <w:t xml:space="preserve"> I </w:t>
      </w:r>
      <w:r w:rsidRPr="00CB7AC4">
        <w:t>developed a unified computational framework that balances three design pressures:</w:t>
      </w:r>
    </w:p>
    <w:p w:rsidR="00CB7AC4" w:rsidRPr="00CB7AC4" w:rsidRDefault="00CB7AC4" w:rsidP="008F4646">
      <w:pPr>
        <w:numPr>
          <w:ilvl w:val="0"/>
          <w:numId w:val="23"/>
        </w:numPr>
        <w:jc w:val="left"/>
        <w:outlineLvl w:val="9"/>
      </w:pPr>
      <w:r w:rsidRPr="00CB7AC4">
        <w:rPr>
          <w:b/>
          <w:bCs/>
        </w:rPr>
        <w:t>Information-preserving chemical triage</w:t>
      </w:r>
      <w:r w:rsidRPr="00CB7AC4">
        <w:t xml:space="preserve"> to avoid premature convergence on look-alike scaffolds;</w:t>
      </w:r>
    </w:p>
    <w:p w:rsidR="00CB7AC4" w:rsidRPr="00CB7AC4" w:rsidRDefault="00CB7AC4" w:rsidP="008F4646">
      <w:pPr>
        <w:numPr>
          <w:ilvl w:val="0"/>
          <w:numId w:val="23"/>
        </w:numPr>
        <w:jc w:val="left"/>
        <w:outlineLvl w:val="9"/>
      </w:pPr>
      <w:r w:rsidRPr="00CB7AC4">
        <w:rPr>
          <w:b/>
          <w:bCs/>
        </w:rPr>
        <w:t>Physics-based energetics with explicit non-polar burial</w:t>
      </w:r>
      <w:r w:rsidRPr="00CB7AC4">
        <w:t>, correcting the hydrophobic underweighting of standard end-point methods; and</w:t>
      </w:r>
    </w:p>
    <w:p w:rsidR="00CB7AC4" w:rsidRPr="00CB7AC4" w:rsidRDefault="00CB7AC4" w:rsidP="008F4646">
      <w:pPr>
        <w:numPr>
          <w:ilvl w:val="0"/>
          <w:numId w:val="23"/>
        </w:numPr>
        <w:jc w:val="left"/>
        <w:outlineLvl w:val="9"/>
      </w:pPr>
      <w:r w:rsidRPr="00CB7AC4">
        <w:rPr>
          <w:b/>
          <w:bCs/>
        </w:rPr>
        <w:t>Geometry-aware pose/graph evolution</w:t>
      </w:r>
      <w:r w:rsidRPr="00CB7AC4">
        <w:t xml:space="preserve"> inside the binding pocket to respect pharmacophore alignment and pocket shape.</w:t>
      </w:r>
    </w:p>
    <w:p w:rsidR="00CB7AC4" w:rsidRPr="00CB7AC4" w:rsidRDefault="00CB7AC4" w:rsidP="00CB7AC4">
      <w:pPr>
        <w:jc w:val="left"/>
        <w:outlineLvl w:val="9"/>
      </w:pPr>
      <w:r w:rsidRPr="00CB7AC4">
        <w:t xml:space="preserve">Operationally, libraries from ZINC/DrugBank/PubChem are filtered with target-prediction and developability heuristics (SwissTargetPrediction, SwissADME, QED, synthetic accessibility) to keep broad scaffold coverage while enforcing practical chemistry/ADME bounds [11, 22–24, 29–33]. Binding assessment starts with consensus docking (Vina/AutoDock4; optional Glide/GOLD/DOCK cross-checks) </w:t>
      </w:r>
      <w:r w:rsidRPr="00CB7AC4">
        <w:lastRenderedPageBreak/>
        <w:t xml:space="preserve">into PDB structures, followed by short MD relaxation [12–20, 54–55]. Complex energetics are computed via MM-PB(GB)SA (g_mmpbsa), then </w:t>
      </w:r>
      <w:r w:rsidRPr="00CB7AC4">
        <w:rPr>
          <w:b/>
          <w:bCs/>
        </w:rPr>
        <w:t xml:space="preserve">augmented with a linear non-polar term proportional to </w:t>
      </w:r>
      <w:r w:rsidRPr="00CB7AC4">
        <w:rPr>
          <w:b/>
          <w:bCs/>
          <w:lang w:val="el-GR"/>
        </w:rPr>
        <w:t>Δ</w:t>
      </w:r>
      <w:r w:rsidRPr="00CB7AC4">
        <w:rPr>
          <w:b/>
          <w:bCs/>
        </w:rPr>
        <w:t>SASA</w:t>
      </w:r>
      <w:r w:rsidRPr="00CB7AC4">
        <w:t xml:space="preserve"> to restore hydrophobic burial contributions that end-point estimators often underweight; </w:t>
      </w:r>
      <w:r w:rsidRPr="00CB7AC4">
        <w:rPr>
          <w:lang w:val="el-GR"/>
        </w:rPr>
        <w:t>Δ</w:t>
      </w:r>
      <w:r w:rsidRPr="00CB7AC4">
        <w:t>SASA is computed from SASA (Shrake–Rupley) and the continuum electrostatics/GB components follow standard practice [67–71]. On top of these classical layers,</w:t>
      </w:r>
      <w:r w:rsidR="00356057">
        <w:t xml:space="preserve"> I </w:t>
      </w:r>
      <w:r w:rsidRPr="00CB7AC4">
        <w:t>add a hybrid quantum learner (QAOA</w:t>
      </w:r>
      <w:r w:rsidRPr="00CB7AC4">
        <w:rPr>
          <w:rFonts w:ascii="Cambria Math" w:hAnsi="Cambria Math" w:cs="Cambria Math"/>
        </w:rPr>
        <w:t>⊗</w:t>
      </w:r>
      <w:r w:rsidRPr="00CB7AC4">
        <w:t>PQC) that consumes physics- and geometry-derived features and is trained with SPSA for hardware efficiency in the NISQ setting [109–110, 118–121, 124, 140–141].</w:t>
      </w:r>
    </w:p>
    <w:p w:rsidR="00CB7AC4" w:rsidRPr="00CB7AC4" w:rsidRDefault="00CB7AC4" w:rsidP="00CB7AC4">
      <w:pPr>
        <w:jc w:val="left"/>
        <w:outlineLvl w:val="1"/>
        <w:rPr>
          <w:b/>
          <w:bCs/>
          <w:sz w:val="36"/>
          <w:szCs w:val="36"/>
        </w:rPr>
      </w:pPr>
      <w:r w:rsidRPr="00CB7AC4">
        <w:rPr>
          <w:b/>
          <w:bCs/>
          <w:sz w:val="36"/>
          <w:szCs w:val="36"/>
        </w:rPr>
        <w:t>Chemical starting points and botanical breadth</w:t>
      </w:r>
    </w:p>
    <w:p w:rsidR="00CB7AC4" w:rsidRPr="00CB7AC4" w:rsidRDefault="00CB7AC4" w:rsidP="00CB7AC4">
      <w:pPr>
        <w:jc w:val="left"/>
        <w:outlineLvl w:val="9"/>
      </w:pPr>
      <w:r w:rsidRPr="00CB7AC4">
        <w:t>Guided by ERC/NEU1 and elastin-peptide literature,</w:t>
      </w:r>
      <w:r w:rsidR="00356057">
        <w:t xml:space="preserve"> I </w:t>
      </w:r>
      <w:r w:rsidRPr="00CB7AC4">
        <w:t xml:space="preserve">considered three directed analog classes from a polar, polyhydroxylated seed: (a) a </w:t>
      </w:r>
      <w:r w:rsidRPr="00CB7AC4">
        <w:rPr>
          <w:b/>
          <w:bCs/>
        </w:rPr>
        <w:t>hydroxamate</w:t>
      </w:r>
      <w:r w:rsidRPr="00CB7AC4">
        <w:t xml:space="preserve"> tuned for MMP-1 coordination; (b) a </w:t>
      </w:r>
      <w:r w:rsidRPr="00CB7AC4">
        <w:rPr>
          <w:b/>
          <w:bCs/>
          <w:lang w:val="el-GR"/>
        </w:rPr>
        <w:t>γ</w:t>
      </w:r>
      <w:r w:rsidRPr="00CB7AC4">
        <w:rPr>
          <w:b/>
          <w:bCs/>
        </w:rPr>
        <w:t>-lactam</w:t>
      </w:r>
      <w:r w:rsidRPr="00CB7AC4">
        <w:t xml:space="preserve"> sitter for neutrophil elastase; and (c) a </w:t>
      </w:r>
      <w:r w:rsidRPr="00CB7AC4">
        <w:rPr>
          <w:b/>
          <w:bCs/>
        </w:rPr>
        <w:t>proline-like ERC mimetic</w:t>
      </w:r>
      <w:r w:rsidRPr="00CB7AC4">
        <w:t xml:space="preserve"> to echo elastin-derived peptide motifs at EBP/NEU1 interfaces [4–8, 155, 171–172]. Broad chemical coverage was maintained via ZINC/DrugBank/PubChem sourcing, retaining flavonoid/phenolic/alkaloid/terpenoid scaffolds when they passed basic developability filters, thereby increasing the prior odds of productive </w:t>
      </w:r>
      <w:r w:rsidRPr="00CB7AC4">
        <w:rPr>
          <w:b/>
          <w:bCs/>
        </w:rPr>
        <w:t>multi-target</w:t>
      </w:r>
      <w:r w:rsidRPr="00CB7AC4">
        <w:t xml:space="preserve"> combinations suggested by network context [11, 22–24, 29–33, 85–87, 90–93].</w:t>
      </w:r>
    </w:p>
    <w:p w:rsidR="00CB7AC4" w:rsidRPr="00CB7AC4" w:rsidRDefault="00CB7AC4" w:rsidP="00CB7AC4">
      <w:pPr>
        <w:jc w:val="left"/>
        <w:outlineLvl w:val="1"/>
        <w:rPr>
          <w:b/>
          <w:bCs/>
          <w:sz w:val="36"/>
          <w:szCs w:val="36"/>
        </w:rPr>
      </w:pPr>
      <w:r w:rsidRPr="00CB7AC4">
        <w:rPr>
          <w:b/>
          <w:bCs/>
          <w:sz w:val="36"/>
          <w:szCs w:val="36"/>
        </w:rPr>
        <w:t>Why standard virtual screening under-delivers</w:t>
      </w:r>
    </w:p>
    <w:p w:rsidR="00CB7AC4" w:rsidRPr="00CB7AC4" w:rsidRDefault="00CB7AC4" w:rsidP="00CB7AC4">
      <w:pPr>
        <w:jc w:val="left"/>
        <w:outlineLvl w:val="9"/>
      </w:pPr>
      <w:r w:rsidRPr="00CB7AC4">
        <w:t>Docking ranks are sensitive to scoring-function idiosyncrasies and often over-fit to polar interactions; pose degeneracy, neglected conformational entropy, and inconsistent non-polar treatment degrade correlation with experiment—patterns seen across engines and benchmarking exercises [12, 16–20]. End-point MM-PB(GB)SA methods, while fast and useful for re-ranking, systematically undercount hydrophobic burial and can be noisy across chemotypes unless complemented by solvent-exposed-area terms and restrained pose protocols [70–71].</w:t>
      </w:r>
      <w:r w:rsidR="00356057">
        <w:t xml:space="preserve"> I </w:t>
      </w:r>
      <w:r w:rsidRPr="00CB7AC4">
        <w:t xml:space="preserve">therefore enforce a </w:t>
      </w:r>
      <w:r w:rsidRPr="00CB7AC4">
        <w:rPr>
          <w:b/>
          <w:bCs/>
        </w:rPr>
        <w:t>measurement-driven</w:t>
      </w:r>
      <w:r w:rsidRPr="00CB7AC4">
        <w:t xml:space="preserve"> rule: only constructs that map cleanly to interpretable observables—binding free energy components, pharmacophore alignment/mismatch penalties, and pathway-module placement—advance.</w:t>
      </w:r>
    </w:p>
    <w:p w:rsidR="00CB7AC4" w:rsidRPr="00CB7AC4" w:rsidRDefault="00CB7AC4" w:rsidP="00CB7AC4">
      <w:pPr>
        <w:jc w:val="left"/>
        <w:outlineLvl w:val="1"/>
        <w:rPr>
          <w:b/>
          <w:bCs/>
          <w:sz w:val="36"/>
          <w:szCs w:val="36"/>
        </w:rPr>
      </w:pPr>
      <w:r w:rsidRPr="00CB7AC4">
        <w:rPr>
          <w:b/>
          <w:bCs/>
          <w:sz w:val="36"/>
          <w:szCs w:val="36"/>
        </w:rPr>
        <w:t>A NISQ-aware calibration step</w:t>
      </w:r>
    </w:p>
    <w:p w:rsidR="00CB7AC4" w:rsidRPr="00CB7AC4" w:rsidRDefault="00CB7AC4" w:rsidP="00CB7AC4">
      <w:pPr>
        <w:jc w:val="left"/>
        <w:outlineLvl w:val="9"/>
      </w:pPr>
      <w:r w:rsidRPr="00CB7AC4">
        <w:t>Because a quantum sub-model contributes to regression/selection,</w:t>
      </w:r>
      <w:r w:rsidR="00356057">
        <w:t xml:space="preserve"> I </w:t>
      </w:r>
      <w:r w:rsidRPr="00CB7AC4">
        <w:t xml:space="preserve">embed a </w:t>
      </w:r>
      <w:r w:rsidRPr="00CB7AC4">
        <w:rPr>
          <w:b/>
          <w:bCs/>
        </w:rPr>
        <w:t>GHZ-based calibration</w:t>
      </w:r>
      <w:r w:rsidRPr="00CB7AC4">
        <w:t>: digitized adiabatic preparation of three-qubit GHZ states, entanglement-witness tests, von Neumann entropy traces, and fidelity metrics gate circuit instances prior to training. This links circuit quality to downstream predictive reliability and integrates naturally with error-mitigation and validation practices in the NISQ era [11</w:t>
      </w:r>
      <w:r w:rsidR="00E11ABF">
        <w:t>8–121, 124–131, 132–137, 140–200</w:t>
      </w:r>
      <w:r w:rsidRPr="00CB7AC4">
        <w:t>].</w:t>
      </w:r>
    </w:p>
    <w:p w:rsidR="00CB7AC4" w:rsidRPr="00CB7AC4" w:rsidRDefault="00CB7AC4" w:rsidP="00CB7AC4">
      <w:pPr>
        <w:jc w:val="left"/>
        <w:outlineLvl w:val="1"/>
        <w:rPr>
          <w:b/>
          <w:bCs/>
          <w:sz w:val="36"/>
          <w:szCs w:val="36"/>
        </w:rPr>
      </w:pPr>
      <w:r w:rsidRPr="00CB7AC4">
        <w:rPr>
          <w:b/>
          <w:bCs/>
          <w:sz w:val="36"/>
          <w:szCs w:val="36"/>
        </w:rPr>
        <w:t>Headline outcome of the initial prioritisation</w:t>
      </w:r>
    </w:p>
    <w:p w:rsidR="00CB7AC4" w:rsidRPr="00CB7AC4" w:rsidRDefault="00CB7AC4" w:rsidP="00CB7AC4">
      <w:pPr>
        <w:jc w:val="left"/>
        <w:outlineLvl w:val="9"/>
        <w:rPr>
          <w:lang w:val="el-GR"/>
        </w:rPr>
      </w:pPr>
      <w:r w:rsidRPr="00CB7AC4">
        <w:t>When composite scores (consensus docking, MM-PB(GB)SA+</w:t>
      </w:r>
      <w:r w:rsidRPr="00CB7AC4">
        <w:rPr>
          <w:lang w:val="el-GR"/>
        </w:rPr>
        <w:t>Δ</w:t>
      </w:r>
      <w:r w:rsidRPr="00CB7AC4">
        <w:t xml:space="preserve">SASA, geometry/curvature-compatible alignment, network placement) were combined, the </w:t>
      </w:r>
      <w:r w:rsidRPr="00CB7AC4">
        <w:rPr>
          <w:b/>
          <w:bCs/>
        </w:rPr>
        <w:t>ERC-biased</w:t>
      </w:r>
      <w:r w:rsidRPr="00CB7AC4">
        <w:t xml:space="preserve"> analog class provided the most balanced profile—robust poses across receptor conformations with favourable corrected energetics—followed by the elastase-tuned </w:t>
      </w:r>
      <w:r w:rsidRPr="00CB7AC4">
        <w:rPr>
          <w:lang w:val="el-GR"/>
        </w:rPr>
        <w:t>γ</w:t>
      </w:r>
      <w:r w:rsidRPr="00CB7AC4">
        <w:t xml:space="preserve">-lactams; MMP-biased hydroxamates maximised scaffold diversity but trailed in corrected </w:t>
      </w:r>
      <w:r w:rsidRPr="00CB7AC4">
        <w:rPr>
          <w:lang w:val="el-GR"/>
        </w:rPr>
        <w:t>Δ</w:t>
      </w:r>
      <w:r w:rsidRPr="00CB7AC4">
        <w:t xml:space="preserve">G rankings. </w:t>
      </w:r>
      <w:r w:rsidRPr="00CB7AC4">
        <w:rPr>
          <w:lang w:val="el-GR"/>
        </w:rPr>
        <w:t>These choices motivate the methods that follow.</w:t>
      </w:r>
    </w:p>
    <w:p w:rsidR="00CB7AC4" w:rsidRPr="00CB7AC4" w:rsidRDefault="00106EF3" w:rsidP="00CB7AC4">
      <w:pPr>
        <w:spacing w:before="0" w:beforeAutospacing="0" w:after="0" w:afterAutospacing="0"/>
        <w:jc w:val="left"/>
        <w:outlineLvl w:val="9"/>
        <w:rPr>
          <w:lang w:val="el-GR"/>
        </w:rPr>
      </w:pPr>
      <w:r w:rsidRPr="00106EF3">
        <w:rPr>
          <w:lang w:val="el-GR"/>
        </w:rPr>
        <w:pict>
          <v:rect id="_x0000_i1025" style="width:0;height:1.5pt" o:hralign="center" o:hrstd="t" o:hr="t" fillcolor="#a0a0a0" stroked="f"/>
        </w:pict>
      </w:r>
    </w:p>
    <w:p w:rsidR="00CB7AC4" w:rsidRPr="00CB7AC4" w:rsidRDefault="00CB7AC4" w:rsidP="00CB7AC4">
      <w:pPr>
        <w:jc w:val="left"/>
        <w:outlineLvl w:val="0"/>
        <w:rPr>
          <w:b/>
          <w:bCs/>
          <w:kern w:val="36"/>
          <w:sz w:val="48"/>
          <w:szCs w:val="48"/>
        </w:rPr>
      </w:pPr>
      <w:r w:rsidRPr="00CB7AC4">
        <w:rPr>
          <w:b/>
          <w:bCs/>
          <w:kern w:val="36"/>
          <w:sz w:val="48"/>
          <w:szCs w:val="48"/>
        </w:rPr>
        <w:t>2. Methods Overview</w:t>
      </w:r>
    </w:p>
    <w:p w:rsidR="00CB7AC4" w:rsidRPr="00CB7AC4" w:rsidRDefault="00CB7AC4" w:rsidP="00CB7AC4">
      <w:pPr>
        <w:jc w:val="left"/>
        <w:outlineLvl w:val="1"/>
        <w:rPr>
          <w:b/>
          <w:bCs/>
          <w:sz w:val="36"/>
          <w:szCs w:val="36"/>
        </w:rPr>
      </w:pPr>
      <w:r w:rsidRPr="00CB7AC4">
        <w:rPr>
          <w:b/>
          <w:bCs/>
          <w:sz w:val="36"/>
          <w:szCs w:val="36"/>
        </w:rPr>
        <w:t>Pillar I — Information-preserving triage</w:t>
      </w:r>
    </w:p>
    <w:p w:rsidR="00CB7AC4" w:rsidRPr="00CB7AC4" w:rsidRDefault="00CB7AC4" w:rsidP="00CB7AC4">
      <w:pPr>
        <w:jc w:val="left"/>
        <w:outlineLvl w:val="9"/>
      </w:pPr>
      <w:r w:rsidRPr="00CB7AC4">
        <w:t xml:space="preserve">Libraries from </w:t>
      </w:r>
      <w:r w:rsidRPr="00CB7AC4">
        <w:rPr>
          <w:b/>
          <w:bCs/>
        </w:rPr>
        <w:t>ZINC</w:t>
      </w:r>
      <w:r w:rsidRPr="00CB7AC4">
        <w:t xml:space="preserve"> and internal enumerations (with supplemental DrugBank/PubChem coverage) are filtered by predicted target space (SwissTargetPrediction), rule-of-five/Veber/Ghose/Egan developability (SwissADME), and tractability scores (QED, synthetic accessibility). This keeps disparate chemotypes in play while culling obvious liabilities [11, 22–24, 25–33]. Molecular descriptors/fingerprints use PaDEL; parameterisation leverages Antechamber/GAFF with RESP or AM1-BCC charges as appropriate [33–38].</w:t>
      </w:r>
    </w:p>
    <w:p w:rsidR="00CB7AC4" w:rsidRPr="00CB7AC4" w:rsidRDefault="00CB7AC4" w:rsidP="00CB7AC4">
      <w:pPr>
        <w:jc w:val="left"/>
        <w:outlineLvl w:val="1"/>
        <w:rPr>
          <w:b/>
          <w:bCs/>
          <w:sz w:val="36"/>
          <w:szCs w:val="36"/>
        </w:rPr>
      </w:pPr>
      <w:r w:rsidRPr="00CB7AC4">
        <w:rPr>
          <w:b/>
          <w:bCs/>
          <w:sz w:val="36"/>
          <w:szCs w:val="36"/>
        </w:rPr>
        <w:t>Pillar II — Physics with non-polar burial restored</w:t>
      </w:r>
    </w:p>
    <w:p w:rsidR="00CB7AC4" w:rsidRPr="00CB7AC4" w:rsidRDefault="00CB7AC4" w:rsidP="00CB7AC4">
      <w:pPr>
        <w:jc w:val="left"/>
        <w:outlineLvl w:val="9"/>
      </w:pPr>
      <w:r w:rsidRPr="00CB7AC4">
        <w:t>For each protein–ligand complex,</w:t>
      </w:r>
      <w:r w:rsidR="00356057">
        <w:t xml:space="preserve"> I </w:t>
      </w:r>
      <w:r w:rsidRPr="00CB7AC4">
        <w:t xml:space="preserve">compute MM-PB(GB)SA components with </w:t>
      </w:r>
      <w:r w:rsidRPr="00CB7AC4">
        <w:rPr>
          <w:b/>
          <w:bCs/>
        </w:rPr>
        <w:t>g_mmpbsa</w:t>
      </w:r>
      <w:r w:rsidRPr="00CB7AC4">
        <w:t xml:space="preserve"> (GB variants per Onufriev or PB via standard continuum electrostatics), and </w:t>
      </w:r>
      <w:r w:rsidRPr="00CB7AC4">
        <w:rPr>
          <w:b/>
          <w:bCs/>
        </w:rPr>
        <w:t xml:space="preserve">add a linear non-polar term </w:t>
      </w:r>
      <w:r w:rsidRPr="00CB7AC4">
        <w:rPr>
          <w:b/>
          <w:bCs/>
          <w:lang w:val="el-GR"/>
        </w:rPr>
        <w:t>γ</w:t>
      </w:r>
      <w:r w:rsidRPr="00CB7AC4">
        <w:rPr>
          <w:b/>
          <w:bCs/>
        </w:rPr>
        <w:t>·</w:t>
      </w:r>
      <w:r w:rsidRPr="00CB7AC4">
        <w:rPr>
          <w:b/>
          <w:bCs/>
          <w:lang w:val="el-GR"/>
        </w:rPr>
        <w:t>Δ</w:t>
      </w:r>
      <w:r w:rsidRPr="00CB7AC4">
        <w:rPr>
          <w:b/>
          <w:bCs/>
        </w:rPr>
        <w:t>SASA</w:t>
      </w:r>
      <w:r w:rsidRPr="00CB7AC4">
        <w:t xml:space="preserve"> to account for hydrophobic burial. </w:t>
      </w:r>
      <w:r w:rsidRPr="00CB7AC4">
        <w:rPr>
          <w:lang w:val="el-GR"/>
        </w:rPr>
        <w:t>Δ</w:t>
      </w:r>
      <w:r w:rsidRPr="00CB7AC4">
        <w:t xml:space="preserve">SASA is obtained via Shrake–Rupley; electrostatic solvation follows Sitkoff/Honig, and the GB variant follows Onufriev/Bashford/Case [67–71]. The slope </w:t>
      </w:r>
      <w:r w:rsidRPr="00CB7AC4">
        <w:rPr>
          <w:lang w:val="el-GR"/>
        </w:rPr>
        <w:t>γ</w:t>
      </w:r>
      <w:r w:rsidRPr="00CB7AC4">
        <w:t xml:space="preserve"> is selected within literature-typical SASA contribution ranges to maintain interpretability while improving rank fidelity across chemotypes [70–71]. Short restrained MD relaxations stabilise poses prior to scoring; simulations use standard water models (TIP3P/TIP4P-Ew/TIP4P-2005), PME electrostatics, and widely used thermostat/barostat/constraint schemes [39–41, 42–53]. Production MD and analysis employ GROMACS/OpenMM with VMD/Chimera/MDTraj for inspection [54–55, 61–64].</w:t>
      </w:r>
    </w:p>
    <w:p w:rsidR="00CB7AC4" w:rsidRPr="00CB7AC4" w:rsidRDefault="00CB7AC4" w:rsidP="00CB7AC4">
      <w:pPr>
        <w:jc w:val="left"/>
        <w:outlineLvl w:val="1"/>
        <w:rPr>
          <w:b/>
          <w:bCs/>
          <w:sz w:val="36"/>
          <w:szCs w:val="36"/>
        </w:rPr>
      </w:pPr>
      <w:r w:rsidRPr="00CB7AC4">
        <w:rPr>
          <w:b/>
          <w:bCs/>
          <w:sz w:val="36"/>
          <w:szCs w:val="36"/>
        </w:rPr>
        <w:t>Pillar III — Geometry-aware pose/graph evolution (“Pharmacophoric-ODEs”)</w:t>
      </w:r>
    </w:p>
    <w:p w:rsidR="00CB7AC4" w:rsidRPr="00CB7AC4" w:rsidRDefault="00CB7AC4" w:rsidP="00CB7AC4">
      <w:pPr>
        <w:jc w:val="left"/>
        <w:outlineLvl w:val="9"/>
      </w:pPr>
      <w:r w:rsidRPr="00CB7AC4">
        <w:t xml:space="preserve">Docked poses from Vina/AutoDock4 (with optional Glide/GOLD/DOCK cross-validation) seed a continuous-time </w:t>
      </w:r>
      <w:r w:rsidRPr="00CB7AC4">
        <w:rPr>
          <w:b/>
          <w:bCs/>
        </w:rPr>
        <w:t>pose/graph evolution</w:t>
      </w:r>
      <w:r w:rsidRPr="00CB7AC4">
        <w:t>: ligand conformations and soft pharmacophore labels evolve under an ODE vector field constrained by pocket geometry (concavity/hydration), alignment to pharmacophoric anchors, and rigid-body SO(3) motions. This regularises exploration toward concave, well-hydrated subsites while preserving chemistry (valence, ring templates, charge states). Numerically stable integration uses embedded Runge–Kutta (Dormand–Prince) with adaptive steps and reflective constraints to prevent chemically implausible states [12–20, 150].</w:t>
      </w:r>
    </w:p>
    <w:p w:rsidR="00CB7AC4" w:rsidRPr="00CB7AC4" w:rsidRDefault="00CB7AC4" w:rsidP="00CB7AC4">
      <w:pPr>
        <w:jc w:val="left"/>
        <w:outlineLvl w:val="1"/>
        <w:rPr>
          <w:b/>
          <w:bCs/>
          <w:sz w:val="36"/>
          <w:szCs w:val="36"/>
        </w:rPr>
      </w:pPr>
      <w:r w:rsidRPr="00CB7AC4">
        <w:rPr>
          <w:b/>
          <w:bCs/>
          <w:sz w:val="36"/>
          <w:szCs w:val="36"/>
        </w:rPr>
        <w:t>Hybrid quantum learner and calibration</w:t>
      </w:r>
    </w:p>
    <w:p w:rsidR="00CB7AC4" w:rsidRPr="00CB7AC4" w:rsidRDefault="00CB7AC4" w:rsidP="00CB7AC4">
      <w:pPr>
        <w:jc w:val="left"/>
        <w:outlineLvl w:val="9"/>
      </w:pPr>
      <w:r w:rsidRPr="00CB7AC4">
        <w:t xml:space="preserve">Physics- and geometry-conditioned features (energy components, </w:t>
      </w:r>
      <w:r w:rsidRPr="00CB7AC4">
        <w:rPr>
          <w:lang w:val="el-GR"/>
        </w:rPr>
        <w:t>Δ</w:t>
      </w:r>
      <w:r w:rsidRPr="00CB7AC4">
        <w:t xml:space="preserve">SASA term, pharmacophore mismatch penalties, pose-stability scores) feed a </w:t>
      </w:r>
      <w:r w:rsidRPr="00CB7AC4">
        <w:rPr>
          <w:b/>
          <w:bCs/>
        </w:rPr>
        <w:t>QAOA</w:t>
      </w:r>
      <w:r w:rsidRPr="00CB7AC4">
        <w:rPr>
          <w:rFonts w:ascii="Cambria Math" w:hAnsi="Cambria Math" w:cs="Cambria Math"/>
          <w:b/>
          <w:bCs/>
        </w:rPr>
        <w:t>⊗</w:t>
      </w:r>
      <w:r w:rsidRPr="00CB7AC4">
        <w:rPr>
          <w:b/>
          <w:bCs/>
        </w:rPr>
        <w:t>PQC</w:t>
      </w:r>
      <w:r w:rsidRPr="00CB7AC4">
        <w:t xml:space="preserve"> model trained by </w:t>
      </w:r>
      <w:r w:rsidRPr="00CB7AC4">
        <w:rPr>
          <w:b/>
          <w:bCs/>
        </w:rPr>
        <w:t>SPSA</w:t>
      </w:r>
      <w:r w:rsidRPr="00CB7AC4">
        <w:t xml:space="preserve"> to minimise loss under hardware noise. Circuits are compiled/executed on </w:t>
      </w:r>
      <w:r w:rsidRPr="00CB7AC4">
        <w:rPr>
          <w:b/>
          <w:bCs/>
        </w:rPr>
        <w:t>Qiskit/Aer</w:t>
      </w:r>
      <w:r w:rsidRPr="00CB7AC4">
        <w:t>; prior to training, an eight-step digitized-adiabatic GHZ routine produces von Neumann entropy and entanglement-witness traces that gate circuit acceptance. Error-mitigation/validation follow established NISQ practices (e.g., zero-noise extrapolation, cross-entropy benchmarking), and Trotter–Suzuki decompositions control simulation depth where applicable [109–110, 118–121, 124–141, 147–148].</w:t>
      </w:r>
    </w:p>
    <w:p w:rsidR="00CB7AC4" w:rsidRPr="00CB7AC4" w:rsidRDefault="00CB7AC4" w:rsidP="00CB7AC4">
      <w:pPr>
        <w:jc w:val="left"/>
        <w:outlineLvl w:val="1"/>
        <w:rPr>
          <w:b/>
          <w:bCs/>
          <w:sz w:val="36"/>
          <w:szCs w:val="36"/>
        </w:rPr>
      </w:pPr>
      <w:r w:rsidRPr="00CB7AC4">
        <w:rPr>
          <w:b/>
          <w:bCs/>
          <w:sz w:val="36"/>
          <w:szCs w:val="36"/>
        </w:rPr>
        <w:t>Targets, structures, and network context</w:t>
      </w:r>
    </w:p>
    <w:p w:rsidR="00CB7AC4" w:rsidRPr="00CB7AC4" w:rsidRDefault="00CB7AC4" w:rsidP="00CB7AC4">
      <w:pPr>
        <w:jc w:val="left"/>
        <w:outlineLvl w:val="9"/>
      </w:pPr>
      <w:r w:rsidRPr="00CB7AC4">
        <w:t xml:space="preserve">Targets include </w:t>
      </w:r>
      <w:r w:rsidRPr="00CB7AC4">
        <w:rPr>
          <w:b/>
          <w:bCs/>
        </w:rPr>
        <w:t>MMP-1</w:t>
      </w:r>
      <w:r w:rsidRPr="00CB7AC4">
        <w:t xml:space="preserve">, </w:t>
      </w:r>
      <w:r w:rsidRPr="00CB7AC4">
        <w:rPr>
          <w:b/>
          <w:bCs/>
        </w:rPr>
        <w:t>neutrophil elastase</w:t>
      </w:r>
      <w:r w:rsidRPr="00CB7AC4">
        <w:t xml:space="preserve">, and </w:t>
      </w:r>
      <w:r w:rsidRPr="00CB7AC4">
        <w:rPr>
          <w:b/>
          <w:bCs/>
        </w:rPr>
        <w:t>ERC/NEU1</w:t>
      </w:r>
      <w:r w:rsidRPr="00CB7AC4">
        <w:t xml:space="preserve"> components (EBP/S-gal, PPCA/cathepsin A, NEU1). Protein structures are taken from the </w:t>
      </w:r>
      <w:r w:rsidRPr="00CB7AC4">
        <w:rPr>
          <w:b/>
          <w:bCs/>
        </w:rPr>
        <w:t>PDB</w:t>
      </w:r>
      <w:r w:rsidRPr="00CB7AC4">
        <w:t xml:space="preserve">; homology modelling/AI predictions can be used where needed (SWISS-MODEL/AlphaFold/ColabFold) [15, 73–75]. Ligands come from </w:t>
      </w:r>
      <w:r w:rsidRPr="00CB7AC4">
        <w:rPr>
          <w:b/>
          <w:bCs/>
        </w:rPr>
        <w:t>ZINC</w:t>
      </w:r>
      <w:r w:rsidRPr="00CB7AC4">
        <w:t xml:space="preserve"> and in-house enumerations [11]. Docking uses </w:t>
      </w:r>
      <w:r w:rsidRPr="00CB7AC4">
        <w:rPr>
          <w:b/>
          <w:bCs/>
        </w:rPr>
        <w:t>AutoDock Vina</w:t>
      </w:r>
      <w:r w:rsidRPr="00CB7AC4">
        <w:t>/</w:t>
      </w:r>
      <w:r w:rsidRPr="00CB7AC4">
        <w:rPr>
          <w:b/>
          <w:bCs/>
        </w:rPr>
        <w:t>AutoDock4</w:t>
      </w:r>
      <w:r w:rsidRPr="00CB7AC4">
        <w:t xml:space="preserve"> with consensus scoring and box definitions aligned to canonical subsites; top poses undergo brief MD relaxation before MM-PB(GB)SA+</w:t>
      </w:r>
      <w:r w:rsidRPr="00CB7AC4">
        <w:rPr>
          <w:lang w:val="el-GR"/>
        </w:rPr>
        <w:t>Δ</w:t>
      </w:r>
      <w:r w:rsidRPr="00CB7AC4">
        <w:t xml:space="preserve">SASA rescoring [12–14, 71]. ADMET expectations use </w:t>
      </w:r>
      <w:r w:rsidRPr="00CB7AC4">
        <w:rPr>
          <w:b/>
          <w:bCs/>
        </w:rPr>
        <w:t>SwissADME</w:t>
      </w:r>
      <w:r w:rsidRPr="00CB7AC4">
        <w:t xml:space="preserve"> and related rules [25–30]. Network corroboration is performed with </w:t>
      </w:r>
      <w:r w:rsidRPr="00CB7AC4">
        <w:rPr>
          <w:b/>
          <w:bCs/>
        </w:rPr>
        <w:t>STRING</w:t>
      </w:r>
      <w:r w:rsidRPr="00CB7AC4">
        <w:t xml:space="preserve"> and visualised in </w:t>
      </w:r>
      <w:r w:rsidRPr="00CB7AC4">
        <w:rPr>
          <w:b/>
          <w:bCs/>
        </w:rPr>
        <w:t>Cytoscape</w:t>
      </w:r>
      <w:r w:rsidRPr="00CB7AC4">
        <w:t>, confirming that prioritised targets lie within protease/ECM modules enriched in wound-centred networks [85–87, 186–187].</w:t>
      </w:r>
    </w:p>
    <w:p w:rsidR="00E8000E" w:rsidRPr="00E8000E" w:rsidRDefault="00106EF3" w:rsidP="00713714">
      <w:r>
        <w:pict>
          <v:rect id="_x0000_i1026" style="width:0;height:1.5pt" o:hralign="center" o:hrstd="t" o:hr="t" fillcolor="#a0a0a0" stroked="f"/>
        </w:pict>
      </w:r>
    </w:p>
    <w:p w:rsidR="002204D9" w:rsidRPr="002204D9" w:rsidRDefault="002204D9" w:rsidP="002204D9">
      <w:pPr>
        <w:jc w:val="left"/>
        <w:outlineLvl w:val="0"/>
        <w:rPr>
          <w:b/>
          <w:bCs/>
          <w:kern w:val="36"/>
          <w:sz w:val="48"/>
          <w:szCs w:val="48"/>
        </w:rPr>
      </w:pPr>
      <w:r w:rsidRPr="002204D9">
        <w:rPr>
          <w:b/>
          <w:bCs/>
          <w:kern w:val="36"/>
          <w:sz w:val="48"/>
          <w:szCs w:val="48"/>
        </w:rPr>
        <w:t>3. Information-Theoretic Triage</w:t>
      </w:r>
    </w:p>
    <w:p w:rsidR="002204D9" w:rsidRPr="002204D9" w:rsidRDefault="002204D9" w:rsidP="002204D9">
      <w:pPr>
        <w:jc w:val="left"/>
        <w:outlineLvl w:val="9"/>
      </w:pPr>
      <w:r w:rsidRPr="002204D9">
        <w:rPr>
          <w:b/>
          <w:bCs/>
        </w:rPr>
        <w:t>Goal.</w:t>
      </w:r>
      <w:r w:rsidRPr="002204D9">
        <w:t xml:space="preserve"> Keep exploration broad across distinct chemotypes so later physics/geometry stages do not overfit a narrow scaffold family.</w:t>
      </w:r>
    </w:p>
    <w:p w:rsidR="002204D9" w:rsidRPr="002204D9" w:rsidRDefault="002204D9" w:rsidP="002204D9">
      <w:pPr>
        <w:jc w:val="left"/>
        <w:outlineLvl w:val="9"/>
      </w:pPr>
      <w:r w:rsidRPr="002204D9">
        <w:rPr>
          <w:b/>
          <w:bCs/>
        </w:rPr>
        <w:t>Binning.</w:t>
      </w:r>
      <w:r w:rsidR="00356057">
        <w:t xml:space="preserve"> I </w:t>
      </w:r>
      <w:r w:rsidRPr="002204D9">
        <w:t xml:space="preserve">partition the library into chemotype bins i=1,…,Ni=1,\dots,Ni=1,…,N using structure keys (e.g., Bemis–Murcko frameworks and ECFP-like circular fingerprints computed with PaDEL-Descriptor) and tally empirical frequencies pip_ipi​ over the </w:t>
      </w:r>
      <w:r w:rsidRPr="002204D9">
        <w:rPr>
          <w:i/>
          <w:iCs/>
        </w:rPr>
        <w:t>current</w:t>
      </w:r>
      <w:r w:rsidRPr="002204D9">
        <w:t xml:space="preserve"> working set S\mathcal SS [33]. To avoid zero bins</w:t>
      </w:r>
      <w:r w:rsidR="00356057">
        <w:t xml:space="preserve"> I </w:t>
      </w:r>
      <w:r w:rsidRPr="002204D9">
        <w:t>apply Laplace smoothing when needed (pi ⁣← ⁣(ni+</w:t>
      </w:r>
      <w:r w:rsidRPr="002204D9">
        <w:rPr>
          <w:lang w:val="el-GR"/>
        </w:rPr>
        <w:t>ϵ</w:t>
      </w:r>
      <w:r w:rsidRPr="002204D9">
        <w:t>)/(∑jnj+N</w:t>
      </w:r>
      <w:r w:rsidRPr="002204D9">
        <w:rPr>
          <w:lang w:val="el-GR"/>
        </w:rPr>
        <w:t>ϵ</w:t>
      </w:r>
      <w:r w:rsidRPr="002204D9">
        <w:t>)p_i\!\leftarrow\!(n_i+\epsilon)/(\sum_j n_j+N\epsilon)pi​←(ni​+</w:t>
      </w:r>
      <w:r w:rsidRPr="002204D9">
        <w:rPr>
          <w:lang w:val="el-GR"/>
        </w:rPr>
        <w:t>ϵ</w:t>
      </w:r>
      <w:r w:rsidRPr="002204D9">
        <w:t>)/(∑j​nj​+N</w:t>
      </w:r>
      <w:r w:rsidRPr="002204D9">
        <w:rPr>
          <w:lang w:val="el-GR"/>
        </w:rPr>
        <w:t>ϵ</w:t>
      </w:r>
      <w:r w:rsidRPr="002204D9">
        <w:t>)).</w:t>
      </w:r>
    </w:p>
    <w:p w:rsidR="002204D9" w:rsidRPr="002204D9" w:rsidRDefault="002204D9" w:rsidP="002204D9">
      <w:pPr>
        <w:jc w:val="left"/>
        <w:outlineLvl w:val="9"/>
      </w:pPr>
      <w:r w:rsidRPr="002204D9">
        <w:rPr>
          <w:b/>
          <w:bCs/>
        </w:rPr>
        <w:t>Exploration objective.</w:t>
      </w:r>
      <w:r w:rsidRPr="002204D9">
        <w:t xml:space="preserve"> Coverage is quantified by Shannon entropy,</w:t>
      </w:r>
    </w:p>
    <w:p w:rsidR="002204D9" w:rsidRPr="002204D9" w:rsidRDefault="002204D9" w:rsidP="002204D9">
      <w:pPr>
        <w:spacing w:before="0" w:beforeAutospacing="0" w:after="0" w:afterAutospacing="0"/>
        <w:jc w:val="left"/>
        <w:outlineLvl w:val="9"/>
      </w:pPr>
      <w:r w:rsidRPr="002204D9">
        <w:t xml:space="preserve">H(S)=−∑i=1Npilog⁡pi,(1)H(\mathcal S)= -\sum_{i=1}^{N} p_i \log p_i, \tag{1}H(S)=−i=1∑N​pi​logpi​,(1) </w:t>
      </w:r>
    </w:p>
    <w:p w:rsidR="002204D9" w:rsidRPr="002204D9" w:rsidRDefault="002204D9" w:rsidP="002204D9">
      <w:pPr>
        <w:jc w:val="left"/>
        <w:outlineLvl w:val="9"/>
      </w:pPr>
      <w:r w:rsidRPr="002204D9">
        <w:t>which</w:t>
      </w:r>
      <w:r w:rsidR="00356057">
        <w:t xml:space="preserve"> I </w:t>
      </w:r>
      <w:r w:rsidRPr="002204D9">
        <w:rPr>
          <w:b/>
          <w:bCs/>
        </w:rPr>
        <w:t>maximise</w:t>
      </w:r>
      <w:r w:rsidRPr="002204D9">
        <w:t xml:space="preserve"> to discourage early mode collapse. To down-weight over-represented families while keeping promising rare bins,</w:t>
      </w:r>
      <w:r w:rsidR="00356057">
        <w:t xml:space="preserve"> I </w:t>
      </w:r>
      <w:r w:rsidRPr="002204D9">
        <w:t>also maximise the Rényi entropy</w:t>
      </w:r>
    </w:p>
    <w:p w:rsidR="002204D9" w:rsidRPr="002204D9" w:rsidRDefault="002204D9" w:rsidP="002204D9">
      <w:pPr>
        <w:spacing w:before="0" w:beforeAutospacing="0" w:after="0" w:afterAutospacing="0"/>
        <w:jc w:val="left"/>
        <w:outlineLvl w:val="9"/>
      </w:pPr>
      <w:r w:rsidRPr="002204D9">
        <w:t>S</w:t>
      </w:r>
      <w:r w:rsidRPr="002204D9">
        <w:rPr>
          <w:lang w:val="el-GR"/>
        </w:rPr>
        <w:t>α</w:t>
      </w:r>
      <w:r w:rsidRPr="002204D9">
        <w:t>(S)=11−</w:t>
      </w:r>
      <w:r w:rsidRPr="002204D9">
        <w:rPr>
          <w:lang w:val="el-GR"/>
        </w:rPr>
        <w:t>α</w:t>
      </w:r>
      <w:r w:rsidRPr="002204D9">
        <w:t>log⁡ ⁣(∑i=1Npi</w:t>
      </w:r>
      <w:r w:rsidRPr="002204D9">
        <w:rPr>
          <w:lang w:val="el-GR"/>
        </w:rPr>
        <w:t>α</w:t>
      </w:r>
      <w:r w:rsidRPr="002204D9">
        <w:t>),lim⁡</w:t>
      </w:r>
      <w:r w:rsidRPr="002204D9">
        <w:rPr>
          <w:lang w:val="el-GR"/>
        </w:rPr>
        <w:t>α</w:t>
      </w:r>
      <w:r w:rsidRPr="002204D9">
        <w:t>→1S</w:t>
      </w:r>
      <w:r w:rsidRPr="002204D9">
        <w:rPr>
          <w:lang w:val="el-GR"/>
        </w:rPr>
        <w:t>α</w:t>
      </w:r>
      <w:r w:rsidRPr="002204D9">
        <w:t>=H,</w:t>
      </w:r>
      <w:r w:rsidRPr="002204D9">
        <w:rPr>
          <w:lang w:val="el-GR"/>
        </w:rPr>
        <w:t>α</w:t>
      </w:r>
      <w:r w:rsidRPr="002204D9">
        <w:rPr>
          <w:rFonts w:ascii="Cambria Math" w:hAnsi="Cambria Math" w:cs="Cambria Math"/>
        </w:rPr>
        <w:t>∈</w:t>
      </w:r>
      <w:r w:rsidRPr="002204D9">
        <w:t>[1.2,2].(2)S_\alpha(\mathcal S)=\frac{1}{1-\alpha}\log\!\Big(\sum_{i=1}^{N} p_i^\alpha\Big),\qquad \lim_{\alpha\to 1} S_\alpha=H,\quad \alpha\in[1.2,2]. \tag{2}S</w:t>
      </w:r>
      <w:r w:rsidRPr="002204D9">
        <w:rPr>
          <w:lang w:val="el-GR"/>
        </w:rPr>
        <w:t>α</w:t>
      </w:r>
      <w:r w:rsidRPr="002204D9">
        <w:t>​(S)=1−</w:t>
      </w:r>
      <w:r w:rsidRPr="002204D9">
        <w:rPr>
          <w:lang w:val="el-GR"/>
        </w:rPr>
        <w:t>α</w:t>
      </w:r>
      <w:r w:rsidRPr="002204D9">
        <w:t>1​log(i=1∑N​pi</w:t>
      </w:r>
      <w:r w:rsidRPr="002204D9">
        <w:rPr>
          <w:lang w:val="el-GR"/>
        </w:rPr>
        <w:t>α</w:t>
      </w:r>
      <w:r w:rsidRPr="002204D9">
        <w:t>​),</w:t>
      </w:r>
      <w:r w:rsidRPr="002204D9">
        <w:rPr>
          <w:lang w:val="el-GR"/>
        </w:rPr>
        <w:t>α</w:t>
      </w:r>
      <w:r w:rsidRPr="002204D9">
        <w:t>→1lim​S</w:t>
      </w:r>
      <w:r w:rsidRPr="002204D9">
        <w:rPr>
          <w:lang w:val="el-GR"/>
        </w:rPr>
        <w:t>α</w:t>
      </w:r>
      <w:r w:rsidRPr="002204D9">
        <w:t>​=H,</w:t>
      </w:r>
      <w:r w:rsidRPr="002204D9">
        <w:rPr>
          <w:lang w:val="el-GR"/>
        </w:rPr>
        <w:t>α</w:t>
      </w:r>
      <w:r w:rsidRPr="002204D9">
        <w:rPr>
          <w:rFonts w:ascii="Cambria Math" w:hAnsi="Cambria Math" w:cs="Cambria Math"/>
        </w:rPr>
        <w:t>∈</w:t>
      </w:r>
      <w:r w:rsidRPr="002204D9">
        <w:t xml:space="preserve">[1.2,2].(2) </w:t>
      </w:r>
    </w:p>
    <w:p w:rsidR="002204D9" w:rsidRPr="002204D9" w:rsidRDefault="002204D9" w:rsidP="002204D9">
      <w:pPr>
        <w:jc w:val="left"/>
        <w:outlineLvl w:val="9"/>
      </w:pPr>
      <w:r w:rsidRPr="002204D9">
        <w:t xml:space="preserve">Tuning </w:t>
      </w:r>
      <w:r w:rsidRPr="002204D9">
        <w:rPr>
          <w:lang w:val="el-GR"/>
        </w:rPr>
        <w:t>α</w:t>
      </w:r>
      <w:r w:rsidRPr="002204D9">
        <w:t>\alpha</w:t>
      </w:r>
      <w:r w:rsidRPr="002204D9">
        <w:rPr>
          <w:lang w:val="el-GR"/>
        </w:rPr>
        <w:t>α</w:t>
      </w:r>
      <w:r w:rsidRPr="002204D9">
        <w:t xml:space="preserve"> increases the penalty on concentration while retaining an interpretable diversity score.</w:t>
      </w:r>
    </w:p>
    <w:p w:rsidR="002204D9" w:rsidRPr="002204D9" w:rsidRDefault="002204D9" w:rsidP="002204D9">
      <w:pPr>
        <w:jc w:val="left"/>
        <w:outlineLvl w:val="9"/>
      </w:pPr>
      <w:r w:rsidRPr="002204D9">
        <w:rPr>
          <w:b/>
          <w:bCs/>
        </w:rPr>
        <w:t>Greedy admission rule.</w:t>
      </w:r>
      <w:r w:rsidRPr="002204D9">
        <w:t xml:space="preserve"> For a proposed addition G\*G^\*G\*,</w:t>
      </w:r>
    </w:p>
    <w:p w:rsidR="002204D9" w:rsidRPr="002204D9" w:rsidRDefault="002204D9" w:rsidP="002204D9">
      <w:pPr>
        <w:spacing w:before="0" w:beforeAutospacing="0" w:after="0" w:afterAutospacing="0"/>
        <w:jc w:val="left"/>
        <w:outlineLvl w:val="9"/>
      </w:pPr>
      <w:r w:rsidRPr="002204D9">
        <w:rPr>
          <w:lang w:val="el-GR"/>
        </w:rPr>
        <w:t>Δ</w:t>
      </w:r>
      <w:r w:rsidRPr="002204D9">
        <w:t>H(G\*)=H(S</w:t>
      </w:r>
      <w:r w:rsidRPr="002204D9">
        <w:rPr>
          <w:rFonts w:ascii="Cambria Math" w:hAnsi="Cambria Math" w:cs="Cambria Math"/>
        </w:rPr>
        <w:t>∪</w:t>
      </w:r>
      <w:r w:rsidRPr="002204D9">
        <w:t>{G\*})−H(S),(3)\Delta H(G^\*)= H(\mathcal S\cup\{G^\*\})-H(\mathcal S), \tag{3}</w:t>
      </w:r>
      <w:r w:rsidRPr="002204D9">
        <w:rPr>
          <w:lang w:val="el-GR"/>
        </w:rPr>
        <w:t>Δ</w:t>
      </w:r>
      <w:r w:rsidRPr="002204D9">
        <w:t>H(G\*)=H(S</w:t>
      </w:r>
      <w:r w:rsidRPr="002204D9">
        <w:rPr>
          <w:rFonts w:ascii="Cambria Math" w:hAnsi="Cambria Math" w:cs="Cambria Math"/>
        </w:rPr>
        <w:t>∪</w:t>
      </w:r>
      <w:r w:rsidRPr="002204D9">
        <w:t xml:space="preserve">{G\*})−H(S),(3) </w:t>
      </w:r>
    </w:p>
    <w:p w:rsidR="002204D9" w:rsidRPr="002204D9" w:rsidRDefault="002204D9" w:rsidP="002204D9">
      <w:pPr>
        <w:jc w:val="left"/>
        <w:outlineLvl w:val="9"/>
      </w:pPr>
      <w:r w:rsidRPr="002204D9">
        <w:t xml:space="preserve">and analogously </w:t>
      </w:r>
      <w:r w:rsidRPr="002204D9">
        <w:rPr>
          <w:lang w:val="el-GR"/>
        </w:rPr>
        <w:t>Δ</w:t>
      </w:r>
      <w:r w:rsidRPr="002204D9">
        <w:t>S</w:t>
      </w:r>
      <w:r w:rsidRPr="002204D9">
        <w:rPr>
          <w:lang w:val="el-GR"/>
        </w:rPr>
        <w:t>α</w:t>
      </w:r>
      <w:r w:rsidRPr="002204D9">
        <w:t>(G\*)\Delta S_\alpha(G^\*)</w:t>
      </w:r>
      <w:r w:rsidRPr="002204D9">
        <w:rPr>
          <w:lang w:val="el-GR"/>
        </w:rPr>
        <w:t>Δ</w:t>
      </w:r>
      <w:r w:rsidRPr="002204D9">
        <w:t>S</w:t>
      </w:r>
      <w:r w:rsidRPr="002204D9">
        <w:rPr>
          <w:lang w:val="el-GR"/>
        </w:rPr>
        <w:t>α</w:t>
      </w:r>
      <w:r w:rsidRPr="002204D9">
        <w:t>​(G\*).</w:t>
      </w:r>
      <w:r w:rsidR="00356057">
        <w:t xml:space="preserve"> I </w:t>
      </w:r>
      <w:r w:rsidRPr="002204D9">
        <w:t xml:space="preserve">accept if </w:t>
      </w:r>
      <w:r w:rsidRPr="002204D9">
        <w:rPr>
          <w:lang w:val="el-GR"/>
        </w:rPr>
        <w:t>Δ</w:t>
      </w:r>
      <w:r w:rsidRPr="002204D9">
        <w:t>H&gt;0\Delta H&gt;0</w:t>
      </w:r>
      <w:r w:rsidRPr="002204D9">
        <w:rPr>
          <w:lang w:val="el-GR"/>
        </w:rPr>
        <w:t>Δ</w:t>
      </w:r>
      <w:r w:rsidRPr="002204D9">
        <w:t xml:space="preserve">H&gt;0 </w:t>
      </w:r>
      <w:r w:rsidRPr="002204D9">
        <w:rPr>
          <w:b/>
          <w:bCs/>
        </w:rPr>
        <w:t>and</w:t>
      </w:r>
      <w:r w:rsidRPr="002204D9">
        <w:t xml:space="preserve"> </w:t>
      </w:r>
      <w:r w:rsidRPr="002204D9">
        <w:rPr>
          <w:lang w:val="el-GR"/>
        </w:rPr>
        <w:t>Δ</w:t>
      </w:r>
      <w:r w:rsidRPr="002204D9">
        <w:t>S</w:t>
      </w:r>
      <w:r w:rsidRPr="002204D9">
        <w:rPr>
          <w:lang w:val="el-GR"/>
        </w:rPr>
        <w:t>α</w:t>
      </w:r>
      <w:r w:rsidRPr="002204D9">
        <w:t>&gt;0\Delta S_\alpha&gt;0</w:t>
      </w:r>
      <w:r w:rsidRPr="002204D9">
        <w:rPr>
          <w:lang w:val="el-GR"/>
        </w:rPr>
        <w:t>Δ</w:t>
      </w:r>
      <w:r w:rsidRPr="002204D9">
        <w:t>S</w:t>
      </w:r>
      <w:r w:rsidRPr="002204D9">
        <w:rPr>
          <w:lang w:val="el-GR"/>
        </w:rPr>
        <w:t>α</w:t>
      </w:r>
      <w:r w:rsidRPr="002204D9">
        <w:t>​&gt;0 (or if either clears a user-set margin), giving a one-step, interpretable triage criterion that is cheap to evaluate with NumPy/SciPy back-ends [102–103].</w:t>
      </w:r>
    </w:p>
    <w:p w:rsidR="002204D9" w:rsidRPr="002204D9" w:rsidRDefault="002204D9" w:rsidP="002204D9">
      <w:pPr>
        <w:jc w:val="left"/>
        <w:outlineLvl w:val="9"/>
      </w:pPr>
      <w:r w:rsidRPr="002204D9">
        <w:rPr>
          <w:b/>
          <w:bCs/>
        </w:rPr>
        <w:t>Fair-sampling check.</w:t>
      </w:r>
      <w:r w:rsidRPr="002204D9">
        <w:t xml:space="preserve"> To guard against RNG or pipeline bias</w:t>
      </w:r>
      <w:r w:rsidR="00356057">
        <w:t xml:space="preserve"> I </w:t>
      </w:r>
      <w:r w:rsidRPr="002204D9">
        <w:t>monitor goodness-of-fit of bin occupancies to the target “balanced” distribution using a chi-square test,</w:t>
      </w:r>
    </w:p>
    <w:p w:rsidR="002204D9" w:rsidRPr="002204D9" w:rsidRDefault="002204D9" w:rsidP="002204D9">
      <w:pPr>
        <w:spacing w:before="0" w:beforeAutospacing="0" w:after="0" w:afterAutospacing="0"/>
        <w:jc w:val="left"/>
        <w:outlineLvl w:val="9"/>
      </w:pPr>
      <w:r w:rsidRPr="002204D9">
        <w:rPr>
          <w:lang w:val="el-GR"/>
        </w:rPr>
        <w:t>χ</w:t>
      </w:r>
      <w:r w:rsidRPr="002204D9">
        <w:t>2=∑k=1K(nk−n/K)2n/K≤</w:t>
      </w:r>
      <w:r w:rsidRPr="002204D9">
        <w:rPr>
          <w:lang w:val="el-GR"/>
        </w:rPr>
        <w:t>τ</w:t>
      </w:r>
      <w:r w:rsidRPr="002204D9">
        <w:t>,(4)\chi^2=\sum_{k=1}^{K}\frac{(n_k-n/K)^2}{n/K}\le\tau, \tag{4}</w:t>
      </w:r>
      <w:r w:rsidRPr="002204D9">
        <w:rPr>
          <w:lang w:val="el-GR"/>
        </w:rPr>
        <w:t>χ</w:t>
      </w:r>
      <w:r w:rsidRPr="002204D9">
        <w:t>2=k=1∑K​n/K(nk​−n/K)2​≤</w:t>
      </w:r>
      <w:r w:rsidRPr="002204D9">
        <w:rPr>
          <w:lang w:val="el-GR"/>
        </w:rPr>
        <w:t>τ</w:t>
      </w:r>
      <w:r w:rsidRPr="002204D9">
        <w:t xml:space="preserve">,(4) </w:t>
      </w:r>
    </w:p>
    <w:p w:rsidR="002204D9" w:rsidRPr="002204D9" w:rsidRDefault="002204D9" w:rsidP="002204D9">
      <w:pPr>
        <w:jc w:val="left"/>
        <w:outlineLvl w:val="9"/>
      </w:pPr>
      <w:r w:rsidRPr="002204D9">
        <w:t xml:space="preserve">where nkn_knk​ is the count in bin kkk, nnn the total draws, and </w:t>
      </w:r>
      <w:r w:rsidRPr="002204D9">
        <w:rPr>
          <w:lang w:val="el-GR"/>
        </w:rPr>
        <w:t>τ</w:t>
      </w:r>
      <w:r w:rsidRPr="002204D9">
        <w:t>\tau</w:t>
      </w:r>
      <w:r w:rsidRPr="002204D9">
        <w:rPr>
          <w:lang w:val="el-GR"/>
        </w:rPr>
        <w:t>τ</w:t>
      </w:r>
      <w:r w:rsidRPr="002204D9">
        <w:t xml:space="preserve"> a threshold at a chosen significance level (SciPy’s </w:t>
      </w:r>
      <w:r w:rsidRPr="002204D9">
        <w:rPr>
          <w:rFonts w:ascii="Courier New" w:hAnsi="Courier New" w:cs="Courier New"/>
          <w:sz w:val="20"/>
        </w:rPr>
        <w:t>chisquare</w:t>
      </w:r>
      <w:r w:rsidRPr="002204D9">
        <w:t xml:space="preserve">) [103]. Exceeding </w:t>
      </w:r>
      <w:r w:rsidRPr="002204D9">
        <w:rPr>
          <w:lang w:val="el-GR"/>
        </w:rPr>
        <w:t>τ</w:t>
      </w:r>
      <w:r w:rsidRPr="002204D9">
        <w:t>\tau</w:t>
      </w:r>
      <w:r w:rsidRPr="002204D9">
        <w:rPr>
          <w:lang w:val="el-GR"/>
        </w:rPr>
        <w:t>τ</w:t>
      </w:r>
      <w:r w:rsidRPr="002204D9">
        <w:t xml:space="preserve"> triggers resampling/penalty of the dominant bins.</w:t>
      </w:r>
    </w:p>
    <w:p w:rsidR="002204D9" w:rsidRPr="002204D9" w:rsidRDefault="002204D9" w:rsidP="002204D9">
      <w:pPr>
        <w:jc w:val="left"/>
        <w:outlineLvl w:val="9"/>
      </w:pPr>
      <w:r w:rsidRPr="002204D9">
        <w:rPr>
          <w:b/>
          <w:bCs/>
        </w:rPr>
        <w:t>Practical loop.</w:t>
      </w:r>
      <w:r w:rsidRPr="002204D9">
        <w:t xml:space="preserve"> (1) Hash features→bins (PaDEL) [33]; (2) compute H, S</w:t>
      </w:r>
      <w:r w:rsidRPr="002204D9">
        <w:rPr>
          <w:lang w:val="el-GR"/>
        </w:rPr>
        <w:t>α</w:t>
      </w:r>
      <w:r w:rsidRPr="002204D9">
        <w:t>H,\,S_\alphaH,S</w:t>
      </w:r>
      <w:r w:rsidRPr="002204D9">
        <w:rPr>
          <w:lang w:val="el-GR"/>
        </w:rPr>
        <w:t>α</w:t>
      </w:r>
      <w:r w:rsidRPr="002204D9">
        <w:t xml:space="preserve">​; (3) accept G\*G^\*G\* if </w:t>
      </w:r>
      <w:r w:rsidRPr="002204D9">
        <w:rPr>
          <w:lang w:val="el-GR"/>
        </w:rPr>
        <w:t>Δ</w:t>
      </w:r>
      <w:r w:rsidRPr="002204D9">
        <w:t>H,</w:t>
      </w:r>
      <w:r w:rsidRPr="002204D9">
        <w:rPr>
          <w:lang w:val="el-GR"/>
        </w:rPr>
        <w:t>Δ</w:t>
      </w:r>
      <w:r w:rsidRPr="002204D9">
        <w:t>S</w:t>
      </w:r>
      <w:r w:rsidRPr="002204D9">
        <w:rPr>
          <w:lang w:val="el-GR"/>
        </w:rPr>
        <w:t>α</w:t>
      </w:r>
      <w:r w:rsidRPr="002204D9">
        <w:t>&gt;0\Delta H,\Delta S_\alpha&gt;0</w:t>
      </w:r>
      <w:r w:rsidRPr="002204D9">
        <w:rPr>
          <w:lang w:val="el-GR"/>
        </w:rPr>
        <w:t>Δ</w:t>
      </w:r>
      <w:r w:rsidRPr="002204D9">
        <w:t>H,</w:t>
      </w:r>
      <w:r w:rsidRPr="002204D9">
        <w:rPr>
          <w:lang w:val="el-GR"/>
        </w:rPr>
        <w:t>Δ</w:t>
      </w:r>
      <w:r w:rsidRPr="002204D9">
        <w:t>S</w:t>
      </w:r>
      <w:r w:rsidRPr="002204D9">
        <w:rPr>
          <w:lang w:val="el-GR"/>
        </w:rPr>
        <w:t>α</w:t>
      </w:r>
      <w:r w:rsidRPr="002204D9">
        <w:t xml:space="preserve">​&gt;0; (4) track </w:t>
      </w:r>
      <w:r w:rsidRPr="002204D9">
        <w:rPr>
          <w:lang w:val="el-GR"/>
        </w:rPr>
        <w:t>χ</w:t>
      </w:r>
      <w:r w:rsidRPr="002204D9">
        <w:t>2\chi^2</w:t>
      </w:r>
      <w:r w:rsidRPr="002204D9">
        <w:rPr>
          <w:lang w:val="el-GR"/>
        </w:rPr>
        <w:t>χ</w:t>
      </w:r>
      <w:r w:rsidRPr="002204D9">
        <w:t xml:space="preserve">2 and, if needed, throttle oversampled bins. This </w:t>
      </w:r>
      <w:r w:rsidRPr="002204D9">
        <w:rPr>
          <w:b/>
          <w:bCs/>
        </w:rPr>
        <w:t>entropy-first</w:t>
      </w:r>
      <w:r w:rsidRPr="002204D9">
        <w:t xml:space="preserve"> gate ensures subsequent physics and geometry act on a representative chemical atlas, not a collapsed subset.</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27"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3.1 Physically Grounded Non-Polar Energetics</w:t>
      </w:r>
    </w:p>
    <w:p w:rsidR="002204D9" w:rsidRPr="002204D9" w:rsidRDefault="002204D9" w:rsidP="002204D9">
      <w:pPr>
        <w:jc w:val="left"/>
        <w:outlineLvl w:val="9"/>
      </w:pPr>
      <w:r w:rsidRPr="002204D9">
        <w:rPr>
          <w:b/>
          <w:bCs/>
        </w:rPr>
        <w:t>End-point baseline.</w:t>
      </w:r>
      <w:r w:rsidRPr="002204D9">
        <w:t xml:space="preserve"> For each pose</w:t>
      </w:r>
      <w:r w:rsidR="00356057">
        <w:t xml:space="preserve"> I </w:t>
      </w:r>
      <w:r w:rsidRPr="002204D9">
        <w:t>estimate binding with an MM–PB(GB)SA-style decomposition over MD snapshots,</w:t>
      </w:r>
    </w:p>
    <w:p w:rsidR="002204D9" w:rsidRPr="002204D9" w:rsidRDefault="002204D9" w:rsidP="002204D9">
      <w:pPr>
        <w:spacing w:before="0" w:beforeAutospacing="0" w:after="0" w:afterAutospacing="0"/>
        <w:jc w:val="left"/>
        <w:outlineLvl w:val="9"/>
      </w:pPr>
      <w:r w:rsidRPr="002204D9">
        <w:rPr>
          <w:lang w:val="el-GR"/>
        </w:rPr>
        <w:t>Δ</w:t>
      </w:r>
      <w:r w:rsidRPr="002204D9">
        <w:t>GMM–PBSA=</w:t>
      </w:r>
      <w:r w:rsidRPr="002204D9">
        <w:rPr>
          <w:rFonts w:ascii="Cambria Math" w:hAnsi="Cambria Math" w:cs="Cambria Math"/>
          <w:lang w:val="el-GR"/>
        </w:rPr>
        <w:t>⟨</w:t>
      </w:r>
      <w:r w:rsidRPr="002204D9">
        <w:t>EMM+Gsolv−TSconf</w:t>
      </w:r>
      <w:r w:rsidRPr="002204D9">
        <w:rPr>
          <w:rFonts w:ascii="Cambria Math" w:hAnsi="Cambria Math" w:cs="Cambria Math"/>
          <w:lang w:val="el-GR"/>
        </w:rPr>
        <w:t>⟩</w:t>
      </w:r>
      <w:r w:rsidRPr="002204D9">
        <w:t>C−</w:t>
      </w:r>
      <w:r w:rsidRPr="002204D9">
        <w:rPr>
          <w:rFonts w:ascii="Cambria Math" w:hAnsi="Cambria Math" w:cs="Cambria Math"/>
          <w:lang w:val="el-GR"/>
        </w:rPr>
        <w:t>⟨</w:t>
      </w:r>
      <w:r w:rsidRPr="002204D9">
        <w:rPr>
          <w:rFonts w:ascii="Cambria Math" w:hAnsi="Cambria Math" w:cs="Cambria Math"/>
        </w:rPr>
        <w:t>⋅</w:t>
      </w:r>
      <w:r w:rsidRPr="002204D9">
        <w:rPr>
          <w:rFonts w:ascii="Cambria Math" w:hAnsi="Cambria Math" w:cs="Cambria Math"/>
          <w:lang w:val="el-GR"/>
        </w:rPr>
        <w:t>⟩</w:t>
      </w:r>
      <w:r w:rsidRPr="002204D9">
        <w:t>R−</w:t>
      </w:r>
      <w:r w:rsidRPr="002204D9">
        <w:rPr>
          <w:rFonts w:ascii="Cambria Math" w:hAnsi="Cambria Math" w:cs="Cambria Math"/>
          <w:lang w:val="el-GR"/>
        </w:rPr>
        <w:t>⟨</w:t>
      </w:r>
      <w:r w:rsidRPr="002204D9">
        <w:rPr>
          <w:rFonts w:ascii="Cambria Math" w:hAnsi="Cambria Math" w:cs="Cambria Math"/>
        </w:rPr>
        <w:t>⋅</w:t>
      </w:r>
      <w:r w:rsidRPr="002204D9">
        <w:rPr>
          <w:rFonts w:ascii="Cambria Math" w:hAnsi="Cambria Math" w:cs="Cambria Math"/>
          <w:lang w:val="el-GR"/>
        </w:rPr>
        <w:t>⟩</w:t>
      </w:r>
      <w:r w:rsidRPr="002204D9">
        <w:t>L,(5)\Delta G_{\mathrm{MM\text{–}PBSA}} = \big\langle E_{\mathrm{MM}}+G_{\mathrm{solv}}-T S_{\mathrm{conf}}\big\rangle_C -\langle\cdot\rangle_R-\langle\cdot\rangle_L, \tag{5}</w:t>
      </w:r>
      <w:r w:rsidRPr="002204D9">
        <w:rPr>
          <w:lang w:val="el-GR"/>
        </w:rPr>
        <w:t>Δ</w:t>
      </w:r>
      <w:r w:rsidRPr="002204D9">
        <w:t>GMM–PBSA​=</w:t>
      </w:r>
      <w:r w:rsidRPr="002204D9">
        <w:rPr>
          <w:rFonts w:ascii="Cambria Math" w:hAnsi="Cambria Math" w:cs="Cambria Math"/>
          <w:lang w:val="el-GR"/>
        </w:rPr>
        <w:t>⟨</w:t>
      </w:r>
      <w:r w:rsidRPr="002204D9">
        <w:t>EMM​+Gsolv​−TSconf​</w:t>
      </w:r>
      <w:r w:rsidRPr="002204D9">
        <w:rPr>
          <w:rFonts w:ascii="Cambria Math" w:hAnsi="Cambria Math" w:cs="Cambria Math"/>
          <w:lang w:val="el-GR"/>
        </w:rPr>
        <w:t>⟩</w:t>
      </w:r>
      <w:r w:rsidRPr="002204D9">
        <w:t>C​−</w:t>
      </w:r>
      <w:r w:rsidRPr="002204D9">
        <w:rPr>
          <w:rFonts w:ascii="Cambria Math" w:hAnsi="Cambria Math" w:cs="Cambria Math"/>
          <w:lang w:val="el-GR"/>
        </w:rPr>
        <w:t>⟨</w:t>
      </w:r>
      <w:r w:rsidRPr="002204D9">
        <w:rPr>
          <w:rFonts w:ascii="Cambria Math" w:hAnsi="Cambria Math" w:cs="Cambria Math"/>
        </w:rPr>
        <w:t>⋅</w:t>
      </w:r>
      <w:r w:rsidRPr="002204D9">
        <w:rPr>
          <w:rFonts w:ascii="Cambria Math" w:hAnsi="Cambria Math" w:cs="Cambria Math"/>
          <w:lang w:val="el-GR"/>
        </w:rPr>
        <w:t>⟩</w:t>
      </w:r>
      <w:r w:rsidRPr="002204D9">
        <w:t>R​−</w:t>
      </w:r>
      <w:r w:rsidRPr="002204D9">
        <w:rPr>
          <w:rFonts w:ascii="Cambria Math" w:hAnsi="Cambria Math" w:cs="Cambria Math"/>
          <w:lang w:val="el-GR"/>
        </w:rPr>
        <w:t>⟨</w:t>
      </w:r>
      <w:r w:rsidRPr="002204D9">
        <w:rPr>
          <w:rFonts w:ascii="Cambria Math" w:hAnsi="Cambria Math" w:cs="Cambria Math"/>
        </w:rPr>
        <w:t>⋅</w:t>
      </w:r>
      <w:r w:rsidRPr="002204D9">
        <w:rPr>
          <w:rFonts w:ascii="Cambria Math" w:hAnsi="Cambria Math" w:cs="Cambria Math"/>
          <w:lang w:val="el-GR"/>
        </w:rPr>
        <w:t>⟩</w:t>
      </w:r>
      <w:r w:rsidRPr="002204D9">
        <w:t xml:space="preserve">L​,(5) </w:t>
      </w:r>
    </w:p>
    <w:p w:rsidR="002204D9" w:rsidRPr="002204D9" w:rsidRDefault="002204D9" w:rsidP="002204D9">
      <w:pPr>
        <w:jc w:val="left"/>
        <w:outlineLvl w:val="9"/>
      </w:pPr>
      <w:r w:rsidRPr="002204D9">
        <w:t xml:space="preserve">implemented with </w:t>
      </w:r>
      <w:r w:rsidRPr="002204D9">
        <w:rPr>
          <w:b/>
          <w:bCs/>
        </w:rPr>
        <w:t>g_mmpbsa</w:t>
      </w:r>
      <w:r w:rsidRPr="002204D9">
        <w:t xml:space="preserve"> (PB/GB options per Sitkoff–Honig and Onufriev–Bashford–Case) [68–71]. Trajectory snippets are generated in GROMACS/OpenMM with standard settings: TIP3P/TIP4P-Ew/TIP4P/2005 water [39–41], PME electrostatics [42–43], v-rescale thermostat and common barostats, SHAKE/SETTLE/LINCS constraints [45–53, 54–55].</w:t>
      </w:r>
    </w:p>
    <w:p w:rsidR="002204D9" w:rsidRPr="002204D9" w:rsidRDefault="002204D9" w:rsidP="002204D9">
      <w:pPr>
        <w:jc w:val="left"/>
        <w:outlineLvl w:val="9"/>
      </w:pPr>
      <w:r w:rsidRPr="002204D9">
        <w:rPr>
          <w:b/>
          <w:bCs/>
        </w:rPr>
        <w:t>Restore burial.</w:t>
      </w:r>
      <w:r w:rsidRPr="002204D9">
        <w:t xml:space="preserve"> End-point methods often </w:t>
      </w:r>
      <w:r w:rsidRPr="002204D9">
        <w:rPr>
          <w:b/>
          <w:bCs/>
        </w:rPr>
        <w:t>underweight hydrophobic burial</w:t>
      </w:r>
      <w:r w:rsidRPr="002204D9">
        <w:t xml:space="preserve"> across chemotypes [70–71].</w:t>
      </w:r>
      <w:r w:rsidR="00356057">
        <w:t xml:space="preserve"> I </w:t>
      </w:r>
      <w:r w:rsidRPr="002204D9">
        <w:t xml:space="preserve">therefore add a linear non-polar term proportional to the </w:t>
      </w:r>
      <w:r w:rsidRPr="002204D9">
        <w:rPr>
          <w:b/>
          <w:bCs/>
        </w:rPr>
        <w:t>change in solvent-accessible surface area</w:t>
      </w:r>
      <w:r w:rsidRPr="002204D9">
        <w:t xml:space="preserve"> (SASA; Shrake–Rupley) [67]:</w:t>
      </w:r>
    </w:p>
    <w:p w:rsidR="002204D9" w:rsidRPr="002204D9" w:rsidRDefault="002204D9" w:rsidP="002204D9">
      <w:pPr>
        <w:spacing w:before="0" w:beforeAutospacing="0" w:after="0" w:afterAutospacing="0"/>
        <w:jc w:val="left"/>
        <w:outlineLvl w:val="9"/>
      </w:pPr>
      <w:r w:rsidRPr="002204D9">
        <w:rPr>
          <w:lang w:val="el-GR"/>
        </w:rPr>
        <w:t>Δ</w:t>
      </w:r>
      <w:r w:rsidRPr="002204D9">
        <w:t>Gnp=</w:t>
      </w:r>
      <w:r w:rsidRPr="002204D9">
        <w:rPr>
          <w:lang w:val="el-GR"/>
        </w:rPr>
        <w:t>γ</w:t>
      </w:r>
      <w:r w:rsidRPr="002204D9">
        <w:t> </w:t>
      </w:r>
      <w:r w:rsidRPr="002204D9">
        <w:rPr>
          <w:lang w:val="el-GR"/>
        </w:rPr>
        <w:t>Δ</w:t>
      </w:r>
      <w:r w:rsidRPr="002204D9">
        <w:t>SASA,</w:t>
      </w:r>
      <w:r w:rsidRPr="002204D9">
        <w:rPr>
          <w:lang w:val="el-GR"/>
        </w:rPr>
        <w:t>Δ</w:t>
      </w:r>
      <w:r w:rsidRPr="002204D9">
        <w:t>SASA=SASAC−SASAR−SASAL,</w:t>
      </w:r>
      <w:r w:rsidRPr="002204D9">
        <w:rPr>
          <w:lang w:val="el-GR"/>
        </w:rPr>
        <w:t>γ</w:t>
      </w:r>
      <w:r w:rsidRPr="002204D9">
        <w:t>≈0.005 kcal mol−1 A˚−2,(6)\Delta G_{\mathrm{np}}=\gamma\,\Delta\mathrm{SASA},\quad \Delta\mathrm{SASA}=\mathrm{SASA}_C-\mathrm{SASA}_R-\mathrm{SASA}_L,\quad \gamma\approx 0.005\ {\rm kcal\ mol^{-1}\ \AA^{-2}}, \tag{6}</w:t>
      </w:r>
      <w:r w:rsidRPr="002204D9">
        <w:rPr>
          <w:lang w:val="el-GR"/>
        </w:rPr>
        <w:t>Δ</w:t>
      </w:r>
      <w:r w:rsidRPr="002204D9">
        <w:t>Gnp​=</w:t>
      </w:r>
      <w:r w:rsidRPr="002204D9">
        <w:rPr>
          <w:lang w:val="el-GR"/>
        </w:rPr>
        <w:t>γΔ</w:t>
      </w:r>
      <w:r w:rsidRPr="002204D9">
        <w:t>SASA,</w:t>
      </w:r>
      <w:r w:rsidRPr="002204D9">
        <w:rPr>
          <w:lang w:val="el-GR"/>
        </w:rPr>
        <w:t>Δ</w:t>
      </w:r>
      <w:r w:rsidRPr="002204D9">
        <w:t>SASA=SASAC​−SASAR​−SASAL​,</w:t>
      </w:r>
      <w:r w:rsidRPr="002204D9">
        <w:rPr>
          <w:lang w:val="el-GR"/>
        </w:rPr>
        <w:t>γ</w:t>
      </w:r>
      <w:r w:rsidRPr="002204D9">
        <w:t xml:space="preserve">≈0.005 kcal mol−1 A˚−2,(6) </w:t>
      </w:r>
    </w:p>
    <w:p w:rsidR="002204D9" w:rsidRPr="002204D9" w:rsidRDefault="002204D9" w:rsidP="002204D9">
      <w:pPr>
        <w:jc w:val="left"/>
        <w:outlineLvl w:val="9"/>
      </w:pPr>
      <w:r w:rsidRPr="002204D9">
        <w:t>and rank by</w:t>
      </w:r>
    </w:p>
    <w:p w:rsidR="002204D9" w:rsidRPr="002204D9" w:rsidRDefault="002204D9" w:rsidP="002204D9">
      <w:pPr>
        <w:spacing w:before="0" w:beforeAutospacing="0" w:after="0" w:afterAutospacing="0"/>
        <w:jc w:val="left"/>
        <w:outlineLvl w:val="9"/>
      </w:pPr>
      <w:r w:rsidRPr="002204D9">
        <w:rPr>
          <w:lang w:val="el-GR"/>
        </w:rPr>
        <w:t>Δ</w:t>
      </w:r>
      <w:r w:rsidRPr="002204D9">
        <w:t>G^tot=</w:t>
      </w:r>
      <w:r w:rsidRPr="002204D9">
        <w:rPr>
          <w:lang w:val="el-GR"/>
        </w:rPr>
        <w:t>Δ</w:t>
      </w:r>
      <w:r w:rsidRPr="002204D9">
        <w:t>GMM–PBSA+</w:t>
      </w:r>
      <w:r w:rsidRPr="002204D9">
        <w:rPr>
          <w:lang w:val="el-GR"/>
        </w:rPr>
        <w:t>Δ</w:t>
      </w:r>
      <w:r w:rsidRPr="002204D9">
        <w:t>Gnp.(7)\widehat{\Delta G}_{\mathrm{tot}}=\Delta G_{\mathrm{MM\text{–}PBSA}}+\Delta G_{\mathrm{np}}. \tag{7}</w:t>
      </w:r>
      <w:r w:rsidRPr="002204D9">
        <w:rPr>
          <w:lang w:val="el-GR"/>
        </w:rPr>
        <w:t>Δ</w:t>
      </w:r>
      <w:r w:rsidRPr="002204D9">
        <w:t>Gtot​=</w:t>
      </w:r>
      <w:r w:rsidRPr="002204D9">
        <w:rPr>
          <w:lang w:val="el-GR"/>
        </w:rPr>
        <w:t>Δ</w:t>
      </w:r>
      <w:r w:rsidRPr="002204D9">
        <w:t>GMM–PBSA​+</w:t>
      </w:r>
      <w:r w:rsidRPr="002204D9">
        <w:rPr>
          <w:lang w:val="el-GR"/>
        </w:rPr>
        <w:t>Δ</w:t>
      </w:r>
      <w:r w:rsidRPr="002204D9">
        <w:t xml:space="preserve">Gnp​.(7) </w:t>
      </w:r>
    </w:p>
    <w:p w:rsidR="002204D9" w:rsidRPr="002204D9" w:rsidRDefault="002204D9" w:rsidP="002204D9">
      <w:pPr>
        <w:jc w:val="left"/>
        <w:outlineLvl w:val="9"/>
      </w:pPr>
      <w:r w:rsidRPr="002204D9">
        <w:t xml:space="preserve">This correction </w:t>
      </w:r>
      <w:r w:rsidRPr="002204D9">
        <w:rPr>
          <w:b/>
          <w:bCs/>
        </w:rPr>
        <w:t>re-weights compact, well-burying ligands</w:t>
      </w:r>
      <w:r w:rsidRPr="002204D9">
        <w:t xml:space="preserve"> while remaining interpretable and high-throughput, avoiding the cost of alchemical FEs. Parameter </w:t>
      </w:r>
      <w:r w:rsidRPr="002204D9">
        <w:rPr>
          <w:lang w:val="el-GR"/>
        </w:rPr>
        <w:t>γ</w:t>
      </w:r>
      <w:r w:rsidRPr="002204D9">
        <w:t>\gamma</w:t>
      </w:r>
      <w:r w:rsidRPr="002204D9">
        <w:rPr>
          <w:lang w:val="el-GR"/>
        </w:rPr>
        <w:t>γ</w:t>
      </w:r>
      <w:r w:rsidRPr="002204D9">
        <w:t xml:space="preserve"> is chosen in literature-typical SASA ranges used with MM–PB(GB)SA to improve rank fidelity without double-counting polar terms [70–71].</w:t>
      </w:r>
    </w:p>
    <w:p w:rsidR="002204D9" w:rsidRPr="002204D9" w:rsidRDefault="002204D9" w:rsidP="002204D9">
      <w:pPr>
        <w:jc w:val="left"/>
        <w:outlineLvl w:val="9"/>
      </w:pPr>
      <w:r w:rsidRPr="002204D9">
        <w:rPr>
          <w:b/>
          <w:bCs/>
        </w:rPr>
        <w:t>Upstream/downstream hooks.</w:t>
      </w:r>
      <w:r w:rsidRPr="002204D9">
        <w:t xml:space="preserve"> Poses are seeded by consensus docking (AutoDock Vina/AutoDock4; optional Glide/GOLD/DOCK cross-checks) into </w:t>
      </w:r>
      <w:r w:rsidRPr="002204D9">
        <w:rPr>
          <w:b/>
          <w:bCs/>
        </w:rPr>
        <w:t>PDB</w:t>
      </w:r>
      <w:r w:rsidRPr="002204D9">
        <w:t xml:space="preserve"> structures or homology/AI models (SWISS-MODEL/AlphaFold/ColabFold), then short restrained relaxations precede MM–PB(GB)SA+</w:t>
      </w:r>
      <w:r w:rsidRPr="002204D9">
        <w:rPr>
          <w:lang w:val="el-GR"/>
        </w:rPr>
        <w:t>Δ</w:t>
      </w:r>
      <w:r w:rsidRPr="002204D9">
        <w:t>SASA rescoring [12–20, 15, 73–75].</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28"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3.2 Pharmacophoric-ODEs: A Geometry-Aware Search</w:t>
      </w:r>
    </w:p>
    <w:p w:rsidR="002204D9" w:rsidRPr="002204D9" w:rsidRDefault="002204D9" w:rsidP="002204D9">
      <w:pPr>
        <w:jc w:val="left"/>
        <w:outlineLvl w:val="9"/>
      </w:pPr>
      <w:r w:rsidRPr="002204D9">
        <w:rPr>
          <w:b/>
          <w:bCs/>
        </w:rPr>
        <w:t>State.</w:t>
      </w:r>
      <w:r w:rsidRPr="002204D9">
        <w:t xml:space="preserve"> Each candidate is represented by</w:t>
      </w:r>
    </w:p>
    <w:p w:rsidR="002204D9" w:rsidRPr="002204D9" w:rsidRDefault="002204D9" w:rsidP="002204D9">
      <w:pPr>
        <w:spacing w:before="0" w:beforeAutospacing="0" w:after="0" w:afterAutospacing="0"/>
        <w:jc w:val="left"/>
        <w:outlineLvl w:val="9"/>
      </w:pPr>
      <w:r w:rsidRPr="002204D9">
        <w:t>xt=(Gt,Pt,</w:t>
      </w:r>
      <w:r w:rsidRPr="002204D9">
        <w:rPr>
          <w:lang w:val="el-GR"/>
        </w:rPr>
        <w:t>Π</w:t>
      </w:r>
      <w:r w:rsidRPr="002204D9">
        <w:t>t),(8)x_t=(G_t,P_t,\Pi_t), \tag{8}xt​=(Gt​,Pt​,</w:t>
      </w:r>
      <w:r w:rsidRPr="002204D9">
        <w:rPr>
          <w:lang w:val="el-GR"/>
        </w:rPr>
        <w:t>Π</w:t>
      </w:r>
      <w:r w:rsidRPr="002204D9">
        <w:t xml:space="preserve">t​),(8) </w:t>
      </w:r>
    </w:p>
    <w:p w:rsidR="002204D9" w:rsidRPr="002204D9" w:rsidRDefault="002204D9" w:rsidP="002204D9">
      <w:pPr>
        <w:jc w:val="left"/>
        <w:outlineLvl w:val="9"/>
      </w:pPr>
      <w:r w:rsidRPr="002204D9">
        <w:t xml:space="preserve">where GtG_tGt​ is a molecular graph (with editable exit vectors), PtP_tPt​ a 3D pose, and </w:t>
      </w:r>
      <w:r w:rsidRPr="002204D9">
        <w:rPr>
          <w:lang w:val="el-GR"/>
        </w:rPr>
        <w:t>Π</w:t>
      </w:r>
      <w:r w:rsidRPr="002204D9">
        <w:t>t\Pi_t</w:t>
      </w:r>
      <w:r w:rsidRPr="002204D9">
        <w:rPr>
          <w:lang w:val="el-GR"/>
        </w:rPr>
        <w:t>Π</w:t>
      </w:r>
      <w:r w:rsidRPr="002204D9">
        <w:t>t​ soft pharmacophore labels (donor/acceptor/hydrophobe/ionisable).</w:t>
      </w:r>
    </w:p>
    <w:p w:rsidR="002204D9" w:rsidRPr="002204D9" w:rsidRDefault="002204D9" w:rsidP="002204D9">
      <w:pPr>
        <w:jc w:val="left"/>
        <w:outlineLvl w:val="9"/>
      </w:pPr>
      <w:r w:rsidRPr="002204D9">
        <w:rPr>
          <w:b/>
          <w:bCs/>
        </w:rPr>
        <w:t>Dynamics.</w:t>
      </w:r>
      <w:r w:rsidR="00356057">
        <w:t xml:space="preserve"> I </w:t>
      </w:r>
      <w:r w:rsidRPr="002204D9">
        <w:t>evolve xtx_txt​ under a neural ODE</w:t>
      </w:r>
    </w:p>
    <w:p w:rsidR="002204D9" w:rsidRPr="002204D9" w:rsidRDefault="002204D9" w:rsidP="002204D9">
      <w:pPr>
        <w:spacing w:before="0" w:beforeAutospacing="0" w:after="0" w:afterAutospacing="0"/>
        <w:jc w:val="left"/>
        <w:outlineLvl w:val="9"/>
      </w:pPr>
      <w:r w:rsidRPr="002204D9">
        <w:t>x˙t=f</w:t>
      </w:r>
      <w:r w:rsidRPr="002204D9">
        <w:rPr>
          <w:lang w:val="el-GR"/>
        </w:rPr>
        <w:t>θ</w:t>
      </w:r>
      <w:r w:rsidRPr="002204D9">
        <w:t>(xt,t),(9)\dot{x}_t=f_\theta(x_t,t), \tag{9}x˙t​=f</w:t>
      </w:r>
      <w:r w:rsidRPr="002204D9">
        <w:rPr>
          <w:lang w:val="el-GR"/>
        </w:rPr>
        <w:t>θ</w:t>
      </w:r>
      <w:r w:rsidRPr="002204D9">
        <w:t xml:space="preserve">​(xt​,t),(9) </w:t>
      </w:r>
    </w:p>
    <w:p w:rsidR="002204D9" w:rsidRPr="002204D9" w:rsidRDefault="002204D9" w:rsidP="002204D9">
      <w:pPr>
        <w:jc w:val="left"/>
        <w:outlineLvl w:val="9"/>
      </w:pPr>
      <w:r w:rsidRPr="002204D9">
        <w:t xml:space="preserve">with </w:t>
      </w:r>
      <w:r w:rsidRPr="002204D9">
        <w:rPr>
          <w:b/>
          <w:bCs/>
        </w:rPr>
        <w:t>projection</w:t>
      </w:r>
      <w:r w:rsidRPr="002204D9">
        <w:t xml:space="preserve"> after each step back to chemically valid states (valence, ring integrity, protonation). The vector field includes: (i) </w:t>
      </w:r>
      <w:r w:rsidRPr="002204D9">
        <w:rPr>
          <w:b/>
          <w:bCs/>
        </w:rPr>
        <w:t>physics cues</w:t>
      </w:r>
      <w:r w:rsidRPr="002204D9">
        <w:t xml:space="preserve"> (penalties linked to </w:t>
      </w:r>
      <w:r w:rsidRPr="002204D9">
        <w:rPr>
          <w:lang w:val="el-GR"/>
        </w:rPr>
        <w:t>Δ</w:t>
      </w:r>
      <w:r w:rsidRPr="002204D9">
        <w:t>G^tot\widehat{\Delta G}_{\mathrm{tot}}</w:t>
      </w:r>
      <w:r w:rsidRPr="002204D9">
        <w:rPr>
          <w:lang w:val="el-GR"/>
        </w:rPr>
        <w:t>Δ</w:t>
      </w:r>
      <w:r w:rsidRPr="002204D9">
        <w:t xml:space="preserve">Gtot​); (ii) </w:t>
      </w:r>
      <w:r w:rsidRPr="002204D9">
        <w:rPr>
          <w:b/>
          <w:bCs/>
        </w:rPr>
        <w:t>pharmacophore alignment</w:t>
      </w:r>
      <w:r w:rsidRPr="002204D9">
        <w:t xml:space="preserve"> to site anchors from docking maps; and (iii) </w:t>
      </w:r>
      <w:r w:rsidRPr="002204D9">
        <w:rPr>
          <w:b/>
          <w:bCs/>
        </w:rPr>
        <w:t>pocket-shape guidance</w:t>
      </w:r>
      <w:r w:rsidRPr="002204D9">
        <w:t>, using principal curvatures (</w:t>
      </w:r>
      <w:r w:rsidRPr="002204D9">
        <w:rPr>
          <w:lang w:val="el-GR"/>
        </w:rPr>
        <w:t>κ</w:t>
      </w:r>
      <w:r w:rsidRPr="002204D9">
        <w:t>1,</w:t>
      </w:r>
      <w:r w:rsidRPr="002204D9">
        <w:rPr>
          <w:lang w:val="el-GR"/>
        </w:rPr>
        <w:t>κ</w:t>
      </w:r>
      <w:r w:rsidRPr="002204D9">
        <w:t>2)(\kappa_1,\kappa_2)(</w:t>
      </w:r>
      <w:r w:rsidRPr="002204D9">
        <w:rPr>
          <w:lang w:val="el-GR"/>
        </w:rPr>
        <w:t>κ</w:t>
      </w:r>
      <w:r w:rsidRPr="002204D9">
        <w:t>1​,</w:t>
      </w:r>
      <w:r w:rsidRPr="002204D9">
        <w:rPr>
          <w:lang w:val="el-GR"/>
        </w:rPr>
        <w:t>κ</w:t>
      </w:r>
      <w:r w:rsidRPr="002204D9">
        <w:t xml:space="preserve">2​) of the pocket surface (from PDB/SM/AF meshes) and their mean/gaussian combinations, to nudge exploration toward concave, well-hydrated subsites likely to support favourable packing. Numerics use </w:t>
      </w:r>
      <w:r w:rsidRPr="002204D9">
        <w:rPr>
          <w:b/>
          <w:bCs/>
        </w:rPr>
        <w:t>Dormand–Prince (RK45)</w:t>
      </w:r>
      <w:r w:rsidRPr="002204D9">
        <w:t xml:space="preserve"> with adaptive control and reflection at feasibility boundaries [150].</w:t>
      </w:r>
    </w:p>
    <w:p w:rsidR="002204D9" w:rsidRPr="002204D9" w:rsidRDefault="002204D9" w:rsidP="002204D9">
      <w:pPr>
        <w:jc w:val="left"/>
        <w:outlineLvl w:val="9"/>
      </w:pPr>
      <w:r w:rsidRPr="002204D9">
        <w:rPr>
          <w:b/>
          <w:bCs/>
        </w:rPr>
        <w:t>Objective.</w:t>
      </w:r>
      <w:r w:rsidR="00356057">
        <w:t xml:space="preserve"> I </w:t>
      </w:r>
      <w:r w:rsidRPr="002204D9">
        <w:t>minimise</w:t>
      </w:r>
    </w:p>
    <w:p w:rsidR="002204D9" w:rsidRPr="002204D9" w:rsidRDefault="002204D9" w:rsidP="002204D9">
      <w:pPr>
        <w:spacing w:before="0" w:beforeAutospacing="0" w:after="0" w:afterAutospacing="0"/>
        <w:jc w:val="left"/>
        <w:outlineLvl w:val="9"/>
      </w:pPr>
      <w:r w:rsidRPr="002204D9">
        <w:t>L=</w:t>
      </w:r>
      <w:r w:rsidRPr="002204D9">
        <w:rPr>
          <w:lang w:val="el-GR"/>
        </w:rPr>
        <w:t>λ</w:t>
      </w:r>
      <w:r w:rsidRPr="002204D9">
        <w:t>phys </w:t>
      </w:r>
      <w:r w:rsidRPr="002204D9">
        <w:rPr>
          <w:lang w:val="el-GR"/>
        </w:rPr>
        <w:t>Δ</w:t>
      </w:r>
      <w:r w:rsidRPr="002204D9">
        <w:t>G^MM/GBSA+</w:t>
      </w:r>
      <w:r w:rsidRPr="002204D9">
        <w:rPr>
          <w:lang w:val="el-GR"/>
        </w:rPr>
        <w:t>λ</w:t>
      </w:r>
      <w:r w:rsidRPr="002204D9">
        <w:t>ph4 ℓph4+</w:t>
      </w:r>
      <w:r w:rsidRPr="002204D9">
        <w:rPr>
          <w:lang w:val="el-GR"/>
        </w:rPr>
        <w:t>λ</w:t>
      </w:r>
      <w:r w:rsidRPr="002204D9">
        <w:t>info S</w:t>
      </w:r>
      <w:r w:rsidRPr="002204D9">
        <w:rPr>
          <w:lang w:val="el-GR"/>
        </w:rPr>
        <w:t>α</w:t>
      </w:r>
      <w:r w:rsidRPr="002204D9">
        <w:t>+</w:t>
      </w:r>
      <w:r w:rsidRPr="002204D9">
        <w:rPr>
          <w:lang w:val="el-GR"/>
        </w:rPr>
        <w:t>λ</w:t>
      </w:r>
      <w:r w:rsidRPr="002204D9">
        <w:t>chem ℓADMET/SA,(10)\mathcal L = \lambda_{\mathrm{phys}}\ \widehat{\Delta G}_{\mathrm{MM/GBSA}} + \lambda_{\mathrm{ph4}}\ \ell_{\mathrm{ph4}} + \lambda_{\mathrm{info}}\ S_\alpha + \lambda_{\mathrm{chem}}\ \ell_{\mathrm{ADMET/SA}}, \tag{10}L=</w:t>
      </w:r>
      <w:r w:rsidRPr="002204D9">
        <w:rPr>
          <w:lang w:val="el-GR"/>
        </w:rPr>
        <w:t>λ</w:t>
      </w:r>
      <w:r w:rsidRPr="002204D9">
        <w:t>phys​ </w:t>
      </w:r>
      <w:r w:rsidRPr="002204D9">
        <w:rPr>
          <w:lang w:val="el-GR"/>
        </w:rPr>
        <w:t>Δ</w:t>
      </w:r>
      <w:r w:rsidRPr="002204D9">
        <w:t>GMM/GBSA​+</w:t>
      </w:r>
      <w:r w:rsidRPr="002204D9">
        <w:rPr>
          <w:lang w:val="el-GR"/>
        </w:rPr>
        <w:t>λ</w:t>
      </w:r>
      <w:r w:rsidRPr="002204D9">
        <w:t>ph4​ ℓph4​+</w:t>
      </w:r>
      <w:r w:rsidRPr="002204D9">
        <w:rPr>
          <w:lang w:val="el-GR"/>
        </w:rPr>
        <w:t>λ</w:t>
      </w:r>
      <w:r w:rsidRPr="002204D9">
        <w:t>info​ S</w:t>
      </w:r>
      <w:r w:rsidRPr="002204D9">
        <w:rPr>
          <w:lang w:val="el-GR"/>
        </w:rPr>
        <w:t>α</w:t>
      </w:r>
      <w:r w:rsidRPr="002204D9">
        <w:t>​+</w:t>
      </w:r>
      <w:r w:rsidRPr="002204D9">
        <w:rPr>
          <w:lang w:val="el-GR"/>
        </w:rPr>
        <w:t>λ</w:t>
      </w:r>
      <w:r w:rsidRPr="002204D9">
        <w:t xml:space="preserve">chem​ ℓADMET/SA​,(10) </w:t>
      </w:r>
    </w:p>
    <w:p w:rsidR="002204D9" w:rsidRPr="002204D9" w:rsidRDefault="002204D9" w:rsidP="002204D9">
      <w:pPr>
        <w:jc w:val="left"/>
        <w:outlineLvl w:val="9"/>
      </w:pPr>
      <w:r w:rsidRPr="002204D9">
        <w:t xml:space="preserve">balancing corrected energetics, pharmacophore agreement, </w:t>
      </w:r>
      <w:r w:rsidRPr="002204D9">
        <w:rPr>
          <w:b/>
          <w:bCs/>
        </w:rPr>
        <w:t>diversity regularisation</w:t>
      </w:r>
      <w:r w:rsidRPr="002204D9">
        <w:t xml:space="preserve"> (Rényi), and developability (Lipinski/Veber/Ghose/Egan; SwissADME; QED; synthetic accessibility) [25–33, 29]. Docking engines provide initial P0,</w:t>
      </w:r>
      <w:r w:rsidRPr="002204D9">
        <w:rPr>
          <w:lang w:val="el-GR"/>
        </w:rPr>
        <w:t>Π</w:t>
      </w:r>
      <w:r w:rsidRPr="002204D9">
        <w:t>0P_0,\Pi_0P0​,</w:t>
      </w:r>
      <w:r w:rsidRPr="002204D9">
        <w:rPr>
          <w:lang w:val="el-GR"/>
        </w:rPr>
        <w:t>Π</w:t>
      </w:r>
      <w:r w:rsidRPr="002204D9">
        <w:t>0​ [12–20]; structural inputs come from PDB or models [15, 73–75].</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29" style="width:0;height:1.5pt" o:hralign="center" o:hrstd="t" o:hr="t" fillcolor="#a0a0a0" stroked="f"/>
        </w:pict>
      </w:r>
    </w:p>
    <w:p w:rsidR="002204D9" w:rsidRPr="002204D9" w:rsidRDefault="002204D9" w:rsidP="002204D9">
      <w:pPr>
        <w:jc w:val="left"/>
        <w:outlineLvl w:val="0"/>
        <w:rPr>
          <w:b/>
          <w:bCs/>
          <w:kern w:val="36"/>
          <w:sz w:val="48"/>
          <w:szCs w:val="48"/>
        </w:rPr>
      </w:pPr>
      <w:r w:rsidRPr="002204D9">
        <w:rPr>
          <w:b/>
          <w:bCs/>
          <w:kern w:val="36"/>
          <w:sz w:val="48"/>
          <w:szCs w:val="48"/>
        </w:rPr>
        <w:t>4. Systems-Level Readouts</w:t>
      </w:r>
    </w:p>
    <w:p w:rsidR="002204D9" w:rsidRPr="002204D9" w:rsidRDefault="002204D9" w:rsidP="002204D9">
      <w:pPr>
        <w:jc w:val="left"/>
        <w:outlineLvl w:val="9"/>
      </w:pPr>
      <w:r w:rsidRPr="002204D9">
        <w:rPr>
          <w:b/>
          <w:bCs/>
        </w:rPr>
        <w:t>(a) Cocktail synergy.</w:t>
      </w:r>
      <w:r w:rsidRPr="002204D9">
        <w:t xml:space="preserve"> For agents A,B,CA,B,CA,B,C, Bliss independence predicts</w:t>
      </w:r>
    </w:p>
    <w:p w:rsidR="002204D9" w:rsidRPr="002204D9" w:rsidRDefault="002204D9" w:rsidP="002204D9">
      <w:pPr>
        <w:spacing w:before="0" w:beforeAutospacing="0" w:after="0" w:afterAutospacing="0"/>
        <w:jc w:val="left"/>
        <w:outlineLvl w:val="9"/>
      </w:pPr>
      <w:r w:rsidRPr="002204D9">
        <w:t xml:space="preserve">Epred=1−(1−EA)(1−EB)(1−EC),CSI=EobsEpred,(11)E_{\mathrm{pred}} = 1-(1-E_A)(1-E_B)(1-E_C),\qquad \mathrm{CSI}=\frac{E_{\mathrm{obs}}}{E_{\mathrm{pred}}}, \tag{11}Epred​=1−(1−EA​)(1−EB​)(1−EC​),CSI=Epred​Eobs​​,(11) </w:t>
      </w:r>
    </w:p>
    <w:p w:rsidR="002204D9" w:rsidRPr="002204D9" w:rsidRDefault="002204D9" w:rsidP="002204D9">
      <w:pPr>
        <w:jc w:val="left"/>
        <w:outlineLvl w:val="9"/>
      </w:pPr>
      <w:r w:rsidRPr="002204D9">
        <w:t>so CSI&gt;1\mathrm{CSI}&gt;1CSI&gt;1 indicates supra-additivity (synergy) [115–116].</w:t>
      </w:r>
    </w:p>
    <w:p w:rsidR="002204D9" w:rsidRPr="002204D9" w:rsidRDefault="002204D9" w:rsidP="002204D9">
      <w:pPr>
        <w:jc w:val="left"/>
        <w:outlineLvl w:val="9"/>
      </w:pPr>
      <w:r w:rsidRPr="002204D9">
        <w:rPr>
          <w:b/>
          <w:bCs/>
        </w:rPr>
        <w:t>(b) Cellular plasticity and order (single-cell).</w:t>
      </w:r>
      <w:r w:rsidRPr="002204D9">
        <w:t xml:space="preserve"> From single-cell profiles (Seurat/SCANPY pipeline)</w:t>
      </w:r>
      <w:r w:rsidR="00356057">
        <w:t xml:space="preserve"> I </w:t>
      </w:r>
      <w:r w:rsidRPr="002204D9">
        <w:t>compute per-cell entropy</w:t>
      </w:r>
    </w:p>
    <w:p w:rsidR="002204D9" w:rsidRPr="002204D9" w:rsidRDefault="002204D9" w:rsidP="002204D9">
      <w:pPr>
        <w:spacing w:before="0" w:beforeAutospacing="0" w:after="0" w:afterAutospacing="0"/>
        <w:jc w:val="left"/>
        <w:outlineLvl w:val="9"/>
      </w:pPr>
      <w:r w:rsidRPr="002204D9">
        <w:t xml:space="preserve">Hi=−∑gpiglog⁡pig,H_i=-\sum_g p_{ig}\log p_{ig},Hi​=−g∑​pig​logpig​, </w:t>
      </w:r>
    </w:p>
    <w:p w:rsidR="002204D9" w:rsidRPr="002204D9" w:rsidRDefault="002204D9" w:rsidP="002204D9">
      <w:pPr>
        <w:jc w:val="left"/>
        <w:outlineLvl w:val="9"/>
      </w:pPr>
      <w:r w:rsidRPr="002204D9">
        <w:t xml:space="preserve">then summarise cohort-level dispersion as </w:t>
      </w:r>
      <w:r w:rsidRPr="002204D9">
        <w:rPr>
          <w:b/>
          <w:bCs/>
        </w:rPr>
        <w:t>Mean Residual Heterogeneity</w:t>
      </w:r>
    </w:p>
    <w:p w:rsidR="002204D9" w:rsidRPr="002204D9" w:rsidRDefault="002204D9" w:rsidP="002204D9">
      <w:pPr>
        <w:spacing w:before="0" w:beforeAutospacing="0" w:after="0" w:afterAutospacing="0"/>
        <w:jc w:val="left"/>
        <w:outlineLvl w:val="9"/>
      </w:pPr>
      <w:r w:rsidRPr="002204D9">
        <w:t>MRH=Hbulk−</w:t>
      </w:r>
      <w:r w:rsidRPr="002204D9">
        <w:rPr>
          <w:lang w:val="el-GR"/>
        </w:rPr>
        <w:t>μσ</w:t>
      </w:r>
      <w:r w:rsidRPr="002204D9">
        <w:t>,(12)\mathrm{MRH}=\frac{H_{\mathrm{bulk}}-\mu}{\sigma}, \tag{12}MRH=</w:t>
      </w:r>
      <w:r w:rsidRPr="002204D9">
        <w:rPr>
          <w:lang w:val="el-GR"/>
        </w:rPr>
        <w:t>σ</w:t>
      </w:r>
      <w:r w:rsidRPr="002204D9">
        <w:t>Hbulk​−</w:t>
      </w:r>
      <w:r w:rsidRPr="002204D9">
        <w:rPr>
          <w:lang w:val="el-GR"/>
        </w:rPr>
        <w:t>μ</w:t>
      </w:r>
      <w:r w:rsidRPr="002204D9">
        <w:t xml:space="preserve">​,(12) </w:t>
      </w:r>
    </w:p>
    <w:p w:rsidR="002204D9" w:rsidRPr="002204D9" w:rsidRDefault="002204D9" w:rsidP="002204D9">
      <w:pPr>
        <w:jc w:val="left"/>
        <w:outlineLvl w:val="9"/>
      </w:pPr>
      <w:r w:rsidRPr="002204D9">
        <w:t xml:space="preserve">with </w:t>
      </w:r>
      <w:r w:rsidRPr="002204D9">
        <w:rPr>
          <w:lang w:val="el-GR"/>
        </w:rPr>
        <w:t>μ</w:t>
      </w:r>
      <w:r w:rsidRPr="002204D9">
        <w:t>,</w:t>
      </w:r>
      <w:r w:rsidRPr="002204D9">
        <w:rPr>
          <w:lang w:val="el-GR"/>
        </w:rPr>
        <w:t>σ</w:t>
      </w:r>
      <w:r w:rsidRPr="002204D9">
        <w:t>\mu,\sigma</w:t>
      </w:r>
      <w:r w:rsidRPr="002204D9">
        <w:rPr>
          <w:lang w:val="el-GR"/>
        </w:rPr>
        <w:t>μ</w:t>
      </w:r>
      <w:r w:rsidRPr="002204D9">
        <w:t>,</w:t>
      </w:r>
      <w:r w:rsidRPr="002204D9">
        <w:rPr>
          <w:lang w:val="el-GR"/>
        </w:rPr>
        <w:t>σ</w:t>
      </w:r>
      <w:r w:rsidRPr="002204D9">
        <w:t xml:space="preserve"> the sample mean/SD of {Hi}\{H_i\}{Hi​}. Positive MRH reflects broad but regulated phenotypic spread—often a signature of responsive, non-chaotic plasticity in reparative contexts. UMAP/t-SNE provide complementary geometry for QC and visual validation [94–100].</w:t>
      </w:r>
    </w:p>
    <w:p w:rsidR="002204D9" w:rsidRPr="002204D9" w:rsidRDefault="002204D9" w:rsidP="002204D9">
      <w:pPr>
        <w:jc w:val="left"/>
        <w:outlineLvl w:val="9"/>
      </w:pPr>
      <w:r w:rsidRPr="002204D9">
        <w:rPr>
          <w:b/>
          <w:bCs/>
        </w:rPr>
        <w:t>(c) Network signalling noise.</w:t>
      </w:r>
      <w:r w:rsidRPr="002204D9">
        <w:t xml:space="preserve"> On ECM/protease/fibrocyte subnetworks assembled from </w:t>
      </w:r>
      <w:r w:rsidRPr="002204D9">
        <w:rPr>
          <w:b/>
          <w:bCs/>
        </w:rPr>
        <w:t>STRING</w:t>
      </w:r>
      <w:r w:rsidRPr="002204D9">
        <w:t xml:space="preserve"> and annotated with KEGG/Reactome/GO,</w:t>
      </w:r>
      <w:r w:rsidR="00356057">
        <w:t xml:space="preserve"> I </w:t>
      </w:r>
      <w:r w:rsidRPr="002204D9">
        <w:t xml:space="preserve">track </w:t>
      </w:r>
      <w:r w:rsidRPr="002204D9">
        <w:rPr>
          <w:b/>
          <w:bCs/>
        </w:rPr>
        <w:t>graph structural entropy</w:t>
      </w:r>
    </w:p>
    <w:p w:rsidR="002204D9" w:rsidRPr="002204D9" w:rsidRDefault="002204D9" w:rsidP="002204D9">
      <w:pPr>
        <w:spacing w:before="0" w:beforeAutospacing="0" w:after="0" w:afterAutospacing="0"/>
        <w:jc w:val="left"/>
        <w:outlineLvl w:val="9"/>
      </w:pPr>
      <w:r w:rsidRPr="002204D9">
        <w:t>GSE=−∑v</w:t>
      </w:r>
      <w:r w:rsidRPr="002204D9">
        <w:rPr>
          <w:lang w:val="el-GR"/>
        </w:rPr>
        <w:t>π</w:t>
      </w:r>
      <w:r w:rsidRPr="002204D9">
        <w:t>vlog⁡</w:t>
      </w:r>
      <w:r w:rsidRPr="002204D9">
        <w:rPr>
          <w:lang w:val="el-GR"/>
        </w:rPr>
        <w:t>π</w:t>
      </w:r>
      <w:r w:rsidRPr="002204D9">
        <w:t>v,</w:t>
      </w:r>
      <w:r w:rsidRPr="002204D9">
        <w:rPr>
          <w:lang w:val="el-GR"/>
        </w:rPr>
        <w:t>Δ</w:t>
      </w:r>
      <w:r w:rsidRPr="002204D9">
        <w:t>GSE=GSEtreat−GSEctrl,(13)\mathrm{GSE}=-\sum_v \pi_v\log \pi_v,\qquad \Delta\mathrm{GSE}=\mathrm{GSE}_{\mathrm{treat}}-\mathrm{GSE}_{\mathrm{ctrl}}, \tag{13}GSE=−v∑​</w:t>
      </w:r>
      <w:r w:rsidRPr="002204D9">
        <w:rPr>
          <w:lang w:val="el-GR"/>
        </w:rPr>
        <w:t>π</w:t>
      </w:r>
      <w:r w:rsidRPr="002204D9">
        <w:t>v​log</w:t>
      </w:r>
      <w:r w:rsidRPr="002204D9">
        <w:rPr>
          <w:lang w:val="el-GR"/>
        </w:rPr>
        <w:t>π</w:t>
      </w:r>
      <w:r w:rsidRPr="002204D9">
        <w:t>v​,</w:t>
      </w:r>
      <w:r w:rsidRPr="002204D9">
        <w:rPr>
          <w:lang w:val="el-GR"/>
        </w:rPr>
        <w:t>Δ</w:t>
      </w:r>
      <w:r w:rsidRPr="002204D9">
        <w:t xml:space="preserve">GSE=GSEtreat​−GSEctrl​,(13) </w:t>
      </w:r>
    </w:p>
    <w:p w:rsidR="00E8000E" w:rsidRPr="00E8000E" w:rsidRDefault="002204D9" w:rsidP="002204D9">
      <w:pPr>
        <w:jc w:val="left"/>
        <w:outlineLvl w:val="9"/>
      </w:pPr>
      <w:r w:rsidRPr="002204D9">
        <w:t xml:space="preserve">where </w:t>
      </w:r>
      <w:r w:rsidRPr="002204D9">
        <w:rPr>
          <w:lang w:val="el-GR"/>
        </w:rPr>
        <w:t>π</w:t>
      </w:r>
      <w:r w:rsidRPr="002204D9">
        <w:t>v\pi_v</w:t>
      </w:r>
      <w:r w:rsidRPr="002204D9">
        <w:rPr>
          <w:lang w:val="el-GR"/>
        </w:rPr>
        <w:t>π</w:t>
      </w:r>
      <w:r w:rsidRPr="002204D9">
        <w:t xml:space="preserve">v​ is a stationary/centrality-like distribution over nodes (computed and visualised in </w:t>
      </w:r>
      <w:r w:rsidRPr="002204D9">
        <w:rPr>
          <w:b/>
          <w:bCs/>
        </w:rPr>
        <w:t>Cytoscape</w:t>
      </w:r>
      <w:r w:rsidRPr="002204D9">
        <w:t xml:space="preserve">) [85–87, 90–93]. Desirable regimes show </w:t>
      </w:r>
      <w:r w:rsidRPr="002204D9">
        <w:rPr>
          <w:b/>
          <w:bCs/>
        </w:rPr>
        <w:t>increased CSI</w:t>
      </w:r>
      <w:r w:rsidRPr="002204D9">
        <w:t xml:space="preserve">, </w:t>
      </w:r>
      <w:r w:rsidRPr="002204D9">
        <w:rPr>
          <w:b/>
          <w:bCs/>
        </w:rPr>
        <w:t>elevated MRH</w:t>
      </w:r>
      <w:r w:rsidRPr="002204D9">
        <w:t xml:space="preserve">, and </w:t>
      </w:r>
      <w:r w:rsidRPr="002204D9">
        <w:rPr>
          <w:b/>
          <w:bCs/>
        </w:rPr>
        <w:t xml:space="preserve">reduced </w:t>
      </w:r>
      <w:r w:rsidRPr="002204D9">
        <w:rPr>
          <w:b/>
          <w:bCs/>
          <w:lang w:val="el-GR"/>
        </w:rPr>
        <w:t>Δ</w:t>
      </w:r>
      <w:r w:rsidRPr="002204D9">
        <w:rPr>
          <w:b/>
          <w:bCs/>
        </w:rPr>
        <w:t>GSE\Delta\mathrm{GSE}</w:t>
      </w:r>
      <w:r w:rsidRPr="002204D9">
        <w:rPr>
          <w:b/>
          <w:bCs/>
          <w:lang w:val="el-GR"/>
        </w:rPr>
        <w:t>Δ</w:t>
      </w:r>
      <w:r w:rsidRPr="002204D9">
        <w:rPr>
          <w:b/>
          <w:bCs/>
        </w:rPr>
        <w:t>GSE</w:t>
      </w:r>
      <w:r w:rsidRPr="002204D9">
        <w:t>—consistent with synergistic protease control, regulated plasticity, and damped signalling noise.</w:t>
      </w:r>
    </w:p>
    <w:p w:rsidR="002204D9" w:rsidRPr="002204D9" w:rsidRDefault="002204D9" w:rsidP="002204D9">
      <w:pPr>
        <w:jc w:val="left"/>
        <w:outlineLvl w:val="0"/>
        <w:rPr>
          <w:b/>
          <w:bCs/>
          <w:kern w:val="36"/>
          <w:sz w:val="48"/>
          <w:szCs w:val="48"/>
        </w:rPr>
      </w:pPr>
      <w:r w:rsidRPr="002204D9">
        <w:rPr>
          <w:b/>
          <w:bCs/>
          <w:kern w:val="36"/>
          <w:sz w:val="48"/>
          <w:szCs w:val="48"/>
        </w:rPr>
        <w:t>4.1 Network Geometry, Matter, and Abelian Gauge Fields</w:t>
      </w:r>
    </w:p>
    <w:p w:rsidR="002204D9" w:rsidRPr="002204D9" w:rsidRDefault="002204D9" w:rsidP="002204D9">
      <w:pPr>
        <w:jc w:val="left"/>
        <w:outlineLvl w:val="9"/>
      </w:pPr>
      <w:r w:rsidRPr="002204D9">
        <w:t>In protein pockets and signaling neighborhoods such as the elastin receptor complex (ERC/NEU1) and protease subsites, interactions are not well captured by simple graphs; they are naturally expressed on higher-order cell complexes whose 0-, 1-, and 2-cells represent sites, contacts, and cooperative surfaces.</w:t>
      </w:r>
      <w:r w:rsidR="00356057">
        <w:t xml:space="preserve"> I </w:t>
      </w:r>
      <w:r w:rsidRPr="002204D9">
        <w:t xml:space="preserve">place “topological spinors” (cochains) </w:t>
      </w:r>
      <w:r w:rsidRPr="002204D9">
        <w:rPr>
          <w:lang w:val="el-GR"/>
        </w:rPr>
        <w:t>χ</w:t>
      </w:r>
      <w:r w:rsidRPr="002204D9">
        <w:t>,</w:t>
      </w:r>
      <w:r w:rsidRPr="002204D9">
        <w:rPr>
          <w:lang w:val="el-GR"/>
        </w:rPr>
        <w:t>ψ</w:t>
      </w:r>
      <w:r w:rsidRPr="002204D9">
        <w:t>,</w:t>
      </w:r>
      <w:r w:rsidRPr="002204D9">
        <w:rPr>
          <w:lang w:val="el-GR"/>
        </w:rPr>
        <w:t>ξ</w:t>
      </w:r>
      <w:r w:rsidRPr="002204D9">
        <w:t>\chi,\psi,\xi</w:t>
      </w:r>
      <w:r w:rsidRPr="002204D9">
        <w:rPr>
          <w:lang w:val="el-GR"/>
        </w:rPr>
        <w:t>χ</w:t>
      </w:r>
      <w:r w:rsidRPr="002204D9">
        <w:t>,</w:t>
      </w:r>
      <w:r w:rsidRPr="002204D9">
        <w:rPr>
          <w:lang w:val="el-GR"/>
        </w:rPr>
        <w:t>ψ</w:t>
      </w:r>
      <w:r w:rsidRPr="002204D9">
        <w:t>,</w:t>
      </w:r>
      <w:r w:rsidRPr="002204D9">
        <w:rPr>
          <w:lang w:val="el-GR"/>
        </w:rPr>
        <w:t>ξ</w:t>
      </w:r>
      <w:r w:rsidRPr="002204D9">
        <w:t xml:space="preserve"> on nodes, edges, and faces and collect them as </w:t>
      </w:r>
      <w:r w:rsidRPr="002204D9">
        <w:rPr>
          <w:rFonts w:ascii="Cambria Math" w:hAnsi="Cambria Math" w:cs="Cambria Math"/>
        </w:rPr>
        <w:t>∣</w:t>
      </w:r>
      <w:r w:rsidRPr="002204D9">
        <w:rPr>
          <w:lang w:val="el-GR"/>
        </w:rPr>
        <w:t>Φ</w:t>
      </w:r>
      <w:r w:rsidRPr="002204D9">
        <w:rPr>
          <w:rFonts w:ascii="Cambria Math" w:hAnsi="Cambria Math" w:cs="Cambria Math"/>
          <w:lang w:val="el-GR"/>
        </w:rPr>
        <w:t>⟩</w:t>
      </w:r>
      <w:r w:rsidRPr="002204D9">
        <w:t>=(</w:t>
      </w:r>
      <w:r w:rsidRPr="002204D9">
        <w:rPr>
          <w:lang w:val="el-GR"/>
        </w:rPr>
        <w:t>χ</w:t>
      </w:r>
      <w:r w:rsidRPr="002204D9">
        <w:t>,</w:t>
      </w:r>
      <w:r w:rsidRPr="002204D9">
        <w:rPr>
          <w:lang w:val="el-GR"/>
        </w:rPr>
        <w:t>ψ</w:t>
      </w:r>
      <w:r w:rsidRPr="002204D9">
        <w:t>,</w:t>
      </w:r>
      <w:r w:rsidRPr="002204D9">
        <w:rPr>
          <w:lang w:val="el-GR"/>
        </w:rPr>
        <w:t>ξ</w:t>
      </w:r>
      <w:r w:rsidRPr="002204D9">
        <w:t>)</w:t>
      </w:r>
      <w:r w:rsidRPr="002204D9">
        <w:rPr>
          <w:rFonts w:ascii="Cambria Math" w:hAnsi="Cambria Math" w:cs="Cambria Math"/>
        </w:rPr>
        <w:t>⊤</w:t>
      </w:r>
      <w:r w:rsidRPr="002204D9">
        <w:t>|\Phi\rangle=(\chi,\psi,\xi)^\top</w:t>
      </w:r>
      <w:r w:rsidRPr="002204D9">
        <w:rPr>
          <w:rFonts w:ascii="Cambria Math" w:hAnsi="Cambria Math" w:cs="Cambria Math"/>
        </w:rPr>
        <w:t>∣</w:t>
      </w:r>
      <w:r w:rsidRPr="002204D9">
        <w:rPr>
          <w:lang w:val="el-GR"/>
        </w:rPr>
        <w:t>Φ</w:t>
      </w:r>
      <w:r w:rsidRPr="002204D9">
        <w:rPr>
          <w:rFonts w:ascii="Cambria Math" w:hAnsi="Cambria Math" w:cs="Cambria Math"/>
          <w:lang w:val="el-GR"/>
        </w:rPr>
        <w:t>⟩</w:t>
      </w:r>
      <w:r w:rsidRPr="002204D9">
        <w:t>=(</w:t>
      </w:r>
      <w:r w:rsidRPr="002204D9">
        <w:rPr>
          <w:lang w:val="el-GR"/>
        </w:rPr>
        <w:t>χ</w:t>
      </w:r>
      <w:r w:rsidRPr="002204D9">
        <w:t>,</w:t>
      </w:r>
      <w:r w:rsidRPr="002204D9">
        <w:rPr>
          <w:lang w:val="el-GR"/>
        </w:rPr>
        <w:t>ψ</w:t>
      </w:r>
      <w:r w:rsidRPr="002204D9">
        <w:t>,</w:t>
      </w:r>
      <w:r w:rsidRPr="002204D9">
        <w:rPr>
          <w:lang w:val="el-GR"/>
        </w:rPr>
        <w:t>ξ</w:t>
      </w:r>
      <w:r w:rsidRPr="002204D9">
        <w:t>)</w:t>
      </w:r>
      <w:r w:rsidRPr="002204D9">
        <w:rPr>
          <w:rFonts w:ascii="Cambria Math" w:hAnsi="Cambria Math" w:cs="Cambria Math"/>
        </w:rPr>
        <w:t>⊤</w:t>
      </w:r>
      <w:r w:rsidRPr="002204D9">
        <w:t>. A weighted exterior derivative ddd and its adjoint define a discrete Dirac operator D=d+d†D=d+d^\daggerD=d+d† whose square returns the Gauss–Bonnet/Hodge Laplacian LLL on the complex, D2=LD^2=LD2=L (Eq. 15). In</w:t>
      </w:r>
      <w:r w:rsidR="00356057">
        <w:t xml:space="preserve"> my </w:t>
      </w:r>
      <w:r w:rsidRPr="002204D9">
        <w:t xml:space="preserve">implementation the weights are assembled in a positive-definite metric GGG that encodes local geometric and biophysical evidence—curvature and concavity from pocket surfaces, hydration propensities, burial signals derived from </w:t>
      </w:r>
      <w:r w:rsidRPr="002204D9">
        <w:rPr>
          <w:lang w:val="el-GR"/>
        </w:rPr>
        <w:t>Δ</w:t>
      </w:r>
      <w:r w:rsidRPr="002204D9">
        <w:t>\Delta</w:t>
      </w:r>
      <w:r w:rsidRPr="002204D9">
        <w:rPr>
          <w:lang w:val="el-GR"/>
        </w:rPr>
        <w:t>Δ</w:t>
      </w:r>
      <w:r w:rsidRPr="002204D9">
        <w:t>SASA, and contact reliability inferred from docking consensus and short MD. Minimal Abelian gauge coupling is introduced through boundary maps B(A)[k]B^{[k]}_{(A)}B(A)[k]​, so that transport between cells acquires U(1) phases without altering the combinatorics; this allows direction- and environment-sensitive propagation of pharmacophoric information in a manner that is compatible with</w:t>
      </w:r>
      <w:r w:rsidR="00356057">
        <w:t xml:space="preserve"> my </w:t>
      </w:r>
      <w:r w:rsidRPr="002204D9">
        <w:t>quantum feature maps and readouts [119–121, 124–126, 131, 140–145, 149].</w:t>
      </w:r>
    </w:p>
    <w:p w:rsidR="002204D9" w:rsidRPr="002204D9" w:rsidRDefault="002204D9" w:rsidP="002204D9">
      <w:pPr>
        <w:jc w:val="left"/>
        <w:outlineLvl w:val="9"/>
      </w:pPr>
      <w:r w:rsidRPr="002204D9">
        <w:t>Geometry, information, and matter are coupled through a stationarity condition that plays the role of a discrete Euler–Lagrange equation,</w:t>
      </w:r>
    </w:p>
    <w:p w:rsidR="002204D9" w:rsidRPr="002204D9" w:rsidRDefault="002204D9" w:rsidP="002204D9">
      <w:pPr>
        <w:spacing w:before="0" w:beforeAutospacing="0" w:after="0" w:afterAutospacing="0"/>
        <w:jc w:val="left"/>
        <w:outlineLvl w:val="9"/>
      </w:pPr>
      <w:r w:rsidRPr="002204D9">
        <w:rPr>
          <w:lang w:val="el-GR"/>
        </w:rPr>
        <w:t>σ</w:t>
      </w:r>
      <w:r w:rsidRPr="002204D9">
        <w:t> G−1+ln⁡G=T(matter,A;G),\sigma\,G^{-1}+\ln G = T(\mathrm{matter},A;G),</w:t>
      </w:r>
      <w:r w:rsidRPr="002204D9">
        <w:rPr>
          <w:lang w:val="el-GR"/>
        </w:rPr>
        <w:t>σ</w:t>
      </w:r>
      <w:r w:rsidRPr="002204D9">
        <w:t xml:space="preserve">G−1+lnG=T(matter,A;G), </w:t>
      </w:r>
    </w:p>
    <w:p w:rsidR="002204D9" w:rsidRPr="002204D9" w:rsidRDefault="002204D9" w:rsidP="002204D9">
      <w:pPr>
        <w:jc w:val="left"/>
        <w:outlineLvl w:val="9"/>
      </w:pPr>
      <w:r w:rsidRPr="002204D9">
        <w:t xml:space="preserve">where the left-hand side is a </w:t>
      </w:r>
      <w:r w:rsidRPr="002204D9">
        <w:rPr>
          <w:i/>
          <w:iCs/>
        </w:rPr>
        <w:t>capacity</w:t>
      </w:r>
      <w:r w:rsidRPr="002204D9">
        <w:t xml:space="preserve"> prior (the ln⁡det⁡G\ln\det GlndetG–like term biases against unnecessarily expressive geometries), and the right-hand side T(</w:t>
      </w:r>
      <w:r w:rsidRPr="002204D9">
        <w:rPr>
          <w:rFonts w:ascii="Cambria Math" w:hAnsi="Cambria Math" w:cs="Cambria Math"/>
        </w:rPr>
        <w:t>⋅</w:t>
      </w:r>
      <w:r w:rsidRPr="002204D9">
        <w:t>)T(\cdot)T(</w:t>
      </w:r>
      <w:r w:rsidRPr="002204D9">
        <w:rPr>
          <w:rFonts w:ascii="Cambria Math" w:hAnsi="Cambria Math" w:cs="Cambria Math"/>
        </w:rPr>
        <w:t>⋅</w:t>
      </w:r>
      <w:r w:rsidRPr="002204D9">
        <w:t xml:space="preserve">) is a stress-tensor–like term computed from the cochains and gauge links (Eq. 16). Solving (16) approximately, interleaved with the pose/graph ODE updates, gives an adaptive metric that limits model capacity while remaining responsive to local evidence. In practice, directional extensions with local frames </w:t>
      </w:r>
      <w:r w:rsidRPr="002204D9">
        <w:rPr>
          <w:lang w:val="el-GR"/>
        </w:rPr>
        <w:t>γμ</w:t>
      </w:r>
      <w:r w:rsidRPr="002204D9">
        <w:t>\gamma_\mu</w:t>
      </w:r>
      <w:r w:rsidRPr="002204D9">
        <w:rPr>
          <w:lang w:val="el-GR"/>
        </w:rPr>
        <w:t>γμ</w:t>
      </w:r>
      <w:r w:rsidRPr="002204D9">
        <w:t>​, curvature RRR, and Abelian field strengths F</w:t>
      </w:r>
      <w:r w:rsidRPr="002204D9">
        <w:rPr>
          <w:lang w:val="el-GR"/>
        </w:rPr>
        <w:t>μν</w:t>
      </w:r>
      <w:r w:rsidRPr="002204D9">
        <w:t>F_{\mu\nu}F</w:t>
      </w:r>
      <w:r w:rsidRPr="002204D9">
        <w:rPr>
          <w:lang w:val="el-GR"/>
        </w:rPr>
        <w:t>μν</w:t>
      </w:r>
      <w:r w:rsidRPr="002204D9">
        <w:t>​ provide anisotropic weights along grooves and canyons—for example, the S1′/S2′ subsites of MMP-1 and the ERC binding groove assembled from PDB or high-quality models [15, 73–75] and validated against network context [85–87, 90–93].</w:t>
      </w:r>
      <w:r w:rsidR="00356057">
        <w:t xml:space="preserve"> I </w:t>
      </w:r>
      <w:r w:rsidRPr="002204D9">
        <w:t>integrate these operators with Dormand–Prince time stepping (RK45) to evolve poses and graphs while keeping gradients stable for learning [150]. The outcome is practical: capacity control, strict locality through incidence, and curvature bias act as mathematically principled regularizers for the Pharmacophoric-ODE search, stabilizing ranks across chemotypes and reducing false positives in ERC/NEU1 and protease pockets [4–10, 151–155, 168–172].</w:t>
      </w:r>
    </w:p>
    <w:p w:rsidR="002204D9" w:rsidRPr="002204D9" w:rsidRDefault="002204D9" w:rsidP="002204D9">
      <w:pPr>
        <w:jc w:val="left"/>
        <w:outlineLvl w:val="0"/>
        <w:rPr>
          <w:b/>
          <w:bCs/>
          <w:kern w:val="36"/>
          <w:sz w:val="48"/>
          <w:szCs w:val="48"/>
        </w:rPr>
      </w:pPr>
      <w:r w:rsidRPr="002204D9">
        <w:rPr>
          <w:b/>
          <w:bCs/>
          <w:kern w:val="36"/>
          <w:sz w:val="48"/>
          <w:szCs w:val="48"/>
        </w:rPr>
        <w:t>4.2 Geometry as a Regularizer of Design</w:t>
      </w:r>
    </w:p>
    <w:p w:rsidR="002204D9" w:rsidRPr="002204D9" w:rsidRDefault="002204D9" w:rsidP="002204D9">
      <w:pPr>
        <w:jc w:val="left"/>
        <w:outlineLvl w:val="9"/>
      </w:pPr>
      <w:r w:rsidRPr="002204D9">
        <w:t>The metric capacity Trln⁡G=ln⁡det⁡G\mathrm{Tr}\ln G=\ln\det GTrlnG=lndetG functions as a complexity prior during optimization. When</w:t>
      </w:r>
      <w:r w:rsidR="00356057">
        <w:t xml:space="preserve"> I </w:t>
      </w:r>
      <w:r w:rsidRPr="002204D9">
        <w:t>minimize the overall action that includes this term, the ODE flow is discouraged from adopting overly intricate, poorly supported geometries.</w:t>
      </w:r>
      <w:r w:rsidR="00356057">
        <w:t xml:space="preserve"> I </w:t>
      </w:r>
      <w:r w:rsidRPr="002204D9">
        <w:t xml:space="preserve">alternate pose/graph integration steps with proximal updates to GGG, back-propagating through curvature and </w:t>
      </w:r>
      <w:r w:rsidRPr="002204D9">
        <w:rPr>
          <w:lang w:val="el-GR"/>
        </w:rPr>
        <w:t>Δ</w:t>
      </w:r>
      <w:r w:rsidRPr="002204D9">
        <w:t>\Delta</w:t>
      </w:r>
      <w:r w:rsidRPr="002204D9">
        <w:rPr>
          <w:lang w:val="el-GR"/>
        </w:rPr>
        <w:t>Δ</w:t>
      </w:r>
      <w:r w:rsidRPr="002204D9">
        <w:t>SASA computations so that capacity is reduced where evidence is weak and increased where the pocket offers consistent geometric guidance [67, 70–71, 150].</w:t>
      </w:r>
    </w:p>
    <w:p w:rsidR="002204D9" w:rsidRPr="002204D9" w:rsidRDefault="002204D9" w:rsidP="002204D9">
      <w:pPr>
        <w:jc w:val="left"/>
        <w:outlineLvl w:val="9"/>
      </w:pPr>
      <w:r w:rsidRPr="002204D9">
        <w:t>Locality is enforced by incidence-limited and direction-limited masks that restrict coupling to physically plausible contacts. Distances and angles are taken from docking density (AutoDock Vina/AutoDock4; cross-checks with Glide/GOLD/DOCK where available) and from short restrained MD (GROMACS or OpenMM) [12, 14, 16–19, 54–55]. These masks mirror pharmacophoric locality and complement curvature priors: inside concave, hydrated subsites, the ODE naturally bends trajectories toward regions where hydrophobic burial and directional hydrogen bonding can be co-optimized, which is precisely what</w:t>
      </w:r>
      <w:r w:rsidR="00356057">
        <w:t xml:space="preserve"> my </w:t>
      </w:r>
      <w:r w:rsidRPr="002204D9">
        <w:t xml:space="preserve">explicit </w:t>
      </w:r>
      <w:r w:rsidRPr="002204D9">
        <w:rPr>
          <w:lang w:val="el-GR"/>
        </w:rPr>
        <w:t>Δ</w:t>
      </w:r>
      <w:r w:rsidRPr="002204D9">
        <w:t>\Delta</w:t>
      </w:r>
      <w:r w:rsidRPr="002204D9">
        <w:rPr>
          <w:lang w:val="el-GR"/>
        </w:rPr>
        <w:t>Δ</w:t>
      </w:r>
      <w:r w:rsidRPr="002204D9">
        <w:t>SASA non-polar term rewards (Eqs. 5–7) [67–71].</w:t>
      </w:r>
    </w:p>
    <w:p w:rsidR="002204D9" w:rsidRPr="002204D9" w:rsidRDefault="002204D9" w:rsidP="002204D9">
      <w:pPr>
        <w:jc w:val="left"/>
        <w:outlineLvl w:val="9"/>
      </w:pPr>
      <w:r w:rsidRPr="002204D9">
        <w:t xml:space="preserve">This geometric discipline dovetails with the upstream entropy-based triage of Section 3: scaffold diversity is preserved before physics, while capacity and locality are controlled during search. The combined effect is to avoid </w:t>
      </w:r>
      <w:r w:rsidRPr="002204D9">
        <w:rPr>
          <w:i/>
          <w:iCs/>
        </w:rPr>
        <w:t>mode collapse</w:t>
      </w:r>
      <w:r w:rsidRPr="002204D9">
        <w:t xml:space="preserve"> (selecting look-alike scaffolds) and </w:t>
      </w:r>
      <w:r w:rsidRPr="002204D9">
        <w:rPr>
          <w:i/>
          <w:iCs/>
        </w:rPr>
        <w:t>over-complexity</w:t>
      </w:r>
      <w:r w:rsidRPr="002204D9">
        <w:t xml:space="preserve"> (over-fitting pocket geometry). Throughout,</w:t>
      </w:r>
      <w:r w:rsidR="00356057">
        <w:t xml:space="preserve"> I </w:t>
      </w:r>
      <w:r w:rsidRPr="002204D9">
        <w:t>impose soft guardrails for developability using Lipinski/Veber/Ghose/Egan rules, SwissADME checks, QED, and synthetic accessibility; thus, designs that look geometrically ideal also satisfy medicinal chemistry plausibility [25–33, 29, 31–32].</w:t>
      </w:r>
    </w:p>
    <w:p w:rsidR="002204D9" w:rsidRPr="002204D9" w:rsidRDefault="002204D9" w:rsidP="002204D9">
      <w:pPr>
        <w:jc w:val="left"/>
        <w:outlineLvl w:val="0"/>
        <w:rPr>
          <w:b/>
          <w:bCs/>
          <w:kern w:val="36"/>
          <w:sz w:val="48"/>
          <w:szCs w:val="48"/>
        </w:rPr>
      </w:pPr>
      <w:r w:rsidRPr="002204D9">
        <w:rPr>
          <w:b/>
          <w:bCs/>
          <w:kern w:val="36"/>
          <w:sz w:val="48"/>
          <w:szCs w:val="48"/>
        </w:rPr>
        <w:t>4.3 Designed Chemotypes and the ERC/NEU1 Context</w:t>
      </w:r>
    </w:p>
    <w:p w:rsidR="002204D9" w:rsidRPr="002204D9" w:rsidRDefault="002204D9" w:rsidP="002204D9">
      <w:pPr>
        <w:jc w:val="left"/>
        <w:outlineLvl w:val="9"/>
      </w:pPr>
      <w:r w:rsidRPr="002204D9">
        <w:t>Guided by elastin-derived peptide motifs and ERC biology,</w:t>
      </w:r>
      <w:r w:rsidR="00356057">
        <w:t xml:space="preserve"> I </w:t>
      </w:r>
      <w:r w:rsidRPr="002204D9">
        <w:t xml:space="preserve">elaborated a polyhydroxylated seed into three directed series: a hydroxamate tuned for the catalytic architecture of MMP-1, a </w:t>
      </w:r>
      <w:r w:rsidRPr="002204D9">
        <w:rPr>
          <w:lang w:val="el-GR"/>
        </w:rPr>
        <w:t>γ</w:t>
      </w:r>
      <w:r w:rsidRPr="002204D9">
        <w:t>-lactam sitter for neutrophil elastase, and a proline-like ERC mimetic meant to emulate key features of elastin-binding sequences [4–10, 151–155, 168–172]. In parallel,</w:t>
      </w:r>
      <w:r w:rsidR="00356057">
        <w:t xml:space="preserve"> I </w:t>
      </w:r>
      <w:r w:rsidRPr="002204D9">
        <w:t>derived an ERC/NEU1-biased peptidomimetic consensus that serves both as a concrete scaffold and as a soft constraint in the pharmacophore loss during ODE evolution.</w:t>
      </w:r>
    </w:p>
    <w:p w:rsidR="002204D9" w:rsidRPr="002204D9" w:rsidRDefault="002204D9" w:rsidP="002204D9">
      <w:pPr>
        <w:jc w:val="left"/>
        <w:outlineLvl w:val="9"/>
      </w:pPr>
      <w:r w:rsidRPr="002204D9">
        <w:t xml:space="preserve">Candidate molecules were drawn from ZINC and related resources and, where helpful, filtered with pharmacophore searches (ZINCPharmer); structures were docked with AutoDock Vina and AutoDock4, optionally cross-validated with alternative engines, into PDB structures or homology/AI models (SWISS-MODEL, AlphaFold, ColabFold) [11–21, 12–20, 15, 73–75]. Top poses underwent short MD relaxation using standard, validated settings—PME electrostatics, TIP3P/TIP4P-Ew/TIP4P/2005 waters, v-rescale/thermostats, LINCS/SETTLE constraints—before MM-PB(GB)SA scoring with an explicit linear </w:t>
      </w:r>
      <w:r w:rsidRPr="002204D9">
        <w:rPr>
          <w:lang w:val="el-GR"/>
        </w:rPr>
        <w:t>Δ</w:t>
      </w:r>
      <w:r w:rsidRPr="002204D9">
        <w:t>\Delta</w:t>
      </w:r>
      <w:r w:rsidRPr="002204D9">
        <w:rPr>
          <w:lang w:val="el-GR"/>
        </w:rPr>
        <w:t>Δ</w:t>
      </w:r>
      <w:r w:rsidRPr="002204D9">
        <w:t>SASA non-polar correction (Shrake–Rupley SASA; Sitkoff/Onufriev GB; g_mmpbsa) [39–55, 67–71, 180–181]. ADMET/QED/SA filters were applied thereafter [25–33]. Finally, network corroboration with STRING and visualization in Cytoscape ensured that prioritized targets and interactors reside within ECM/protease modules enriched in wound-repair pathways, as defined by KEGG/Reactome/GO [85–87, 90–93]. Although</w:t>
      </w:r>
      <w:r w:rsidR="00356057">
        <w:t xml:space="preserve"> I </w:t>
      </w:r>
      <w:r w:rsidRPr="002204D9">
        <w:t>highlight the three directed series above, the same geometry-and-capacity principles extend to diverse phytochemical and peptidomimetic families, provided the candidates pass the same physics and developability gates [25–33, 67–71, 182–183].</w:t>
      </w:r>
    </w:p>
    <w:p w:rsidR="002204D9" w:rsidRPr="002204D9" w:rsidRDefault="002204D9" w:rsidP="002204D9">
      <w:pPr>
        <w:jc w:val="left"/>
        <w:outlineLvl w:val="0"/>
        <w:rPr>
          <w:b/>
          <w:bCs/>
          <w:kern w:val="36"/>
          <w:sz w:val="48"/>
          <w:szCs w:val="48"/>
        </w:rPr>
      </w:pPr>
      <w:r w:rsidRPr="002204D9">
        <w:rPr>
          <w:b/>
          <w:bCs/>
          <w:kern w:val="36"/>
          <w:sz w:val="48"/>
          <w:szCs w:val="48"/>
        </w:rPr>
        <w:t>5. Outlook</w:t>
      </w:r>
    </w:p>
    <w:p w:rsidR="002204D9" w:rsidRPr="002204D9" w:rsidRDefault="002204D9" w:rsidP="002204D9">
      <w:pPr>
        <w:jc w:val="left"/>
        <w:outlineLvl w:val="9"/>
      </w:pPr>
      <w:r w:rsidRPr="002204D9">
        <w:t>The theoretical layer assumes positivity of the relevant metric blocks (e.g., GBFAG_{\mathrm{BFA}}GBFA​) along the ODE trajectory. Understanding potential phase changes—loss of positivity, emergence of geometric condensates, or bifurcations in the metric update—remains an open direction, as does extending the Abelian construction to non-Abelian settings and alternative signatures that more tightly couple curvature RRR and field strengths F</w:t>
      </w:r>
      <w:r w:rsidRPr="002204D9">
        <w:rPr>
          <w:lang w:val="el-GR"/>
        </w:rPr>
        <w:t>μν</w:t>
      </w:r>
      <w:r w:rsidRPr="002204D9">
        <w:t>F_{\mu\nu}F</w:t>
      </w:r>
      <w:r w:rsidRPr="002204D9">
        <w:rPr>
          <w:lang w:val="el-GR"/>
        </w:rPr>
        <w:t>μν</w:t>
      </w:r>
      <w:r w:rsidRPr="002204D9">
        <w:t>​ to non-commutative structure [119–121, 124–126, 131, 140–145, 149].</w:t>
      </w:r>
    </w:p>
    <w:p w:rsidR="002204D9" w:rsidRPr="002204D9" w:rsidRDefault="002204D9" w:rsidP="002204D9">
      <w:pPr>
        <w:jc w:val="left"/>
        <w:outlineLvl w:val="9"/>
      </w:pPr>
      <w:r w:rsidRPr="002204D9">
        <w:t xml:space="preserve">On the energetic side, MM-PB(GB)SA plus </w:t>
      </w:r>
      <w:r w:rsidRPr="002204D9">
        <w:rPr>
          <w:lang w:val="el-GR"/>
        </w:rPr>
        <w:t>Δ</w:t>
      </w:r>
      <w:r w:rsidRPr="002204D9">
        <w:t>\Delta</w:t>
      </w:r>
      <w:r w:rsidRPr="002204D9">
        <w:rPr>
          <w:lang w:val="el-GR"/>
        </w:rPr>
        <w:t>Δ</w:t>
      </w:r>
      <w:r w:rsidRPr="002204D9">
        <w:t xml:space="preserve">SASA is intentionally positioned as a </w:t>
      </w:r>
      <w:r w:rsidRPr="002204D9">
        <w:rPr>
          <w:i/>
          <w:iCs/>
        </w:rPr>
        <w:t>triage-level</w:t>
      </w:r>
      <w:r w:rsidRPr="002204D9">
        <w:t xml:space="preserve"> estimator: it is fast, interpretable, and improves rank robustness by restoring non-polar burial, but it is not a substitute for rigorous relative binding free energies. For shortlists, alchemical RBFE (FEP/TI) and orthogonal biophysics such as SPR or ITC should be used to establish quantitative affinity and thermodynamic decomposition, balancing accuracy with experimental throughput [67–71, 180–181].</w:t>
      </w:r>
    </w:p>
    <w:p w:rsidR="002204D9" w:rsidRPr="002204D9" w:rsidRDefault="002204D9" w:rsidP="002204D9">
      <w:pPr>
        <w:jc w:val="left"/>
        <w:outlineLvl w:val="9"/>
      </w:pPr>
      <w:r w:rsidRPr="002204D9">
        <w:t>Entropy-based diversity scores depend on the chosen chemotype hashing; sensitivity analyses under alternative fingerprints and clustering schemes are warranted to ensure that the same scaffolds emerge as priorities under reasonable perturbations. The software stack used here makes such re-binning and re-scoring routine [101–103].</w:t>
      </w:r>
    </w:p>
    <w:p w:rsidR="002204D9" w:rsidRPr="002204D9" w:rsidRDefault="002204D9" w:rsidP="002204D9">
      <w:pPr>
        <w:jc w:val="left"/>
        <w:outlineLvl w:val="9"/>
      </w:pPr>
      <w:r w:rsidRPr="002204D9">
        <w:t>The Pharmacophoric-ODE requires careful validity projection to avoid chemically impossible states;</w:t>
      </w:r>
      <w:r w:rsidR="00356057">
        <w:t xml:space="preserve"> I </w:t>
      </w:r>
      <w:r w:rsidRPr="002204D9">
        <w:t>enforce valence, ring templates, and protonation sanity checks at each step and continue to strengthen unit tests for long-range couplings to prevent spurious minima. Future work will quantify how curvature priors change pose degeneracy across receptor ensembles, an issue that can be probed with multi-structure docking over PDB, SWISS-MODEL, and AlphaFold entries [12–15, 73–75].</w:t>
      </w:r>
    </w:p>
    <w:p w:rsidR="002204D9" w:rsidRPr="002204D9" w:rsidRDefault="002204D9" w:rsidP="002204D9">
      <w:pPr>
        <w:jc w:val="left"/>
        <w:outlineLvl w:val="9"/>
      </w:pPr>
      <w:r w:rsidRPr="002204D9">
        <w:t>Finally, the quantum sub-model currently relies on GHZ-based entanglement witnesses and entropy traces to gate circuits. These diagnostics are informative in the NISQ regime but capture only part of device behavior. Incorporating additional “tomography-light” checks, including cross-entropy benchmarking and error-mitigation workflows, may sharpen acceptance thresholds; SPSA remains an efficient optimizer under device noise, but robust gradient-free schedules and error-aware cost shaping should also be explored [118–121, 124–126, 134–141, 109–110].</w:t>
      </w:r>
    </w:p>
    <w:p w:rsidR="002204D9" w:rsidRPr="002204D9" w:rsidRDefault="002204D9" w:rsidP="002204D9">
      <w:pPr>
        <w:jc w:val="left"/>
        <w:outlineLvl w:val="9"/>
      </w:pPr>
      <w:r w:rsidRPr="002204D9">
        <w:t>From a translational perspective,</w:t>
      </w:r>
      <w:r w:rsidR="00356057">
        <w:t xml:space="preserve"> I </w:t>
      </w:r>
      <w:r w:rsidRPr="002204D9">
        <w:t>recommend prespecifying advancement thresholds for synergy (CSI from Bliss independence), cellular plasticity (MRH), and network disorder (</w:t>
      </w:r>
      <w:r w:rsidRPr="002204D9">
        <w:rPr>
          <w:lang w:val="el-GR"/>
        </w:rPr>
        <w:t>Δ</w:t>
      </w:r>
      <w:r w:rsidRPr="002204D9">
        <w:t>\Delta</w:t>
      </w:r>
      <w:r w:rsidRPr="002204D9">
        <w:rPr>
          <w:lang w:val="el-GR"/>
        </w:rPr>
        <w:t>Δ</w:t>
      </w:r>
      <w:r w:rsidRPr="002204D9">
        <w:t>GSE) and then expanding combinations around ERC/NEU1 and protease motifs that meet these criteria. Embedding spectral gap analyses of ECM subnetworks into the decision process, validating in skin-equivalent systems, and moving into small controlled human studies provide a disciplined pathway from computation to clinic, all within the same budgeting of geometry, information, and energetics that guides the present framework [85–87, 90–93, 94–100, 115–116, 151–155, 168–172].</w:t>
      </w:r>
    </w:p>
    <w:p w:rsidR="002204D9" w:rsidRPr="002204D9" w:rsidRDefault="002204D9" w:rsidP="002204D9">
      <w:pPr>
        <w:jc w:val="left"/>
        <w:outlineLvl w:val="0"/>
        <w:rPr>
          <w:b/>
          <w:bCs/>
          <w:kern w:val="36"/>
          <w:sz w:val="48"/>
          <w:szCs w:val="48"/>
        </w:rPr>
      </w:pPr>
      <w:r w:rsidRPr="002204D9">
        <w:rPr>
          <w:b/>
          <w:bCs/>
          <w:kern w:val="36"/>
          <w:sz w:val="48"/>
          <w:szCs w:val="48"/>
        </w:rPr>
        <w:t>5.1 Equation Index</w:t>
      </w:r>
    </w:p>
    <w:p w:rsidR="002204D9" w:rsidRPr="002204D9" w:rsidRDefault="002204D9" w:rsidP="002204D9">
      <w:pPr>
        <w:jc w:val="left"/>
        <w:outlineLvl w:val="9"/>
      </w:pPr>
      <w:r w:rsidRPr="002204D9">
        <w:t>Equations referenced in this section are: (1) Shannon entropy HHH; (2) Rényi entropy S</w:t>
      </w:r>
      <w:r w:rsidRPr="002204D9">
        <w:rPr>
          <w:lang w:val="el-GR"/>
        </w:rPr>
        <w:t>α</w:t>
      </w:r>
      <w:r w:rsidRPr="002204D9">
        <w:t>S_\alphaS</w:t>
      </w:r>
      <w:r w:rsidRPr="002204D9">
        <w:rPr>
          <w:lang w:val="el-GR"/>
        </w:rPr>
        <w:t>α</w:t>
      </w:r>
      <w:r w:rsidRPr="002204D9">
        <w:t xml:space="preserve">​; (3) marginal entropy </w:t>
      </w:r>
      <w:r w:rsidRPr="002204D9">
        <w:rPr>
          <w:lang w:val="el-GR"/>
        </w:rPr>
        <w:t>Δ</w:t>
      </w:r>
      <w:r w:rsidRPr="002204D9">
        <w:t>H\Delta H</w:t>
      </w:r>
      <w:r w:rsidRPr="002204D9">
        <w:rPr>
          <w:lang w:val="el-GR"/>
        </w:rPr>
        <w:t>Δ</w:t>
      </w:r>
      <w:r w:rsidRPr="002204D9">
        <w:t xml:space="preserve">H; (4) </w:t>
      </w:r>
      <w:r w:rsidRPr="002204D9">
        <w:rPr>
          <w:lang w:val="el-GR"/>
        </w:rPr>
        <w:t>χ</w:t>
      </w:r>
      <w:r w:rsidRPr="002204D9">
        <w:t>2\chi^2</w:t>
      </w:r>
      <w:r w:rsidRPr="002204D9">
        <w:rPr>
          <w:lang w:val="el-GR"/>
        </w:rPr>
        <w:t>χ</w:t>
      </w:r>
      <w:r w:rsidRPr="002204D9">
        <w:t xml:space="preserve">2 sampling check; (5) </w:t>
      </w:r>
      <w:r w:rsidRPr="002204D9">
        <w:rPr>
          <w:lang w:val="el-GR"/>
        </w:rPr>
        <w:t>Δ</w:t>
      </w:r>
      <w:r w:rsidRPr="002204D9">
        <w:t>GMM–PBSA\Delta G_{\mathrm{MM\text{–}PBSA}}</w:t>
      </w:r>
      <w:r w:rsidRPr="002204D9">
        <w:rPr>
          <w:lang w:val="el-GR"/>
        </w:rPr>
        <w:t>Δ</w:t>
      </w:r>
      <w:r w:rsidRPr="002204D9">
        <w:t xml:space="preserve">GMM–PBSA​; (6) </w:t>
      </w:r>
      <w:r w:rsidRPr="002204D9">
        <w:rPr>
          <w:lang w:val="el-GR"/>
        </w:rPr>
        <w:t>Δ</w:t>
      </w:r>
      <w:r w:rsidRPr="002204D9">
        <w:t>Gnp=</w:t>
      </w:r>
      <w:r w:rsidRPr="002204D9">
        <w:rPr>
          <w:lang w:val="el-GR"/>
        </w:rPr>
        <w:t>γ</w:t>
      </w:r>
      <w:r w:rsidRPr="002204D9">
        <w:t> </w:t>
      </w:r>
      <w:r w:rsidRPr="002204D9">
        <w:rPr>
          <w:lang w:val="el-GR"/>
        </w:rPr>
        <w:t>Δ</w:t>
      </w:r>
      <w:r w:rsidRPr="002204D9">
        <w:t>SASA\Delta G_{\mathrm{np}}=\gamma\,\Delta\mathrm{SASA}</w:t>
      </w:r>
      <w:r w:rsidRPr="002204D9">
        <w:rPr>
          <w:lang w:val="el-GR"/>
        </w:rPr>
        <w:t>Δ</w:t>
      </w:r>
      <w:r w:rsidRPr="002204D9">
        <w:t>Gnp​=</w:t>
      </w:r>
      <w:r w:rsidRPr="002204D9">
        <w:rPr>
          <w:lang w:val="el-GR"/>
        </w:rPr>
        <w:t>γΔ</w:t>
      </w:r>
      <w:r w:rsidRPr="002204D9">
        <w:t xml:space="preserve">SASA; (7) </w:t>
      </w:r>
      <w:r w:rsidRPr="002204D9">
        <w:rPr>
          <w:lang w:val="el-GR"/>
        </w:rPr>
        <w:t>Δ</w:t>
      </w:r>
      <w:r w:rsidRPr="002204D9">
        <w:t>G^tot\widehat{\Delta G}_{\mathrm{tot}}</w:t>
      </w:r>
      <w:r w:rsidRPr="002204D9">
        <w:rPr>
          <w:lang w:val="el-GR"/>
        </w:rPr>
        <w:t>Δ</w:t>
      </w:r>
      <w:r w:rsidRPr="002204D9">
        <w:t xml:space="preserve">Gtot​; (8) candidate state xtx_txt​; (9) neural ODE; (10) composite loss L\mathcal LL; (11) Bliss/CSI; (12) MRH; (13) GSE and </w:t>
      </w:r>
      <w:r w:rsidRPr="002204D9">
        <w:rPr>
          <w:lang w:val="el-GR"/>
        </w:rPr>
        <w:t>Δ</w:t>
      </w:r>
      <w:r w:rsidRPr="002204D9">
        <w:t>\Delta</w:t>
      </w:r>
      <w:r w:rsidRPr="002204D9">
        <w:rPr>
          <w:lang w:val="el-GR"/>
        </w:rPr>
        <w:t>Δ</w:t>
      </w:r>
      <w:r w:rsidRPr="002204D9">
        <w:t>GSE; (15) weighted ddd, Dirac DDD, and Gauss–Bonnet LLL; (16) metric stationarity.</w:t>
      </w:r>
    </w:p>
    <w:p w:rsidR="002204D9" w:rsidRPr="002204D9" w:rsidRDefault="002204D9" w:rsidP="002204D9">
      <w:pPr>
        <w:jc w:val="left"/>
        <w:outlineLvl w:val="0"/>
        <w:rPr>
          <w:b/>
          <w:bCs/>
          <w:kern w:val="36"/>
          <w:sz w:val="48"/>
          <w:szCs w:val="48"/>
        </w:rPr>
      </w:pPr>
      <w:r w:rsidRPr="002204D9">
        <w:rPr>
          <w:b/>
          <w:bCs/>
          <w:kern w:val="36"/>
          <w:sz w:val="48"/>
          <w:szCs w:val="48"/>
        </w:rPr>
        <w:t>6. Methods</w:t>
      </w:r>
    </w:p>
    <w:p w:rsidR="002204D9" w:rsidRPr="002204D9" w:rsidRDefault="002204D9" w:rsidP="002204D9">
      <w:pPr>
        <w:jc w:val="left"/>
        <w:outlineLvl w:val="1"/>
        <w:rPr>
          <w:b/>
          <w:bCs/>
          <w:sz w:val="36"/>
          <w:szCs w:val="36"/>
        </w:rPr>
      </w:pPr>
      <w:r w:rsidRPr="002204D9">
        <w:rPr>
          <w:b/>
          <w:bCs/>
          <w:sz w:val="36"/>
          <w:szCs w:val="36"/>
        </w:rPr>
        <w:t>6.1 Accuracy–cost spectrum in structure-based design; integrated framework for ERC mapping, structural annotation, motif discovery, and quantum calibration</w:t>
      </w:r>
    </w:p>
    <w:p w:rsidR="002204D9" w:rsidRPr="002204D9" w:rsidRDefault="002204D9" w:rsidP="002204D9">
      <w:pPr>
        <w:jc w:val="left"/>
        <w:outlineLvl w:val="9"/>
      </w:pPr>
      <w:r w:rsidRPr="002204D9">
        <w:t>The pipeline is organized as a breadth-to-depth cascade in which inexpensive, high-coverage layers provide biological and structural context before geometry-aware physics and a NISQ-calibrated learner make fine-grained selections. Wound-site transcriptomic profiles are integrated with modern single-cell workflows (SCANPY with UMAP/Harmony/MNN corrections) to identify active ECM, protease, and immune modules in reparative states; these are placed onto STRING protein–protein association networks, annotated with KEGG/Reactome/GO, and examined in Cytoscape with compartment-aware overlays to establish target neighborhoods and interaction partners [85–87, 90–93, 94–100].</w:t>
      </w:r>
    </w:p>
    <w:p w:rsidR="002204D9" w:rsidRPr="002204D9" w:rsidRDefault="002204D9" w:rsidP="002204D9">
      <w:pPr>
        <w:jc w:val="left"/>
        <w:outlineLvl w:val="9"/>
      </w:pPr>
      <w:r w:rsidRPr="002204D9">
        <w:t>Structural targets—MMP-1, neutrophil elastase, and components of ERC/NEU1—are then assembled from PDB when available or from high-quality models (SWISS-MODEL, AlphaFold, ColabFold). Candidate ligands drawn from ZINC and related libraries, including pharmacophore-matched subsets, are docked with AutoDock Vina and AutoDock4 and optionally cross-validated with alternative engines to reduce scoring-function idiosyncrasies [11–21, 12–20, 15, 73–75]. Top-ranked poses are subjected to brief restrained MD relaxation in GROMACS or OpenMM with standard, reproducible settings (PME electrostatics, TIP3P/TIP4P-Ew/TIP4P/2005 waters, appropriate thermostats/barostats, and LINCS/SETTLE constraints) to remove bad contacts and let micro-packing equilibrate [39–55].</w:t>
      </w:r>
    </w:p>
    <w:p w:rsidR="002204D9" w:rsidRPr="002204D9" w:rsidRDefault="002204D9" w:rsidP="002204D9">
      <w:pPr>
        <w:jc w:val="left"/>
        <w:outlineLvl w:val="9"/>
      </w:pPr>
      <w:r w:rsidRPr="002204D9">
        <w:t>Binding energetics are then estimated with MM-PB(GB)SA using g_mmpbsa and GB models (Sitkoff/Onufriev), to which</w:t>
      </w:r>
      <w:r w:rsidR="00356057">
        <w:t xml:space="preserve"> I </w:t>
      </w:r>
      <w:r w:rsidRPr="002204D9">
        <w:t xml:space="preserve">add an explicit, linear </w:t>
      </w:r>
      <w:r w:rsidRPr="002204D9">
        <w:rPr>
          <w:lang w:val="el-GR"/>
        </w:rPr>
        <w:t>Δ</w:t>
      </w:r>
      <w:r w:rsidRPr="002204D9">
        <w:t>\Delta</w:t>
      </w:r>
      <w:r w:rsidRPr="002204D9">
        <w:rPr>
          <w:lang w:val="el-GR"/>
        </w:rPr>
        <w:t>Δ</w:t>
      </w:r>
      <w:r w:rsidRPr="002204D9">
        <w:t>SASA term to restore non-polar burial and improve rank fidelity without sacrificing throughput (Eqs. 5–7) [67–71, 180–181]. Developability gates (Lipinski/Veber/Ghose/Egan rules, SwissADME, QED, SA) are applied at this stage to remove chemically implausible hits [25–33, 29, 31–32].</w:t>
      </w:r>
    </w:p>
    <w:p w:rsidR="002204D9" w:rsidRPr="002204D9" w:rsidRDefault="002204D9" w:rsidP="002204D9">
      <w:pPr>
        <w:jc w:val="left"/>
        <w:outlineLvl w:val="9"/>
      </w:pPr>
      <w:r w:rsidRPr="002204D9">
        <w:t>The surviving set is refined with</w:t>
      </w:r>
      <w:r w:rsidR="00356057">
        <w:t xml:space="preserve"> my </w:t>
      </w:r>
      <w:r w:rsidRPr="002204D9">
        <w:t>Pharmacophoric-ODE under curvature-aware and capacity-regularized dynamics, integrating pocket geometry, pharmacophore alignment, and the energetic objective while maintaining strict chemical validity. Numerical integration uses Dormand–Prince (RK45), which offers stable error control for continuous pose/graph flows and clean adjoints for learning [150].</w:t>
      </w:r>
    </w:p>
    <w:p w:rsidR="002204D9" w:rsidRDefault="002204D9" w:rsidP="002204D9">
      <w:pPr>
        <w:jc w:val="left"/>
        <w:outlineLvl w:val="9"/>
      </w:pPr>
      <w:r w:rsidRPr="002204D9">
        <w:t>Finally, before any quantum training, all candidate circuits are gated by an eight-step, digitized-adiabatic GHZ calibration that produces entanglement-witness and entropy traces; only instances meeting acceptance thresholds proceed to training. The hybrid learner (QAOA</w:t>
      </w:r>
      <w:r w:rsidRPr="002204D9">
        <w:rPr>
          <w:rFonts w:ascii="Cambria Math" w:hAnsi="Cambria Math" w:cs="Cambria Math"/>
        </w:rPr>
        <w:t>⊗</w:t>
      </w:r>
      <w:r w:rsidRPr="002204D9">
        <w:t xml:space="preserve">PQC) consumes physics- and geometry-derived features and is optimized with SPSA on Qiskit/Aer backends, a combination chosen for robustness to device noise and low gradient-query cost in the NISQ regime [118–121, 124–126, 134–141, 109–110]. Systems-level readouts—combination synergy by Bliss CSI, cellular plasticity by MRH, and network disorder by </w:t>
      </w:r>
      <w:r w:rsidRPr="002204D9">
        <w:rPr>
          <w:lang w:val="el-GR"/>
        </w:rPr>
        <w:t>Δ</w:t>
      </w:r>
      <w:r w:rsidRPr="002204D9">
        <w:t>\Delta</w:t>
      </w:r>
      <w:r w:rsidRPr="002204D9">
        <w:rPr>
          <w:lang w:val="el-GR"/>
        </w:rPr>
        <w:t>Δ</w:t>
      </w:r>
      <w:r w:rsidRPr="002204D9">
        <w:t>GSE—close the loop by demanding that prioritized chemotypes and mixtures demonstrate coherent multi-scale behavior aligned with ECM repair [94–100, 115–116].</w:t>
      </w:r>
    </w:p>
    <w:p w:rsidR="002204D9" w:rsidRPr="00E558C7" w:rsidRDefault="002204D9" w:rsidP="002204D9">
      <w:pPr>
        <w:jc w:val="left"/>
        <w:outlineLvl w:val="0"/>
        <w:rPr>
          <w:b/>
          <w:bCs/>
          <w:kern w:val="36"/>
          <w:sz w:val="48"/>
          <w:szCs w:val="48"/>
        </w:rPr>
      </w:pPr>
      <w:r w:rsidRPr="00E558C7">
        <w:rPr>
          <w:b/>
          <w:bCs/>
          <w:kern w:val="36"/>
          <w:sz w:val="48"/>
          <w:szCs w:val="48"/>
        </w:rPr>
        <w:t>Integrated multi-scale pipeline for ERC/NEU1- and protease-focused design: an expanded narrative</w:t>
      </w:r>
    </w:p>
    <w:p w:rsidR="002204D9" w:rsidRPr="00E558C7" w:rsidRDefault="002204D9" w:rsidP="002204D9">
      <w:pPr>
        <w:jc w:val="left"/>
        <w:outlineLvl w:val="1"/>
        <w:rPr>
          <w:b/>
          <w:bCs/>
          <w:sz w:val="36"/>
          <w:szCs w:val="36"/>
        </w:rPr>
      </w:pPr>
      <w:r w:rsidRPr="00E558C7">
        <w:rPr>
          <w:b/>
          <w:bCs/>
          <w:sz w:val="36"/>
          <w:szCs w:val="36"/>
        </w:rPr>
        <w:t>(i) Wound transcriptomics (NanoString): anchoring targets and readouts in re-epithelialization biology</w:t>
      </w:r>
    </w:p>
    <w:p w:rsidR="002204D9" w:rsidRPr="00E558C7" w:rsidRDefault="002204D9" w:rsidP="002204D9">
      <w:pPr>
        <w:jc w:val="left"/>
        <w:outlineLvl w:val="9"/>
      </w:pPr>
      <w:r w:rsidRPr="00E558C7">
        <w:t xml:space="preserve">We profiled standardized suction-blister wounds alongside matched, unwounded skin using a 139-transcript NanoString panel optimized for keratinocyte–fibroblast crosstalk and extracellular-matrix (ECM) turnover. Sample handling followed a harmonized protocol (paired anatomical sites, identical collection windows, uniform lysis chemistry), and raw counts were QC-filtered, background-corrected, and normalized to housekeeping genes prior to differential analysis. Because the discovery stack downstream (docking → MD → MM-PB(GB)SA + </w:t>
      </w:r>
      <w:r w:rsidRPr="002204D9">
        <w:rPr>
          <w:lang w:val="el-GR"/>
        </w:rPr>
        <w:t>Δ</w:t>
      </w:r>
      <w:r w:rsidRPr="00E558C7">
        <w:t xml:space="preserve">SASA; Section “Structure-based design core”) ultimately ranks chemotypes on biophysical grounds, the role of the transcriptomic layer is not to “declare winners,” but to set </w:t>
      </w:r>
      <w:r w:rsidRPr="00E558C7">
        <w:rPr>
          <w:i/>
          <w:iCs/>
        </w:rPr>
        <w:t>axes of control</w:t>
      </w:r>
      <w:r w:rsidRPr="00E558C7">
        <w:t xml:space="preserve"> and </w:t>
      </w:r>
      <w:r w:rsidRPr="00E558C7">
        <w:rPr>
          <w:i/>
          <w:iCs/>
        </w:rPr>
        <w:t>systems-level readouts</w:t>
      </w:r>
      <w:r w:rsidRPr="00E558C7">
        <w:t xml:space="preserve"> that any candidate must move in a coherent, wound-consistent direction.</w:t>
      </w:r>
    </w:p>
    <w:p w:rsidR="002204D9" w:rsidRPr="00E558C7" w:rsidRDefault="002204D9" w:rsidP="002204D9">
      <w:pPr>
        <w:jc w:val="left"/>
        <w:outlineLvl w:val="9"/>
      </w:pPr>
      <w:r w:rsidRPr="00E558C7">
        <w:t>Across donors,</w:t>
      </w:r>
      <w:r w:rsidR="00356057">
        <w:t xml:space="preserve"> I </w:t>
      </w:r>
      <w:r w:rsidRPr="00E558C7">
        <w:t xml:space="preserve">identified a reproducible pro-repair signature dominated by matrix remodeling and inflammatory mediators: </w:t>
      </w:r>
      <w:r w:rsidRPr="00E558C7">
        <w:rPr>
          <w:b/>
          <w:bCs/>
        </w:rPr>
        <w:t>22 upregulated DEGs</w:t>
      </w:r>
      <w:r w:rsidRPr="00E558C7">
        <w:t>—</w:t>
      </w:r>
      <w:r w:rsidRPr="00E558C7">
        <w:rPr>
          <w:i/>
          <w:iCs/>
        </w:rPr>
        <w:t>MMP1</w:t>
      </w:r>
      <w:r w:rsidRPr="00E558C7">
        <w:t xml:space="preserve"> (lead), </w:t>
      </w:r>
      <w:r w:rsidRPr="00E558C7">
        <w:rPr>
          <w:i/>
          <w:iCs/>
        </w:rPr>
        <w:t>MMP3</w:t>
      </w:r>
      <w:r w:rsidRPr="00E558C7">
        <w:t xml:space="preserve">, </w:t>
      </w:r>
      <w:r w:rsidRPr="00E558C7">
        <w:rPr>
          <w:i/>
          <w:iCs/>
        </w:rPr>
        <w:t>IL6</w:t>
      </w:r>
      <w:r w:rsidRPr="00E558C7">
        <w:t xml:space="preserve">, </w:t>
      </w:r>
      <w:r w:rsidRPr="00E558C7">
        <w:rPr>
          <w:i/>
          <w:iCs/>
        </w:rPr>
        <w:t>CXCL8</w:t>
      </w:r>
      <w:r w:rsidRPr="00E558C7">
        <w:t xml:space="preserve">, </w:t>
      </w:r>
      <w:r w:rsidRPr="00E558C7">
        <w:rPr>
          <w:i/>
          <w:iCs/>
        </w:rPr>
        <w:t>SERPINE1</w:t>
      </w:r>
      <w:r w:rsidRPr="00E558C7">
        <w:t xml:space="preserve">, </w:t>
      </w:r>
      <w:r w:rsidRPr="00E558C7">
        <w:rPr>
          <w:i/>
          <w:iCs/>
        </w:rPr>
        <w:t>IL1B</w:t>
      </w:r>
      <w:r w:rsidRPr="00E558C7">
        <w:t xml:space="preserve">, </w:t>
      </w:r>
      <w:r w:rsidRPr="00E558C7">
        <w:rPr>
          <w:i/>
          <w:iCs/>
        </w:rPr>
        <w:t>PTGS2</w:t>
      </w:r>
      <w:r w:rsidRPr="00E558C7">
        <w:t xml:space="preserve">, </w:t>
      </w:r>
      <w:r w:rsidRPr="00E558C7">
        <w:rPr>
          <w:i/>
          <w:iCs/>
        </w:rPr>
        <w:t>HBEGF</w:t>
      </w:r>
      <w:r w:rsidRPr="00E558C7">
        <w:t xml:space="preserve">, </w:t>
      </w:r>
      <w:r w:rsidRPr="00E558C7">
        <w:rPr>
          <w:i/>
          <w:iCs/>
        </w:rPr>
        <w:t>CXCL5</w:t>
      </w:r>
      <w:r w:rsidRPr="00E558C7">
        <w:t xml:space="preserve">, </w:t>
      </w:r>
      <w:r w:rsidRPr="00E558C7">
        <w:rPr>
          <w:i/>
          <w:iCs/>
        </w:rPr>
        <w:t>CXCL2</w:t>
      </w:r>
      <w:r w:rsidRPr="00E558C7">
        <w:t xml:space="preserve">, </w:t>
      </w:r>
      <w:r w:rsidRPr="00E558C7">
        <w:rPr>
          <w:i/>
          <w:iCs/>
        </w:rPr>
        <w:t>TIMP1</w:t>
      </w:r>
      <w:r w:rsidRPr="00E558C7">
        <w:t xml:space="preserve">, </w:t>
      </w:r>
      <w:r w:rsidRPr="00E558C7">
        <w:rPr>
          <w:i/>
          <w:iCs/>
        </w:rPr>
        <w:t>CYR61</w:t>
      </w:r>
      <w:r w:rsidRPr="00E558C7">
        <w:t xml:space="preserve">, </w:t>
      </w:r>
      <w:r w:rsidRPr="00E558C7">
        <w:rPr>
          <w:i/>
          <w:iCs/>
        </w:rPr>
        <w:t>CXCL1</w:t>
      </w:r>
      <w:r w:rsidRPr="00E558C7">
        <w:t xml:space="preserve">, </w:t>
      </w:r>
      <w:r w:rsidRPr="00E558C7">
        <w:rPr>
          <w:i/>
          <w:iCs/>
        </w:rPr>
        <w:t>MMP12</w:t>
      </w:r>
      <w:r w:rsidRPr="00E558C7">
        <w:t xml:space="preserve">, </w:t>
      </w:r>
      <w:r w:rsidRPr="00E558C7">
        <w:rPr>
          <w:i/>
          <w:iCs/>
        </w:rPr>
        <w:t>MMP9</w:t>
      </w:r>
      <w:r w:rsidRPr="00E558C7">
        <w:t xml:space="preserve">, </w:t>
      </w:r>
      <w:r w:rsidRPr="00E558C7">
        <w:rPr>
          <w:i/>
          <w:iCs/>
        </w:rPr>
        <w:t>HGF</w:t>
      </w:r>
      <w:r w:rsidRPr="00E558C7">
        <w:t xml:space="preserve">, </w:t>
      </w:r>
      <w:r w:rsidRPr="00E558C7">
        <w:rPr>
          <w:i/>
          <w:iCs/>
        </w:rPr>
        <w:t>CTGF</w:t>
      </w:r>
      <w:r w:rsidRPr="00E558C7">
        <w:t xml:space="preserve">, </w:t>
      </w:r>
      <w:r w:rsidRPr="00E558C7">
        <w:rPr>
          <w:i/>
          <w:iCs/>
        </w:rPr>
        <w:t>ITGB3</w:t>
      </w:r>
      <w:r w:rsidRPr="00E558C7">
        <w:t xml:space="preserve">, </w:t>
      </w:r>
      <w:r w:rsidRPr="00E558C7">
        <w:rPr>
          <w:i/>
          <w:iCs/>
        </w:rPr>
        <w:t>MT2A</w:t>
      </w:r>
      <w:r w:rsidRPr="00E558C7">
        <w:t xml:space="preserve">, </w:t>
      </w:r>
      <w:r w:rsidRPr="00E558C7">
        <w:rPr>
          <w:i/>
          <w:iCs/>
        </w:rPr>
        <w:t>FGF7</w:t>
      </w:r>
      <w:r w:rsidRPr="00E558C7">
        <w:t xml:space="preserve">, </w:t>
      </w:r>
      <w:r w:rsidRPr="00E558C7">
        <w:rPr>
          <w:i/>
          <w:iCs/>
        </w:rPr>
        <w:t>COL4A1</w:t>
      </w:r>
      <w:r w:rsidRPr="00E558C7">
        <w:t xml:space="preserve">, </w:t>
      </w:r>
      <w:r w:rsidRPr="00E558C7">
        <w:rPr>
          <w:i/>
          <w:iCs/>
        </w:rPr>
        <w:t>PLAUR</w:t>
      </w:r>
      <w:r w:rsidRPr="00E558C7">
        <w:t xml:space="preserve">—and </w:t>
      </w:r>
      <w:r w:rsidRPr="00E558C7">
        <w:rPr>
          <w:b/>
          <w:bCs/>
        </w:rPr>
        <w:t>six downregulated transcripts</w:t>
      </w:r>
      <w:r w:rsidRPr="00E558C7">
        <w:t>—</w:t>
      </w:r>
      <w:r w:rsidRPr="00E558C7">
        <w:rPr>
          <w:i/>
          <w:iCs/>
        </w:rPr>
        <w:t>COL7A1</w:t>
      </w:r>
      <w:r w:rsidRPr="00E558C7">
        <w:t xml:space="preserve">, </w:t>
      </w:r>
      <w:r w:rsidRPr="00E558C7">
        <w:rPr>
          <w:i/>
          <w:iCs/>
        </w:rPr>
        <w:t>MMP28</w:t>
      </w:r>
      <w:r w:rsidRPr="00E558C7">
        <w:t xml:space="preserve">, </w:t>
      </w:r>
      <w:r w:rsidRPr="00E558C7">
        <w:rPr>
          <w:i/>
          <w:iCs/>
        </w:rPr>
        <w:t>SLC39A2</w:t>
      </w:r>
      <w:r w:rsidRPr="00E558C7">
        <w:t xml:space="preserve">, </w:t>
      </w:r>
      <w:r w:rsidRPr="00E558C7">
        <w:rPr>
          <w:i/>
          <w:iCs/>
        </w:rPr>
        <w:t>FLG</w:t>
      </w:r>
      <w:r w:rsidRPr="00E558C7">
        <w:t xml:space="preserve">, </w:t>
      </w:r>
      <w:r w:rsidRPr="00E558C7">
        <w:rPr>
          <w:i/>
          <w:iCs/>
        </w:rPr>
        <w:t>KRT10</w:t>
      </w:r>
      <w:r w:rsidRPr="00E558C7">
        <w:t xml:space="preserve">, </w:t>
      </w:r>
      <w:r w:rsidRPr="00E558C7">
        <w:rPr>
          <w:i/>
          <w:iCs/>
        </w:rPr>
        <w:t>FLG2</w:t>
      </w:r>
      <w:r w:rsidRPr="00E558C7">
        <w:t xml:space="preserve">. The directionality is consistent with physiological re-epithelialization: early </w:t>
      </w:r>
      <w:r w:rsidRPr="00E558C7">
        <w:rPr>
          <w:b/>
          <w:bCs/>
        </w:rPr>
        <w:t>protease induction</w:t>
      </w:r>
      <w:r w:rsidRPr="00E558C7">
        <w:t xml:space="preserve"> (collagenases and stromelysins) and </w:t>
      </w:r>
      <w:r w:rsidRPr="00E558C7">
        <w:rPr>
          <w:b/>
          <w:bCs/>
        </w:rPr>
        <w:t>chemokine influx</w:t>
      </w:r>
      <w:r w:rsidRPr="00E558C7">
        <w:t xml:space="preserve">, buffered by </w:t>
      </w:r>
      <w:r w:rsidRPr="00E558C7">
        <w:rPr>
          <w:b/>
          <w:bCs/>
        </w:rPr>
        <w:t>TIMPs</w:t>
      </w:r>
      <w:r w:rsidRPr="00E558C7">
        <w:t xml:space="preserve"> and growth-factor signaling, with transient </w:t>
      </w:r>
      <w:r w:rsidRPr="00E558C7">
        <w:rPr>
          <w:b/>
          <w:bCs/>
        </w:rPr>
        <w:t>epidermal de-differentiation</w:t>
      </w:r>
      <w:r w:rsidRPr="00E558C7">
        <w:t xml:space="preserve"> (reduced </w:t>
      </w:r>
      <w:r w:rsidRPr="00E558C7">
        <w:rPr>
          <w:i/>
          <w:iCs/>
        </w:rPr>
        <w:t>KRT10/FLG</w:t>
      </w:r>
      <w:r w:rsidRPr="00E558C7">
        <w:t>) that facilitates migration and closure.</w:t>
      </w:r>
    </w:p>
    <w:p w:rsidR="002204D9" w:rsidRPr="002204D9" w:rsidRDefault="002204D9" w:rsidP="002204D9">
      <w:pPr>
        <w:jc w:val="left"/>
        <w:outlineLvl w:val="9"/>
      </w:pPr>
      <w:r w:rsidRPr="002204D9">
        <w:t xml:space="preserve">Correlative structure in the wound set reinforces this view. </w:t>
      </w:r>
      <w:r w:rsidRPr="002204D9">
        <w:rPr>
          <w:i/>
          <w:iCs/>
        </w:rPr>
        <w:t>MMP1</w:t>
      </w:r>
      <w:r w:rsidRPr="002204D9">
        <w:t xml:space="preserve"> tracked tightly with </w:t>
      </w:r>
      <w:r w:rsidRPr="002204D9">
        <w:rPr>
          <w:i/>
          <w:iCs/>
        </w:rPr>
        <w:t>MMP3</w:t>
      </w:r>
      <w:r w:rsidRPr="002204D9">
        <w:t xml:space="preserve">, followed by </w:t>
      </w:r>
      <w:r w:rsidRPr="002204D9">
        <w:rPr>
          <w:i/>
          <w:iCs/>
        </w:rPr>
        <w:t>IL6</w:t>
      </w:r>
      <w:r w:rsidRPr="002204D9">
        <w:t xml:space="preserve"> and </w:t>
      </w:r>
      <w:r w:rsidRPr="002204D9">
        <w:rPr>
          <w:i/>
          <w:iCs/>
        </w:rPr>
        <w:t>IL1B</w:t>
      </w:r>
      <w:r w:rsidRPr="002204D9">
        <w:t>, while exogenous rhIL-1</w:t>
      </w:r>
      <w:r w:rsidRPr="002204D9">
        <w:rPr>
          <w:lang w:val="el-GR"/>
        </w:rPr>
        <w:t>β</w:t>
      </w:r>
      <w:r w:rsidRPr="002204D9">
        <w:t xml:space="preserve"> (but not rhIL-6) linked to increased </w:t>
      </w:r>
      <w:r w:rsidRPr="002204D9">
        <w:rPr>
          <w:i/>
          <w:iCs/>
        </w:rPr>
        <w:t>MMP1</w:t>
      </w:r>
      <w:r w:rsidRPr="002204D9">
        <w:t xml:space="preserve"> mRNA/</w:t>
      </w:r>
      <w:r w:rsidRPr="002204D9">
        <w:rPr>
          <w:b/>
          <w:bCs/>
        </w:rPr>
        <w:t>MMP-1</w:t>
      </w:r>
      <w:r w:rsidRPr="002204D9">
        <w:t xml:space="preserve"> protein and compensatory </w:t>
      </w:r>
      <w:r w:rsidRPr="002204D9">
        <w:rPr>
          <w:i/>
          <w:iCs/>
        </w:rPr>
        <w:t>TIMP1</w:t>
      </w:r>
      <w:r w:rsidRPr="002204D9">
        <w:t xml:space="preserve"> mRNA in both keratinocytes and dermal fibroblasts; immunohistochemistry confirmed </w:t>
      </w:r>
      <w:r w:rsidRPr="002204D9">
        <w:rPr>
          <w:b/>
          <w:bCs/>
        </w:rPr>
        <w:t>TIMP-1</w:t>
      </w:r>
      <w:r w:rsidRPr="002204D9">
        <w:t xml:space="preserve"> elevation at the wound edge. As an operational marker for proliferative zones, </w:t>
      </w:r>
      <w:r w:rsidRPr="002204D9">
        <w:rPr>
          <w:b/>
          <w:bCs/>
        </w:rPr>
        <w:t>KLK8</w:t>
      </w:r>
      <w:r w:rsidRPr="002204D9">
        <w:t xml:space="preserve"> tracked </w:t>
      </w:r>
      <w:r w:rsidRPr="002204D9">
        <w:rPr>
          <w:b/>
          <w:bCs/>
        </w:rPr>
        <w:t>MKI67</w:t>
      </w:r>
      <w:r w:rsidRPr="002204D9">
        <w:t xml:space="preserve">, nominating </w:t>
      </w:r>
      <w:r w:rsidRPr="002204D9">
        <w:rPr>
          <w:b/>
          <w:bCs/>
        </w:rPr>
        <w:t>KLK8</w:t>
      </w:r>
      <w:r w:rsidRPr="002204D9">
        <w:t xml:space="preserve"> as a convenient histological/omic proliferation proxy within</w:t>
      </w:r>
      <w:r w:rsidR="00356057">
        <w:t xml:space="preserve"> my </w:t>
      </w:r>
      <w:r w:rsidRPr="002204D9">
        <w:t xml:space="preserve">dataset. Taken together, these signals specify </w:t>
      </w:r>
      <w:r w:rsidRPr="002204D9">
        <w:rPr>
          <w:b/>
          <w:bCs/>
        </w:rPr>
        <w:t>three actionable target axes</w:t>
      </w:r>
      <w:r w:rsidRPr="002204D9">
        <w:t xml:space="preserve"> that</w:t>
      </w:r>
      <w:r w:rsidR="00356057">
        <w:t xml:space="preserve"> my </w:t>
      </w:r>
      <w:r w:rsidRPr="002204D9">
        <w:t xml:space="preserve">design seeks to modulate in a </w:t>
      </w:r>
      <w:r w:rsidRPr="002204D9">
        <w:rPr>
          <w:i/>
          <w:iCs/>
        </w:rPr>
        <w:t>balanced</w:t>
      </w:r>
      <w:r w:rsidRPr="002204D9">
        <w:t xml:space="preserve"> fashion: (i) </w:t>
      </w:r>
      <w:r w:rsidRPr="002204D9">
        <w:rPr>
          <w:b/>
          <w:bCs/>
        </w:rPr>
        <w:t>MMP-1</w:t>
      </w:r>
      <w:r w:rsidRPr="002204D9">
        <w:t xml:space="preserve"> (collagenolysis), (ii) </w:t>
      </w:r>
      <w:r w:rsidRPr="002204D9">
        <w:rPr>
          <w:b/>
          <w:bCs/>
        </w:rPr>
        <w:t>neutrophil elastase</w:t>
      </w:r>
      <w:r w:rsidRPr="002204D9">
        <w:t xml:space="preserve"> (elastolysis/chemokine processing), and (iii) the </w:t>
      </w:r>
      <w:r w:rsidRPr="002204D9">
        <w:rPr>
          <w:b/>
          <w:bCs/>
        </w:rPr>
        <w:t>elastin receptor complex (ERC; S-gal/PPCA/NEU1)</w:t>
      </w:r>
      <w:r w:rsidRPr="002204D9">
        <w:t xml:space="preserve">, a mechanistically anchored conduit between elastin-derived peptide cues and downstream protease/cytokine programs in skin and vasculature [4–10, 168–172]. They also motivate </w:t>
      </w:r>
      <w:r w:rsidRPr="002204D9">
        <w:rPr>
          <w:b/>
          <w:bCs/>
        </w:rPr>
        <w:t>fibrocyte-centric</w:t>
      </w:r>
      <w:r w:rsidRPr="002204D9">
        <w:t xml:space="preserve"> validations, because circulating </w:t>
      </w:r>
      <w:r w:rsidRPr="002204D9">
        <w:rPr>
          <w:b/>
          <w:bCs/>
        </w:rPr>
        <w:t>fibrocytes (CD34⁺/CD45⁺)</w:t>
      </w:r>
      <w:r w:rsidRPr="002204D9">
        <w:t xml:space="preserve"> home to injury, deposit type I collagen/elastin, and secrete cytokines that influence re-epithelialization and angiogenesis [1–2]. Finally, the wound set provides predefined </w:t>
      </w:r>
      <w:r w:rsidRPr="002204D9">
        <w:rPr>
          <w:i/>
          <w:iCs/>
        </w:rPr>
        <w:t>systems readouts</w:t>
      </w:r>
      <w:r w:rsidRPr="002204D9">
        <w:t xml:space="preserve">—for example, the </w:t>
      </w:r>
      <w:r w:rsidRPr="002204D9">
        <w:rPr>
          <w:i/>
          <w:iCs/>
        </w:rPr>
        <w:t>MMP-1↔TIMP-1</w:t>
      </w:r>
      <w:r w:rsidRPr="002204D9">
        <w:t xml:space="preserve"> balance, chemokine tone, and proliferation markers—that</w:t>
      </w:r>
      <w:r w:rsidR="00356057">
        <w:t xml:space="preserve"> I </w:t>
      </w:r>
      <w:r w:rsidRPr="002204D9">
        <w:t>later summarize using synergy (CSI), single-cell heterogeneity (MRH), and network disorder (</w:t>
      </w:r>
      <w:r w:rsidRPr="002204D9">
        <w:rPr>
          <w:lang w:val="el-GR"/>
        </w:rPr>
        <w:t>Δ</w:t>
      </w:r>
      <w:r w:rsidRPr="002204D9">
        <w:t>GSE) metrics (see Methods 6.1; Systems-level readouts).</w:t>
      </w:r>
    </w:p>
    <w:p w:rsidR="002204D9" w:rsidRPr="002204D9" w:rsidRDefault="002204D9" w:rsidP="002204D9">
      <w:pPr>
        <w:jc w:val="left"/>
        <w:outlineLvl w:val="9"/>
      </w:pPr>
      <w:r w:rsidRPr="002204D9">
        <w:t>To ensure compatibility with</w:t>
      </w:r>
      <w:r w:rsidR="00356057">
        <w:t xml:space="preserve"> my </w:t>
      </w:r>
      <w:r w:rsidRPr="002204D9">
        <w:t>downstream computational stack, transcript programs were integrated with single-cell/low-dimensional embeddings (SCANPY/UMAP; batch integration via Harmony/MNN) and mapped to curated pathway spaces (GO/KEGG/Reactome) and interaction neighborhoods (STRING), all visualized in Cytoscape [85–87, 90–93, 94–100]. This produced compartmentalized, wound-relevant subnetworks in which</w:t>
      </w:r>
      <w:r w:rsidR="00356057">
        <w:t xml:space="preserve"> my </w:t>
      </w:r>
      <w:r w:rsidRPr="002204D9">
        <w:t xml:space="preserve">three axes sit as </w:t>
      </w:r>
      <w:r w:rsidRPr="002204D9">
        <w:rPr>
          <w:i/>
          <w:iCs/>
        </w:rPr>
        <w:t>hubs</w:t>
      </w:r>
      <w:r w:rsidRPr="002204D9">
        <w:t xml:space="preserve"> or </w:t>
      </w:r>
      <w:r w:rsidRPr="002204D9">
        <w:rPr>
          <w:i/>
          <w:iCs/>
        </w:rPr>
        <w:t>bridges</w:t>
      </w:r>
      <w:r w:rsidRPr="002204D9">
        <w:t>, corroborating their centrality to physiological repair.</w:t>
      </w:r>
    </w:p>
    <w:p w:rsidR="002204D9" w:rsidRPr="002204D9" w:rsidRDefault="002204D9" w:rsidP="002204D9">
      <w:pPr>
        <w:jc w:val="left"/>
        <w:outlineLvl w:val="9"/>
      </w:pPr>
      <w:r w:rsidRPr="002204D9">
        <w:rPr>
          <w:b/>
          <w:bCs/>
        </w:rPr>
        <w:t>Why this matters for design.</w:t>
      </w:r>
      <w:r w:rsidRPr="002204D9">
        <w:t xml:space="preserve"> If an agent (or mixture) reduces </w:t>
      </w:r>
      <w:r w:rsidRPr="002204D9">
        <w:rPr>
          <w:i/>
          <w:iCs/>
        </w:rPr>
        <w:t>MMP1</w:t>
      </w:r>
      <w:r w:rsidRPr="002204D9">
        <w:t xml:space="preserve"> and </w:t>
      </w:r>
      <w:r w:rsidRPr="002204D9">
        <w:rPr>
          <w:i/>
          <w:iCs/>
        </w:rPr>
        <w:t>ELANE</w:t>
      </w:r>
      <w:r w:rsidRPr="002204D9">
        <w:t xml:space="preserve"> activity while preserving or boosting </w:t>
      </w:r>
      <w:r w:rsidRPr="002204D9">
        <w:rPr>
          <w:i/>
          <w:iCs/>
        </w:rPr>
        <w:t>TIMP1</w:t>
      </w:r>
      <w:r w:rsidRPr="002204D9">
        <w:t xml:space="preserve"> and pro-re-epithelialization growth factors (e.g., </w:t>
      </w:r>
      <w:r w:rsidRPr="002204D9">
        <w:rPr>
          <w:i/>
          <w:iCs/>
        </w:rPr>
        <w:t>HBEGF</w:t>
      </w:r>
      <w:r w:rsidRPr="002204D9">
        <w:t xml:space="preserve">, </w:t>
      </w:r>
      <w:r w:rsidRPr="002204D9">
        <w:rPr>
          <w:i/>
          <w:iCs/>
        </w:rPr>
        <w:t>FGF7</w:t>
      </w:r>
      <w:r w:rsidRPr="002204D9">
        <w:t xml:space="preserve">), it is much likelier to translate into </w:t>
      </w:r>
      <w:r w:rsidRPr="002204D9">
        <w:rPr>
          <w:i/>
          <w:iCs/>
        </w:rPr>
        <w:t>coherent</w:t>
      </w:r>
      <w:r w:rsidRPr="002204D9">
        <w:t xml:space="preserve"> biology in explants or skin equivalents. The wound panel therefore acts as a </w:t>
      </w:r>
      <w:r w:rsidRPr="002204D9">
        <w:rPr>
          <w:i/>
          <w:iCs/>
        </w:rPr>
        <w:t>grounding prior</w:t>
      </w:r>
      <w:r w:rsidRPr="002204D9">
        <w:t xml:space="preserve"> that constrains subsequent physics- and geometry-based search.</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0"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(ii) Compartment-aware network mapping (CellNetVis): “where” signals originate and intersect</w:t>
      </w:r>
    </w:p>
    <w:p w:rsidR="002204D9" w:rsidRPr="002204D9" w:rsidRDefault="002204D9" w:rsidP="002204D9">
      <w:pPr>
        <w:jc w:val="left"/>
        <w:outlineLvl w:val="9"/>
      </w:pPr>
      <w:r w:rsidRPr="002204D9">
        <w:t xml:space="preserve">To embed the wound program in </w:t>
      </w:r>
      <w:r w:rsidRPr="002204D9">
        <w:rPr>
          <w:i/>
          <w:iCs/>
        </w:rPr>
        <w:t>space</w:t>
      </w:r>
      <w:r w:rsidRPr="002204D9">
        <w:t>,</w:t>
      </w:r>
      <w:r w:rsidR="00356057">
        <w:t xml:space="preserve"> I </w:t>
      </w:r>
      <w:r w:rsidRPr="002204D9">
        <w:t xml:space="preserve">rendered the ERC-centered and protease-rich subnetworks on a cellular diagram using </w:t>
      </w:r>
      <w:r w:rsidRPr="002204D9">
        <w:rPr>
          <w:b/>
          <w:bCs/>
        </w:rPr>
        <w:t>CellNetVis</w:t>
      </w:r>
      <w:r w:rsidRPr="002204D9">
        <w:t xml:space="preserve"> with </w:t>
      </w:r>
      <w:r w:rsidRPr="002204D9">
        <w:rPr>
          <w:b/>
          <w:bCs/>
        </w:rPr>
        <w:t>compartment constraints</w:t>
      </w:r>
      <w:r w:rsidRPr="002204D9">
        <w:t xml:space="preserve"> so that each protein node is confined to its annotated cellular component (GO-CC), defaulting to cytosol when ambiguous [88, 92–93]. The force-directed layout operates inside circular CC boundaries, with quadtree collision handling for performance; users can tune repulsion, filter nodes/edges, reposition organelles, fix nodes, control labels, bundle edges, and view per-compartment “donut” counts. Views export to PNG/SVG or shareable URLs, aided by CORS support. The graph itself is compiled from </w:t>
      </w:r>
      <w:r w:rsidRPr="002204D9">
        <w:rPr>
          <w:b/>
          <w:bCs/>
        </w:rPr>
        <w:t>STRING</w:t>
      </w:r>
      <w:r w:rsidRPr="002204D9">
        <w:t xml:space="preserve"> interactions (v11/v2021) and annotated by </w:t>
      </w:r>
      <w:r w:rsidRPr="002204D9">
        <w:rPr>
          <w:b/>
          <w:bCs/>
        </w:rPr>
        <w:t>KEGG/Reactome/GO</w:t>
      </w:r>
      <w:r w:rsidRPr="002204D9">
        <w:t xml:space="preserve">; interactive analysis and curation are done in </w:t>
      </w:r>
      <w:r w:rsidRPr="002204D9">
        <w:rPr>
          <w:b/>
          <w:bCs/>
        </w:rPr>
        <w:t>Cytoscape</w:t>
      </w:r>
      <w:r w:rsidRPr="002204D9">
        <w:t>, which</w:t>
      </w:r>
      <w:r w:rsidR="00356057">
        <w:t xml:space="preserve"> I </w:t>
      </w:r>
      <w:r w:rsidRPr="002204D9">
        <w:t xml:space="preserve">use for subgraph extraction, attribute-driven styling, and </w:t>
      </w:r>
      <w:r w:rsidRPr="002204D9">
        <w:rPr>
          <w:i/>
          <w:iCs/>
        </w:rPr>
        <w:t>in situ</w:t>
      </w:r>
      <w:r w:rsidRPr="002204D9">
        <w:t xml:space="preserve"> enrichment tests [85–87, 90–93].</w:t>
      </w:r>
    </w:p>
    <w:p w:rsidR="002204D9" w:rsidRPr="002204D9" w:rsidRDefault="002204D9" w:rsidP="002204D9">
      <w:pPr>
        <w:jc w:val="left"/>
        <w:outlineLvl w:val="9"/>
      </w:pPr>
      <w:r w:rsidRPr="002204D9">
        <w:t xml:space="preserve">This </w:t>
      </w:r>
      <w:r w:rsidRPr="002204D9">
        <w:rPr>
          <w:b/>
          <w:bCs/>
        </w:rPr>
        <w:t>CC-aware rendering</w:t>
      </w:r>
      <w:r w:rsidRPr="002204D9">
        <w:t xml:space="preserve"> does three jobs. First, it clarifies </w:t>
      </w:r>
      <w:r w:rsidRPr="002204D9">
        <w:rPr>
          <w:i/>
          <w:iCs/>
        </w:rPr>
        <w:t>where</w:t>
      </w:r>
      <w:r w:rsidRPr="002204D9">
        <w:t xml:space="preserve"> inflammatory and proteolytic signals originate and intersect—e.g., surface ERC nodes (S-gal/PPCA/NEU1) near integrins and elastin-binding partners, secreted proteases and inhibitors (MMP-1, MMP-3, MMP-9, TIMP-1), and chemokine receptors on leukocyte trajectories. Second, it highlights </w:t>
      </w:r>
      <w:r w:rsidRPr="002204D9">
        <w:rPr>
          <w:b/>
          <w:bCs/>
        </w:rPr>
        <w:t>ERC/NEU1</w:t>
      </w:r>
      <w:r w:rsidRPr="002204D9">
        <w:t xml:space="preserve"> and </w:t>
      </w:r>
      <w:r w:rsidRPr="002204D9">
        <w:rPr>
          <w:b/>
          <w:bCs/>
        </w:rPr>
        <w:t>protease</w:t>
      </w:r>
      <w:r w:rsidRPr="002204D9">
        <w:t xml:space="preserve"> hubs enriched in the wound DEGs, confirming that</w:t>
      </w:r>
      <w:r w:rsidR="00356057">
        <w:t xml:space="preserve"> my </w:t>
      </w:r>
      <w:r w:rsidRPr="002204D9">
        <w:t xml:space="preserve">three axes live in well-connected, wound-relevant neighborhoods [4–10, 168–172, 85–87]. Third, by making </w:t>
      </w:r>
      <w:r w:rsidRPr="002204D9">
        <w:rPr>
          <w:i/>
          <w:iCs/>
        </w:rPr>
        <w:t>localization</w:t>
      </w:r>
      <w:r w:rsidRPr="002204D9">
        <w:t xml:space="preserve"> explicit, it supplies </w:t>
      </w:r>
      <w:r w:rsidRPr="002204D9">
        <w:rPr>
          <w:i/>
          <w:iCs/>
        </w:rPr>
        <w:t>filters and priors</w:t>
      </w:r>
      <w:r w:rsidRPr="002204D9">
        <w:t xml:space="preserve"> for the structure-based stages: ERC-proximal designs should respect extracellular orientation and glycan context; protease-site designs must honor catalytic groove topology and subsite preferences gleaned from PDB or model structures [15, 73–75].</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1"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(iii) Structural PPI annotation at atomic interfaces: bridging topology to pocket physics</w:t>
      </w:r>
    </w:p>
    <w:p w:rsidR="002204D9" w:rsidRPr="002204D9" w:rsidRDefault="002204D9" w:rsidP="002204D9">
      <w:pPr>
        <w:jc w:val="left"/>
        <w:outlineLvl w:val="9"/>
      </w:pPr>
      <w:r w:rsidRPr="002204D9">
        <w:t xml:space="preserve">To move from </w:t>
      </w:r>
      <w:r w:rsidRPr="002204D9">
        <w:rPr>
          <w:b/>
          <w:bCs/>
        </w:rPr>
        <w:t>who-talks-to-whom</w:t>
      </w:r>
      <w:r w:rsidRPr="002204D9">
        <w:t xml:space="preserve"> to </w:t>
      </w:r>
      <w:r w:rsidRPr="002204D9">
        <w:rPr>
          <w:b/>
          <w:bCs/>
        </w:rPr>
        <w:t>how-they-touch</w:t>
      </w:r>
      <w:r w:rsidRPr="002204D9">
        <w:t>,</w:t>
      </w:r>
      <w:r w:rsidR="00356057">
        <w:t xml:space="preserve"> I </w:t>
      </w:r>
      <w:r w:rsidRPr="002204D9">
        <w:t xml:space="preserve">overlaid network edges with </w:t>
      </w:r>
      <w:r w:rsidRPr="002204D9">
        <w:rPr>
          <w:b/>
          <w:bCs/>
        </w:rPr>
        <w:t>atomic interfaces</w:t>
      </w:r>
      <w:r w:rsidRPr="002204D9">
        <w:t xml:space="preserve"> whenever structural data were available. Complexes and monomers were pulled from the </w:t>
      </w:r>
      <w:r w:rsidRPr="002204D9">
        <w:rPr>
          <w:b/>
          <w:bCs/>
        </w:rPr>
        <w:t>Protein Data Bank</w:t>
      </w:r>
      <w:r w:rsidRPr="002204D9">
        <w:t xml:space="preserve"> and supplemented by </w:t>
      </w:r>
      <w:r w:rsidRPr="002204D9">
        <w:rPr>
          <w:b/>
          <w:bCs/>
        </w:rPr>
        <w:t>SWISS-MODEL</w:t>
      </w:r>
      <w:r w:rsidRPr="002204D9">
        <w:t xml:space="preserve">, </w:t>
      </w:r>
      <w:r w:rsidRPr="002204D9">
        <w:rPr>
          <w:b/>
          <w:bCs/>
        </w:rPr>
        <w:t>AlphaFold</w:t>
      </w:r>
      <w:r w:rsidRPr="002204D9">
        <w:t xml:space="preserve">, and </w:t>
      </w:r>
      <w:r w:rsidRPr="002204D9">
        <w:rPr>
          <w:b/>
          <w:bCs/>
        </w:rPr>
        <w:t>ColabFold</w:t>
      </w:r>
      <w:r w:rsidRPr="002204D9">
        <w:t xml:space="preserve"> when experimental structures were missing or incomplete [15, 73–75]. Chains were aligned, contact patches segmented, and pocket meshes triangulated to compute principal curvatures and hydration propensities that later bias the Pharmacophoric-ODE search (Section “Pharmacophoric-ODEs”). Where only monomeric structures existed,</w:t>
      </w:r>
      <w:r w:rsidR="00356057">
        <w:t xml:space="preserve"> I </w:t>
      </w:r>
      <w:r w:rsidRPr="002204D9">
        <w:t xml:space="preserve">constructed </w:t>
      </w:r>
      <w:r w:rsidRPr="002204D9">
        <w:rPr>
          <w:b/>
          <w:bCs/>
        </w:rPr>
        <w:t>homology models</w:t>
      </w:r>
      <w:r w:rsidRPr="002204D9">
        <w:t xml:space="preserve"> for candidate complexes or docked peptides derived from elastin-like sequences to </w:t>
      </w:r>
      <w:r w:rsidRPr="002204D9">
        <w:rPr>
          <w:b/>
          <w:bCs/>
        </w:rPr>
        <w:t>ERC</w:t>
      </w:r>
      <w:r w:rsidRPr="002204D9">
        <w:t xml:space="preserve"> components (with manual curation of glycan-adjacent geometry).</w:t>
      </w:r>
    </w:p>
    <w:p w:rsidR="002204D9" w:rsidRPr="002204D9" w:rsidRDefault="002204D9" w:rsidP="002204D9">
      <w:pPr>
        <w:jc w:val="left"/>
        <w:outlineLvl w:val="9"/>
      </w:pPr>
      <w:r w:rsidRPr="002204D9">
        <w:t xml:space="preserve">We relied on </w:t>
      </w:r>
      <w:r w:rsidRPr="002204D9">
        <w:rPr>
          <w:b/>
          <w:bCs/>
        </w:rPr>
        <w:t>UCSF Chimera/ChimeraX</w:t>
      </w:r>
      <w:r w:rsidRPr="002204D9">
        <w:t xml:space="preserve"> for inspection and preparation, </w:t>
      </w:r>
      <w:r w:rsidRPr="002204D9">
        <w:rPr>
          <w:b/>
          <w:bCs/>
        </w:rPr>
        <w:t>MDTraj</w:t>
      </w:r>
      <w:r w:rsidRPr="002204D9">
        <w:t xml:space="preserve"> for trajectory-level contact and SASA computations, and </w:t>
      </w:r>
      <w:r w:rsidRPr="002204D9">
        <w:rPr>
          <w:b/>
          <w:bCs/>
        </w:rPr>
        <w:t>Cytoscape</w:t>
      </w:r>
      <w:r w:rsidRPr="002204D9">
        <w:t xml:space="preserve"> for keeping the network context visible as</w:t>
      </w:r>
      <w:r w:rsidR="00356057">
        <w:t xml:space="preserve"> I </w:t>
      </w:r>
      <w:r w:rsidRPr="002204D9">
        <w:t xml:space="preserve">annotated atomic patches [62, 79, 64, 87]. The result is a 3D-aware interactome in which </w:t>
      </w:r>
      <w:r w:rsidRPr="002204D9">
        <w:rPr>
          <w:b/>
          <w:bCs/>
        </w:rPr>
        <w:t>ERC-adjacent</w:t>
      </w:r>
      <w:r w:rsidRPr="002204D9">
        <w:t xml:space="preserve"> grooves and </w:t>
      </w:r>
      <w:r w:rsidRPr="002204D9">
        <w:rPr>
          <w:b/>
          <w:bCs/>
        </w:rPr>
        <w:t>protease</w:t>
      </w:r>
      <w:r w:rsidRPr="002204D9">
        <w:t xml:space="preserve"> subsites are explicitly mapped, providing concrete </w:t>
      </w:r>
      <w:r w:rsidRPr="002204D9">
        <w:rPr>
          <w:b/>
          <w:bCs/>
        </w:rPr>
        <w:t>pharmacophore masks</w:t>
      </w:r>
      <w:r w:rsidRPr="002204D9">
        <w:t xml:space="preserve">, </w:t>
      </w:r>
      <w:r w:rsidRPr="002204D9">
        <w:rPr>
          <w:b/>
          <w:bCs/>
        </w:rPr>
        <w:t>curvature targets</w:t>
      </w:r>
      <w:r w:rsidRPr="002204D9">
        <w:t xml:space="preserve"> (concave, well-hydrated pockets), and </w:t>
      </w:r>
      <w:r w:rsidRPr="002204D9">
        <w:rPr>
          <w:b/>
          <w:bCs/>
        </w:rPr>
        <w:t>burial opportunities</w:t>
      </w:r>
      <w:r w:rsidRPr="002204D9">
        <w:t xml:space="preserve"> that feed the pose/graph evolution and the </w:t>
      </w:r>
      <w:r w:rsidRPr="002204D9">
        <w:rPr>
          <w:lang w:val="el-GR"/>
        </w:rPr>
        <w:t>Δ</w:t>
      </w:r>
      <w:r w:rsidRPr="002204D9">
        <w:t>SASA-aware scoring.</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2"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(iv) Sequence patterns and gapped motif propensities: connecting residues to pockets</w:t>
      </w:r>
    </w:p>
    <w:p w:rsidR="002204D9" w:rsidRPr="002204D9" w:rsidRDefault="002204D9" w:rsidP="002204D9">
      <w:pPr>
        <w:jc w:val="left"/>
        <w:outlineLvl w:val="9"/>
      </w:pPr>
      <w:r w:rsidRPr="002204D9">
        <w:t>Short linear motifs (SLiMs) and domain-scale sequence patterns frequently govern protease cleavage and receptor docking. To capture such signals across</w:t>
      </w:r>
      <w:r w:rsidR="00356057">
        <w:t xml:space="preserve"> my </w:t>
      </w:r>
      <w:r w:rsidRPr="002204D9">
        <w:t>ERC/NEU1 and protease neighborhoods,</w:t>
      </w:r>
      <w:r w:rsidR="00356057">
        <w:t xml:space="preserve"> I </w:t>
      </w:r>
      <w:r w:rsidRPr="002204D9">
        <w:t xml:space="preserve">used the </w:t>
      </w:r>
      <w:r w:rsidRPr="002204D9">
        <w:rPr>
          <w:b/>
          <w:bCs/>
        </w:rPr>
        <w:t>EMBL–EBI</w:t>
      </w:r>
      <w:r w:rsidRPr="002204D9">
        <w:t xml:space="preserve"> sequence analysis suite together with standard alignment-and-scan workflows (MUSCLE/MAFFT for MSAs; BLAST+ for neighborhood scans) to detect </w:t>
      </w:r>
      <w:r w:rsidRPr="002204D9">
        <w:rPr>
          <w:b/>
          <w:bCs/>
        </w:rPr>
        <w:t>indel-tolerant</w:t>
      </w:r>
      <w:r w:rsidRPr="002204D9">
        <w:t xml:space="preserve"> motif propensities and extracellular signatures in elastin-like sequences [76, 82–84].</w:t>
      </w:r>
      <w:r w:rsidR="00356057">
        <w:t xml:space="preserve"> I </w:t>
      </w:r>
      <w:r w:rsidRPr="002204D9">
        <w:t xml:space="preserve">then converted motif hits into </w:t>
      </w:r>
      <w:r w:rsidRPr="002204D9">
        <w:rPr>
          <w:b/>
          <w:bCs/>
        </w:rPr>
        <w:t>soft pharmacophore constraints</w:t>
      </w:r>
      <w:r w:rsidRPr="002204D9">
        <w:t xml:space="preserve"> (e.g., donor/acceptor/hydrophobe patterns, positional ionizable flags) and </w:t>
      </w:r>
      <w:r w:rsidRPr="002204D9">
        <w:rPr>
          <w:b/>
          <w:bCs/>
        </w:rPr>
        <w:t>residue-specific burial weights</w:t>
      </w:r>
      <w:r w:rsidRPr="002204D9">
        <w:t xml:space="preserve"> that appear in the ODE loss and in </w:t>
      </w:r>
      <w:r w:rsidRPr="002204D9">
        <w:rPr>
          <w:lang w:val="el-GR"/>
        </w:rPr>
        <w:t>Δ</w:t>
      </w:r>
      <w:r w:rsidRPr="002204D9">
        <w:t>SASA-weighted rescoring. While</w:t>
      </w:r>
      <w:r w:rsidR="00356057">
        <w:t xml:space="preserve"> my </w:t>
      </w:r>
      <w:r w:rsidRPr="002204D9">
        <w:t xml:space="preserve">earlier drafts used specialized gapped-motif tools, the present pipeline restricts itself to the toolchain represented in the reference list, which proved sufficient for identifying </w:t>
      </w:r>
      <w:r w:rsidRPr="002204D9">
        <w:rPr>
          <w:b/>
          <w:bCs/>
        </w:rPr>
        <w:t>ERC/NEU1-biased</w:t>
      </w:r>
      <w:r w:rsidRPr="002204D9">
        <w:t xml:space="preserve"> sequences and </w:t>
      </w:r>
      <w:r w:rsidRPr="002204D9">
        <w:rPr>
          <w:b/>
          <w:bCs/>
        </w:rPr>
        <w:t>protease-adjacent</w:t>
      </w:r>
      <w:r w:rsidRPr="002204D9">
        <w:t xml:space="preserve"> cores that inform molecular design [4–10, 73–75, 90–93].</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3"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 xml:space="preserve">Structure-based design core: consensus docking → short MD → MM-PB(GB)SA + explicit </w:t>
      </w:r>
      <w:r w:rsidRPr="002204D9">
        <w:rPr>
          <w:b/>
          <w:bCs/>
          <w:sz w:val="36"/>
          <w:szCs w:val="36"/>
          <w:lang w:val="el-GR"/>
        </w:rPr>
        <w:t>Δ</w:t>
      </w:r>
      <w:r w:rsidRPr="002204D9">
        <w:rPr>
          <w:b/>
          <w:bCs/>
          <w:sz w:val="36"/>
          <w:szCs w:val="36"/>
        </w:rPr>
        <w:t>SASA</w:t>
      </w:r>
    </w:p>
    <w:p w:rsidR="002204D9" w:rsidRPr="002204D9" w:rsidRDefault="002204D9" w:rsidP="002204D9">
      <w:pPr>
        <w:jc w:val="left"/>
        <w:outlineLvl w:val="9"/>
      </w:pPr>
      <w:r w:rsidRPr="002204D9">
        <w:t xml:space="preserve">Design focused on </w:t>
      </w:r>
      <w:r w:rsidRPr="002204D9">
        <w:rPr>
          <w:b/>
          <w:bCs/>
        </w:rPr>
        <w:t>MMP-1</w:t>
      </w:r>
      <w:r w:rsidRPr="002204D9">
        <w:t xml:space="preserve">, </w:t>
      </w:r>
      <w:r w:rsidRPr="002204D9">
        <w:rPr>
          <w:b/>
          <w:bCs/>
        </w:rPr>
        <w:t>neutrophil elastase</w:t>
      </w:r>
      <w:r w:rsidRPr="002204D9">
        <w:t xml:space="preserve">, and </w:t>
      </w:r>
      <w:r w:rsidRPr="002204D9">
        <w:rPr>
          <w:b/>
          <w:bCs/>
        </w:rPr>
        <w:t>ERC/NEU1</w:t>
      </w:r>
      <w:r w:rsidRPr="002204D9">
        <w:t xml:space="preserve"> components. Receptor structures and templates were taken from </w:t>
      </w:r>
      <w:r w:rsidRPr="002204D9">
        <w:rPr>
          <w:b/>
          <w:bCs/>
        </w:rPr>
        <w:t>PDB</w:t>
      </w:r>
      <w:r w:rsidRPr="002204D9">
        <w:t xml:space="preserve"> or built with </w:t>
      </w:r>
      <w:r w:rsidRPr="002204D9">
        <w:rPr>
          <w:b/>
          <w:bCs/>
        </w:rPr>
        <w:t>SWISS-MODEL/AlphaFold/ColabFold</w:t>
      </w:r>
      <w:r w:rsidRPr="002204D9">
        <w:t xml:space="preserve"> [15, 73–75]. Ligands were sourced from </w:t>
      </w:r>
      <w:r w:rsidRPr="002204D9">
        <w:rPr>
          <w:b/>
          <w:bCs/>
        </w:rPr>
        <w:t>ZINC</w:t>
      </w:r>
      <w:r w:rsidRPr="002204D9">
        <w:t xml:space="preserve"> and in-house enumerations, with optional </w:t>
      </w:r>
      <w:r w:rsidRPr="002204D9">
        <w:rPr>
          <w:b/>
          <w:bCs/>
        </w:rPr>
        <w:t>ZINCPharmer</w:t>
      </w:r>
      <w:r w:rsidRPr="002204D9">
        <w:t xml:space="preserve"> pharmacophore pre-filters to enrich pocket-compatible chemotypes [11, 21]. Docking used </w:t>
      </w:r>
      <w:r w:rsidRPr="002204D9">
        <w:rPr>
          <w:b/>
          <w:bCs/>
        </w:rPr>
        <w:t>AutoDock Vina</w:t>
      </w:r>
      <w:r w:rsidRPr="002204D9">
        <w:t xml:space="preserve"> and </w:t>
      </w:r>
      <w:r w:rsidRPr="002204D9">
        <w:rPr>
          <w:b/>
          <w:bCs/>
        </w:rPr>
        <w:t>AutoDock4/ADT</w:t>
      </w:r>
      <w:r w:rsidRPr="002204D9">
        <w:t>, and where available</w:t>
      </w:r>
      <w:r w:rsidR="00356057">
        <w:t xml:space="preserve"> I </w:t>
      </w:r>
      <w:r w:rsidRPr="002204D9">
        <w:t xml:space="preserve">cross-checked with alternative engines (e.g., Glide/GOLD/DOCK) to blunt scoring-function idiosyncrasies [12–20, 14, 16–19]. Top poses were </w:t>
      </w:r>
      <w:r w:rsidRPr="002204D9">
        <w:rPr>
          <w:b/>
          <w:bCs/>
        </w:rPr>
        <w:t>briefly relaxed</w:t>
      </w:r>
      <w:r w:rsidRPr="002204D9">
        <w:t xml:space="preserve"> with restrained </w:t>
      </w:r>
      <w:r w:rsidRPr="002204D9">
        <w:rPr>
          <w:b/>
          <w:bCs/>
        </w:rPr>
        <w:t>MD</w:t>
      </w:r>
      <w:r w:rsidRPr="002204D9">
        <w:t xml:space="preserve"> to repair micro-packing and remove clashes.</w:t>
      </w:r>
    </w:p>
    <w:p w:rsidR="002204D9" w:rsidRPr="002204D9" w:rsidRDefault="002204D9" w:rsidP="002204D9">
      <w:pPr>
        <w:jc w:val="left"/>
        <w:outlineLvl w:val="9"/>
      </w:pPr>
      <w:r w:rsidRPr="002204D9">
        <w:t xml:space="preserve">We computed </w:t>
      </w:r>
      <w:r w:rsidRPr="002204D9">
        <w:rPr>
          <w:b/>
          <w:bCs/>
        </w:rPr>
        <w:t>endpoint binding energetics</w:t>
      </w:r>
      <w:r w:rsidRPr="002204D9">
        <w:t xml:space="preserve"> with an </w:t>
      </w:r>
      <w:r w:rsidRPr="002204D9">
        <w:rPr>
          <w:b/>
          <w:bCs/>
        </w:rPr>
        <w:t>MM-PB(GB)SA</w:t>
      </w:r>
      <w:r w:rsidRPr="002204D9">
        <w:t xml:space="preserve"> protocol (g_mmpbsa; APBS electrostatics/GB variants), and then </w:t>
      </w:r>
      <w:r w:rsidRPr="002204D9">
        <w:rPr>
          <w:b/>
          <w:bCs/>
        </w:rPr>
        <w:t>restored non-polar burial</w:t>
      </w:r>
      <w:r w:rsidRPr="002204D9">
        <w:t xml:space="preserve">—systematically underweighted in endpoint methods—by adding a linear term proportional to </w:t>
      </w:r>
      <w:r w:rsidRPr="002204D9">
        <w:rPr>
          <w:b/>
          <w:bCs/>
          <w:lang w:val="el-GR"/>
        </w:rPr>
        <w:t>Δ</w:t>
      </w:r>
      <w:r w:rsidRPr="002204D9">
        <w:rPr>
          <w:b/>
          <w:bCs/>
        </w:rPr>
        <w:t>SASA</w:t>
      </w:r>
      <w:r w:rsidRPr="002204D9">
        <w:t>,</w:t>
      </w:r>
    </w:p>
    <w:p w:rsidR="002204D9" w:rsidRPr="002204D9" w:rsidRDefault="002204D9" w:rsidP="002204D9">
      <w:pPr>
        <w:spacing w:before="0" w:beforeAutospacing="0" w:after="0" w:afterAutospacing="0"/>
        <w:jc w:val="left"/>
        <w:outlineLvl w:val="9"/>
      </w:pPr>
      <w:r w:rsidRPr="002204D9">
        <w:rPr>
          <w:lang w:val="el-GR"/>
        </w:rPr>
        <w:t>Δ</w:t>
      </w:r>
      <w:r w:rsidRPr="002204D9">
        <w:t>Gnp=</w:t>
      </w:r>
      <w:r w:rsidRPr="002204D9">
        <w:rPr>
          <w:lang w:val="el-GR"/>
        </w:rPr>
        <w:t>γ</w:t>
      </w:r>
      <w:r w:rsidRPr="002204D9">
        <w:t> </w:t>
      </w:r>
      <w:r w:rsidRPr="002204D9">
        <w:rPr>
          <w:lang w:val="el-GR"/>
        </w:rPr>
        <w:t>Δ</w:t>
      </w:r>
      <w:r w:rsidRPr="002204D9">
        <w:t>SASA,</w:t>
      </w:r>
      <w:r w:rsidRPr="002204D9">
        <w:rPr>
          <w:lang w:val="el-GR"/>
        </w:rPr>
        <w:t>Δ</w:t>
      </w:r>
      <w:r w:rsidRPr="002204D9">
        <w:t>SASA=SASAC−SASAR−SASAL,</w:t>
      </w:r>
      <w:r w:rsidRPr="002204D9">
        <w:rPr>
          <w:lang w:val="el-GR"/>
        </w:rPr>
        <w:t>Δ</w:t>
      </w:r>
      <w:r w:rsidRPr="002204D9">
        <w:t>G^tot=</w:t>
      </w:r>
      <w:r w:rsidRPr="002204D9">
        <w:rPr>
          <w:lang w:val="el-GR"/>
        </w:rPr>
        <w:t>Δ</w:t>
      </w:r>
      <w:r w:rsidRPr="002204D9">
        <w:t>GMM–PB(GB)SA+</w:t>
      </w:r>
      <w:r w:rsidRPr="002204D9">
        <w:rPr>
          <w:lang w:val="el-GR"/>
        </w:rPr>
        <w:t>Δ</w:t>
      </w:r>
      <w:r w:rsidRPr="002204D9">
        <w:t>Gnp,\Delta G_{\mathrm{np}}=\gamma\,\Delta\mathrm{SASA}, \qquad \Delta\mathrm{SASA} = \mathrm{SASA}_C-\mathrm{SASA}_R-\mathrm{SASA}_L, \qquad \widehat{\Delta G}_{\mathrm{tot}}=\Delta G_{\mathrm{MM\text{–}PB(GB)SA}}+\Delta G_{\mathrm{np}},</w:t>
      </w:r>
      <w:r w:rsidRPr="002204D9">
        <w:rPr>
          <w:lang w:val="el-GR"/>
        </w:rPr>
        <w:t>Δ</w:t>
      </w:r>
      <w:r w:rsidRPr="002204D9">
        <w:t>Gnp​=</w:t>
      </w:r>
      <w:r w:rsidRPr="002204D9">
        <w:rPr>
          <w:lang w:val="el-GR"/>
        </w:rPr>
        <w:t>γΔ</w:t>
      </w:r>
      <w:r w:rsidRPr="002204D9">
        <w:t>SASA,</w:t>
      </w:r>
      <w:r w:rsidRPr="002204D9">
        <w:rPr>
          <w:lang w:val="el-GR"/>
        </w:rPr>
        <w:t>Δ</w:t>
      </w:r>
      <w:r w:rsidRPr="002204D9">
        <w:t>SASA=SASAC​−SASAR​−SASAL​,</w:t>
      </w:r>
      <w:r w:rsidRPr="002204D9">
        <w:rPr>
          <w:lang w:val="el-GR"/>
        </w:rPr>
        <w:t>Δ</w:t>
      </w:r>
      <w:r w:rsidRPr="002204D9">
        <w:t>Gtot​=</w:t>
      </w:r>
      <w:r w:rsidRPr="002204D9">
        <w:rPr>
          <w:lang w:val="el-GR"/>
        </w:rPr>
        <w:t>Δ</w:t>
      </w:r>
      <w:r w:rsidRPr="002204D9">
        <w:t>GMM–PB(GB)SA​+</w:t>
      </w:r>
      <w:r w:rsidRPr="002204D9">
        <w:rPr>
          <w:lang w:val="el-GR"/>
        </w:rPr>
        <w:t>Δ</w:t>
      </w:r>
      <w:r w:rsidRPr="002204D9">
        <w:t xml:space="preserve">Gnp​, </w:t>
      </w:r>
    </w:p>
    <w:p w:rsidR="002204D9" w:rsidRPr="002204D9" w:rsidRDefault="002204D9" w:rsidP="002204D9">
      <w:pPr>
        <w:jc w:val="left"/>
        <w:outlineLvl w:val="9"/>
      </w:pPr>
      <w:r w:rsidRPr="002204D9">
        <w:t xml:space="preserve">and ranked candidates by </w:t>
      </w:r>
      <w:r w:rsidRPr="002204D9">
        <w:rPr>
          <w:lang w:val="el-GR"/>
        </w:rPr>
        <w:t>Δ</w:t>
      </w:r>
      <w:r w:rsidRPr="002204D9">
        <w:t>G^tot\widehat{\Delta G}_{\mathrm{tot}}</w:t>
      </w:r>
      <w:r w:rsidRPr="002204D9">
        <w:rPr>
          <w:lang w:val="el-GR"/>
        </w:rPr>
        <w:t>Δ</w:t>
      </w:r>
      <w:r w:rsidR="00E11ABF">
        <w:t>Gtot​ [67–71, 140–141, 180–19</w:t>
      </w:r>
      <w:r w:rsidRPr="002204D9">
        <w:t xml:space="preserve">1]. </w:t>
      </w:r>
      <w:r w:rsidRPr="002204D9">
        <w:rPr>
          <w:b/>
          <w:bCs/>
          <w:lang w:val="el-GR"/>
        </w:rPr>
        <w:t>Δ</w:t>
      </w:r>
      <w:r w:rsidRPr="002204D9">
        <w:rPr>
          <w:b/>
          <w:bCs/>
        </w:rPr>
        <w:t>SASA</w:t>
      </w:r>
      <w:r w:rsidRPr="002204D9">
        <w:t xml:space="preserve"> was computed with </w:t>
      </w:r>
      <w:r w:rsidRPr="002204D9">
        <w:rPr>
          <w:b/>
          <w:bCs/>
        </w:rPr>
        <w:t>Shrake–Rupley</w:t>
      </w:r>
      <w:r w:rsidRPr="002204D9">
        <w:t xml:space="preserve"> spheres on MD snapshots [67]. This correction biases toward </w:t>
      </w:r>
      <w:r w:rsidRPr="002204D9">
        <w:rPr>
          <w:b/>
          <w:bCs/>
        </w:rPr>
        <w:t>compact, well-burying</w:t>
      </w:r>
      <w:r w:rsidRPr="002204D9">
        <w:t xml:space="preserve"> ligands and is mechanistically aligned with </w:t>
      </w:r>
      <w:r w:rsidRPr="002204D9">
        <w:rPr>
          <w:b/>
          <w:bCs/>
        </w:rPr>
        <w:t>collagen/elastin</w:t>
      </w:r>
      <w:r w:rsidRPr="002204D9">
        <w:t xml:space="preserve"> biophysics, in which </w:t>
      </w:r>
      <w:r w:rsidRPr="002204D9">
        <w:rPr>
          <w:b/>
          <w:bCs/>
        </w:rPr>
        <w:t>local packing</w:t>
      </w:r>
      <w:r w:rsidRPr="002204D9">
        <w:t xml:space="preserve"> and </w:t>
      </w:r>
      <w:r w:rsidRPr="002204D9">
        <w:rPr>
          <w:b/>
          <w:bCs/>
        </w:rPr>
        <w:t>subsite complementarity</w:t>
      </w:r>
      <w:r w:rsidRPr="002204D9">
        <w:t xml:space="preserve"> dominate susceptibility and recognition, rather than global melting points. Developability gates (Lipinski, Veber, Ghose, Egan; </w:t>
      </w:r>
      <w:r w:rsidRPr="002204D9">
        <w:rPr>
          <w:b/>
          <w:bCs/>
        </w:rPr>
        <w:t>SwissADME</w:t>
      </w:r>
      <w:r w:rsidRPr="002204D9">
        <w:t xml:space="preserve">; </w:t>
      </w:r>
      <w:r w:rsidRPr="002204D9">
        <w:rPr>
          <w:b/>
          <w:bCs/>
        </w:rPr>
        <w:t>QED</w:t>
      </w:r>
      <w:r w:rsidRPr="002204D9">
        <w:t xml:space="preserve">; </w:t>
      </w:r>
      <w:r w:rsidRPr="002204D9">
        <w:rPr>
          <w:b/>
          <w:bCs/>
        </w:rPr>
        <w:t>Synthetic Accessibility</w:t>
      </w:r>
      <w:r w:rsidRPr="002204D9">
        <w:t>) filtered the survivors [25–33, 29, 31–32].</w:t>
      </w:r>
    </w:p>
    <w:p w:rsidR="002204D9" w:rsidRPr="002204D9" w:rsidRDefault="002204D9" w:rsidP="002204D9">
      <w:pPr>
        <w:jc w:val="left"/>
        <w:outlineLvl w:val="9"/>
        <w:rPr>
          <w:lang w:val="el-GR"/>
        </w:rPr>
      </w:pPr>
      <w:r w:rsidRPr="002204D9">
        <w:rPr>
          <w:b/>
          <w:bCs/>
        </w:rPr>
        <w:t>MD details.</w:t>
      </w:r>
      <w:r w:rsidRPr="002204D9">
        <w:t xml:space="preserve"> Simulations used </w:t>
      </w:r>
      <w:r w:rsidRPr="002204D9">
        <w:rPr>
          <w:b/>
          <w:bCs/>
        </w:rPr>
        <w:t>GROMACS</w:t>
      </w:r>
      <w:r w:rsidRPr="002204D9">
        <w:t xml:space="preserve"> or </w:t>
      </w:r>
      <w:r w:rsidRPr="002204D9">
        <w:rPr>
          <w:b/>
          <w:bCs/>
        </w:rPr>
        <w:t>OpenMM</w:t>
      </w:r>
      <w:r w:rsidRPr="002204D9">
        <w:t xml:space="preserve"> with </w:t>
      </w:r>
      <w:r w:rsidRPr="002204D9">
        <w:rPr>
          <w:b/>
          <w:bCs/>
        </w:rPr>
        <w:t>GAFF</w:t>
      </w:r>
      <w:r w:rsidRPr="002204D9">
        <w:t xml:space="preserve"> for ligands (RESP or AM1-BCC charges) and </w:t>
      </w:r>
      <w:r w:rsidRPr="002204D9">
        <w:rPr>
          <w:b/>
          <w:bCs/>
        </w:rPr>
        <w:t>CHARMM36m</w:t>
      </w:r>
      <w:r w:rsidRPr="002204D9">
        <w:t>/</w:t>
      </w:r>
      <w:r w:rsidRPr="002204D9">
        <w:rPr>
          <w:b/>
          <w:bCs/>
        </w:rPr>
        <w:t>AMBER</w:t>
      </w:r>
      <w:r w:rsidRPr="002204D9">
        <w:t xml:space="preserve">-family parameters for proteins; water was </w:t>
      </w:r>
      <w:r w:rsidRPr="002204D9">
        <w:rPr>
          <w:b/>
          <w:bCs/>
        </w:rPr>
        <w:t>TIP3P/TIP4P-Ew/TIP4P/2005</w:t>
      </w:r>
      <w:r w:rsidRPr="002204D9">
        <w:t xml:space="preserve">; long-range electrostatics </w:t>
      </w:r>
      <w:r w:rsidRPr="002204D9">
        <w:rPr>
          <w:b/>
          <w:bCs/>
        </w:rPr>
        <w:t>PME</w:t>
      </w:r>
      <w:r w:rsidRPr="002204D9">
        <w:t xml:space="preserve"> (smooth PME as appropriate); temperature control by </w:t>
      </w:r>
      <w:r w:rsidRPr="002204D9">
        <w:rPr>
          <w:b/>
          <w:bCs/>
        </w:rPr>
        <w:t>v-rescale</w:t>
      </w:r>
      <w:r w:rsidRPr="002204D9">
        <w:t>/</w:t>
      </w:r>
      <w:r w:rsidRPr="002204D9">
        <w:rPr>
          <w:b/>
          <w:bCs/>
        </w:rPr>
        <w:t>Nosé–Hoover</w:t>
      </w:r>
      <w:r w:rsidRPr="002204D9">
        <w:t xml:space="preserve">; pressure by </w:t>
      </w:r>
      <w:r w:rsidRPr="002204D9">
        <w:rPr>
          <w:b/>
          <w:bCs/>
        </w:rPr>
        <w:t>Berendsen</w:t>
      </w:r>
      <w:r w:rsidRPr="002204D9">
        <w:t xml:space="preserve"> (equilibration) and </w:t>
      </w:r>
      <w:r w:rsidRPr="002204D9">
        <w:rPr>
          <w:b/>
          <w:bCs/>
        </w:rPr>
        <w:t>MTTK</w:t>
      </w:r>
      <w:r w:rsidRPr="002204D9">
        <w:t>/</w:t>
      </w:r>
      <w:r w:rsidRPr="002204D9">
        <w:rPr>
          <w:b/>
          <w:bCs/>
        </w:rPr>
        <w:t>Parrinello–Rahman</w:t>
      </w:r>
      <w:r w:rsidRPr="002204D9">
        <w:t xml:space="preserve"> (production); constraints by </w:t>
      </w:r>
      <w:r w:rsidRPr="002204D9">
        <w:rPr>
          <w:b/>
          <w:bCs/>
        </w:rPr>
        <w:t>LINCS/SETTLE</w:t>
      </w:r>
      <w:r w:rsidRPr="002204D9">
        <w:t xml:space="preserve">; time-integration with standard 2 fs steps [35–55, 39–45, 48–53, 54–55, 72]. </w:t>
      </w:r>
      <w:r w:rsidRPr="002204D9">
        <w:rPr>
          <w:lang w:val="el-GR"/>
        </w:rPr>
        <w:t xml:space="preserve">Trajectories were analyzed with </w:t>
      </w:r>
      <w:r w:rsidRPr="002204D9">
        <w:rPr>
          <w:b/>
          <w:bCs/>
          <w:lang w:val="el-GR"/>
        </w:rPr>
        <w:t>MDTraj</w:t>
      </w:r>
      <w:r w:rsidRPr="002204D9">
        <w:rPr>
          <w:lang w:val="el-GR"/>
        </w:rPr>
        <w:t xml:space="preserve">; visualization with </w:t>
      </w:r>
      <w:r w:rsidRPr="002204D9">
        <w:rPr>
          <w:b/>
          <w:bCs/>
          <w:lang w:val="el-GR"/>
        </w:rPr>
        <w:t>ChimeraX</w:t>
      </w:r>
      <w:r w:rsidRPr="002204D9">
        <w:rPr>
          <w:lang w:val="el-GR"/>
        </w:rPr>
        <w:t xml:space="preserve"> [64, 79].</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4"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Pharmacophoric-ODEs: geometry-aware evolution of graphs and poses</w:t>
      </w:r>
    </w:p>
    <w:p w:rsidR="002204D9" w:rsidRPr="002204D9" w:rsidRDefault="002204D9" w:rsidP="002204D9">
      <w:pPr>
        <w:jc w:val="left"/>
        <w:outlineLvl w:val="9"/>
      </w:pPr>
      <w:r w:rsidRPr="002204D9">
        <w:t>Each candidate is represented as xt=(Gt,Pt,</w:t>
      </w:r>
      <w:r w:rsidRPr="002204D9">
        <w:rPr>
          <w:lang w:val="el-GR"/>
        </w:rPr>
        <w:t>Π</w:t>
      </w:r>
      <w:r w:rsidRPr="002204D9">
        <w:t>t)x_t=(G_t,P_t,\Pi_t)xt​=(Gt​,Pt​,</w:t>
      </w:r>
      <w:r w:rsidRPr="002204D9">
        <w:rPr>
          <w:lang w:val="el-GR"/>
        </w:rPr>
        <w:t>Π</w:t>
      </w:r>
      <w:r w:rsidRPr="002204D9">
        <w:t xml:space="preserve">t​), combining a </w:t>
      </w:r>
      <w:r w:rsidRPr="002204D9">
        <w:rPr>
          <w:b/>
          <w:bCs/>
        </w:rPr>
        <w:t>molecular graph</w:t>
      </w:r>
      <w:r w:rsidRPr="002204D9">
        <w:t xml:space="preserve"> with editable exit vectors, a </w:t>
      </w:r>
      <w:r w:rsidRPr="002204D9">
        <w:rPr>
          <w:b/>
          <w:bCs/>
        </w:rPr>
        <w:t>3D pose</w:t>
      </w:r>
      <w:r w:rsidRPr="002204D9">
        <w:t xml:space="preserve">, and </w:t>
      </w:r>
      <w:r w:rsidRPr="002204D9">
        <w:rPr>
          <w:b/>
          <w:bCs/>
        </w:rPr>
        <w:t>soft pharmacophore labels</w:t>
      </w:r>
      <w:r w:rsidRPr="002204D9">
        <w:t xml:space="preserve"> (donor, acceptor, hydrophobe, ionizable). The state follows a </w:t>
      </w:r>
      <w:r w:rsidRPr="002204D9">
        <w:rPr>
          <w:b/>
          <w:bCs/>
        </w:rPr>
        <w:t>neural ODE</w:t>
      </w:r>
      <w:r w:rsidRPr="002204D9">
        <w:t>, x˙t=f</w:t>
      </w:r>
      <w:r w:rsidRPr="002204D9">
        <w:rPr>
          <w:lang w:val="el-GR"/>
        </w:rPr>
        <w:t>θ</w:t>
      </w:r>
      <w:r w:rsidRPr="002204D9">
        <w:t>(xt,t)\dot x_t=f_\theta(x_t,t)x˙t​=f</w:t>
      </w:r>
      <w:r w:rsidRPr="002204D9">
        <w:rPr>
          <w:lang w:val="el-GR"/>
        </w:rPr>
        <w:t>θ</w:t>
      </w:r>
      <w:r w:rsidRPr="002204D9">
        <w:t xml:space="preserve">​(xt​,t), with </w:t>
      </w:r>
      <w:r w:rsidRPr="002204D9">
        <w:rPr>
          <w:b/>
          <w:bCs/>
        </w:rPr>
        <w:t>validity projections</w:t>
      </w:r>
      <w:r w:rsidRPr="002204D9">
        <w:t xml:space="preserve"> after each step to enforce valence, ring templates, and charge sanity. Pocket geometry enters through </w:t>
      </w:r>
      <w:r w:rsidRPr="002204D9">
        <w:rPr>
          <w:b/>
          <w:bCs/>
        </w:rPr>
        <w:t>principal curvatures</w:t>
      </w:r>
      <w:r w:rsidRPr="002204D9">
        <w:t xml:space="preserve"> (</w:t>
      </w:r>
      <w:r w:rsidRPr="002204D9">
        <w:rPr>
          <w:lang w:val="el-GR"/>
        </w:rPr>
        <w:t>κ</w:t>
      </w:r>
      <w:r w:rsidRPr="002204D9">
        <w:t>1,</w:t>
      </w:r>
      <w:r w:rsidRPr="002204D9">
        <w:rPr>
          <w:lang w:val="el-GR"/>
        </w:rPr>
        <w:t>κ</w:t>
      </w:r>
      <w:r w:rsidRPr="002204D9">
        <w:t>2)(\kappa_1,\kappa_2)(</w:t>
      </w:r>
      <w:r w:rsidRPr="002204D9">
        <w:rPr>
          <w:lang w:val="el-GR"/>
        </w:rPr>
        <w:t>κ</w:t>
      </w:r>
      <w:r w:rsidRPr="002204D9">
        <w:t>1​,</w:t>
      </w:r>
      <w:r w:rsidRPr="002204D9">
        <w:rPr>
          <w:lang w:val="el-GR"/>
        </w:rPr>
        <w:t>κ</w:t>
      </w:r>
      <w:r w:rsidRPr="002204D9">
        <w:t xml:space="preserve">2​) extracted from triangulated meshes; the </w:t>
      </w:r>
      <w:r w:rsidRPr="002204D9">
        <w:rPr>
          <w:b/>
          <w:bCs/>
        </w:rPr>
        <w:t>mean curvature</w:t>
      </w:r>
      <w:r w:rsidRPr="002204D9">
        <w:t xml:space="preserve"> H=12(</w:t>
      </w:r>
      <w:r w:rsidRPr="002204D9">
        <w:rPr>
          <w:lang w:val="el-GR"/>
        </w:rPr>
        <w:t>κ</w:t>
      </w:r>
      <w:r w:rsidRPr="002204D9">
        <w:t>1+</w:t>
      </w:r>
      <w:r w:rsidRPr="002204D9">
        <w:rPr>
          <w:lang w:val="el-GR"/>
        </w:rPr>
        <w:t>κ</w:t>
      </w:r>
      <w:r w:rsidRPr="002204D9">
        <w:t>2)H=\frac12(\kappa_1+\kappa_2)H=21​(</w:t>
      </w:r>
      <w:r w:rsidRPr="002204D9">
        <w:rPr>
          <w:lang w:val="el-GR"/>
        </w:rPr>
        <w:t>κ</w:t>
      </w:r>
      <w:r w:rsidRPr="002204D9">
        <w:t>1​+</w:t>
      </w:r>
      <w:r w:rsidRPr="002204D9">
        <w:rPr>
          <w:lang w:val="el-GR"/>
        </w:rPr>
        <w:t>κ</w:t>
      </w:r>
      <w:r w:rsidRPr="002204D9">
        <w:t xml:space="preserve">2​) and </w:t>
      </w:r>
      <w:r w:rsidRPr="002204D9">
        <w:rPr>
          <w:b/>
          <w:bCs/>
        </w:rPr>
        <w:t>Gaussian curvature</w:t>
      </w:r>
      <w:r w:rsidRPr="002204D9">
        <w:t xml:space="preserve"> K=</w:t>
      </w:r>
      <w:r w:rsidRPr="002204D9">
        <w:rPr>
          <w:lang w:val="el-GR"/>
        </w:rPr>
        <w:t>κ</w:t>
      </w:r>
      <w:r w:rsidRPr="002204D9">
        <w:t>1</w:t>
      </w:r>
      <w:r w:rsidRPr="002204D9">
        <w:rPr>
          <w:lang w:val="el-GR"/>
        </w:rPr>
        <w:t>κ</w:t>
      </w:r>
      <w:r w:rsidRPr="002204D9">
        <w:t>2K=\kappa_1\kappa_2K=</w:t>
      </w:r>
      <w:r w:rsidRPr="002204D9">
        <w:rPr>
          <w:lang w:val="el-GR"/>
        </w:rPr>
        <w:t>κ</w:t>
      </w:r>
      <w:r w:rsidRPr="002204D9">
        <w:t>1​</w:t>
      </w:r>
      <w:r w:rsidRPr="002204D9">
        <w:rPr>
          <w:lang w:val="el-GR"/>
        </w:rPr>
        <w:t>κ</w:t>
      </w:r>
      <w:r w:rsidRPr="002204D9">
        <w:t xml:space="preserve">2​ modulate the vector field so that flows are gently biased toward </w:t>
      </w:r>
      <w:r w:rsidRPr="002204D9">
        <w:rPr>
          <w:b/>
          <w:bCs/>
        </w:rPr>
        <w:t>concave, hydrated</w:t>
      </w:r>
      <w:r w:rsidRPr="002204D9">
        <w:t xml:space="preserve"> regions that reward burial without breaking hydrogen-bond geometry.</w:t>
      </w:r>
      <w:r w:rsidR="00356057">
        <w:t xml:space="preserve"> I </w:t>
      </w:r>
      <w:r w:rsidRPr="002204D9">
        <w:t>minimize a composite objective,</w:t>
      </w:r>
    </w:p>
    <w:p w:rsidR="002204D9" w:rsidRPr="002204D9" w:rsidRDefault="002204D9" w:rsidP="002204D9">
      <w:pPr>
        <w:spacing w:before="0" w:beforeAutospacing="0" w:after="0" w:afterAutospacing="0"/>
        <w:jc w:val="left"/>
        <w:outlineLvl w:val="9"/>
      </w:pPr>
      <w:r w:rsidRPr="002204D9">
        <w:t>L=</w:t>
      </w:r>
      <w:r w:rsidRPr="002204D9">
        <w:rPr>
          <w:lang w:val="el-GR"/>
        </w:rPr>
        <w:t>λ</w:t>
      </w:r>
      <w:r w:rsidRPr="002204D9">
        <w:t>phys</w:t>
      </w:r>
      <w:r w:rsidRPr="002204D9">
        <w:rPr>
          <w:lang w:val="el-GR"/>
        </w:rPr>
        <w:t>Δ</w:t>
      </w:r>
      <w:r w:rsidRPr="002204D9">
        <w:t>G^MM/GBSA+</w:t>
      </w:r>
      <w:r w:rsidRPr="002204D9">
        <w:rPr>
          <w:lang w:val="el-GR"/>
        </w:rPr>
        <w:t>λ</w:t>
      </w:r>
      <w:r w:rsidRPr="002204D9">
        <w:t>ph4 ℓph4+</w:t>
      </w:r>
      <w:r w:rsidRPr="002204D9">
        <w:rPr>
          <w:lang w:val="el-GR"/>
        </w:rPr>
        <w:t>λ</w:t>
      </w:r>
      <w:r w:rsidRPr="002204D9">
        <w:t>info S</w:t>
      </w:r>
      <w:r w:rsidRPr="002204D9">
        <w:rPr>
          <w:lang w:val="el-GR"/>
        </w:rPr>
        <w:t>α</w:t>
      </w:r>
      <w:r w:rsidRPr="002204D9">
        <w:t>+</w:t>
      </w:r>
      <w:r w:rsidRPr="002204D9">
        <w:rPr>
          <w:lang w:val="el-GR"/>
        </w:rPr>
        <w:t>λ</w:t>
      </w:r>
      <w:r w:rsidRPr="002204D9">
        <w:t>chem ℓADMET/SA,\mathcal L=\lambda_{\mathrm{phys}}\widehat{\Delta G}_{\mathrm{MM/GBSA}} +\lambda_{\mathrm{ph4}}\,\ell_{\mathrm{ph4}} +\lambda_{\mathrm{info}}\,S_\alpha +\lambda_{\mathrm{chem}}\,\ell_{\mathrm{ADMET/SA}},L=</w:t>
      </w:r>
      <w:r w:rsidRPr="002204D9">
        <w:rPr>
          <w:lang w:val="el-GR"/>
        </w:rPr>
        <w:t>λ</w:t>
      </w:r>
      <w:r w:rsidRPr="002204D9">
        <w:t>phys​</w:t>
      </w:r>
      <w:r w:rsidRPr="002204D9">
        <w:rPr>
          <w:lang w:val="el-GR"/>
        </w:rPr>
        <w:t>Δ</w:t>
      </w:r>
      <w:r w:rsidRPr="002204D9">
        <w:t>GMM/GBSA​+</w:t>
      </w:r>
      <w:r w:rsidRPr="002204D9">
        <w:rPr>
          <w:lang w:val="el-GR"/>
        </w:rPr>
        <w:t>λ</w:t>
      </w:r>
      <w:r w:rsidRPr="002204D9">
        <w:t>ph4​ℓph4​+</w:t>
      </w:r>
      <w:r w:rsidRPr="002204D9">
        <w:rPr>
          <w:lang w:val="el-GR"/>
        </w:rPr>
        <w:t>λ</w:t>
      </w:r>
      <w:r w:rsidRPr="002204D9">
        <w:t>info​S</w:t>
      </w:r>
      <w:r w:rsidRPr="002204D9">
        <w:rPr>
          <w:lang w:val="el-GR"/>
        </w:rPr>
        <w:t>α</w:t>
      </w:r>
      <w:r w:rsidRPr="002204D9">
        <w:t>​+</w:t>
      </w:r>
      <w:r w:rsidRPr="002204D9">
        <w:rPr>
          <w:lang w:val="el-GR"/>
        </w:rPr>
        <w:t>λ</w:t>
      </w:r>
      <w:r w:rsidRPr="002204D9">
        <w:t xml:space="preserve">chem​ℓADMET/SA​, </w:t>
      </w:r>
    </w:p>
    <w:p w:rsidR="002204D9" w:rsidRPr="002204D9" w:rsidRDefault="002204D9" w:rsidP="002204D9">
      <w:pPr>
        <w:jc w:val="left"/>
        <w:outlineLvl w:val="9"/>
      </w:pPr>
      <w:r w:rsidRPr="002204D9">
        <w:t xml:space="preserve">balancing physics-informed energies, </w:t>
      </w:r>
      <w:r w:rsidRPr="002204D9">
        <w:rPr>
          <w:b/>
          <w:bCs/>
        </w:rPr>
        <w:t>pharmacophore alignment</w:t>
      </w:r>
      <w:r w:rsidRPr="002204D9">
        <w:t xml:space="preserve"> (with motif-derived soft constraints), </w:t>
      </w:r>
      <w:r w:rsidRPr="002204D9">
        <w:rPr>
          <w:b/>
          <w:bCs/>
        </w:rPr>
        <w:t>diversity regularization</w:t>
      </w:r>
      <w:r w:rsidRPr="002204D9">
        <w:t xml:space="preserve"> (Rényi entropy from the library triage), and </w:t>
      </w:r>
      <w:r w:rsidRPr="002204D9">
        <w:rPr>
          <w:b/>
          <w:bCs/>
        </w:rPr>
        <w:t>developability</w:t>
      </w:r>
      <w:r w:rsidRPr="002204D9">
        <w:t xml:space="preserve"> penalties. Numerical integration uses </w:t>
      </w:r>
      <w:r w:rsidRPr="002204D9">
        <w:rPr>
          <w:b/>
          <w:bCs/>
        </w:rPr>
        <w:t>Dormand–Prince (RK45)</w:t>
      </w:r>
      <w:r w:rsidRPr="002204D9">
        <w:t xml:space="preserve"> with adaptive step control, which stabilizes gradients and reduces projection overhead [150]. The ODE layer is implemented on top of standard scientific stacks (</w:t>
      </w:r>
      <w:r w:rsidRPr="002204D9">
        <w:rPr>
          <w:b/>
          <w:bCs/>
        </w:rPr>
        <w:t>NumPy</w:t>
      </w:r>
      <w:r w:rsidRPr="002204D9">
        <w:t xml:space="preserve">, </w:t>
      </w:r>
      <w:r w:rsidRPr="002204D9">
        <w:rPr>
          <w:b/>
          <w:bCs/>
        </w:rPr>
        <w:t>SciPy</w:t>
      </w:r>
      <w:r w:rsidRPr="002204D9">
        <w:t xml:space="preserve">, </w:t>
      </w:r>
      <w:r w:rsidRPr="002204D9">
        <w:rPr>
          <w:b/>
          <w:bCs/>
        </w:rPr>
        <w:t>pandas</w:t>
      </w:r>
      <w:r w:rsidRPr="002204D9">
        <w:t xml:space="preserve">, </w:t>
      </w:r>
      <w:r w:rsidRPr="002204D9">
        <w:rPr>
          <w:b/>
          <w:bCs/>
        </w:rPr>
        <w:t>scikit-learn</w:t>
      </w:r>
      <w:r w:rsidRPr="002204D9">
        <w:t>) to streamline ablations and sensitivity analyses [101–105].</w:t>
      </w:r>
    </w:p>
    <w:p w:rsidR="002204D9" w:rsidRPr="002204D9" w:rsidRDefault="002204D9" w:rsidP="002204D9">
      <w:pPr>
        <w:jc w:val="left"/>
        <w:outlineLvl w:val="9"/>
      </w:pPr>
      <w:r w:rsidRPr="002204D9">
        <w:rPr>
          <w:b/>
          <w:bCs/>
        </w:rPr>
        <w:t>Why geometry helps.</w:t>
      </w:r>
      <w:r w:rsidRPr="002204D9">
        <w:t xml:space="preserve"> Concavity and hydration priors reduce </w:t>
      </w:r>
      <w:r w:rsidRPr="002204D9">
        <w:rPr>
          <w:b/>
          <w:bCs/>
        </w:rPr>
        <w:t>pose degeneracy</w:t>
      </w:r>
      <w:r w:rsidRPr="002204D9">
        <w:t xml:space="preserve"> and tame </w:t>
      </w:r>
      <w:r w:rsidRPr="002204D9">
        <w:rPr>
          <w:b/>
          <w:bCs/>
        </w:rPr>
        <w:t>over-squashing</w:t>
      </w:r>
      <w:r w:rsidRPr="002204D9">
        <w:t xml:space="preserve"> of features, particularly in long, solvent-exposed grooves such as protease S1′/S2′ sites or ERC binding faces. In practice, geometry-regularized search improved rank stability across chemotypes and reduced false positives in </w:t>
      </w:r>
      <w:r w:rsidRPr="002204D9">
        <w:rPr>
          <w:b/>
          <w:bCs/>
        </w:rPr>
        <w:t>ERC/NEU1</w:t>
      </w:r>
      <w:r w:rsidRPr="002204D9">
        <w:t xml:space="preserve"> and </w:t>
      </w:r>
      <w:r w:rsidRPr="002204D9">
        <w:rPr>
          <w:b/>
          <w:bCs/>
        </w:rPr>
        <w:t>protease</w:t>
      </w:r>
      <w:r w:rsidRPr="002204D9">
        <w:t xml:space="preserve"> pockets, consistent with</w:t>
      </w:r>
      <w:r w:rsidR="00356057">
        <w:t xml:space="preserve"> my </w:t>
      </w:r>
      <w:r w:rsidRPr="002204D9">
        <w:t>CC-aware network maps and pocket-mesh annotations [4–10, 62, 79, 85–87].</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5"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Digitized-adiabatic GHZ calibration: a fidelity gate for NISQ-era quantum learners</w:t>
      </w:r>
    </w:p>
    <w:p w:rsidR="002204D9" w:rsidRPr="002204D9" w:rsidRDefault="002204D9" w:rsidP="002204D9">
      <w:pPr>
        <w:jc w:val="left"/>
        <w:outlineLvl w:val="9"/>
      </w:pPr>
      <w:r w:rsidRPr="002204D9">
        <w:t>Because</w:t>
      </w:r>
      <w:r w:rsidR="00356057">
        <w:t xml:space="preserve"> my </w:t>
      </w:r>
      <w:r w:rsidRPr="002204D9">
        <w:t xml:space="preserve">downstream learner contains a </w:t>
      </w:r>
      <w:r w:rsidRPr="002204D9">
        <w:rPr>
          <w:b/>
          <w:bCs/>
        </w:rPr>
        <w:t>hybrid quantum</w:t>
      </w:r>
      <w:r w:rsidRPr="002204D9">
        <w:t xml:space="preserve"> module (QAOA</w:t>
      </w:r>
      <w:r w:rsidRPr="002204D9">
        <w:rPr>
          <w:rFonts w:ascii="Cambria Math" w:hAnsi="Cambria Math" w:cs="Cambria Math"/>
        </w:rPr>
        <w:t>⊗</w:t>
      </w:r>
      <w:r w:rsidRPr="002204D9">
        <w:t>PQC),</w:t>
      </w:r>
      <w:r w:rsidR="00356057">
        <w:t xml:space="preserve"> I </w:t>
      </w:r>
      <w:r w:rsidRPr="002204D9">
        <w:t xml:space="preserve">gate every circuit through a </w:t>
      </w:r>
      <w:r w:rsidRPr="002204D9">
        <w:rPr>
          <w:b/>
          <w:bCs/>
        </w:rPr>
        <w:t>digitized-adiabatic</w:t>
      </w:r>
      <w:r w:rsidRPr="002204D9">
        <w:t xml:space="preserve"> path to a known entangled target, the </w:t>
      </w:r>
      <w:r w:rsidRPr="002204D9">
        <w:rPr>
          <w:b/>
          <w:bCs/>
        </w:rPr>
        <w:t>three-qubit GHZ state</w:t>
      </w:r>
      <w:r w:rsidRPr="002204D9">
        <w:t xml:space="preserve">, </w:t>
      </w:r>
      <w:r w:rsidRPr="002204D9">
        <w:rPr>
          <w:rFonts w:ascii="Cambria Math" w:hAnsi="Cambria Math" w:cs="Cambria Math"/>
        </w:rPr>
        <w:t>∣</w:t>
      </w:r>
      <w:r w:rsidRPr="002204D9">
        <w:t>GHZ</w:t>
      </w:r>
      <w:r w:rsidRPr="002204D9">
        <w:rPr>
          <w:rFonts w:ascii="Cambria Math" w:hAnsi="Cambria Math" w:cs="Cambria Math"/>
          <w:lang w:val="el-GR"/>
        </w:rPr>
        <w:t>⟩</w:t>
      </w:r>
      <w:r w:rsidRPr="002204D9">
        <w:t>=(</w:t>
      </w:r>
      <w:r w:rsidRPr="002204D9">
        <w:rPr>
          <w:rFonts w:ascii="Cambria Math" w:hAnsi="Cambria Math" w:cs="Cambria Math"/>
        </w:rPr>
        <w:t>∣</w:t>
      </w:r>
      <w:r w:rsidRPr="002204D9">
        <w:t>000</w:t>
      </w:r>
      <w:r w:rsidRPr="002204D9">
        <w:rPr>
          <w:rFonts w:ascii="Cambria Math" w:hAnsi="Cambria Math" w:cs="Cambria Math"/>
          <w:lang w:val="el-GR"/>
        </w:rPr>
        <w:t>⟩</w:t>
      </w:r>
      <w:r w:rsidRPr="002204D9">
        <w:t>+</w:t>
      </w:r>
      <w:r w:rsidRPr="002204D9">
        <w:rPr>
          <w:rFonts w:ascii="Cambria Math" w:hAnsi="Cambria Math" w:cs="Cambria Math"/>
        </w:rPr>
        <w:t>∣</w:t>
      </w:r>
      <w:r w:rsidRPr="002204D9">
        <w:t>111</w:t>
      </w:r>
      <w:r w:rsidRPr="002204D9">
        <w:rPr>
          <w:rFonts w:ascii="Cambria Math" w:hAnsi="Cambria Math" w:cs="Cambria Math"/>
          <w:lang w:val="el-GR"/>
        </w:rPr>
        <w:t>⟩</w:t>
      </w:r>
      <w:r w:rsidRPr="002204D9">
        <w:t>)/2|\mathrm{GHZ}\rangle=(|000\rangle+|111\rangle)/\sqrt{2}</w:t>
      </w:r>
      <w:r w:rsidRPr="002204D9">
        <w:rPr>
          <w:rFonts w:ascii="Cambria Math" w:hAnsi="Cambria Math" w:cs="Cambria Math"/>
        </w:rPr>
        <w:t>∣</w:t>
      </w:r>
      <w:r w:rsidRPr="002204D9">
        <w:t>GHZ</w:t>
      </w:r>
      <w:r w:rsidRPr="002204D9">
        <w:rPr>
          <w:rFonts w:ascii="Cambria Math" w:hAnsi="Cambria Math" w:cs="Cambria Math"/>
          <w:lang w:val="el-GR"/>
        </w:rPr>
        <w:t>⟩</w:t>
      </w:r>
      <w:r w:rsidRPr="002204D9">
        <w:t>=(</w:t>
      </w:r>
      <w:r w:rsidRPr="002204D9">
        <w:rPr>
          <w:rFonts w:ascii="Cambria Math" w:hAnsi="Cambria Math" w:cs="Cambria Math"/>
        </w:rPr>
        <w:t>∣</w:t>
      </w:r>
      <w:r w:rsidRPr="002204D9">
        <w:t>000</w:t>
      </w:r>
      <w:r w:rsidRPr="002204D9">
        <w:rPr>
          <w:rFonts w:ascii="Cambria Math" w:hAnsi="Cambria Math" w:cs="Cambria Math"/>
          <w:lang w:val="el-GR"/>
        </w:rPr>
        <w:t>⟩</w:t>
      </w:r>
      <w:r w:rsidRPr="002204D9">
        <w:t>+</w:t>
      </w:r>
      <w:r w:rsidRPr="002204D9">
        <w:rPr>
          <w:rFonts w:ascii="Cambria Math" w:hAnsi="Cambria Math" w:cs="Cambria Math"/>
        </w:rPr>
        <w:t>∣</w:t>
      </w:r>
      <w:r w:rsidRPr="002204D9">
        <w:t>111</w:t>
      </w:r>
      <w:r w:rsidRPr="002204D9">
        <w:rPr>
          <w:rFonts w:ascii="Cambria Math" w:hAnsi="Cambria Math" w:cs="Cambria Math"/>
          <w:lang w:val="el-GR"/>
        </w:rPr>
        <w:t>⟩</w:t>
      </w:r>
      <w:r w:rsidRPr="002204D9">
        <w:t>)/2​ [125–126, 132].</w:t>
      </w:r>
      <w:r w:rsidR="00356057">
        <w:t xml:space="preserve"> I </w:t>
      </w:r>
      <w:r w:rsidRPr="002204D9">
        <w:t>initialize three non-interacting spins in a uniform transverse field and interpolate linearly between</w:t>
      </w:r>
    </w:p>
    <w:p w:rsidR="002204D9" w:rsidRPr="002204D9" w:rsidRDefault="002204D9" w:rsidP="002204D9">
      <w:pPr>
        <w:spacing w:before="0" w:beforeAutospacing="0" w:after="0" w:afterAutospacing="0"/>
        <w:jc w:val="left"/>
        <w:outlineLvl w:val="9"/>
      </w:pPr>
      <w:r w:rsidRPr="002204D9">
        <w:t>H0=−Bx(</w:t>
      </w:r>
      <w:r w:rsidRPr="002204D9">
        <w:rPr>
          <w:lang w:val="el-GR"/>
        </w:rPr>
        <w:t>σ</w:t>
      </w:r>
      <w:r w:rsidRPr="002204D9">
        <w:t>x,1+</w:t>
      </w:r>
      <w:r w:rsidRPr="002204D9">
        <w:rPr>
          <w:lang w:val="el-GR"/>
        </w:rPr>
        <w:t>σ</w:t>
      </w:r>
      <w:r w:rsidRPr="002204D9">
        <w:t>x,2+</w:t>
      </w:r>
      <w:r w:rsidRPr="002204D9">
        <w:rPr>
          <w:lang w:val="el-GR"/>
        </w:rPr>
        <w:t>σ</w:t>
      </w:r>
      <w:r w:rsidRPr="002204D9">
        <w:t>x,3),Hf=−Jzz(</w:t>
      </w:r>
      <w:r w:rsidRPr="002204D9">
        <w:rPr>
          <w:lang w:val="el-GR"/>
        </w:rPr>
        <w:t>σ</w:t>
      </w:r>
      <w:r w:rsidRPr="002204D9">
        <w:t>z,1 ⁣</w:t>
      </w:r>
      <w:r w:rsidRPr="002204D9">
        <w:rPr>
          <w:rFonts w:ascii="Cambria Math" w:hAnsi="Cambria Math" w:cs="Cambria Math"/>
        </w:rPr>
        <w:t>⊗</w:t>
      </w:r>
      <w:r w:rsidRPr="002204D9">
        <w:t> ⁣</w:t>
      </w:r>
      <w:r w:rsidRPr="002204D9">
        <w:rPr>
          <w:lang w:val="el-GR"/>
        </w:rPr>
        <w:t>σ</w:t>
      </w:r>
      <w:r w:rsidRPr="002204D9">
        <w:t>z,2+</w:t>
      </w:r>
      <w:r w:rsidRPr="002204D9">
        <w:rPr>
          <w:lang w:val="el-GR"/>
        </w:rPr>
        <w:t>σ</w:t>
      </w:r>
      <w:r w:rsidRPr="002204D9">
        <w:t>z,2 ⁣</w:t>
      </w:r>
      <w:r w:rsidRPr="002204D9">
        <w:rPr>
          <w:rFonts w:ascii="Cambria Math" w:hAnsi="Cambria Math" w:cs="Cambria Math"/>
        </w:rPr>
        <w:t>⊗</w:t>
      </w:r>
      <w:r w:rsidRPr="002204D9">
        <w:t> ⁣</w:t>
      </w:r>
      <w:r w:rsidRPr="002204D9">
        <w:rPr>
          <w:lang w:val="el-GR"/>
        </w:rPr>
        <w:t>σ</w:t>
      </w:r>
      <w:r w:rsidRPr="002204D9">
        <w:t>z,3),H_0=-B_x(\sigma_{x,1}+\sigma_{x,2}+\sigma_{x,3}),\qquad H_f=-J_{zz}(\sigma_{z,1}\!\otimes\!\sigma_{z,2}+\sigma_{z,2}\!\otimes\!\sigma_{z,3}),H0​=−Bx​(</w:t>
      </w:r>
      <w:r w:rsidRPr="002204D9">
        <w:rPr>
          <w:lang w:val="el-GR"/>
        </w:rPr>
        <w:t>σ</w:t>
      </w:r>
      <w:r w:rsidRPr="002204D9">
        <w:t>x,1​+</w:t>
      </w:r>
      <w:r w:rsidRPr="002204D9">
        <w:rPr>
          <w:lang w:val="el-GR"/>
        </w:rPr>
        <w:t>σ</w:t>
      </w:r>
      <w:r w:rsidRPr="002204D9">
        <w:t>x,2​+</w:t>
      </w:r>
      <w:r w:rsidRPr="002204D9">
        <w:rPr>
          <w:lang w:val="el-GR"/>
        </w:rPr>
        <w:t>σ</w:t>
      </w:r>
      <w:r w:rsidRPr="002204D9">
        <w:t>x,3​),Hf​=−Jzz​(</w:t>
      </w:r>
      <w:r w:rsidRPr="002204D9">
        <w:rPr>
          <w:lang w:val="el-GR"/>
        </w:rPr>
        <w:t>σ</w:t>
      </w:r>
      <w:r w:rsidRPr="002204D9">
        <w:t>z,1​</w:t>
      </w:r>
      <w:r w:rsidRPr="002204D9">
        <w:rPr>
          <w:rFonts w:ascii="Cambria Math" w:hAnsi="Cambria Math" w:cs="Cambria Math"/>
        </w:rPr>
        <w:t>⊗</w:t>
      </w:r>
      <w:r w:rsidRPr="002204D9">
        <w:rPr>
          <w:lang w:val="el-GR"/>
        </w:rPr>
        <w:t>σ</w:t>
      </w:r>
      <w:r w:rsidRPr="002204D9">
        <w:t>z,2​+</w:t>
      </w:r>
      <w:r w:rsidRPr="002204D9">
        <w:rPr>
          <w:lang w:val="el-GR"/>
        </w:rPr>
        <w:t>σ</w:t>
      </w:r>
      <w:r w:rsidRPr="002204D9">
        <w:t>z,2​</w:t>
      </w:r>
      <w:r w:rsidRPr="002204D9">
        <w:rPr>
          <w:rFonts w:ascii="Cambria Math" w:hAnsi="Cambria Math" w:cs="Cambria Math"/>
        </w:rPr>
        <w:t>⊗</w:t>
      </w:r>
      <w:r w:rsidRPr="002204D9">
        <w:rPr>
          <w:lang w:val="el-GR"/>
        </w:rPr>
        <w:t>σ</w:t>
      </w:r>
      <w:r w:rsidRPr="002204D9">
        <w:t xml:space="preserve">z,3​), </w:t>
      </w:r>
    </w:p>
    <w:p w:rsidR="002204D9" w:rsidRPr="002204D9" w:rsidRDefault="002204D9" w:rsidP="002204D9">
      <w:pPr>
        <w:jc w:val="left"/>
        <w:outlineLvl w:val="9"/>
      </w:pPr>
      <w:r w:rsidRPr="002204D9">
        <w:t>via H(s)=sHf+(1−s)H0, s=t/T</w:t>
      </w:r>
      <w:r w:rsidRPr="002204D9">
        <w:rPr>
          <w:rFonts w:ascii="Cambria Math" w:hAnsi="Cambria Math" w:cs="Cambria Math"/>
        </w:rPr>
        <w:t>∈</w:t>
      </w:r>
      <w:r w:rsidRPr="002204D9">
        <w:t>[0,1]H(s)=s H_f+(1-s)H_0,\ s=t/T\in[0,1]H(s)=sHf​+(1−s)H0​, s=t/T</w:t>
      </w:r>
      <w:r w:rsidRPr="002204D9">
        <w:rPr>
          <w:rFonts w:ascii="Cambria Math" w:hAnsi="Cambria Math" w:cs="Cambria Math"/>
        </w:rPr>
        <w:t>∈</w:t>
      </w:r>
      <w:r w:rsidRPr="002204D9">
        <w:t xml:space="preserve">[0,1], digitized by an </w:t>
      </w:r>
      <w:r w:rsidRPr="002204D9">
        <w:rPr>
          <w:b/>
          <w:bCs/>
        </w:rPr>
        <w:t>8-step Trotter–Suzuki</w:t>
      </w:r>
      <w:r w:rsidRPr="002204D9">
        <w:t xml:space="preserve"> sequence [147–148, 132]. For each backend/simulator (</w:t>
      </w:r>
      <w:r w:rsidRPr="002204D9">
        <w:rPr>
          <w:b/>
          <w:bCs/>
        </w:rPr>
        <w:t>Qiskit/Aer</w:t>
      </w:r>
      <w:r w:rsidRPr="002204D9">
        <w:t>),</w:t>
      </w:r>
      <w:r w:rsidR="00356057">
        <w:t xml:space="preserve"> I </w:t>
      </w:r>
      <w:r w:rsidRPr="002204D9">
        <w:t xml:space="preserve">perform </w:t>
      </w:r>
      <w:r w:rsidRPr="002204D9">
        <w:rPr>
          <w:b/>
          <w:bCs/>
        </w:rPr>
        <w:t>lightweight state tomography</w:t>
      </w:r>
      <w:r w:rsidRPr="002204D9">
        <w:t xml:space="preserve">, compute </w:t>
      </w:r>
      <w:r w:rsidRPr="002204D9">
        <w:rPr>
          <w:b/>
          <w:bCs/>
        </w:rPr>
        <w:t>von Neumann entropy</w:t>
      </w:r>
      <w:r w:rsidRPr="002204D9">
        <w:t xml:space="preserve"> trajectories, and evaluate a </w:t>
      </w:r>
      <w:r w:rsidRPr="002204D9">
        <w:rPr>
          <w:b/>
          <w:bCs/>
        </w:rPr>
        <w:t>GHZ entanglement witness</w:t>
      </w:r>
      <w:r w:rsidRPr="002204D9">
        <w:t xml:space="preserve">; circuits that fail preset entropy/witness thresholds are </w:t>
      </w:r>
      <w:r w:rsidRPr="002204D9">
        <w:rPr>
          <w:b/>
          <w:bCs/>
        </w:rPr>
        <w:t>rejected</w:t>
      </w:r>
      <w:r w:rsidRPr="002204D9">
        <w:t xml:space="preserve"> before any training, aligning device quality with downstream predictive reliability in the </w:t>
      </w:r>
      <w:r w:rsidRPr="002204D9">
        <w:rPr>
          <w:b/>
          <w:bCs/>
        </w:rPr>
        <w:t>NISQ</w:t>
      </w:r>
      <w:r w:rsidRPr="002204D9">
        <w:t xml:space="preserve"> regime [118, 127–131, 136–141].</w:t>
      </w:r>
    </w:p>
    <w:p w:rsidR="002204D9" w:rsidRPr="002204D9" w:rsidRDefault="002204D9" w:rsidP="002204D9">
      <w:pPr>
        <w:jc w:val="left"/>
        <w:outlineLvl w:val="9"/>
      </w:pPr>
      <w:r w:rsidRPr="002204D9">
        <w:t xml:space="preserve">Training uses </w:t>
      </w:r>
      <w:r w:rsidRPr="002204D9">
        <w:rPr>
          <w:b/>
          <w:bCs/>
        </w:rPr>
        <w:t>SPSA</w:t>
      </w:r>
      <w:r w:rsidRPr="002204D9">
        <w:t>—a stochastic first-order method that is sample-efficient and robust to device noise—to optimize QAOA angles {</w:t>
      </w:r>
      <w:r w:rsidRPr="002204D9">
        <w:rPr>
          <w:lang w:val="el-GR"/>
        </w:rPr>
        <w:t>γ</w:t>
      </w:r>
      <w:r w:rsidRPr="002204D9">
        <w:t>,</w:t>
      </w:r>
      <w:r w:rsidRPr="002204D9">
        <w:rPr>
          <w:lang w:val="el-GR"/>
        </w:rPr>
        <w:t>β</w:t>
      </w:r>
      <w:r w:rsidRPr="002204D9">
        <w:t>}\{\gamma,\beta\}{</w:t>
      </w:r>
      <w:r w:rsidRPr="002204D9">
        <w:rPr>
          <w:lang w:val="el-GR"/>
        </w:rPr>
        <w:t>γ</w:t>
      </w:r>
      <w:r w:rsidRPr="002204D9">
        <w:t>,</w:t>
      </w:r>
      <w:r w:rsidRPr="002204D9">
        <w:rPr>
          <w:lang w:val="el-GR"/>
        </w:rPr>
        <w:t>β</w:t>
      </w:r>
      <w:r w:rsidRPr="002204D9">
        <w:t>} and PQC parameters {</w:t>
      </w:r>
      <w:r w:rsidRPr="002204D9">
        <w:rPr>
          <w:lang w:val="el-GR"/>
        </w:rPr>
        <w:t>θ</w:t>
      </w:r>
      <w:r w:rsidRPr="002204D9">
        <w:t>}\{\theta\}{</w:t>
      </w:r>
      <w:r w:rsidRPr="002204D9">
        <w:rPr>
          <w:lang w:val="el-GR"/>
        </w:rPr>
        <w:t>θ</w:t>
      </w:r>
      <w:r w:rsidRPr="002204D9">
        <w:t xml:space="preserve">}; error-aware schedules (e.g., modest depth, controlled two-qubit counts) mitigate </w:t>
      </w:r>
      <w:r w:rsidRPr="002204D9">
        <w:rPr>
          <w:b/>
          <w:bCs/>
        </w:rPr>
        <w:t>barren plateau</w:t>
      </w:r>
      <w:r w:rsidRPr="002204D9">
        <w:t xml:space="preserve"> risks and reduce calibration burden [109–110, 119, 12</w:t>
      </w:r>
      <w:r w:rsidR="00E11ABF">
        <w:t>1–122, 124–126, 134–135, 140–200</w:t>
      </w:r>
      <w:r w:rsidRPr="002204D9">
        <w:t xml:space="preserve">]. Only </w:t>
      </w:r>
      <w:r w:rsidRPr="002204D9">
        <w:rPr>
          <w:b/>
          <w:bCs/>
        </w:rPr>
        <w:t>GHZ-validated</w:t>
      </w:r>
      <w:r w:rsidRPr="002204D9">
        <w:t xml:space="preserve"> circuits enter cross-validation, ensuring the quantum contribution is consistently </w:t>
      </w:r>
      <w:r w:rsidRPr="002204D9">
        <w:rPr>
          <w:b/>
          <w:bCs/>
        </w:rPr>
        <w:t>value-adding</w:t>
      </w:r>
      <w:r w:rsidRPr="002204D9">
        <w:t xml:space="preserve"> rather than stochastic.</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6"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Training after calibration: physics-conditioned, geometry-aware features into QAOA</w:t>
      </w:r>
      <w:r w:rsidRPr="002204D9">
        <w:rPr>
          <w:rFonts w:ascii="Cambria Math" w:hAnsi="Cambria Math" w:cs="Cambria Math"/>
          <w:b/>
          <w:bCs/>
          <w:sz w:val="36"/>
          <w:szCs w:val="36"/>
        </w:rPr>
        <w:t>⊗</w:t>
      </w:r>
      <w:r w:rsidRPr="002204D9">
        <w:rPr>
          <w:b/>
          <w:bCs/>
          <w:sz w:val="36"/>
          <w:szCs w:val="36"/>
        </w:rPr>
        <w:t>PQC</w:t>
      </w:r>
    </w:p>
    <w:p w:rsidR="002204D9" w:rsidRPr="002204D9" w:rsidRDefault="002204D9" w:rsidP="002204D9">
      <w:pPr>
        <w:jc w:val="left"/>
        <w:outlineLvl w:val="9"/>
      </w:pPr>
      <w:r w:rsidRPr="002204D9">
        <w:t xml:space="preserve">The features that feed the hybrid learner are drawn </w:t>
      </w:r>
      <w:r w:rsidRPr="002204D9">
        <w:rPr>
          <w:b/>
          <w:bCs/>
        </w:rPr>
        <w:t>after</w:t>
      </w:r>
      <w:r w:rsidRPr="002204D9">
        <w:t xml:space="preserve"> the classical filters have done their work: decomposed energetic components (</w:t>
      </w:r>
      <w:r w:rsidRPr="002204D9">
        <w:rPr>
          <w:lang w:val="el-GR"/>
        </w:rPr>
        <w:t>Δ</w:t>
      </w:r>
      <w:r w:rsidRPr="002204D9">
        <w:t>EMM,Gsolv\Delta E_{\mathrm{MM}}, G_{\mathrm{solv}}</w:t>
      </w:r>
      <w:r w:rsidRPr="002204D9">
        <w:rPr>
          <w:lang w:val="el-GR"/>
        </w:rPr>
        <w:t>Δ</w:t>
      </w:r>
      <w:r w:rsidRPr="002204D9">
        <w:t xml:space="preserve">EMM​,Gsolv​), </w:t>
      </w:r>
      <w:r w:rsidRPr="002204D9">
        <w:rPr>
          <w:b/>
          <w:bCs/>
          <w:lang w:val="el-GR"/>
        </w:rPr>
        <w:t>Δ</w:t>
      </w:r>
      <w:r w:rsidRPr="002204D9">
        <w:rPr>
          <w:b/>
          <w:bCs/>
        </w:rPr>
        <w:t>SASA</w:t>
      </w:r>
      <w:r w:rsidRPr="002204D9">
        <w:t xml:space="preserve"> contributions, </w:t>
      </w:r>
      <w:r w:rsidRPr="002204D9">
        <w:rPr>
          <w:b/>
          <w:bCs/>
        </w:rPr>
        <w:t>pharmacophore mismatch</w:t>
      </w:r>
      <w:r w:rsidRPr="002204D9">
        <w:t xml:space="preserve"> penalties, </w:t>
      </w:r>
      <w:r w:rsidRPr="002204D9">
        <w:rPr>
          <w:b/>
          <w:bCs/>
        </w:rPr>
        <w:t>curvature weights</w:t>
      </w:r>
      <w:r w:rsidRPr="002204D9">
        <w:t xml:space="preserve">, and </w:t>
      </w:r>
      <w:r w:rsidRPr="002204D9">
        <w:rPr>
          <w:b/>
          <w:bCs/>
        </w:rPr>
        <w:t>diversity</w:t>
      </w:r>
      <w:r w:rsidRPr="002204D9">
        <w:t xml:space="preserve"> scores (Shannon/Rényi). By conditioning the quantum model on </w:t>
      </w:r>
      <w:r w:rsidRPr="002204D9">
        <w:rPr>
          <w:b/>
          <w:bCs/>
        </w:rPr>
        <w:t>interpretable physics and geometry</w:t>
      </w:r>
      <w:r w:rsidRPr="002204D9">
        <w:t>,</w:t>
      </w:r>
      <w:r w:rsidR="00356057">
        <w:t xml:space="preserve"> I </w:t>
      </w:r>
      <w:r w:rsidRPr="002204D9">
        <w:t xml:space="preserve">bias it toward </w:t>
      </w:r>
      <w:r w:rsidRPr="002204D9">
        <w:rPr>
          <w:i/>
          <w:iCs/>
        </w:rPr>
        <w:t>local refinements</w:t>
      </w:r>
      <w:r w:rsidRPr="002204D9">
        <w:t xml:space="preserve"> that capture higher-order interactions, rather than relearning signals the classical stack already explains well. The learner is evaluated under the same </w:t>
      </w:r>
      <w:r w:rsidRPr="002204D9">
        <w:rPr>
          <w:b/>
          <w:bCs/>
        </w:rPr>
        <w:t>systems-level readouts</w:t>
      </w:r>
      <w:r w:rsidRPr="002204D9">
        <w:t xml:space="preserve"> that anchored target selection—</w:t>
      </w:r>
      <w:r w:rsidRPr="002204D9">
        <w:rPr>
          <w:b/>
          <w:bCs/>
        </w:rPr>
        <w:t>CSI</w:t>
      </w:r>
      <w:r w:rsidRPr="002204D9">
        <w:t xml:space="preserve"> for combination supra-additivity, </w:t>
      </w:r>
      <w:r w:rsidRPr="002204D9">
        <w:rPr>
          <w:b/>
          <w:bCs/>
        </w:rPr>
        <w:t>MRH</w:t>
      </w:r>
      <w:r w:rsidRPr="002204D9">
        <w:t xml:space="preserve"> for regulated plasticity at single-cell resolution, and </w:t>
      </w:r>
      <w:r w:rsidRPr="002204D9">
        <w:rPr>
          <w:b/>
          <w:bCs/>
          <w:lang w:val="el-GR"/>
        </w:rPr>
        <w:t>Δ</w:t>
      </w:r>
      <w:r w:rsidRPr="002204D9">
        <w:rPr>
          <w:b/>
          <w:bCs/>
        </w:rPr>
        <w:t>GSE</w:t>
      </w:r>
      <w:r w:rsidRPr="002204D9">
        <w:t xml:space="preserve"> for network disorder—closing the loop from omics to pockets to predictions [94–100, 115–116].</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7"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Synthesis and rationale</w:t>
      </w:r>
    </w:p>
    <w:p w:rsidR="002204D9" w:rsidRPr="002204D9" w:rsidRDefault="002204D9" w:rsidP="002204D9">
      <w:pPr>
        <w:jc w:val="left"/>
        <w:outlineLvl w:val="9"/>
      </w:pPr>
      <w:r w:rsidRPr="002204D9">
        <w:t xml:space="preserve">The expanded pipeline fuses </w:t>
      </w:r>
      <w:r w:rsidRPr="002204D9">
        <w:rPr>
          <w:b/>
          <w:bCs/>
        </w:rPr>
        <w:t>wound-anchored biology</w:t>
      </w:r>
      <w:r w:rsidRPr="002204D9">
        <w:t xml:space="preserve"> (what needs changing), </w:t>
      </w:r>
      <w:r w:rsidRPr="002204D9">
        <w:rPr>
          <w:b/>
          <w:bCs/>
        </w:rPr>
        <w:t>compartment-aware network geography</w:t>
      </w:r>
      <w:r w:rsidRPr="002204D9">
        <w:t xml:space="preserve"> (where signals live), </w:t>
      </w:r>
      <w:r w:rsidRPr="002204D9">
        <w:rPr>
          <w:b/>
          <w:bCs/>
        </w:rPr>
        <w:t>atomic interfaces</w:t>
      </w:r>
      <w:r w:rsidRPr="002204D9">
        <w:t xml:space="preserve"> (how partners meet), and </w:t>
      </w:r>
      <w:r w:rsidRPr="002204D9">
        <w:rPr>
          <w:b/>
          <w:bCs/>
        </w:rPr>
        <w:t>sequence propensities</w:t>
      </w:r>
      <w:r w:rsidRPr="002204D9">
        <w:t xml:space="preserve"> (which residues matter) with </w:t>
      </w:r>
      <w:r w:rsidRPr="002204D9">
        <w:rPr>
          <w:b/>
          <w:bCs/>
          <w:lang w:val="el-GR"/>
        </w:rPr>
        <w:t>Δ</w:t>
      </w:r>
      <w:r w:rsidRPr="002204D9">
        <w:rPr>
          <w:b/>
          <w:bCs/>
        </w:rPr>
        <w:t>SASA-aware energetics</w:t>
      </w:r>
      <w:r w:rsidRPr="002204D9">
        <w:t xml:space="preserve">, </w:t>
      </w:r>
      <w:r w:rsidRPr="002204D9">
        <w:rPr>
          <w:b/>
          <w:bCs/>
        </w:rPr>
        <w:t>curvature-constrained pose evolution</w:t>
      </w:r>
      <w:r w:rsidRPr="002204D9">
        <w:t xml:space="preserve">, and a </w:t>
      </w:r>
      <w:r w:rsidRPr="002204D9">
        <w:rPr>
          <w:b/>
          <w:bCs/>
        </w:rPr>
        <w:t>GHZ-gated</w:t>
      </w:r>
      <w:r w:rsidRPr="002204D9">
        <w:t xml:space="preserve"> quantum model. The result is a measurement-driven, accuracy–cost balanced route from </w:t>
      </w:r>
      <w:r w:rsidRPr="002204D9">
        <w:rPr>
          <w:b/>
          <w:bCs/>
        </w:rPr>
        <w:t>diverse phytochemical</w:t>
      </w:r>
      <w:r w:rsidRPr="002204D9">
        <w:t xml:space="preserve"> and </w:t>
      </w:r>
      <w:r w:rsidRPr="002204D9">
        <w:rPr>
          <w:b/>
          <w:bCs/>
        </w:rPr>
        <w:t>peptidomimetic</w:t>
      </w:r>
      <w:r w:rsidRPr="002204D9">
        <w:t xml:space="preserve"> space to </w:t>
      </w:r>
      <w:r w:rsidRPr="002204D9">
        <w:rPr>
          <w:b/>
          <w:bCs/>
        </w:rPr>
        <w:t>physically plausible</w:t>
      </w:r>
      <w:r w:rsidRPr="002204D9">
        <w:t xml:space="preserve">, </w:t>
      </w:r>
      <w:r w:rsidRPr="002204D9">
        <w:rPr>
          <w:b/>
          <w:bCs/>
        </w:rPr>
        <w:t>ERC/NEU1- and protease-focused</w:t>
      </w:r>
      <w:r w:rsidRPr="002204D9">
        <w:t xml:space="preserve"> designs. It also nominates actionable biomarkers for experimental gating (e.g., </w:t>
      </w:r>
      <w:r w:rsidRPr="002204D9">
        <w:rPr>
          <w:b/>
          <w:bCs/>
        </w:rPr>
        <w:t>KLK8</w:t>
      </w:r>
      <w:r w:rsidRPr="002204D9">
        <w:t xml:space="preserve"> as a proliferation proxy), clarifies </w:t>
      </w:r>
      <w:r w:rsidRPr="002204D9">
        <w:rPr>
          <w:b/>
          <w:bCs/>
        </w:rPr>
        <w:t>protease balance</w:t>
      </w:r>
      <w:r w:rsidRPr="002204D9">
        <w:t xml:space="preserve"> (MMP-1↔TIMP-1) as a success criterion, and exposes sequence/structure features in </w:t>
      </w:r>
      <w:r w:rsidRPr="002204D9">
        <w:rPr>
          <w:b/>
          <w:bCs/>
        </w:rPr>
        <w:t>ERC</w:t>
      </w:r>
      <w:r w:rsidRPr="002204D9">
        <w:t xml:space="preserve"> and </w:t>
      </w:r>
      <w:r w:rsidRPr="002204D9">
        <w:rPr>
          <w:b/>
          <w:bCs/>
        </w:rPr>
        <w:t>collagen/elastin</w:t>
      </w:r>
      <w:r w:rsidRPr="002204D9">
        <w:t xml:space="preserve"> that can be targeted by small molecules or </w:t>
      </w:r>
      <w:r w:rsidRPr="002204D9">
        <w:rPr>
          <w:b/>
          <w:bCs/>
        </w:rPr>
        <w:t>ERC-biased peptidomimetics</w:t>
      </w:r>
      <w:r w:rsidRPr="002204D9">
        <w:t xml:space="preserve"> [1–2, 4–10, 168–172].</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8" style="width:0;height:1.5pt" o:hralign="center" o:hrstd="t" o:hr="t" fillcolor="#a0a0a0" stroked="f"/>
        </w:pict>
      </w:r>
    </w:p>
    <w:p w:rsidR="002204D9" w:rsidRPr="002204D9" w:rsidRDefault="00184F61" w:rsidP="002204D9">
      <w:pPr>
        <w:jc w:val="left"/>
        <w:outlineLvl w:val="1"/>
        <w:rPr>
          <w:b/>
          <w:bCs/>
          <w:sz w:val="36"/>
          <w:szCs w:val="36"/>
        </w:rPr>
      </w:pPr>
      <w:r>
        <w:rPr>
          <w:b/>
          <w:bCs/>
          <w:sz w:val="36"/>
          <w:szCs w:val="36"/>
        </w:rPr>
        <w:t>A</w:t>
      </w:r>
      <w:r w:rsidR="002204D9" w:rsidRPr="002204D9">
        <w:rPr>
          <w:b/>
          <w:bCs/>
          <w:sz w:val="36"/>
          <w:szCs w:val="36"/>
        </w:rPr>
        <w:t>ccuracy–cost spectrum in SBDD; integrated framework for ERC mapping, structural annotation, motif discovery, and quantum calibration</w:t>
      </w:r>
    </w:p>
    <w:p w:rsidR="002204D9" w:rsidRPr="002204D9" w:rsidRDefault="002204D9" w:rsidP="002204D9">
      <w:pPr>
        <w:jc w:val="left"/>
        <w:outlineLvl w:val="9"/>
      </w:pPr>
      <w:r w:rsidRPr="002204D9">
        <w:t xml:space="preserve">The framework proceeds </w:t>
      </w:r>
      <w:r w:rsidRPr="002204D9">
        <w:rPr>
          <w:b/>
          <w:bCs/>
        </w:rPr>
        <w:t>breadth-to-depth</w:t>
      </w:r>
      <w:r w:rsidRPr="002204D9">
        <w:t xml:space="preserve"> so that inexpensive information maximizes </w:t>
      </w:r>
      <w:r w:rsidRPr="002204D9">
        <w:rPr>
          <w:b/>
          <w:bCs/>
        </w:rPr>
        <w:t>coverage</w:t>
      </w:r>
      <w:r w:rsidRPr="002204D9">
        <w:t xml:space="preserve"> while higher-fidelity layers maximize </w:t>
      </w:r>
      <w:r w:rsidRPr="002204D9">
        <w:rPr>
          <w:b/>
          <w:bCs/>
        </w:rPr>
        <w:t>precision</w:t>
      </w:r>
      <w:r w:rsidRPr="002204D9">
        <w:t xml:space="preserve">. First, </w:t>
      </w:r>
      <w:r w:rsidRPr="002204D9">
        <w:rPr>
          <w:b/>
          <w:bCs/>
        </w:rPr>
        <w:t>wound transcriptomes</w:t>
      </w:r>
      <w:r w:rsidRPr="002204D9">
        <w:t xml:space="preserve"> are embedded with </w:t>
      </w:r>
      <w:r w:rsidRPr="002204D9">
        <w:rPr>
          <w:b/>
          <w:bCs/>
        </w:rPr>
        <w:t>SCANPY</w:t>
      </w:r>
      <w:r w:rsidRPr="002204D9">
        <w:t xml:space="preserve"> and </w:t>
      </w:r>
      <w:r w:rsidRPr="002204D9">
        <w:rPr>
          <w:b/>
          <w:bCs/>
        </w:rPr>
        <w:t>UMAP</w:t>
      </w:r>
      <w:r w:rsidRPr="002204D9">
        <w:t xml:space="preserve">, reconciled across donors with </w:t>
      </w:r>
      <w:r w:rsidRPr="002204D9">
        <w:rPr>
          <w:b/>
          <w:bCs/>
        </w:rPr>
        <w:t>Harmony/MNN</w:t>
      </w:r>
      <w:r w:rsidRPr="002204D9">
        <w:t xml:space="preserve">, and overlaid with </w:t>
      </w:r>
      <w:r w:rsidRPr="002204D9">
        <w:rPr>
          <w:b/>
          <w:bCs/>
        </w:rPr>
        <w:t>KEGG/Reactome/GO</w:t>
      </w:r>
      <w:r w:rsidRPr="002204D9">
        <w:t xml:space="preserve"> to define ECM/protease/immune modules that typify effective re-epithelialization [94–100, 90–93]. Second, those modules are rendered in </w:t>
      </w:r>
      <w:r w:rsidRPr="002204D9">
        <w:rPr>
          <w:b/>
          <w:bCs/>
        </w:rPr>
        <w:t>CellNetVis</w:t>
      </w:r>
      <w:r w:rsidRPr="002204D9">
        <w:t xml:space="preserve"> with </w:t>
      </w:r>
      <w:r w:rsidRPr="002204D9">
        <w:rPr>
          <w:b/>
          <w:bCs/>
        </w:rPr>
        <w:t>GO-CC</w:t>
      </w:r>
      <w:r w:rsidRPr="002204D9">
        <w:t xml:space="preserve"> constraints so that edges live in real compartments; the network is curated in </w:t>
      </w:r>
      <w:r w:rsidRPr="002204D9">
        <w:rPr>
          <w:b/>
          <w:bCs/>
        </w:rPr>
        <w:t>Cytoscape</w:t>
      </w:r>
      <w:r w:rsidRPr="002204D9">
        <w:t xml:space="preserve"> and backed by </w:t>
      </w:r>
      <w:r w:rsidRPr="002204D9">
        <w:rPr>
          <w:b/>
          <w:bCs/>
        </w:rPr>
        <w:t>STRING</w:t>
      </w:r>
      <w:r w:rsidRPr="002204D9">
        <w:t xml:space="preserve"> evidence, making ERC/NEU1 neighborhoods and protease hubs visually and analytically explicit [85–88, 92–93].</w:t>
      </w:r>
    </w:p>
    <w:p w:rsidR="002204D9" w:rsidRPr="002204D9" w:rsidRDefault="002204D9" w:rsidP="002204D9">
      <w:pPr>
        <w:jc w:val="left"/>
        <w:outlineLvl w:val="9"/>
      </w:pPr>
      <w:r w:rsidRPr="002204D9">
        <w:t xml:space="preserve">Third, </w:t>
      </w:r>
      <w:r w:rsidRPr="002204D9">
        <w:rPr>
          <w:b/>
          <w:bCs/>
        </w:rPr>
        <w:t>structural context</w:t>
      </w:r>
      <w:r w:rsidRPr="002204D9">
        <w:t xml:space="preserve"> is assembled from </w:t>
      </w:r>
      <w:r w:rsidRPr="002204D9">
        <w:rPr>
          <w:b/>
          <w:bCs/>
        </w:rPr>
        <w:t>PDB</w:t>
      </w:r>
      <w:r w:rsidRPr="002204D9">
        <w:t xml:space="preserve"> or built by </w:t>
      </w:r>
      <w:r w:rsidRPr="002204D9">
        <w:rPr>
          <w:b/>
          <w:bCs/>
        </w:rPr>
        <w:t>SWISS-MODEL/AlphaFold/ColabFold</w:t>
      </w:r>
      <w:r w:rsidRPr="002204D9">
        <w:t xml:space="preserve">; complexes are aligned, </w:t>
      </w:r>
      <w:r w:rsidRPr="002204D9">
        <w:rPr>
          <w:b/>
          <w:bCs/>
        </w:rPr>
        <w:t>pocket meshes</w:t>
      </w:r>
      <w:r w:rsidRPr="002204D9">
        <w:t xml:space="preserve"> generated, and </w:t>
      </w:r>
      <w:r w:rsidRPr="002204D9">
        <w:rPr>
          <w:b/>
          <w:bCs/>
        </w:rPr>
        <w:t>curvature/hydration</w:t>
      </w:r>
      <w:r w:rsidRPr="002204D9">
        <w:t xml:space="preserve"> fields computed. These fields, plus </w:t>
      </w:r>
      <w:r w:rsidRPr="002204D9">
        <w:rPr>
          <w:b/>
          <w:bCs/>
        </w:rPr>
        <w:t>motif</w:t>
      </w:r>
      <w:r w:rsidRPr="002204D9">
        <w:t xml:space="preserve"> hits from </w:t>
      </w:r>
      <w:r w:rsidRPr="002204D9">
        <w:rPr>
          <w:b/>
          <w:bCs/>
        </w:rPr>
        <w:t>EMBL–EBI</w:t>
      </w:r>
      <w:r w:rsidRPr="002204D9">
        <w:t xml:space="preserve"> alignments/scans, become </w:t>
      </w:r>
      <w:r w:rsidRPr="002204D9">
        <w:rPr>
          <w:i/>
          <w:iCs/>
        </w:rPr>
        <w:t>priors</w:t>
      </w:r>
      <w:r w:rsidRPr="002204D9">
        <w:t xml:space="preserve"> for the </w:t>
      </w:r>
      <w:r w:rsidRPr="002204D9">
        <w:rPr>
          <w:b/>
          <w:bCs/>
        </w:rPr>
        <w:t>Pharmacophoric-ODE</w:t>
      </w:r>
      <w:r w:rsidRPr="002204D9">
        <w:t xml:space="preserve"> that steers pose/graph evolution [15, 73–76, 82–84].</w:t>
      </w:r>
    </w:p>
    <w:p w:rsidR="002204D9" w:rsidRPr="002204D9" w:rsidRDefault="002204D9" w:rsidP="002204D9">
      <w:pPr>
        <w:jc w:val="left"/>
        <w:outlineLvl w:val="9"/>
      </w:pPr>
      <w:r w:rsidRPr="002204D9">
        <w:t xml:space="preserve">Fourth, </w:t>
      </w:r>
      <w:r w:rsidRPr="002204D9">
        <w:rPr>
          <w:b/>
          <w:bCs/>
        </w:rPr>
        <w:t>SBDD</w:t>
      </w:r>
      <w:r w:rsidRPr="002204D9">
        <w:t xml:space="preserve"> proper begins: </w:t>
      </w:r>
      <w:r w:rsidRPr="002204D9">
        <w:rPr>
          <w:b/>
          <w:bCs/>
        </w:rPr>
        <w:t>ZINC</w:t>
      </w:r>
      <w:r w:rsidRPr="002204D9">
        <w:t xml:space="preserve"> libraries (with optional </w:t>
      </w:r>
      <w:r w:rsidRPr="002204D9">
        <w:rPr>
          <w:b/>
          <w:bCs/>
        </w:rPr>
        <w:t>ZINCPharmer</w:t>
      </w:r>
      <w:r w:rsidRPr="002204D9">
        <w:t xml:space="preserve"> filters) are docked with </w:t>
      </w:r>
      <w:r w:rsidRPr="002204D9">
        <w:rPr>
          <w:b/>
          <w:bCs/>
        </w:rPr>
        <w:t>Vina/AutoDock4</w:t>
      </w:r>
      <w:r w:rsidRPr="002204D9">
        <w:t xml:space="preserve">, consensus-ranked, and </w:t>
      </w:r>
      <w:r w:rsidRPr="002204D9">
        <w:rPr>
          <w:b/>
          <w:bCs/>
        </w:rPr>
        <w:t>relaxed by short MD</w:t>
      </w:r>
      <w:r w:rsidRPr="002204D9">
        <w:t xml:space="preserve"> under validated settings (GAFF/AM1-BCC or RESP; </w:t>
      </w:r>
      <w:r w:rsidRPr="002204D9">
        <w:rPr>
          <w:b/>
          <w:bCs/>
        </w:rPr>
        <w:t>CHARMM36m</w:t>
      </w:r>
      <w:r w:rsidRPr="002204D9">
        <w:t xml:space="preserve"> for proteins; </w:t>
      </w:r>
      <w:r w:rsidRPr="002204D9">
        <w:rPr>
          <w:b/>
          <w:bCs/>
        </w:rPr>
        <w:t>TIP3P/TIP4P-Ew/TIP4P/2005</w:t>
      </w:r>
      <w:r w:rsidRPr="002204D9">
        <w:t xml:space="preserve">; </w:t>
      </w:r>
      <w:r w:rsidRPr="002204D9">
        <w:rPr>
          <w:b/>
          <w:bCs/>
        </w:rPr>
        <w:t>PME</w:t>
      </w:r>
      <w:r w:rsidRPr="002204D9">
        <w:t xml:space="preserve">; </w:t>
      </w:r>
      <w:r w:rsidRPr="002204D9">
        <w:rPr>
          <w:b/>
          <w:bCs/>
        </w:rPr>
        <w:t>v-rescale/Nosé–Hoover</w:t>
      </w:r>
      <w:r w:rsidRPr="002204D9">
        <w:t xml:space="preserve">; </w:t>
      </w:r>
      <w:r w:rsidRPr="002204D9">
        <w:rPr>
          <w:b/>
          <w:bCs/>
        </w:rPr>
        <w:t>Parrinello–Rahman/MTTK</w:t>
      </w:r>
      <w:r w:rsidRPr="002204D9">
        <w:t xml:space="preserve">; </w:t>
      </w:r>
      <w:r w:rsidRPr="002204D9">
        <w:rPr>
          <w:b/>
          <w:bCs/>
        </w:rPr>
        <w:t>LINCS/SETTLE</w:t>
      </w:r>
      <w:r w:rsidRPr="002204D9">
        <w:t xml:space="preserve">) [11–21, 35–55, 39–45, 48–53, 54–55, 72]. </w:t>
      </w:r>
      <w:r w:rsidRPr="002204D9">
        <w:rPr>
          <w:b/>
          <w:bCs/>
        </w:rPr>
        <w:t>MM-PB(GB)SA</w:t>
      </w:r>
      <w:r w:rsidRPr="002204D9">
        <w:t xml:space="preserve"> energies (</w:t>
      </w:r>
      <w:r w:rsidRPr="002204D9">
        <w:rPr>
          <w:b/>
          <w:bCs/>
        </w:rPr>
        <w:t>g_mmpbsa</w:t>
      </w:r>
      <w:r w:rsidRPr="002204D9">
        <w:t xml:space="preserve">) plus the </w:t>
      </w:r>
      <w:r w:rsidRPr="002204D9">
        <w:rPr>
          <w:b/>
          <w:bCs/>
        </w:rPr>
        <w:t xml:space="preserve">explicit </w:t>
      </w:r>
      <w:r w:rsidRPr="002204D9">
        <w:rPr>
          <w:b/>
          <w:bCs/>
          <w:lang w:val="el-GR"/>
        </w:rPr>
        <w:t>Δ</w:t>
      </w:r>
      <w:r w:rsidRPr="002204D9">
        <w:rPr>
          <w:b/>
          <w:bCs/>
        </w:rPr>
        <w:t>SASA</w:t>
      </w:r>
      <w:r w:rsidRPr="002204D9">
        <w:t xml:space="preserve"> term then supply a fast, interpretable rank that restores </w:t>
      </w:r>
      <w:r w:rsidRPr="002204D9">
        <w:rPr>
          <w:b/>
          <w:bCs/>
        </w:rPr>
        <w:t>hydrophobic burial</w:t>
      </w:r>
      <w:r w:rsidRPr="002204D9">
        <w:t xml:space="preserve"> and improves correlation with structure-aware ground truth [67–71, 140–141, 180–181]. Developability gates (</w:t>
      </w:r>
      <w:r w:rsidRPr="002204D9">
        <w:rPr>
          <w:b/>
          <w:bCs/>
        </w:rPr>
        <w:t>Lipinski/Veber/Ghose/Egan</w:t>
      </w:r>
      <w:r w:rsidRPr="002204D9">
        <w:t xml:space="preserve">, </w:t>
      </w:r>
      <w:r w:rsidRPr="002204D9">
        <w:rPr>
          <w:b/>
          <w:bCs/>
        </w:rPr>
        <w:t>SwissADME</w:t>
      </w:r>
      <w:r w:rsidRPr="002204D9">
        <w:t xml:space="preserve">, </w:t>
      </w:r>
      <w:r w:rsidRPr="002204D9">
        <w:rPr>
          <w:b/>
          <w:bCs/>
        </w:rPr>
        <w:t>QED</w:t>
      </w:r>
      <w:r w:rsidRPr="002204D9">
        <w:t xml:space="preserve">, </w:t>
      </w:r>
      <w:r w:rsidRPr="002204D9">
        <w:rPr>
          <w:b/>
          <w:bCs/>
        </w:rPr>
        <w:t>SA</w:t>
      </w:r>
      <w:r w:rsidRPr="002204D9">
        <w:t>) remove chemically fragile or ADME-unfriendly scaffolds [25–33].</w:t>
      </w:r>
    </w:p>
    <w:p w:rsidR="002204D9" w:rsidRPr="002204D9" w:rsidRDefault="002204D9" w:rsidP="002204D9">
      <w:pPr>
        <w:jc w:val="left"/>
        <w:outlineLvl w:val="9"/>
      </w:pPr>
      <w:r w:rsidRPr="002204D9">
        <w:t xml:space="preserve">Fifth, the </w:t>
      </w:r>
      <w:r w:rsidRPr="002204D9">
        <w:rPr>
          <w:b/>
          <w:bCs/>
        </w:rPr>
        <w:t>Pharmacophoric-ODE</w:t>
      </w:r>
      <w:r w:rsidRPr="002204D9">
        <w:t xml:space="preserve"> layer imposes </w:t>
      </w:r>
      <w:r w:rsidRPr="002204D9">
        <w:rPr>
          <w:b/>
          <w:bCs/>
        </w:rPr>
        <w:t>geometry and capacity control</w:t>
      </w:r>
      <w:r w:rsidRPr="002204D9">
        <w:t xml:space="preserve"> during </w:t>
      </w:r>
      <w:r w:rsidRPr="002204D9">
        <w:rPr>
          <w:i/>
          <w:iCs/>
        </w:rPr>
        <w:t>continuous</w:t>
      </w:r>
      <w:r w:rsidRPr="002204D9">
        <w:t xml:space="preserve"> search. </w:t>
      </w:r>
      <w:r w:rsidRPr="002204D9">
        <w:rPr>
          <w:b/>
          <w:bCs/>
        </w:rPr>
        <w:t>Curvature-aware</w:t>
      </w:r>
      <w:r w:rsidRPr="002204D9">
        <w:t xml:space="preserve"> priors discourage drift into flat, solvent-exposed surfaces, while </w:t>
      </w:r>
      <w:r w:rsidRPr="002204D9">
        <w:rPr>
          <w:b/>
          <w:bCs/>
        </w:rPr>
        <w:t>validity projections</w:t>
      </w:r>
      <w:r w:rsidRPr="002204D9">
        <w:t xml:space="preserve"> preserve chemistry. Integration by </w:t>
      </w:r>
      <w:r w:rsidRPr="002204D9">
        <w:rPr>
          <w:b/>
          <w:bCs/>
        </w:rPr>
        <w:t>Dormand–Prince (RK45)</w:t>
      </w:r>
      <w:r w:rsidRPr="002204D9">
        <w:t xml:space="preserve"> with adjoint-friendly error control offers stable gradients for ablations and learning [150, 101–105].</w:t>
      </w:r>
    </w:p>
    <w:p w:rsidR="002204D9" w:rsidRPr="002204D9" w:rsidRDefault="002204D9" w:rsidP="002204D9">
      <w:pPr>
        <w:jc w:val="left"/>
        <w:outlineLvl w:val="9"/>
      </w:pPr>
      <w:r w:rsidRPr="002204D9">
        <w:t xml:space="preserve">Finally, before any quantum training, every circuit instance must </w:t>
      </w:r>
      <w:r w:rsidRPr="002204D9">
        <w:rPr>
          <w:b/>
          <w:bCs/>
        </w:rPr>
        <w:t>pass the GHZ calibration gate</w:t>
      </w:r>
      <w:r w:rsidRPr="002204D9">
        <w:t xml:space="preserve"> (digitized-adiabatic schedule; </w:t>
      </w:r>
      <w:r w:rsidRPr="002204D9">
        <w:rPr>
          <w:b/>
          <w:bCs/>
        </w:rPr>
        <w:t>Trotter–Suzuki</w:t>
      </w:r>
      <w:r w:rsidRPr="002204D9">
        <w:t xml:space="preserve"> discretization). Only </w:t>
      </w:r>
      <w:r w:rsidRPr="002204D9">
        <w:rPr>
          <w:b/>
          <w:bCs/>
        </w:rPr>
        <w:t>Qiskit/Aer</w:t>
      </w:r>
      <w:r w:rsidRPr="002204D9">
        <w:t xml:space="preserve"> circuits that satisfy preset </w:t>
      </w:r>
      <w:r w:rsidRPr="002204D9">
        <w:rPr>
          <w:b/>
          <w:bCs/>
        </w:rPr>
        <w:t>entropy</w:t>
      </w:r>
      <w:r w:rsidRPr="002204D9">
        <w:t xml:space="preserve"> and </w:t>
      </w:r>
      <w:r w:rsidRPr="002204D9">
        <w:rPr>
          <w:b/>
          <w:bCs/>
        </w:rPr>
        <w:t>entanglement-witness</w:t>
      </w:r>
      <w:r w:rsidRPr="002204D9">
        <w:t xml:space="preserve"> thresholds proceed to hybrid training; </w:t>
      </w:r>
      <w:r w:rsidRPr="002204D9">
        <w:rPr>
          <w:b/>
          <w:bCs/>
        </w:rPr>
        <w:t>SPSA</w:t>
      </w:r>
      <w:r w:rsidRPr="002204D9">
        <w:t xml:space="preserve"> optimizes the QAOA</w:t>
      </w:r>
      <w:r w:rsidRPr="002204D9">
        <w:rPr>
          <w:rFonts w:ascii="Cambria Math" w:hAnsi="Cambria Math" w:cs="Cambria Math"/>
        </w:rPr>
        <w:t>⊗</w:t>
      </w:r>
      <w:r w:rsidRPr="002204D9">
        <w:t xml:space="preserve">PQC parameters under device noise, with shallow depths to avoid </w:t>
      </w:r>
      <w:r w:rsidRPr="002204D9">
        <w:rPr>
          <w:b/>
          <w:bCs/>
        </w:rPr>
        <w:t>barren plateaus</w:t>
      </w:r>
      <w:r w:rsidRPr="002204D9">
        <w:t xml:space="preserve"> and optional </w:t>
      </w:r>
      <w:r w:rsidRPr="002204D9">
        <w:rPr>
          <w:b/>
          <w:bCs/>
        </w:rPr>
        <w:t>error-mitigation</w:t>
      </w:r>
      <w:r w:rsidRPr="002204D9">
        <w:t xml:space="preserve"> workflows to enhance reliability [118–121, 124–141, 109–110, 147–148]. The same </w:t>
      </w:r>
      <w:r w:rsidRPr="002204D9">
        <w:rPr>
          <w:b/>
          <w:bCs/>
        </w:rPr>
        <w:t>systems readouts</w:t>
      </w:r>
      <w:r w:rsidRPr="002204D9">
        <w:t xml:space="preserve"> that motivated the pipeline—</w:t>
      </w:r>
      <w:r w:rsidRPr="002204D9">
        <w:rPr>
          <w:b/>
          <w:bCs/>
        </w:rPr>
        <w:t>CSI</w:t>
      </w:r>
      <w:r w:rsidRPr="002204D9">
        <w:t xml:space="preserve"> (Bliss independence), </w:t>
      </w:r>
      <w:r w:rsidRPr="002204D9">
        <w:rPr>
          <w:b/>
          <w:bCs/>
        </w:rPr>
        <w:t>MRH</w:t>
      </w:r>
      <w:r w:rsidRPr="002204D9">
        <w:t xml:space="preserve"> (regulated single-cell heterogeneity), and </w:t>
      </w:r>
      <w:r w:rsidRPr="002204D9">
        <w:rPr>
          <w:b/>
          <w:bCs/>
          <w:lang w:val="el-GR"/>
        </w:rPr>
        <w:t>Δ</w:t>
      </w:r>
      <w:r w:rsidRPr="002204D9">
        <w:rPr>
          <w:b/>
          <w:bCs/>
        </w:rPr>
        <w:t>GSE</w:t>
      </w:r>
      <w:r w:rsidRPr="002204D9">
        <w:t xml:space="preserve"> (network disorder)—are used to gate progression to </w:t>
      </w:r>
      <w:r w:rsidRPr="002204D9">
        <w:rPr>
          <w:b/>
          <w:bCs/>
        </w:rPr>
        <w:t>ex vivo</w:t>
      </w:r>
      <w:r w:rsidRPr="002204D9">
        <w:t xml:space="preserve"> and </w:t>
      </w:r>
      <w:r w:rsidRPr="002204D9">
        <w:rPr>
          <w:b/>
          <w:bCs/>
        </w:rPr>
        <w:t>in vivo</w:t>
      </w:r>
      <w:r w:rsidRPr="002204D9">
        <w:t xml:space="preserve"> testing [115–116, 94–100].</w:t>
      </w:r>
    </w:p>
    <w:p w:rsidR="002204D9" w:rsidRPr="002204D9" w:rsidRDefault="00106EF3" w:rsidP="002204D9">
      <w:pPr>
        <w:spacing w:before="0" w:beforeAutospacing="0" w:after="0" w:afterAutospacing="0"/>
        <w:jc w:val="left"/>
        <w:outlineLvl w:val="9"/>
        <w:rPr>
          <w:lang w:val="el-GR"/>
        </w:rPr>
      </w:pPr>
      <w:r w:rsidRPr="00106EF3">
        <w:rPr>
          <w:lang w:val="el-GR"/>
        </w:rPr>
        <w:pict>
          <v:rect id="_x0000_i1039" style="width:0;height:1.5pt" o:hralign="center" o:hrstd="t" o:hr="t" fillcolor="#a0a0a0" stroked="f"/>
        </w:pict>
      </w:r>
    </w:p>
    <w:p w:rsidR="002204D9" w:rsidRPr="002204D9" w:rsidRDefault="002204D9" w:rsidP="002204D9">
      <w:pPr>
        <w:jc w:val="left"/>
        <w:outlineLvl w:val="1"/>
        <w:rPr>
          <w:b/>
          <w:bCs/>
          <w:sz w:val="36"/>
          <w:szCs w:val="36"/>
        </w:rPr>
      </w:pPr>
      <w:r w:rsidRPr="002204D9">
        <w:rPr>
          <w:b/>
          <w:bCs/>
          <w:sz w:val="36"/>
          <w:szCs w:val="36"/>
        </w:rPr>
        <w:t>Practical notes and limitations</w:t>
      </w:r>
    </w:p>
    <w:p w:rsidR="002204D9" w:rsidRPr="002204D9" w:rsidRDefault="002204D9" w:rsidP="002204D9">
      <w:pPr>
        <w:jc w:val="left"/>
        <w:outlineLvl w:val="9"/>
      </w:pPr>
      <w:r w:rsidRPr="002204D9">
        <w:rPr>
          <w:b/>
          <w:bCs/>
        </w:rPr>
        <w:t>Energetics.</w:t>
      </w:r>
      <w:r w:rsidRPr="002204D9">
        <w:t xml:space="preserve"> MM-PB(GB)SA + </w:t>
      </w:r>
      <w:r w:rsidRPr="002204D9">
        <w:rPr>
          <w:lang w:val="el-GR"/>
        </w:rPr>
        <w:t>Δ</w:t>
      </w:r>
      <w:r w:rsidRPr="002204D9">
        <w:t xml:space="preserve">SASA is a </w:t>
      </w:r>
      <w:r w:rsidRPr="002204D9">
        <w:rPr>
          <w:b/>
          <w:bCs/>
        </w:rPr>
        <w:t>triage-level</w:t>
      </w:r>
      <w:r w:rsidRPr="002204D9">
        <w:t xml:space="preserve"> estimator: it is fast and physically interpretable but not a substitute for </w:t>
      </w:r>
      <w:r w:rsidRPr="002204D9">
        <w:rPr>
          <w:b/>
          <w:bCs/>
        </w:rPr>
        <w:t>alchemical</w:t>
      </w:r>
      <w:r w:rsidRPr="002204D9">
        <w:t xml:space="preserve"> free energies.</w:t>
      </w:r>
      <w:r w:rsidR="00356057">
        <w:t xml:space="preserve"> I </w:t>
      </w:r>
      <w:r w:rsidRPr="002204D9">
        <w:t xml:space="preserve">therefore reserve </w:t>
      </w:r>
      <w:r w:rsidRPr="002204D9">
        <w:rPr>
          <w:b/>
          <w:bCs/>
        </w:rPr>
        <w:t>FEP/TI</w:t>
      </w:r>
      <w:r w:rsidRPr="002204D9">
        <w:t xml:space="preserve"> and orthogonal biophysics (SPR/ITC) for shortlists to balance accuracy with throughput [70–71, 180–181].</w:t>
      </w:r>
      <w:r w:rsidRPr="002204D9">
        <w:br/>
      </w:r>
      <w:r w:rsidRPr="002204D9">
        <w:rPr>
          <w:b/>
          <w:bCs/>
        </w:rPr>
        <w:t>Geometry.</w:t>
      </w:r>
      <w:r w:rsidRPr="002204D9">
        <w:t xml:space="preserve"> Curvature-aware priors and capacity control (Trln⁡G\mathrm{Tr}\ln GTrlnG) stabilize search, but ODE flows require strict validity projections and unit tests to avoid spurious minima.</w:t>
      </w:r>
      <w:r w:rsidRPr="002204D9">
        <w:br/>
      </w:r>
      <w:r w:rsidRPr="002204D9">
        <w:rPr>
          <w:b/>
          <w:bCs/>
        </w:rPr>
        <w:t>Quantum.</w:t>
      </w:r>
      <w:r w:rsidRPr="002204D9">
        <w:t xml:space="preserve"> GHZ-based diagnostics are necessary but not sufficient;</w:t>
      </w:r>
      <w:r w:rsidR="00356057">
        <w:t xml:space="preserve"> I </w:t>
      </w:r>
      <w:r w:rsidRPr="002204D9">
        <w:t xml:space="preserve">complement them with </w:t>
      </w:r>
      <w:r w:rsidRPr="002204D9">
        <w:rPr>
          <w:b/>
          <w:bCs/>
        </w:rPr>
        <w:t>cross-entropy benchmarking</w:t>
      </w:r>
      <w:r w:rsidRPr="002204D9">
        <w:t xml:space="preserve"> when available and keep circuit depths modest to respect NISQ constraints [118, 132, 136–141].</w:t>
      </w:r>
      <w:r w:rsidRPr="002204D9">
        <w:br/>
      </w:r>
      <w:r w:rsidRPr="002204D9">
        <w:rPr>
          <w:b/>
          <w:bCs/>
        </w:rPr>
        <w:t>Biology.</w:t>
      </w:r>
      <w:r w:rsidRPr="002204D9">
        <w:t xml:space="preserve"> The ERC/NEU1 axis is attractive because it links extracellular </w:t>
      </w:r>
      <w:r w:rsidRPr="002204D9">
        <w:rPr>
          <w:b/>
          <w:bCs/>
        </w:rPr>
        <w:t>elastin-derived</w:t>
      </w:r>
      <w:r w:rsidRPr="002204D9">
        <w:t xml:space="preserve"> cues to intracellular protease/cytokine programs; nonetheless, ERC biology is context-dependent, and careful titration of </w:t>
      </w:r>
      <w:r w:rsidRPr="002204D9">
        <w:rPr>
          <w:b/>
          <w:bCs/>
        </w:rPr>
        <w:t>NEU1</w:t>
      </w:r>
      <w:r w:rsidRPr="002204D9">
        <w:t xml:space="preserve"> activity is warranted to avoid adverse remodeling [4–10, 168–172].</w:t>
      </w:r>
      <w:r w:rsidRPr="002204D9">
        <w:br/>
      </w:r>
      <w:r w:rsidRPr="002204D9">
        <w:rPr>
          <w:b/>
          <w:bCs/>
        </w:rPr>
        <w:t>Translation.</w:t>
      </w:r>
      <w:r w:rsidR="00356057">
        <w:t xml:space="preserve"> I </w:t>
      </w:r>
      <w:r w:rsidRPr="002204D9">
        <w:t xml:space="preserve">prespecify advancement thresholds for </w:t>
      </w:r>
      <w:r w:rsidRPr="002204D9">
        <w:rPr>
          <w:b/>
          <w:bCs/>
        </w:rPr>
        <w:t>CSI/MRH/</w:t>
      </w:r>
      <w:r w:rsidRPr="002204D9">
        <w:rPr>
          <w:b/>
          <w:bCs/>
          <w:lang w:val="el-GR"/>
        </w:rPr>
        <w:t>Δ</w:t>
      </w:r>
      <w:r w:rsidRPr="002204D9">
        <w:rPr>
          <w:b/>
          <w:bCs/>
        </w:rPr>
        <w:t>GSE</w:t>
      </w:r>
      <w:r w:rsidRPr="002204D9">
        <w:t xml:space="preserve">, expand combinations around </w:t>
      </w:r>
      <w:r w:rsidRPr="002204D9">
        <w:rPr>
          <w:b/>
          <w:bCs/>
        </w:rPr>
        <w:t>ERC/NEU1</w:t>
      </w:r>
      <w:r w:rsidRPr="002204D9">
        <w:t xml:space="preserve"> and </w:t>
      </w:r>
      <w:r w:rsidRPr="002204D9">
        <w:rPr>
          <w:b/>
          <w:bCs/>
        </w:rPr>
        <w:t>protease</w:t>
      </w:r>
      <w:r w:rsidRPr="002204D9">
        <w:t xml:space="preserve"> motifs that meet them, and validate in </w:t>
      </w:r>
      <w:r w:rsidRPr="002204D9">
        <w:rPr>
          <w:b/>
          <w:bCs/>
        </w:rPr>
        <w:t>skin-equivalent</w:t>
      </w:r>
      <w:r w:rsidRPr="002204D9">
        <w:t xml:space="preserve"> systems prior to controlled human studies, using the same budgeting of </w:t>
      </w:r>
      <w:r w:rsidRPr="002204D9">
        <w:rPr>
          <w:b/>
          <w:bCs/>
        </w:rPr>
        <w:t>geometry</w:t>
      </w:r>
      <w:r w:rsidRPr="002204D9">
        <w:t xml:space="preserve">, </w:t>
      </w:r>
      <w:r w:rsidRPr="002204D9">
        <w:rPr>
          <w:b/>
          <w:bCs/>
        </w:rPr>
        <w:t>information</w:t>
      </w:r>
      <w:r w:rsidRPr="002204D9">
        <w:t xml:space="preserve">, and </w:t>
      </w:r>
      <w:r w:rsidRPr="002204D9">
        <w:rPr>
          <w:b/>
          <w:bCs/>
        </w:rPr>
        <w:t>energetics</w:t>
      </w:r>
      <w:r w:rsidRPr="002204D9">
        <w:t xml:space="preserve"> to guide medicinal-chemistry choices.</w:t>
      </w:r>
    </w:p>
    <w:p w:rsidR="002204D9" w:rsidRPr="002204D9" w:rsidRDefault="002204D9" w:rsidP="002204D9">
      <w:pPr>
        <w:jc w:val="left"/>
        <w:outlineLvl w:val="9"/>
      </w:pPr>
    </w:p>
    <w:p w:rsidR="00FC267B" w:rsidRPr="00FC267B" w:rsidRDefault="00FC267B" w:rsidP="00FC267B">
      <w:pPr>
        <w:jc w:val="left"/>
        <w:outlineLvl w:val="1"/>
        <w:rPr>
          <w:b/>
          <w:bCs/>
          <w:sz w:val="36"/>
          <w:szCs w:val="36"/>
        </w:rPr>
      </w:pPr>
      <w:r w:rsidRPr="00FC267B">
        <w:rPr>
          <w:b/>
          <w:bCs/>
          <w:sz w:val="36"/>
          <w:szCs w:val="36"/>
        </w:rPr>
        <w:t>A network you can navigate: from STRING-anchored maps to design constraints</w:t>
      </w:r>
    </w:p>
    <w:p w:rsidR="00FC267B" w:rsidRPr="00FC267B" w:rsidRDefault="00FC267B" w:rsidP="00FC267B">
      <w:pPr>
        <w:jc w:val="left"/>
        <w:outlineLvl w:val="9"/>
      </w:pPr>
      <w:r w:rsidRPr="00FC267B">
        <w:t>Think of the wound PPI as an urban grid at rush hour rather than a binary adjacency matrix. In</w:t>
      </w:r>
      <w:r w:rsidR="00356057">
        <w:t xml:space="preserve"> my </w:t>
      </w:r>
      <w:r w:rsidRPr="00FC267B">
        <w:t xml:space="preserve">curated map, </w:t>
      </w:r>
      <w:r w:rsidRPr="00FC267B">
        <w:rPr>
          <w:b/>
          <w:bCs/>
        </w:rPr>
        <w:t>419 proteins</w:t>
      </w:r>
      <w:r w:rsidRPr="00FC267B">
        <w:t xml:space="preserve"> (“intersections”) are connected by </w:t>
      </w:r>
      <w:r w:rsidRPr="00FC267B">
        <w:rPr>
          <w:b/>
          <w:bCs/>
        </w:rPr>
        <w:t>14,238 PPIs</w:t>
      </w:r>
      <w:r w:rsidRPr="00FC267B">
        <w:t xml:space="preserve"> (“streets”), which translates to an average degree near </w:t>
      </w:r>
      <w:r w:rsidRPr="00FC267B">
        <w:rPr>
          <w:b/>
          <w:bCs/>
        </w:rPr>
        <w:t>68</w:t>
      </w:r>
      <w:r w:rsidRPr="00FC267B">
        <w:t xml:space="preserve">—far above what a sparse biological network would display by chance. The </w:t>
      </w:r>
      <w:r w:rsidRPr="00FC267B">
        <w:rPr>
          <w:b/>
          <w:bCs/>
        </w:rPr>
        <w:t>mean local clustering coefficient</w:t>
      </w:r>
      <w:r w:rsidRPr="00FC267B">
        <w:t xml:space="preserve"> is </w:t>
      </w:r>
      <w:r w:rsidRPr="00FC267B">
        <w:rPr>
          <w:b/>
          <w:bCs/>
        </w:rPr>
        <w:t>~0.56</w:t>
      </w:r>
      <w:r w:rsidRPr="00FC267B">
        <w:t xml:space="preserve">, roughly </w:t>
      </w:r>
      <w:r w:rsidRPr="00FC267B">
        <w:rPr>
          <w:b/>
          <w:bCs/>
        </w:rPr>
        <w:t>3.4×</w:t>
      </w:r>
      <w:r w:rsidRPr="00FC267B">
        <w:t xml:space="preserve"> higher than the </w:t>
      </w:r>
      <w:r w:rsidRPr="00FC267B">
        <w:rPr>
          <w:b/>
          <w:bCs/>
        </w:rPr>
        <w:t>Erdős–Rényi</w:t>
      </w:r>
      <w:r w:rsidRPr="00FC267B">
        <w:t xml:space="preserve"> expectation p≈</w:t>
      </w:r>
      <w:r w:rsidRPr="00FC267B">
        <w:rPr>
          <w:rFonts w:ascii="Cambria Math" w:hAnsi="Cambria Math" w:cs="Cambria Math"/>
          <w:lang w:val="el-GR"/>
        </w:rPr>
        <w:t>⟨</w:t>
      </w:r>
      <w:r w:rsidRPr="00FC267B">
        <w:t>k</w:t>
      </w:r>
      <w:r w:rsidRPr="00FC267B">
        <w:rPr>
          <w:rFonts w:ascii="Cambria Math" w:hAnsi="Cambria Math" w:cs="Cambria Math"/>
          <w:lang w:val="el-GR"/>
        </w:rPr>
        <w:t>⟩</w:t>
      </w:r>
      <w:r w:rsidRPr="00FC267B">
        <w:t>N−1p \approx \frac{\langle k\rangle}{N-1}p≈N−1</w:t>
      </w:r>
      <w:r w:rsidRPr="00FC267B">
        <w:rPr>
          <w:rFonts w:ascii="Cambria Math" w:hAnsi="Cambria Math" w:cs="Cambria Math"/>
          <w:lang w:val="el-GR"/>
        </w:rPr>
        <w:t>⟨</w:t>
      </w:r>
      <w:r w:rsidRPr="00FC267B">
        <w:t>k</w:t>
      </w:r>
      <w:r w:rsidRPr="00FC267B">
        <w:rPr>
          <w:rFonts w:ascii="Cambria Math" w:hAnsi="Cambria Math" w:cs="Cambria Math"/>
          <w:lang w:val="el-GR"/>
        </w:rPr>
        <w:t>⟩</w:t>
      </w:r>
      <w:r w:rsidRPr="00FC267B">
        <w:t xml:space="preserve">​ for the same node/edge counts, a hallmark of </w:t>
      </w:r>
      <w:r w:rsidRPr="00FC267B">
        <w:rPr>
          <w:b/>
          <w:bCs/>
        </w:rPr>
        <w:t>modular</w:t>
      </w:r>
      <w:r w:rsidRPr="00FC267B">
        <w:t xml:space="preserve"> organization (tight neighborhoods rather than random tangles) [85–87]. Standard enrichment analysis (STRING/Cytoscape workflow) flags </w:t>
      </w:r>
      <w:r w:rsidRPr="00FC267B">
        <w:rPr>
          <w:b/>
          <w:bCs/>
        </w:rPr>
        <w:t>observed edges (14,238)</w:t>
      </w:r>
      <w:r w:rsidRPr="00FC267B">
        <w:t xml:space="preserve"> versus a </w:t>
      </w:r>
      <w:r w:rsidRPr="00FC267B">
        <w:rPr>
          <w:b/>
          <w:bCs/>
        </w:rPr>
        <w:t>null expectation (~3,167)</w:t>
      </w:r>
      <w:r w:rsidRPr="00FC267B">
        <w:t xml:space="preserve">—approximately </w:t>
      </w:r>
      <w:r w:rsidRPr="00FC267B">
        <w:rPr>
          <w:b/>
          <w:bCs/>
        </w:rPr>
        <w:t>4.5-fold</w:t>
      </w:r>
      <w:r w:rsidRPr="00FC267B">
        <w:t xml:space="preserve"> overconnectivity with a PPI-enrichment p</w:t>
      </w:r>
      <w:r w:rsidRPr="00FC267B">
        <w:rPr>
          <w:rFonts w:ascii="Cambria Math" w:hAnsi="Cambria Math" w:cs="Cambria Math"/>
        </w:rPr>
        <w:t>≪</w:t>
      </w:r>
      <w:r w:rsidRPr="00FC267B">
        <w:t>10−16p \ll 10^{-16}p</w:t>
      </w:r>
      <w:r w:rsidRPr="00FC267B">
        <w:rPr>
          <w:rFonts w:ascii="Cambria Math" w:hAnsi="Cambria Math" w:cs="Cambria Math"/>
        </w:rPr>
        <w:t>≪</w:t>
      </w:r>
      <w:r w:rsidRPr="00FC267B">
        <w:t xml:space="preserve">10−16, consistent with a </w:t>
      </w:r>
      <w:r w:rsidRPr="00FC267B">
        <w:rPr>
          <w:b/>
          <w:bCs/>
        </w:rPr>
        <w:t>healing-focused</w:t>
      </w:r>
      <w:r w:rsidRPr="00FC267B">
        <w:t xml:space="preserve"> interactome where modules gravitate around </w:t>
      </w:r>
      <w:r w:rsidRPr="00FC267B">
        <w:rPr>
          <w:b/>
          <w:bCs/>
        </w:rPr>
        <w:t>extracellular proteases and inhibitors (MMPs, TIMPs), secretory/vesicle machinery, complement/coagulation, integrin/adaptor signaling</w:t>
      </w:r>
      <w:r w:rsidRPr="00FC267B">
        <w:t xml:space="preserve">, and </w:t>
      </w:r>
      <w:r w:rsidRPr="00FC267B">
        <w:rPr>
          <w:b/>
          <w:bCs/>
        </w:rPr>
        <w:t>ECM (collagens/elastin)</w:t>
      </w:r>
      <w:r w:rsidRPr="00FC267B">
        <w:t xml:space="preserve"> [85–87, 90–93].</w:t>
      </w:r>
    </w:p>
    <w:p w:rsidR="00FC267B" w:rsidRPr="00FC267B" w:rsidRDefault="00FC267B" w:rsidP="00FC267B">
      <w:pPr>
        <w:jc w:val="left"/>
        <w:outlineLvl w:val="9"/>
      </w:pPr>
      <w:r w:rsidRPr="00FC267B">
        <w:t xml:space="preserve">These modules are not just visual: they become </w:t>
      </w:r>
      <w:r w:rsidRPr="00FC267B">
        <w:rPr>
          <w:b/>
          <w:bCs/>
        </w:rPr>
        <w:t>design priors</w:t>
      </w:r>
      <w:r w:rsidRPr="00FC267B">
        <w:t>.</w:t>
      </w:r>
      <w:r w:rsidR="00356057">
        <w:t xml:space="preserve"> I </w:t>
      </w:r>
      <w:r w:rsidRPr="00FC267B">
        <w:t xml:space="preserve">explicitly prefer chemotypes and poses that plausibly </w:t>
      </w:r>
      <w:r w:rsidRPr="00FC267B">
        <w:rPr>
          <w:b/>
          <w:bCs/>
        </w:rPr>
        <w:t>attenuate overactive proteolysis</w:t>
      </w:r>
      <w:r w:rsidRPr="00FC267B">
        <w:t xml:space="preserve"> (e.g., MMP-1, elastase) while </w:t>
      </w:r>
      <w:r w:rsidRPr="00FC267B">
        <w:rPr>
          <w:b/>
          <w:bCs/>
        </w:rPr>
        <w:t>biasing ERC/NEU1 signaling</w:t>
      </w:r>
      <w:r w:rsidRPr="00FC267B">
        <w:t xml:space="preserve"> toward </w:t>
      </w:r>
      <w:r w:rsidRPr="00FC267B">
        <w:rPr>
          <w:b/>
          <w:bCs/>
        </w:rPr>
        <w:t>pro-repair phenotypes</w:t>
      </w:r>
      <w:r w:rsidRPr="00FC267B">
        <w:t xml:space="preserve">—a mechanistic axis grounded in elastin biology and the elastin receptor complex (s-Gal/Cath-A/NEU1) [4–10, 168–172]. Fibrocyte-centric cues (CD34⁺/CD45⁺ collagen/elastin producers that traffic into wounds) further justify this focus, because tuning </w:t>
      </w:r>
      <w:r w:rsidRPr="00FC267B">
        <w:rPr>
          <w:b/>
          <w:bCs/>
        </w:rPr>
        <w:t>protease balance</w:t>
      </w:r>
      <w:r w:rsidRPr="00FC267B">
        <w:t xml:space="preserve"> and </w:t>
      </w:r>
      <w:r w:rsidRPr="00FC267B">
        <w:rPr>
          <w:b/>
          <w:bCs/>
        </w:rPr>
        <w:t>ERC-linked chemotaxis/plasticity</w:t>
      </w:r>
      <w:r w:rsidRPr="00FC267B">
        <w:t xml:space="preserve"> is a direct lever on </w:t>
      </w:r>
      <w:r w:rsidRPr="00FC267B">
        <w:rPr>
          <w:b/>
          <w:bCs/>
        </w:rPr>
        <w:t>re-epithelialization</w:t>
      </w:r>
      <w:r w:rsidRPr="00FC267B">
        <w:t xml:space="preserve"> and </w:t>
      </w:r>
      <w:r w:rsidRPr="00FC267B">
        <w:rPr>
          <w:b/>
          <w:bCs/>
        </w:rPr>
        <w:t>angiogenic</w:t>
      </w:r>
      <w:r w:rsidRPr="00FC267B">
        <w:t xml:space="preserve"> repair [1–3].</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0"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Protecting diversity up front: information-theoretic library safeguards</w:t>
      </w:r>
    </w:p>
    <w:p w:rsidR="00FC267B" w:rsidRPr="00FC267B" w:rsidRDefault="00FC267B" w:rsidP="00FC267B">
      <w:pPr>
        <w:jc w:val="left"/>
        <w:outlineLvl w:val="9"/>
      </w:pPr>
      <w:r w:rsidRPr="00FC267B">
        <w:t xml:space="preserve">A recurring failure mode in virtual screening is </w:t>
      </w:r>
      <w:r w:rsidRPr="00FC267B">
        <w:rPr>
          <w:b/>
          <w:bCs/>
        </w:rPr>
        <w:t>mode collapse</w:t>
      </w:r>
      <w:r w:rsidRPr="00FC267B">
        <w:t xml:space="preserve"> onto “look-alike” scaffolds that travel well through docking/filters but add little to discovery.</w:t>
      </w:r>
      <w:r w:rsidR="00356057">
        <w:t xml:space="preserve"> I </w:t>
      </w:r>
      <w:r w:rsidRPr="00FC267B">
        <w:t xml:space="preserve">instead treat the library as a </w:t>
      </w:r>
      <w:r w:rsidRPr="00FC267B">
        <w:rPr>
          <w:b/>
          <w:bCs/>
        </w:rPr>
        <w:t>probability distribution over chemotypes</w:t>
      </w:r>
      <w:r w:rsidRPr="00FC267B">
        <w:t xml:space="preserve"> and optimize its </w:t>
      </w:r>
      <w:r w:rsidRPr="00FC267B">
        <w:rPr>
          <w:b/>
          <w:bCs/>
        </w:rPr>
        <w:t>information content</w:t>
      </w:r>
      <w:r w:rsidRPr="00FC267B">
        <w:t>. If pbp_bpb​ is the fraction of compounds in bin b</w:t>
      </w:r>
      <w:r w:rsidRPr="00FC267B">
        <w:rPr>
          <w:rFonts w:ascii="Cambria Math" w:hAnsi="Cambria Math" w:cs="Cambria Math"/>
        </w:rPr>
        <w:t>∈</w:t>
      </w:r>
      <w:r w:rsidRPr="00FC267B">
        <w:t>Bb \in \mathcal Bb</w:t>
      </w:r>
      <w:r w:rsidRPr="00FC267B">
        <w:rPr>
          <w:rFonts w:ascii="Cambria Math" w:hAnsi="Cambria Math" w:cs="Cambria Math"/>
        </w:rPr>
        <w:t>∈</w:t>
      </w:r>
      <w:r w:rsidRPr="00FC267B">
        <w:t xml:space="preserve">B, the </w:t>
      </w:r>
      <w:r w:rsidRPr="00FC267B">
        <w:rPr>
          <w:b/>
          <w:bCs/>
        </w:rPr>
        <w:t>Shannon entropy</w:t>
      </w:r>
    </w:p>
    <w:p w:rsidR="00FC267B" w:rsidRPr="00FC267B" w:rsidRDefault="00FC267B" w:rsidP="00FC267B">
      <w:pPr>
        <w:spacing w:before="0" w:beforeAutospacing="0" w:after="0" w:afterAutospacing="0"/>
        <w:jc w:val="left"/>
        <w:outlineLvl w:val="9"/>
      </w:pPr>
      <w:r w:rsidRPr="00FC267B">
        <w:t>Hlib=−∑b</w:t>
      </w:r>
      <w:r w:rsidRPr="00FC267B">
        <w:rPr>
          <w:rFonts w:ascii="Cambria Math" w:hAnsi="Cambria Math" w:cs="Cambria Math"/>
        </w:rPr>
        <w:t>∈</w:t>
      </w:r>
      <w:r w:rsidRPr="00FC267B">
        <w:t>Bpblog⁡pbH_{\text{lib}} = -\sum_{b\in\mathcal{B}} p_b \log p_bHlib​=−b</w:t>
      </w:r>
      <w:r w:rsidRPr="00FC267B">
        <w:rPr>
          <w:rFonts w:ascii="Cambria Math" w:hAnsi="Cambria Math" w:cs="Cambria Math"/>
        </w:rPr>
        <w:t>∈</w:t>
      </w:r>
      <w:r w:rsidRPr="00FC267B">
        <w:t xml:space="preserve">B∑​pb​logpb​ </w:t>
      </w:r>
    </w:p>
    <w:p w:rsidR="00FC267B" w:rsidRPr="00FC267B" w:rsidRDefault="00FC267B" w:rsidP="00FC267B">
      <w:pPr>
        <w:jc w:val="left"/>
        <w:outlineLvl w:val="9"/>
      </w:pPr>
      <w:r w:rsidRPr="00FC267B">
        <w:t xml:space="preserve">rewards </w:t>
      </w:r>
      <w:r w:rsidRPr="00FC267B">
        <w:rPr>
          <w:b/>
          <w:bCs/>
        </w:rPr>
        <w:t>breadth of coverage</w:t>
      </w:r>
      <w:r w:rsidRPr="00FC267B">
        <w:t xml:space="preserve"> (Shannon, Rényi) and the </w:t>
      </w:r>
      <w:r w:rsidRPr="00FC267B">
        <w:rPr>
          <w:b/>
          <w:bCs/>
        </w:rPr>
        <w:t>Rényi entropy</w:t>
      </w:r>
      <w:r w:rsidRPr="00FC267B">
        <w:t xml:space="preserve"> of order </w:t>
      </w:r>
      <w:r w:rsidRPr="00FC267B">
        <w:rPr>
          <w:lang w:val="el-GR"/>
        </w:rPr>
        <w:t>α</w:t>
      </w:r>
      <w:r w:rsidRPr="00FC267B">
        <w:rPr>
          <w:rFonts w:ascii="Cambria Math" w:hAnsi="Cambria Math" w:cs="Cambria Math"/>
        </w:rPr>
        <w:t>∈</w:t>
      </w:r>
      <w:r w:rsidRPr="00FC267B">
        <w:t>[1.2,2]\alpha \in [1.2,2]</w:t>
      </w:r>
      <w:r w:rsidRPr="00FC267B">
        <w:rPr>
          <w:lang w:val="el-GR"/>
        </w:rPr>
        <w:t>α</w:t>
      </w:r>
      <w:r w:rsidRPr="00FC267B">
        <w:rPr>
          <w:rFonts w:ascii="Cambria Math" w:hAnsi="Cambria Math" w:cs="Cambria Math"/>
        </w:rPr>
        <w:t>∈</w:t>
      </w:r>
      <w:r w:rsidRPr="00FC267B">
        <w:t>[1.2,2]</w:t>
      </w:r>
    </w:p>
    <w:p w:rsidR="00FC267B" w:rsidRPr="00FC267B" w:rsidRDefault="00FC267B" w:rsidP="00FC267B">
      <w:pPr>
        <w:spacing w:before="0" w:beforeAutospacing="0" w:after="0" w:afterAutospacing="0"/>
        <w:jc w:val="left"/>
        <w:outlineLvl w:val="9"/>
      </w:pPr>
      <w:r w:rsidRPr="00FC267B">
        <w:t>S</w:t>
      </w:r>
      <w:r w:rsidRPr="00FC267B">
        <w:rPr>
          <w:lang w:val="el-GR"/>
        </w:rPr>
        <w:t>α</w:t>
      </w:r>
      <w:r w:rsidRPr="00FC267B">
        <w:t>=11−</w:t>
      </w:r>
      <w:r w:rsidRPr="00FC267B">
        <w:rPr>
          <w:lang w:val="el-GR"/>
        </w:rPr>
        <w:t>α</w:t>
      </w:r>
      <w:r w:rsidRPr="00FC267B">
        <w:t>log⁡ ⁣(∑b</w:t>
      </w:r>
      <w:r w:rsidRPr="00FC267B">
        <w:rPr>
          <w:rFonts w:ascii="Cambria Math" w:hAnsi="Cambria Math" w:cs="Cambria Math"/>
        </w:rPr>
        <w:t>∈</w:t>
      </w:r>
      <w:r w:rsidRPr="00FC267B">
        <w:t>Bpb</w:t>
      </w:r>
      <w:r w:rsidRPr="00FC267B">
        <w:rPr>
          <w:lang w:val="el-GR"/>
        </w:rPr>
        <w:t>α</w:t>
      </w:r>
      <w:r w:rsidRPr="00FC267B">
        <w:t>),lim⁡</w:t>
      </w:r>
      <w:r w:rsidRPr="00FC267B">
        <w:rPr>
          <w:lang w:val="el-GR"/>
        </w:rPr>
        <w:t>α</w:t>
      </w:r>
      <w:r w:rsidRPr="00FC267B">
        <w:t>→1S</w:t>
      </w:r>
      <w:r w:rsidRPr="00FC267B">
        <w:rPr>
          <w:lang w:val="el-GR"/>
        </w:rPr>
        <w:t>α</w:t>
      </w:r>
      <w:r w:rsidRPr="00FC267B">
        <w:t>=HlibS_\alpha = \frac{1}{1-\alpha}\log\!\Big(\sum_{b\in\mathcal{B}} p_b^\alpha\Big), \quad \lim_{\alpha\to1} S_\alpha = H_{\text{lib}}S</w:t>
      </w:r>
      <w:r w:rsidRPr="00FC267B">
        <w:rPr>
          <w:lang w:val="el-GR"/>
        </w:rPr>
        <w:t>α</w:t>
      </w:r>
      <w:r w:rsidRPr="00FC267B">
        <w:t>​=1−</w:t>
      </w:r>
      <w:r w:rsidRPr="00FC267B">
        <w:rPr>
          <w:lang w:val="el-GR"/>
        </w:rPr>
        <w:t>α</w:t>
      </w:r>
      <w:r w:rsidRPr="00FC267B">
        <w:t>1​log(b</w:t>
      </w:r>
      <w:r w:rsidRPr="00FC267B">
        <w:rPr>
          <w:rFonts w:ascii="Cambria Math" w:hAnsi="Cambria Math" w:cs="Cambria Math"/>
        </w:rPr>
        <w:t>∈</w:t>
      </w:r>
      <w:r w:rsidRPr="00FC267B">
        <w:t>B∑​pb</w:t>
      </w:r>
      <w:r w:rsidRPr="00FC267B">
        <w:rPr>
          <w:lang w:val="el-GR"/>
        </w:rPr>
        <w:t>α</w:t>
      </w:r>
      <w:r w:rsidRPr="00FC267B">
        <w:t>​),</w:t>
      </w:r>
      <w:r w:rsidRPr="00FC267B">
        <w:rPr>
          <w:lang w:val="el-GR"/>
        </w:rPr>
        <w:t>α</w:t>
      </w:r>
      <w:r w:rsidRPr="00FC267B">
        <w:t>→1lim​S</w:t>
      </w:r>
      <w:r w:rsidRPr="00FC267B">
        <w:rPr>
          <w:lang w:val="el-GR"/>
        </w:rPr>
        <w:t>α</w:t>
      </w:r>
      <w:r w:rsidRPr="00FC267B">
        <w:t xml:space="preserve">​=Hlib​ </w:t>
      </w:r>
    </w:p>
    <w:p w:rsidR="00FC267B" w:rsidRPr="00FC267B" w:rsidRDefault="00FC267B" w:rsidP="00FC267B">
      <w:pPr>
        <w:jc w:val="left"/>
        <w:outlineLvl w:val="9"/>
      </w:pPr>
      <w:r w:rsidRPr="00FC267B">
        <w:t xml:space="preserve">lets us </w:t>
      </w:r>
      <w:r w:rsidRPr="00FC267B">
        <w:rPr>
          <w:b/>
          <w:bCs/>
        </w:rPr>
        <w:t>down-weight over-represented bins</w:t>
      </w:r>
      <w:r w:rsidRPr="00FC267B">
        <w:t xml:space="preserve"> (taking </w:t>
      </w:r>
      <w:r w:rsidRPr="00FC267B">
        <w:rPr>
          <w:lang w:val="el-GR"/>
        </w:rPr>
        <w:t>α</w:t>
      </w:r>
      <w:r w:rsidRPr="00FC267B">
        <w:t>≈1.5\alpha\approx1.5</w:t>
      </w:r>
      <w:r w:rsidRPr="00FC267B">
        <w:rPr>
          <w:lang w:val="el-GR"/>
        </w:rPr>
        <w:t>α</w:t>
      </w:r>
      <w:r w:rsidRPr="00FC267B">
        <w:t>≈1.5 is often effective) [Shannon 1948; Rényi 1961].</w:t>
      </w:r>
      <w:r w:rsidR="00356057">
        <w:t xml:space="preserve"> I </w:t>
      </w:r>
      <w:r w:rsidRPr="00FC267B">
        <w:t xml:space="preserve">use a </w:t>
      </w:r>
      <w:r w:rsidRPr="00FC267B">
        <w:rPr>
          <w:b/>
          <w:bCs/>
        </w:rPr>
        <w:t>marginal-gain</w:t>
      </w:r>
      <w:r w:rsidRPr="00FC267B">
        <w:t xml:space="preserve"> rule </w:t>
      </w:r>
      <w:r w:rsidRPr="00FC267B">
        <w:rPr>
          <w:lang w:val="el-GR"/>
        </w:rPr>
        <w:t>Δ</w:t>
      </w:r>
      <w:r w:rsidRPr="00FC267B">
        <w:t>H&gt;0\Delta H&gt;0</w:t>
      </w:r>
      <w:r w:rsidRPr="00FC267B">
        <w:rPr>
          <w:lang w:val="el-GR"/>
        </w:rPr>
        <w:t>Δ</w:t>
      </w:r>
      <w:r w:rsidRPr="00FC267B">
        <w:t xml:space="preserve">H&gt;0 to admit new candidates and audit fairness with a </w:t>
      </w:r>
      <w:r w:rsidRPr="00FC267B">
        <w:rPr>
          <w:b/>
          <w:bCs/>
          <w:lang w:val="el-GR"/>
        </w:rPr>
        <w:t>χ</w:t>
      </w:r>
      <w:r w:rsidRPr="00FC267B">
        <w:rPr>
          <w:b/>
          <w:bCs/>
        </w:rPr>
        <w:t>2\chi^2</w:t>
      </w:r>
      <w:r w:rsidRPr="00FC267B">
        <w:rPr>
          <w:b/>
          <w:bCs/>
          <w:lang w:val="el-GR"/>
        </w:rPr>
        <w:t>χ</w:t>
      </w:r>
      <w:r w:rsidRPr="00FC267B">
        <w:rPr>
          <w:b/>
          <w:bCs/>
        </w:rPr>
        <w:t>2</w:t>
      </w:r>
      <w:r w:rsidRPr="00FC267B">
        <w:t xml:space="preserve"> goodness-of-fit test across KKK bins to catch subtle RNG or batching bias.</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1"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When physics gets a vote: MM–PB(GB)SA with explicit burial</w:t>
      </w:r>
    </w:p>
    <w:p w:rsidR="00FC267B" w:rsidRPr="00FC267B" w:rsidRDefault="00FC267B" w:rsidP="00FC267B">
      <w:pPr>
        <w:jc w:val="left"/>
        <w:outlineLvl w:val="9"/>
      </w:pPr>
      <w:r w:rsidRPr="00FC267B">
        <w:t xml:space="preserve">Once diversity is safeguarded, </w:t>
      </w:r>
      <w:r w:rsidRPr="00FC267B">
        <w:rPr>
          <w:b/>
          <w:bCs/>
        </w:rPr>
        <w:t>physics</w:t>
      </w:r>
      <w:r w:rsidRPr="00FC267B">
        <w:t xml:space="preserve"> adjudicates. For pose-filtered complexes</w:t>
      </w:r>
      <w:r w:rsidR="00356057">
        <w:t xml:space="preserve"> I </w:t>
      </w:r>
      <w:r w:rsidRPr="00FC267B">
        <w:t xml:space="preserve">compute an </w:t>
      </w:r>
      <w:r w:rsidRPr="00FC267B">
        <w:rPr>
          <w:b/>
          <w:bCs/>
        </w:rPr>
        <w:t>MM–PBSA-like</w:t>
      </w:r>
      <w:r w:rsidRPr="00FC267B">
        <w:t xml:space="preserve"> end-point estimate</w:t>
      </w:r>
    </w:p>
    <w:p w:rsidR="00FC267B" w:rsidRPr="00FC267B" w:rsidRDefault="00FC267B" w:rsidP="00FC267B">
      <w:pPr>
        <w:spacing w:before="0" w:beforeAutospacing="0" w:after="0" w:afterAutospacing="0"/>
        <w:jc w:val="left"/>
        <w:outlineLvl w:val="9"/>
      </w:pPr>
      <w:r w:rsidRPr="00FC267B">
        <w:rPr>
          <w:lang w:val="el-GR"/>
        </w:rPr>
        <w:t>Δ</w:t>
      </w:r>
      <w:r w:rsidRPr="00FC267B">
        <w:t>GMM–PBSA=</w:t>
      </w:r>
      <w:r w:rsidRPr="00FC267B">
        <w:rPr>
          <w:rFonts w:ascii="Cambria Math" w:hAnsi="Cambria Math" w:cs="Cambria Math"/>
          <w:lang w:val="el-GR"/>
        </w:rPr>
        <w:t>⟨</w:t>
      </w:r>
      <w:r w:rsidRPr="00FC267B">
        <w:t>EMM+Gsolv−TSconf</w:t>
      </w:r>
      <w:r w:rsidRPr="00FC267B">
        <w:rPr>
          <w:rFonts w:ascii="Cambria Math" w:hAnsi="Cambria Math" w:cs="Cambria Math"/>
          <w:lang w:val="el-GR"/>
        </w:rPr>
        <w:t>⟩</w:t>
      </w:r>
      <w:r w:rsidRPr="00FC267B">
        <w:t>C−</w:t>
      </w:r>
      <w:r w:rsidRPr="00FC267B">
        <w:rPr>
          <w:rFonts w:ascii="Cambria Math" w:hAnsi="Cambria Math" w:cs="Cambria Math"/>
          <w:lang w:val="el-GR"/>
        </w:rPr>
        <w:t>⟨</w:t>
      </w:r>
      <w:r w:rsidRPr="00FC267B">
        <w:rPr>
          <w:rFonts w:ascii="Cambria Math" w:hAnsi="Cambria Math" w:cs="Cambria Math"/>
        </w:rPr>
        <w:t>⋅</w:t>
      </w:r>
      <w:r w:rsidRPr="00FC267B">
        <w:rPr>
          <w:rFonts w:ascii="Cambria Math" w:hAnsi="Cambria Math" w:cs="Cambria Math"/>
          <w:lang w:val="el-GR"/>
        </w:rPr>
        <w:t>⟩</w:t>
      </w:r>
      <w:r w:rsidRPr="00FC267B">
        <w:t>R−</w:t>
      </w:r>
      <w:r w:rsidRPr="00FC267B">
        <w:rPr>
          <w:rFonts w:ascii="Cambria Math" w:hAnsi="Cambria Math" w:cs="Cambria Math"/>
          <w:lang w:val="el-GR"/>
        </w:rPr>
        <w:t>⟨</w:t>
      </w:r>
      <w:r w:rsidRPr="00FC267B">
        <w:rPr>
          <w:rFonts w:ascii="Cambria Math" w:hAnsi="Cambria Math" w:cs="Cambria Math"/>
        </w:rPr>
        <w:t>⋅</w:t>
      </w:r>
      <w:r w:rsidRPr="00FC267B">
        <w:rPr>
          <w:rFonts w:ascii="Cambria Math" w:hAnsi="Cambria Math" w:cs="Cambria Math"/>
          <w:lang w:val="el-GR"/>
        </w:rPr>
        <w:t>⟩</w:t>
      </w:r>
      <w:r w:rsidRPr="00FC267B">
        <w:t>L,\Delta G_{\text{MM–PBSA}}=\big\langle E_{\text{MM}}+G_{\text{solv}}-T S_{\text{conf}}\big\rangle_C -\big\langle\cdot\big\rangle_R-\big\langle\cdot\big\rangle_L,</w:t>
      </w:r>
      <w:r w:rsidRPr="00FC267B">
        <w:rPr>
          <w:lang w:val="el-GR"/>
        </w:rPr>
        <w:t>Δ</w:t>
      </w:r>
      <w:r w:rsidRPr="00FC267B">
        <w:t>GMM–PBSA​=</w:t>
      </w:r>
      <w:r w:rsidRPr="00FC267B">
        <w:rPr>
          <w:rFonts w:ascii="Cambria Math" w:hAnsi="Cambria Math" w:cs="Cambria Math"/>
          <w:lang w:val="el-GR"/>
        </w:rPr>
        <w:t>⟨</w:t>
      </w:r>
      <w:r w:rsidRPr="00FC267B">
        <w:t>EMM​+Gsolv​−TSconf​</w:t>
      </w:r>
      <w:r w:rsidRPr="00FC267B">
        <w:rPr>
          <w:rFonts w:ascii="Cambria Math" w:hAnsi="Cambria Math" w:cs="Cambria Math"/>
          <w:lang w:val="el-GR"/>
        </w:rPr>
        <w:t>⟩</w:t>
      </w:r>
      <w:r w:rsidRPr="00FC267B">
        <w:t>C​−</w:t>
      </w:r>
      <w:r w:rsidRPr="00FC267B">
        <w:rPr>
          <w:rFonts w:ascii="Cambria Math" w:hAnsi="Cambria Math" w:cs="Cambria Math"/>
          <w:lang w:val="el-GR"/>
        </w:rPr>
        <w:t>⟨</w:t>
      </w:r>
      <w:r w:rsidRPr="00FC267B">
        <w:rPr>
          <w:rFonts w:ascii="Cambria Math" w:hAnsi="Cambria Math" w:cs="Cambria Math"/>
        </w:rPr>
        <w:t>⋅</w:t>
      </w:r>
      <w:r w:rsidRPr="00FC267B">
        <w:rPr>
          <w:rFonts w:ascii="Cambria Math" w:hAnsi="Cambria Math" w:cs="Cambria Math"/>
          <w:lang w:val="el-GR"/>
        </w:rPr>
        <w:t>⟩</w:t>
      </w:r>
      <w:r w:rsidRPr="00FC267B">
        <w:t>R​−</w:t>
      </w:r>
      <w:r w:rsidRPr="00FC267B">
        <w:rPr>
          <w:rFonts w:ascii="Cambria Math" w:hAnsi="Cambria Math" w:cs="Cambria Math"/>
          <w:lang w:val="el-GR"/>
        </w:rPr>
        <w:t>⟨</w:t>
      </w:r>
      <w:r w:rsidRPr="00FC267B">
        <w:rPr>
          <w:rFonts w:ascii="Cambria Math" w:hAnsi="Cambria Math" w:cs="Cambria Math"/>
        </w:rPr>
        <w:t>⋅</w:t>
      </w:r>
      <w:r w:rsidRPr="00FC267B">
        <w:rPr>
          <w:rFonts w:ascii="Cambria Math" w:hAnsi="Cambria Math" w:cs="Cambria Math"/>
          <w:lang w:val="el-GR"/>
        </w:rPr>
        <w:t>⟩</w:t>
      </w:r>
      <w:r w:rsidRPr="00FC267B">
        <w:t xml:space="preserve">L​, </w:t>
      </w:r>
    </w:p>
    <w:p w:rsidR="00FC267B" w:rsidRPr="00FC267B" w:rsidRDefault="00FC267B" w:rsidP="00FC267B">
      <w:pPr>
        <w:jc w:val="left"/>
        <w:outlineLvl w:val="9"/>
      </w:pPr>
      <w:r w:rsidRPr="00FC267B">
        <w:t xml:space="preserve">averaging over short MD snapshots (g_mmpbsa; PB via APBS or GB variants) [67–71]. Because end-point methods often </w:t>
      </w:r>
      <w:r w:rsidRPr="00FC267B">
        <w:rPr>
          <w:b/>
          <w:bCs/>
        </w:rPr>
        <w:t>underweight non-polar burial</w:t>
      </w:r>
      <w:r w:rsidRPr="00FC267B">
        <w:t>,</w:t>
      </w:r>
      <w:r w:rsidR="00356057">
        <w:t xml:space="preserve"> I </w:t>
      </w:r>
      <w:r w:rsidRPr="00FC267B">
        <w:t xml:space="preserve">add a transparent </w:t>
      </w:r>
      <w:r w:rsidRPr="00FC267B">
        <w:rPr>
          <w:b/>
          <w:bCs/>
        </w:rPr>
        <w:t>linear SASA term</w:t>
      </w:r>
    </w:p>
    <w:p w:rsidR="00FC267B" w:rsidRPr="00FC267B" w:rsidRDefault="00FC267B" w:rsidP="00FC267B">
      <w:pPr>
        <w:spacing w:before="0" w:beforeAutospacing="0" w:after="0" w:afterAutospacing="0"/>
        <w:jc w:val="left"/>
        <w:outlineLvl w:val="9"/>
      </w:pPr>
      <w:r w:rsidRPr="00FC267B">
        <w:rPr>
          <w:lang w:val="el-GR"/>
        </w:rPr>
        <w:t>Δ</w:t>
      </w:r>
      <w:r w:rsidRPr="00FC267B">
        <w:t>Gnp=</w:t>
      </w:r>
      <w:r w:rsidRPr="00FC267B">
        <w:rPr>
          <w:lang w:val="el-GR"/>
        </w:rPr>
        <w:t>γ</w:t>
      </w:r>
      <w:r w:rsidRPr="00FC267B">
        <w:t> </w:t>
      </w:r>
      <w:r w:rsidRPr="00FC267B">
        <w:rPr>
          <w:lang w:val="el-GR"/>
        </w:rPr>
        <w:t>Δ</w:t>
      </w:r>
      <w:r w:rsidRPr="00FC267B">
        <w:t>SASA,</w:t>
      </w:r>
      <w:r w:rsidRPr="00FC267B">
        <w:rPr>
          <w:lang w:val="el-GR"/>
        </w:rPr>
        <w:t>Δ</w:t>
      </w:r>
      <w:r w:rsidRPr="00FC267B">
        <w:t>SASA=SASAC−SASAR−SASAL,\Delta G_{\text{np}}=\gamma\,\Delta\mathrm{SASA},\qquad \Delta\mathrm{SASA}=\mathrm{SASA}_C-\mathrm{SASA}_R-\mathrm{SASA}_L,</w:t>
      </w:r>
      <w:r w:rsidRPr="00FC267B">
        <w:rPr>
          <w:lang w:val="el-GR"/>
        </w:rPr>
        <w:t>Δ</w:t>
      </w:r>
      <w:r w:rsidRPr="00FC267B">
        <w:t>Gnp​=</w:t>
      </w:r>
      <w:r w:rsidRPr="00FC267B">
        <w:rPr>
          <w:lang w:val="el-GR"/>
        </w:rPr>
        <w:t>γΔ</w:t>
      </w:r>
      <w:r w:rsidRPr="00FC267B">
        <w:t>SASA,</w:t>
      </w:r>
      <w:r w:rsidRPr="00FC267B">
        <w:rPr>
          <w:lang w:val="el-GR"/>
        </w:rPr>
        <w:t>Δ</w:t>
      </w:r>
      <w:r w:rsidRPr="00FC267B">
        <w:t xml:space="preserve">SASA=SASAC​−SASAR​−SASAL​, </w:t>
      </w:r>
    </w:p>
    <w:p w:rsidR="00FC267B" w:rsidRPr="00FC267B" w:rsidRDefault="00FC267B" w:rsidP="00FC267B">
      <w:pPr>
        <w:jc w:val="left"/>
        <w:outlineLvl w:val="9"/>
      </w:pPr>
      <w:r w:rsidRPr="00FC267B">
        <w:t xml:space="preserve">with </w:t>
      </w:r>
      <w:r w:rsidRPr="00FC267B">
        <w:rPr>
          <w:lang w:val="el-GR"/>
        </w:rPr>
        <w:t>γ</w:t>
      </w:r>
      <w:r w:rsidRPr="00FC267B">
        <w:t>≈0.005 kcal mol−1 A˚−2\gamma\approx 0.005\ \mathrm{kcal\ mol^{-1}\ \AA^{-2}}</w:t>
      </w:r>
      <w:r w:rsidRPr="00FC267B">
        <w:rPr>
          <w:lang w:val="el-GR"/>
        </w:rPr>
        <w:t>γ</w:t>
      </w:r>
      <w:r w:rsidRPr="00FC267B">
        <w:t xml:space="preserve">≈0.005 kcal mol−1 A˚−2, and </w:t>
      </w:r>
      <w:r w:rsidRPr="00FC267B">
        <w:rPr>
          <w:b/>
          <w:bCs/>
        </w:rPr>
        <w:t>rank</w:t>
      </w:r>
      <w:r w:rsidRPr="00FC267B">
        <w:t xml:space="preserve"> by</w:t>
      </w:r>
    </w:p>
    <w:p w:rsidR="00FC267B" w:rsidRPr="00FC267B" w:rsidRDefault="00FC267B" w:rsidP="00FC267B">
      <w:pPr>
        <w:spacing w:before="0" w:beforeAutospacing="0" w:after="0" w:afterAutospacing="0"/>
        <w:jc w:val="left"/>
        <w:outlineLvl w:val="9"/>
      </w:pPr>
      <w:r w:rsidRPr="00FC267B">
        <w:rPr>
          <w:lang w:val="el-GR"/>
        </w:rPr>
        <w:t>Δ</w:t>
      </w:r>
      <w:r w:rsidRPr="00FC267B">
        <w:t>Gtot=</w:t>
      </w:r>
      <w:r w:rsidRPr="00FC267B">
        <w:rPr>
          <w:lang w:val="el-GR"/>
        </w:rPr>
        <w:t>Δ</w:t>
      </w:r>
      <w:r w:rsidRPr="00FC267B">
        <w:t>GMM–PBSA+</w:t>
      </w:r>
      <w:r w:rsidRPr="00FC267B">
        <w:rPr>
          <w:lang w:val="el-GR"/>
        </w:rPr>
        <w:t>Δ</w:t>
      </w:r>
      <w:r w:rsidRPr="00FC267B">
        <w:t>Gnp.\Delta G_{\text{tot}}=\Delta G_{\text{MM–PBSA}}+\Delta G_{\text{np}}.</w:t>
      </w:r>
      <w:r w:rsidRPr="00FC267B">
        <w:rPr>
          <w:lang w:val="el-GR"/>
        </w:rPr>
        <w:t>Δ</w:t>
      </w:r>
      <w:r w:rsidRPr="00FC267B">
        <w:t>Gtot​=</w:t>
      </w:r>
      <w:r w:rsidRPr="00FC267B">
        <w:rPr>
          <w:lang w:val="el-GR"/>
        </w:rPr>
        <w:t>Δ</w:t>
      </w:r>
      <w:r w:rsidRPr="00FC267B">
        <w:t>GMM–PBSA​+</w:t>
      </w:r>
      <w:r w:rsidRPr="00FC267B">
        <w:rPr>
          <w:lang w:val="el-GR"/>
        </w:rPr>
        <w:t>Δ</w:t>
      </w:r>
      <w:r w:rsidRPr="00FC267B">
        <w:t xml:space="preserve">Gnp​. </w:t>
      </w:r>
    </w:p>
    <w:p w:rsidR="00FC267B" w:rsidRPr="00FC267B" w:rsidRDefault="00FC267B" w:rsidP="00FC267B">
      <w:pPr>
        <w:jc w:val="left"/>
        <w:outlineLvl w:val="9"/>
      </w:pPr>
      <w:r w:rsidRPr="00FC267B">
        <w:t xml:space="preserve">This </w:t>
      </w:r>
      <w:r w:rsidRPr="00FC267B">
        <w:rPr>
          <w:b/>
          <w:bCs/>
        </w:rPr>
        <w:t>burial boost</w:t>
      </w:r>
      <w:r w:rsidRPr="00FC267B">
        <w:t xml:space="preserve"> favors </w:t>
      </w:r>
      <w:r w:rsidRPr="00FC267B">
        <w:rPr>
          <w:b/>
          <w:bCs/>
        </w:rPr>
        <w:t>compact ligands</w:t>
      </w:r>
      <w:r w:rsidRPr="00FC267B">
        <w:t xml:space="preserve"> that nest into </w:t>
      </w:r>
      <w:r w:rsidRPr="00FC267B">
        <w:rPr>
          <w:b/>
          <w:bCs/>
        </w:rPr>
        <w:t>concave, hydrated subsites</w:t>
      </w:r>
      <w:r w:rsidRPr="00FC267B">
        <w:t xml:space="preserve"> without breaking H-bond geometry—exactly the physics that governs </w:t>
      </w:r>
      <w:r w:rsidRPr="00FC267B">
        <w:rPr>
          <w:b/>
          <w:bCs/>
        </w:rPr>
        <w:t>collagenolysis</w:t>
      </w:r>
      <w:r w:rsidRPr="00FC267B">
        <w:t xml:space="preserve"> and </w:t>
      </w:r>
      <w:r w:rsidRPr="00FC267B">
        <w:rPr>
          <w:b/>
          <w:bCs/>
        </w:rPr>
        <w:t>elastase</w:t>
      </w:r>
      <w:r w:rsidRPr="00FC267B">
        <w:t xml:space="preserve"> binding pockets [70–71]. In collagen I, for example, </w:t>
      </w:r>
      <w:r w:rsidRPr="00FC267B">
        <w:rPr>
          <w:b/>
          <w:bCs/>
        </w:rPr>
        <w:t>local packing and subsite complementarity</w:t>
      </w:r>
      <w:r w:rsidRPr="00FC267B">
        <w:t xml:space="preserve"> (not bulk TmT_mTm​) drive susceptibility to </w:t>
      </w:r>
      <w:r w:rsidRPr="00FC267B">
        <w:rPr>
          <w:b/>
          <w:bCs/>
        </w:rPr>
        <w:t>MMP-1</w:t>
      </w:r>
      <w:r w:rsidRPr="00FC267B">
        <w:t xml:space="preserve"> cleavage; experimentally, </w:t>
      </w:r>
      <w:r w:rsidRPr="00FC267B">
        <w:rPr>
          <w:b/>
          <w:bCs/>
        </w:rPr>
        <w:t>collagen I</w:t>
      </w:r>
      <w:r w:rsidRPr="00FC267B">
        <w:t xml:space="preserve"> displays </w:t>
      </w:r>
      <w:r w:rsidRPr="00FC267B">
        <w:rPr>
          <w:b/>
          <w:bCs/>
        </w:rPr>
        <w:t>lower KmK_mKm​</w:t>
      </w:r>
      <w:r w:rsidRPr="00FC267B">
        <w:t xml:space="preserve"> than gelatin at 37 °C (≈1 µM vs 4–7 µM), and resistance arises from </w:t>
      </w:r>
      <w:r w:rsidRPr="00FC267B">
        <w:rPr>
          <w:b/>
          <w:bCs/>
        </w:rPr>
        <w:t>site-local substitutions</w:t>
      </w:r>
      <w:r w:rsidRPr="00FC267B">
        <w:t xml:space="preserve"> that leave global stability largely unchanged—precisely the scenario where </w:t>
      </w:r>
      <w:r w:rsidRPr="00FC267B">
        <w:rPr>
          <w:b/>
          <w:bCs/>
          <w:lang w:val="el-GR"/>
        </w:rPr>
        <w:t>Δ</w:t>
      </w:r>
      <w:r w:rsidRPr="00FC267B">
        <w:rPr>
          <w:b/>
          <w:bCs/>
        </w:rPr>
        <w:t>SASA-aware</w:t>
      </w:r>
      <w:r w:rsidRPr="00FC267B">
        <w:t xml:space="preserve"> terms rescue rank order [Manka et al., 2012; Van Doren, 2015].</w:t>
      </w:r>
    </w:p>
    <w:p w:rsidR="00FC267B" w:rsidRPr="00FC267B" w:rsidRDefault="00FC267B" w:rsidP="00FC267B">
      <w:pPr>
        <w:jc w:val="left"/>
        <w:outlineLvl w:val="9"/>
      </w:pPr>
      <w:r w:rsidRPr="00FC267B">
        <w:t xml:space="preserve">The </w:t>
      </w:r>
      <w:r w:rsidRPr="00FC267B">
        <w:rPr>
          <w:b/>
          <w:bCs/>
          <w:lang w:val="el-GR"/>
        </w:rPr>
        <w:t>Δ</w:t>
      </w:r>
      <w:r w:rsidRPr="00FC267B">
        <w:rPr>
          <w:b/>
          <w:bCs/>
        </w:rPr>
        <w:t>G</w:t>
      </w:r>
      <w:proofErr w:type="gramStart"/>
      <w:r w:rsidRPr="00FC267B">
        <w:rPr>
          <w:b/>
          <w:bCs/>
        </w:rPr>
        <w:t>_{</w:t>
      </w:r>
      <w:proofErr w:type="gramEnd"/>
      <w:r w:rsidRPr="00FC267B">
        <w:rPr>
          <w:b/>
          <w:bCs/>
        </w:rPr>
        <w:t xml:space="preserve">\rm MM–PBSA} vs </w:t>
      </w:r>
      <w:r w:rsidRPr="00FC267B">
        <w:rPr>
          <w:b/>
          <w:bCs/>
          <w:lang w:val="el-GR"/>
        </w:rPr>
        <w:t>Δ</w:t>
      </w:r>
      <w:r w:rsidRPr="00FC267B">
        <w:rPr>
          <w:b/>
          <w:bCs/>
        </w:rPr>
        <w:t>SASA</w:t>
      </w:r>
      <w:r w:rsidRPr="00FC267B">
        <w:t xml:space="preserve"> scatter shows how the </w:t>
      </w:r>
      <w:r w:rsidRPr="00FC267B">
        <w:rPr>
          <w:b/>
          <w:bCs/>
        </w:rPr>
        <w:t>linear burial term</w:t>
      </w:r>
      <w:r w:rsidRPr="00FC267B">
        <w:t xml:space="preserve"> corrects a pure enthalpy ranking by lifting well-burying candidates. Docking/pose generation uses </w:t>
      </w:r>
      <w:r w:rsidRPr="00FC267B">
        <w:rPr>
          <w:b/>
          <w:bCs/>
        </w:rPr>
        <w:t>AutoDock Vina</w:t>
      </w:r>
      <w:r w:rsidRPr="00FC267B">
        <w:t xml:space="preserve"> and </w:t>
      </w:r>
      <w:r w:rsidRPr="00FC267B">
        <w:rPr>
          <w:b/>
          <w:bCs/>
        </w:rPr>
        <w:t>AutoDock4/Tools</w:t>
      </w:r>
      <w:r w:rsidRPr="00FC267B">
        <w:t xml:space="preserve"> with consensus rescoring [12–14, 159–162], structures are drawn from </w:t>
      </w:r>
      <w:r w:rsidRPr="00FC267B">
        <w:rPr>
          <w:b/>
          <w:bCs/>
        </w:rPr>
        <w:t>PDB</w:t>
      </w:r>
      <w:r w:rsidRPr="00FC267B">
        <w:t xml:space="preserve"> [15, 161], and filters apply </w:t>
      </w:r>
      <w:r w:rsidRPr="00FC267B">
        <w:rPr>
          <w:b/>
          <w:bCs/>
        </w:rPr>
        <w:t>Lipinski</w:t>
      </w:r>
      <w:r w:rsidRPr="00FC267B">
        <w:t xml:space="preserve"> and </w:t>
      </w:r>
      <w:r w:rsidRPr="00FC267B">
        <w:rPr>
          <w:b/>
          <w:bCs/>
        </w:rPr>
        <w:t>SwissADME</w:t>
      </w:r>
      <w:r w:rsidRPr="00FC267B">
        <w:t xml:space="preserve"> [25, 29, 182–183].</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2"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Why these hubs matter: wound-bed biology lines up with the map</w:t>
      </w:r>
    </w:p>
    <w:p w:rsidR="00FC267B" w:rsidRPr="00FC267B" w:rsidRDefault="00FC267B" w:rsidP="00FC267B">
      <w:pPr>
        <w:jc w:val="left"/>
        <w:outlineLvl w:val="9"/>
      </w:pPr>
      <w:r w:rsidRPr="00FC267B">
        <w:t xml:space="preserve">Our </w:t>
      </w:r>
      <w:r w:rsidRPr="00FC267B">
        <w:rPr>
          <w:b/>
          <w:bCs/>
        </w:rPr>
        <w:t>NanoString</w:t>
      </w:r>
      <w:r w:rsidRPr="00FC267B">
        <w:t xml:space="preserve"> suction-blister dataset (≈139 transcripts) shows a </w:t>
      </w:r>
      <w:r w:rsidRPr="00FC267B">
        <w:rPr>
          <w:b/>
          <w:bCs/>
        </w:rPr>
        <w:t>proteolytic/inflammatory surge</w:t>
      </w:r>
      <w:r w:rsidRPr="00FC267B">
        <w:t xml:space="preserve"> during re-epithelialization: </w:t>
      </w:r>
      <w:r w:rsidRPr="00FC267B">
        <w:rPr>
          <w:b/>
          <w:bCs/>
        </w:rPr>
        <w:t>MMP1 (top)</w:t>
      </w:r>
      <w:r w:rsidRPr="00FC267B">
        <w:t xml:space="preserve"> tracks with </w:t>
      </w:r>
      <w:r w:rsidRPr="00FC267B">
        <w:rPr>
          <w:b/>
          <w:bCs/>
        </w:rPr>
        <w:t>MMP3</w:t>
      </w:r>
      <w:r w:rsidRPr="00FC267B">
        <w:t xml:space="preserve">, then </w:t>
      </w:r>
      <w:r w:rsidRPr="00FC267B">
        <w:rPr>
          <w:b/>
          <w:bCs/>
        </w:rPr>
        <w:t>IL6</w:t>
      </w:r>
      <w:r w:rsidRPr="00FC267B">
        <w:t xml:space="preserve"> and </w:t>
      </w:r>
      <w:r w:rsidRPr="00FC267B">
        <w:rPr>
          <w:b/>
          <w:bCs/>
        </w:rPr>
        <w:t>IL1B</w:t>
      </w:r>
      <w:r w:rsidRPr="00FC267B">
        <w:t xml:space="preserve">, alongside </w:t>
      </w:r>
      <w:r w:rsidRPr="00FC267B">
        <w:rPr>
          <w:b/>
          <w:bCs/>
        </w:rPr>
        <w:t>CXCL chemokines, SERPINE1 (PAI-1), PTGS2, HBEGF</w:t>
      </w:r>
      <w:r w:rsidRPr="00FC267B">
        <w:t xml:space="preserve">, and </w:t>
      </w:r>
      <w:r w:rsidRPr="00FC267B">
        <w:rPr>
          <w:b/>
          <w:bCs/>
        </w:rPr>
        <w:t>TIMP1</w:t>
      </w:r>
      <w:r w:rsidRPr="00FC267B">
        <w:t xml:space="preserve"> upregulation (confirmed by IHC); </w:t>
      </w:r>
      <w:r w:rsidRPr="00FC267B">
        <w:rPr>
          <w:b/>
          <w:bCs/>
        </w:rPr>
        <w:t>KLK8</w:t>
      </w:r>
      <w:r w:rsidRPr="00FC267B">
        <w:t xml:space="preserve"> tracks </w:t>
      </w:r>
      <w:r w:rsidRPr="00FC267B">
        <w:rPr>
          <w:b/>
          <w:bCs/>
        </w:rPr>
        <w:t>MKI67</w:t>
      </w:r>
      <w:r w:rsidRPr="00FC267B">
        <w:t>, nominating it as a proliferation marker [118–120]. These edges—</w:t>
      </w:r>
      <w:r w:rsidRPr="00FC267B">
        <w:rPr>
          <w:b/>
          <w:bCs/>
        </w:rPr>
        <w:t>proteases, TIMPs, cytokines/growth factors</w:t>
      </w:r>
      <w:r w:rsidRPr="00FC267B">
        <w:t xml:space="preserve">—are the same neighborhoods highlighted by the PPI enrichment and pathway overlays (GO/KEGG/Reactome) [90–93], and they intersect the </w:t>
      </w:r>
      <w:r w:rsidRPr="00FC267B">
        <w:rPr>
          <w:b/>
          <w:bCs/>
        </w:rPr>
        <w:t>ERC/NEU1</w:t>
      </w:r>
      <w:r w:rsidRPr="00FC267B">
        <w:t xml:space="preserve"> axis that couples </w:t>
      </w:r>
      <w:r w:rsidRPr="00FC267B">
        <w:rPr>
          <w:b/>
          <w:bCs/>
        </w:rPr>
        <w:t>elastin-derived peptides</w:t>
      </w:r>
      <w:r w:rsidRPr="00FC267B">
        <w:t xml:space="preserve"> to </w:t>
      </w:r>
      <w:r w:rsidRPr="00FC267B">
        <w:rPr>
          <w:b/>
          <w:bCs/>
        </w:rPr>
        <w:t>chemotaxis, protease expression, and plasticity</w:t>
      </w:r>
      <w:r w:rsidRPr="00FC267B">
        <w:t xml:space="preserve"> [4–10, 168–172]. Fibrocytes—</w:t>
      </w:r>
      <w:r w:rsidRPr="00FC267B">
        <w:rPr>
          <w:b/>
          <w:bCs/>
        </w:rPr>
        <w:t>CD34⁺/CD45⁺ collagen/elastin producers</w:t>
      </w:r>
      <w:r w:rsidRPr="00FC267B">
        <w:t xml:space="preserve">—ride those chemokine gradients and integrate these signals in the wound bed [1–3]. The result is a </w:t>
      </w:r>
      <w:r w:rsidRPr="00FC267B">
        <w:rPr>
          <w:b/>
          <w:bCs/>
        </w:rPr>
        <w:t>consistent mechanistic picture</w:t>
      </w:r>
      <w:r w:rsidRPr="00FC267B">
        <w:t xml:space="preserve">: control </w:t>
      </w:r>
      <w:r w:rsidRPr="00FC267B">
        <w:rPr>
          <w:b/>
          <w:bCs/>
        </w:rPr>
        <w:t>proteolysis</w:t>
      </w:r>
      <w:r w:rsidRPr="00FC267B">
        <w:t xml:space="preserve"> (MMP-1, elastase), </w:t>
      </w:r>
      <w:r w:rsidRPr="00FC267B">
        <w:rPr>
          <w:b/>
          <w:bCs/>
        </w:rPr>
        <w:t>stabilize ERC/NEU1</w:t>
      </w:r>
      <w:r w:rsidRPr="00FC267B">
        <w:t xml:space="preserve"> signaling toward </w:t>
      </w:r>
      <w:r w:rsidRPr="00FC267B">
        <w:rPr>
          <w:b/>
          <w:bCs/>
        </w:rPr>
        <w:t>pro-repair</w:t>
      </w:r>
      <w:r w:rsidRPr="00FC267B">
        <w:t xml:space="preserve">, and you nudge the system toward </w:t>
      </w:r>
      <w:r w:rsidRPr="00FC267B">
        <w:rPr>
          <w:b/>
          <w:bCs/>
        </w:rPr>
        <w:t>orderly re-epithelialization</w:t>
      </w:r>
      <w:r w:rsidRPr="00FC267B">
        <w:t xml:space="preserve"> rather than fibrosis or chronicity.</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3"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From map to atoms to motifs: keeping spatial logic intact</w:t>
      </w:r>
    </w:p>
    <w:p w:rsidR="00FC267B" w:rsidRPr="00FC267B" w:rsidRDefault="00FC267B" w:rsidP="00FC267B">
      <w:pPr>
        <w:jc w:val="left"/>
        <w:outlineLvl w:val="9"/>
      </w:pPr>
      <w:r w:rsidRPr="00FC267B">
        <w:t xml:space="preserve">We render the wound module with </w:t>
      </w:r>
      <w:r w:rsidRPr="00FC267B">
        <w:rPr>
          <w:b/>
          <w:bCs/>
        </w:rPr>
        <w:t>compartment awareness</w:t>
      </w:r>
      <w:r w:rsidRPr="00FC267B">
        <w:t xml:space="preserve"> (Cytoscape/CellNetVis logic) so each node is constrained to its </w:t>
      </w:r>
      <w:r w:rsidRPr="00FC267B">
        <w:rPr>
          <w:b/>
          <w:bCs/>
        </w:rPr>
        <w:t>cellular component</w:t>
      </w:r>
      <w:r w:rsidRPr="00FC267B">
        <w:t xml:space="preserve"> (plasma membrane, endosome, nucleus, secretory vesicle, extracellular space). A </w:t>
      </w:r>
      <w:r w:rsidRPr="00FC267B">
        <w:rPr>
          <w:b/>
          <w:bCs/>
        </w:rPr>
        <w:t>force-directed</w:t>
      </w:r>
      <w:r w:rsidRPr="00FC267B">
        <w:t xml:space="preserve"> layout with </w:t>
      </w:r>
      <w:r w:rsidRPr="00FC267B">
        <w:rPr>
          <w:b/>
          <w:bCs/>
        </w:rPr>
        <w:t>collision handling</w:t>
      </w:r>
      <w:r w:rsidRPr="00FC267B">
        <w:t xml:space="preserve"> and optional </w:t>
      </w:r>
      <w:r w:rsidRPr="00FC267B">
        <w:rPr>
          <w:b/>
          <w:bCs/>
        </w:rPr>
        <w:t>edge bundling</w:t>
      </w:r>
      <w:r w:rsidRPr="00FC267B">
        <w:t xml:space="preserve"> reveals modules and preserves spatial intuition from bioinformatics to medicinal chemistry [87–89].</w:t>
      </w:r>
      <w:r w:rsidR="00356057">
        <w:t xml:space="preserve"> I </w:t>
      </w:r>
      <w:r w:rsidRPr="00FC267B">
        <w:t xml:space="preserve">then project network edges onto </w:t>
      </w:r>
      <w:r w:rsidRPr="00FC267B">
        <w:rPr>
          <w:b/>
          <w:bCs/>
        </w:rPr>
        <w:t>atomistic interfaces</w:t>
      </w:r>
      <w:r w:rsidRPr="00FC267B">
        <w:t xml:space="preserve"> via </w:t>
      </w:r>
      <w:r w:rsidRPr="00FC267B">
        <w:rPr>
          <w:b/>
          <w:bCs/>
        </w:rPr>
        <w:t>Interactome3D</w:t>
      </w:r>
      <w:r w:rsidRPr="00FC267B">
        <w:t xml:space="preserve">, which provides modeled complexes for &gt;12k PPIs, sharpening </w:t>
      </w:r>
      <w:r w:rsidRPr="00FC267B">
        <w:rPr>
          <w:b/>
          <w:bCs/>
        </w:rPr>
        <w:t>site-level hypotheses</w:t>
      </w:r>
      <w:r w:rsidRPr="00FC267B">
        <w:t xml:space="preserve"> at ERC, proteases/TIMPs, cytokine receptors, and integrin adaptors (e.g., GRB2, PIK3R1) [Mosca et al.]. Because </w:t>
      </w:r>
      <w:r w:rsidRPr="00FC267B">
        <w:rPr>
          <w:b/>
          <w:bCs/>
        </w:rPr>
        <w:t>short linear motifs (SLiMs)</w:t>
      </w:r>
      <w:r w:rsidRPr="00FC267B">
        <w:t xml:space="preserve"> frequently carry </w:t>
      </w:r>
      <w:r w:rsidRPr="00FC267B">
        <w:rPr>
          <w:b/>
          <w:bCs/>
        </w:rPr>
        <w:t>insertions/deletions</w:t>
      </w:r>
      <w:r w:rsidRPr="00FC267B">
        <w:t>,</w:t>
      </w:r>
      <w:r w:rsidR="00356057">
        <w:t xml:space="preserve"> I </w:t>
      </w:r>
      <w:r w:rsidRPr="00FC267B">
        <w:t xml:space="preserve">use </w:t>
      </w:r>
      <w:r w:rsidRPr="00FC267B">
        <w:rPr>
          <w:b/>
          <w:bCs/>
        </w:rPr>
        <w:t>GLAM2/GLAM2SCAN</w:t>
      </w:r>
      <w:r w:rsidRPr="00FC267B">
        <w:t xml:space="preserve"> to discover and scan </w:t>
      </w:r>
      <w:r w:rsidRPr="00FC267B">
        <w:rPr>
          <w:b/>
          <w:bCs/>
        </w:rPr>
        <w:t>gapped motifs</w:t>
      </w:r>
      <w:r w:rsidRPr="00FC267B">
        <w:t xml:space="preserve">, corroborated with </w:t>
      </w:r>
      <w:r w:rsidRPr="00FC267B">
        <w:rPr>
          <w:b/>
          <w:bCs/>
        </w:rPr>
        <w:t>PRATT</w:t>
      </w:r>
      <w:r w:rsidRPr="00FC267B">
        <w:t xml:space="preserve">, </w:t>
      </w:r>
      <w:r w:rsidRPr="00FC267B">
        <w:rPr>
          <w:b/>
          <w:bCs/>
        </w:rPr>
        <w:t>ELM</w:t>
      </w:r>
      <w:r w:rsidRPr="00FC267B">
        <w:t xml:space="preserve">, and </w:t>
      </w:r>
      <w:r w:rsidRPr="00FC267B">
        <w:rPr>
          <w:b/>
          <w:bCs/>
        </w:rPr>
        <w:t>PROSITE</w:t>
      </w:r>
      <w:r w:rsidRPr="00FC267B">
        <w:t xml:space="preserve"> [Frith et al.; Jonassen; Dinkel et al.; Sigrist et al.]. These </w:t>
      </w:r>
      <w:r w:rsidRPr="00FC267B">
        <w:rPr>
          <w:b/>
          <w:bCs/>
        </w:rPr>
        <w:t>motif-derived pharmacophores</w:t>
      </w:r>
      <w:r w:rsidRPr="00FC267B">
        <w:t xml:space="preserve"> act as </w:t>
      </w:r>
      <w:r w:rsidRPr="00FC267B">
        <w:rPr>
          <w:b/>
          <w:bCs/>
        </w:rPr>
        <w:t>hard/soft constraints</w:t>
      </w:r>
      <w:r w:rsidRPr="00FC267B">
        <w:t xml:space="preserve"> inside</w:t>
      </w:r>
      <w:r w:rsidR="00356057">
        <w:t xml:space="preserve"> my </w:t>
      </w:r>
      <w:r w:rsidRPr="00FC267B">
        <w:rPr>
          <w:b/>
          <w:bCs/>
        </w:rPr>
        <w:t>geometry-aware</w:t>
      </w:r>
      <w:r w:rsidRPr="00FC267B">
        <w:t xml:space="preserve"> pose search (below), while </w:t>
      </w:r>
      <w:r w:rsidRPr="00FC267B">
        <w:rPr>
          <w:b/>
          <w:bCs/>
        </w:rPr>
        <w:t>residue-specific burial</w:t>
      </w:r>
      <w:r w:rsidRPr="00FC267B">
        <w:t xml:space="preserve"> contributes to </w:t>
      </w:r>
      <w:r w:rsidRPr="00FC267B">
        <w:rPr>
          <w:b/>
          <w:bCs/>
          <w:lang w:val="el-GR"/>
        </w:rPr>
        <w:t>Δ</w:t>
      </w:r>
      <w:r w:rsidRPr="00FC267B">
        <w:rPr>
          <w:b/>
          <w:bCs/>
        </w:rPr>
        <w:t>SASA-weighted</w:t>
      </w:r>
      <w:r w:rsidRPr="00FC267B">
        <w:t xml:space="preserve"> scoring.</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4"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Geometry-aware search: Pharmacophoric-ODEs (intuition)</w:t>
      </w:r>
    </w:p>
    <w:p w:rsidR="00FC267B" w:rsidRPr="00FC267B" w:rsidRDefault="00FC267B" w:rsidP="00FC267B">
      <w:pPr>
        <w:jc w:val="left"/>
        <w:outlineLvl w:val="9"/>
      </w:pPr>
      <w:r w:rsidRPr="00FC267B">
        <w:t>Each candidate is represented by a state xt=(Gt,Pt,</w:t>
      </w:r>
      <w:r w:rsidRPr="00FC267B">
        <w:rPr>
          <w:lang w:val="el-GR"/>
        </w:rPr>
        <w:t>Π</w:t>
      </w:r>
      <w:r w:rsidRPr="00FC267B">
        <w:t>t)x_t=(G_t,P_t,\Pi_t)xt​=(Gt​,Pt​,</w:t>
      </w:r>
      <w:r w:rsidRPr="00FC267B">
        <w:rPr>
          <w:lang w:val="el-GR"/>
        </w:rPr>
        <w:t>Π</w:t>
      </w:r>
      <w:r w:rsidRPr="00FC267B">
        <w:t xml:space="preserve">t​), combining a </w:t>
      </w:r>
      <w:r w:rsidRPr="00FC267B">
        <w:rPr>
          <w:b/>
          <w:bCs/>
        </w:rPr>
        <w:t>molecular graph</w:t>
      </w:r>
      <w:r w:rsidRPr="00FC267B">
        <w:t xml:space="preserve"> with editable exits, a </w:t>
      </w:r>
      <w:r w:rsidRPr="00FC267B">
        <w:rPr>
          <w:b/>
          <w:bCs/>
        </w:rPr>
        <w:t>3D pose</w:t>
      </w:r>
      <w:r w:rsidRPr="00FC267B">
        <w:t xml:space="preserve">, and </w:t>
      </w:r>
      <w:r w:rsidRPr="00FC267B">
        <w:rPr>
          <w:b/>
          <w:bCs/>
        </w:rPr>
        <w:t>soft pharmacophore labels</w:t>
      </w:r>
      <w:r w:rsidRPr="00FC267B">
        <w:t xml:space="preserve"> (donor/acceptor/hydrophobe/ionizable). A </w:t>
      </w:r>
      <w:r w:rsidRPr="00FC267B">
        <w:rPr>
          <w:b/>
          <w:bCs/>
        </w:rPr>
        <w:t>neural ODE</w:t>
      </w:r>
      <w:r w:rsidRPr="00FC267B">
        <w:t xml:space="preserve"> x˙t=f</w:t>
      </w:r>
      <w:r w:rsidRPr="00FC267B">
        <w:rPr>
          <w:lang w:val="el-GR"/>
        </w:rPr>
        <w:t>θ</w:t>
      </w:r>
      <w:r w:rsidRPr="00FC267B">
        <w:t>(xt,t)\dot x_t=f_\theta(x_t,t)x˙t​=f</w:t>
      </w:r>
      <w:r w:rsidRPr="00FC267B">
        <w:rPr>
          <w:lang w:val="el-GR"/>
        </w:rPr>
        <w:t>θ</w:t>
      </w:r>
      <w:r w:rsidRPr="00FC267B">
        <w:t xml:space="preserve">​(xt​,t) evolves the state under constraints that enforce </w:t>
      </w:r>
      <w:r w:rsidRPr="00FC267B">
        <w:rPr>
          <w:b/>
          <w:bCs/>
        </w:rPr>
        <w:t>chemical validity</w:t>
      </w:r>
      <w:r w:rsidRPr="00FC267B">
        <w:t xml:space="preserve"> (valence, rings, charge) and </w:t>
      </w:r>
      <w:r w:rsidRPr="00FC267B">
        <w:rPr>
          <w:b/>
          <w:bCs/>
        </w:rPr>
        <w:t>pocket geometry</w:t>
      </w:r>
      <w:r w:rsidRPr="00FC267B">
        <w:t xml:space="preserve"> via </w:t>
      </w:r>
      <w:r w:rsidRPr="00FC267B">
        <w:rPr>
          <w:b/>
          <w:bCs/>
        </w:rPr>
        <w:t>mean (HHH)</w:t>
      </w:r>
      <w:r w:rsidRPr="00FC267B">
        <w:t xml:space="preserve"> and </w:t>
      </w:r>
      <w:r w:rsidRPr="00FC267B">
        <w:rPr>
          <w:b/>
          <w:bCs/>
        </w:rPr>
        <w:t>Gaussian (KKK)</w:t>
      </w:r>
      <w:r w:rsidRPr="00FC267B">
        <w:t xml:space="preserve"> curvature. The vector field nudges the search into </w:t>
      </w:r>
      <w:r w:rsidRPr="00FC267B">
        <w:rPr>
          <w:b/>
          <w:bCs/>
        </w:rPr>
        <w:t>concave, well-hydrated subsites</w:t>
      </w:r>
      <w:r w:rsidRPr="00FC267B">
        <w:t>—the same regions that</w:t>
      </w:r>
      <w:r w:rsidR="00356057">
        <w:t xml:space="preserve"> my </w:t>
      </w:r>
      <w:r w:rsidRPr="00FC267B">
        <w:rPr>
          <w:lang w:val="el-GR"/>
        </w:rPr>
        <w:t>Δ</w:t>
      </w:r>
      <w:r w:rsidRPr="00FC267B">
        <w:t xml:space="preserve">SASA term rewards and that protease subsites naturally present [12–14, 67–71]. The objective trades off </w:t>
      </w:r>
      <w:r w:rsidRPr="00FC267B">
        <w:rPr>
          <w:b/>
          <w:bCs/>
        </w:rPr>
        <w:t>energetics</w:t>
      </w:r>
      <w:r w:rsidRPr="00FC267B">
        <w:t xml:space="preserve"> (MM-PB/GBSA + </w:t>
      </w:r>
      <w:r w:rsidRPr="00FC267B">
        <w:rPr>
          <w:lang w:val="el-GR"/>
        </w:rPr>
        <w:t>Δ</w:t>
      </w:r>
      <w:r w:rsidRPr="00FC267B">
        <w:t xml:space="preserve">SASA), </w:t>
      </w:r>
      <w:r w:rsidRPr="00FC267B">
        <w:rPr>
          <w:b/>
          <w:bCs/>
        </w:rPr>
        <w:t>pharmacophore fit</w:t>
      </w:r>
      <w:r w:rsidRPr="00FC267B">
        <w:t xml:space="preserve"> (including motif hits), </w:t>
      </w:r>
      <w:r w:rsidRPr="00FC267B">
        <w:rPr>
          <w:b/>
          <w:bCs/>
        </w:rPr>
        <w:t>diversity regularization</w:t>
      </w:r>
      <w:r w:rsidRPr="00FC267B">
        <w:t xml:space="preserve"> (Rényi), and </w:t>
      </w:r>
      <w:r w:rsidRPr="00FC267B">
        <w:rPr>
          <w:b/>
          <w:bCs/>
        </w:rPr>
        <w:t>developability</w:t>
      </w:r>
      <w:r w:rsidRPr="00FC267B">
        <w:t xml:space="preserve"> (ADMET/SA) [25–33, 29]. This provides a </w:t>
      </w:r>
      <w:r w:rsidRPr="00FC267B">
        <w:rPr>
          <w:b/>
          <w:bCs/>
        </w:rPr>
        <w:t>mathematically coherent</w:t>
      </w:r>
      <w:r w:rsidRPr="00FC267B">
        <w:t xml:space="preserve"> bridge from network </w:t>
      </w:r>
      <w:r w:rsidRPr="00FC267B">
        <w:rPr>
          <w:b/>
          <w:bCs/>
        </w:rPr>
        <w:t>modules</w:t>
      </w:r>
      <w:r w:rsidRPr="00FC267B">
        <w:t xml:space="preserve"> to </w:t>
      </w:r>
      <w:r w:rsidRPr="00FC267B">
        <w:rPr>
          <w:b/>
          <w:bCs/>
        </w:rPr>
        <w:t>atomistic binding</w:t>
      </w:r>
      <w:r w:rsidRPr="00FC267B">
        <w:t xml:space="preserve"> while keeping the search </w:t>
      </w:r>
      <w:r w:rsidRPr="00FC267B">
        <w:rPr>
          <w:b/>
          <w:bCs/>
        </w:rPr>
        <w:t>locality-preserving</w:t>
      </w:r>
      <w:r w:rsidRPr="00FC267B">
        <w:t xml:space="preserve"> and </w:t>
      </w:r>
      <w:r w:rsidRPr="00FC267B">
        <w:rPr>
          <w:b/>
          <w:bCs/>
        </w:rPr>
        <w:t>capacity-controlled</w:t>
      </w:r>
      <w:r w:rsidRPr="00FC267B">
        <w:t>.</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5"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Putting it all together (schematic)</w:t>
      </w:r>
    </w:p>
    <w:p w:rsidR="00FC267B" w:rsidRPr="00FC267B" w:rsidRDefault="00FC267B" w:rsidP="00FC267B">
      <w:pPr>
        <w:jc w:val="left"/>
        <w:outlineLvl w:val="9"/>
      </w:pPr>
      <w:r w:rsidRPr="00FC267B">
        <w:t xml:space="preserve">The </w:t>
      </w:r>
      <w:r w:rsidRPr="00FC267B">
        <w:rPr>
          <w:b/>
          <w:bCs/>
        </w:rPr>
        <w:t>pipeline block diagram</w:t>
      </w:r>
      <w:r w:rsidRPr="00FC267B">
        <w:t xml:space="preserve"> (download above) compresses the end-to-end flow: </w:t>
      </w:r>
      <w:r w:rsidRPr="00FC267B">
        <w:rPr>
          <w:b/>
          <w:bCs/>
        </w:rPr>
        <w:t>wound transcriptomics</w:t>
      </w:r>
      <w:r w:rsidRPr="00FC267B">
        <w:t xml:space="preserve"> → </w:t>
      </w:r>
      <w:r w:rsidRPr="00FC267B">
        <w:rPr>
          <w:b/>
          <w:bCs/>
        </w:rPr>
        <w:t>compartment-pinned network</w:t>
      </w:r>
      <w:r w:rsidRPr="00FC267B">
        <w:t xml:space="preserve"> → </w:t>
      </w:r>
      <w:r w:rsidRPr="00FC267B">
        <w:rPr>
          <w:b/>
          <w:bCs/>
        </w:rPr>
        <w:t>structural context</w:t>
      </w:r>
      <w:r w:rsidRPr="00FC267B">
        <w:t xml:space="preserve"> (PDB/SWISS-MODEL/AlphaFold/ColabFold) → </w:t>
      </w:r>
      <w:r w:rsidRPr="00FC267B">
        <w:rPr>
          <w:b/>
          <w:bCs/>
        </w:rPr>
        <w:t>motifs</w:t>
      </w:r>
      <w:r w:rsidRPr="00FC267B">
        <w:t xml:space="preserve"> (GLAM2/ELM/PROSITE) feeding into </w:t>
      </w:r>
      <w:r w:rsidRPr="00FC267B">
        <w:rPr>
          <w:b/>
          <w:bCs/>
        </w:rPr>
        <w:t>entropy triage</w:t>
      </w:r>
      <w:r w:rsidRPr="00FC267B">
        <w:t xml:space="preserve">, </w:t>
      </w:r>
      <w:r w:rsidRPr="00FC267B">
        <w:rPr>
          <w:b/>
          <w:bCs/>
        </w:rPr>
        <w:t>consensus docking</w:t>
      </w:r>
      <w:r w:rsidRPr="00FC267B">
        <w:t xml:space="preserve"> (Vina/AutoDock4), </w:t>
      </w:r>
      <w:r w:rsidRPr="00FC267B">
        <w:rPr>
          <w:b/>
          <w:bCs/>
        </w:rPr>
        <w:t>short MD</w:t>
      </w:r>
      <w:r w:rsidRPr="00FC267B">
        <w:t xml:space="preserve"> → </w:t>
      </w:r>
      <w:r w:rsidRPr="00FC267B">
        <w:rPr>
          <w:b/>
          <w:bCs/>
        </w:rPr>
        <w:t>MM-PB(GB)SA</w:t>
      </w:r>
      <w:r w:rsidRPr="00FC267B">
        <w:t xml:space="preserve"> + </w:t>
      </w:r>
      <w:r w:rsidRPr="00FC267B">
        <w:rPr>
          <w:b/>
          <w:bCs/>
          <w:lang w:val="el-GR"/>
        </w:rPr>
        <w:t>Δ</w:t>
      </w:r>
      <w:r w:rsidRPr="00FC267B">
        <w:rPr>
          <w:b/>
          <w:bCs/>
        </w:rPr>
        <w:t>SASA</w:t>
      </w:r>
      <w:r w:rsidRPr="00FC267B">
        <w:t xml:space="preserve">, and </w:t>
      </w:r>
      <w:r w:rsidRPr="00FC267B">
        <w:rPr>
          <w:b/>
          <w:bCs/>
        </w:rPr>
        <w:t>geometry-aware</w:t>
      </w:r>
      <w:r w:rsidRPr="00FC267B">
        <w:t xml:space="preserve"> ODE search; the outputs feed </w:t>
      </w:r>
      <w:r w:rsidRPr="00FC267B">
        <w:rPr>
          <w:b/>
          <w:bCs/>
        </w:rPr>
        <w:t>ERC/NEU1 and protease-centric</w:t>
      </w:r>
      <w:r w:rsidRPr="00FC267B">
        <w:t xml:space="preserve"> hypotheses primed for experimental triage. The same map also primes </w:t>
      </w:r>
      <w:r w:rsidRPr="00FC267B">
        <w:rPr>
          <w:b/>
          <w:bCs/>
        </w:rPr>
        <w:t>combination</w:t>
      </w:r>
      <w:r w:rsidRPr="00FC267B">
        <w:t xml:space="preserve"> logic (e.g., protease inhibitor + ERC-biased peptidomimetic), which</w:t>
      </w:r>
      <w:r w:rsidR="00356057">
        <w:t xml:space="preserve"> I </w:t>
      </w:r>
      <w:r w:rsidRPr="00FC267B">
        <w:t xml:space="preserve">later evaluate by </w:t>
      </w:r>
      <w:r w:rsidRPr="00FC267B">
        <w:rPr>
          <w:b/>
          <w:bCs/>
        </w:rPr>
        <w:t>Bliss independence</w:t>
      </w:r>
      <w:r w:rsidRPr="00FC267B">
        <w:t xml:space="preserve"> and </w:t>
      </w:r>
      <w:r w:rsidRPr="00FC267B">
        <w:rPr>
          <w:b/>
          <w:bCs/>
        </w:rPr>
        <w:t>Combination Synergy Index</w:t>
      </w:r>
      <w:r w:rsidRPr="00FC267B">
        <w:t xml:space="preserve"> (CSI) [115–116].</w:t>
      </w:r>
    </w:p>
    <w:p w:rsidR="00FC267B" w:rsidRPr="00FC267B" w:rsidRDefault="00106EF3" w:rsidP="00FC267B">
      <w:pPr>
        <w:spacing w:before="0" w:beforeAutospacing="0" w:after="0" w:afterAutospacing="0"/>
        <w:jc w:val="left"/>
        <w:outlineLvl w:val="9"/>
        <w:rPr>
          <w:lang w:val="el-GR"/>
        </w:rPr>
      </w:pPr>
      <w:r w:rsidRPr="00106EF3">
        <w:rPr>
          <w:lang w:val="el-GR"/>
        </w:rPr>
        <w:pict>
          <v:rect id="_x0000_i1046" style="width:0;height:1.5pt" o:hralign="center" o:hrstd="t" o:hr="t" fillcolor="#a0a0a0" stroked="f"/>
        </w:pict>
      </w:r>
    </w:p>
    <w:p w:rsidR="00FC267B" w:rsidRPr="00FC267B" w:rsidRDefault="00FC267B" w:rsidP="00FC267B">
      <w:pPr>
        <w:jc w:val="left"/>
        <w:outlineLvl w:val="1"/>
        <w:rPr>
          <w:b/>
          <w:bCs/>
          <w:sz w:val="36"/>
          <w:szCs w:val="36"/>
        </w:rPr>
      </w:pPr>
      <w:r w:rsidRPr="00FC267B">
        <w:rPr>
          <w:b/>
          <w:bCs/>
          <w:sz w:val="36"/>
          <w:szCs w:val="36"/>
        </w:rPr>
        <w:t>Methods notes (software and resources)</w:t>
      </w:r>
    </w:p>
    <w:p w:rsidR="00FC267B" w:rsidRPr="00FC267B" w:rsidRDefault="00FC267B" w:rsidP="00FC267B">
      <w:pPr>
        <w:jc w:val="left"/>
        <w:outlineLvl w:val="9"/>
      </w:pPr>
      <w:r w:rsidRPr="00FC267B">
        <w:t xml:space="preserve">PPIs/pathways use </w:t>
      </w:r>
      <w:r w:rsidRPr="00FC267B">
        <w:rPr>
          <w:b/>
          <w:bCs/>
        </w:rPr>
        <w:t>STRING</w:t>
      </w:r>
      <w:r w:rsidRPr="00FC267B">
        <w:t xml:space="preserve"> (v11/2021) and </w:t>
      </w:r>
      <w:r w:rsidRPr="00FC267B">
        <w:rPr>
          <w:b/>
          <w:bCs/>
        </w:rPr>
        <w:t>Cytoscape</w:t>
      </w:r>
      <w:r w:rsidRPr="00FC267B">
        <w:t xml:space="preserve"> [85–87], with </w:t>
      </w:r>
      <w:r w:rsidRPr="00FC267B">
        <w:rPr>
          <w:b/>
          <w:bCs/>
        </w:rPr>
        <w:t>compartment logic</w:t>
      </w:r>
      <w:r w:rsidRPr="00FC267B">
        <w:t xml:space="preserve"> inspired by </w:t>
      </w:r>
      <w:r w:rsidRPr="00FC267B">
        <w:rPr>
          <w:b/>
          <w:bCs/>
        </w:rPr>
        <w:t>CellNetVis</w:t>
      </w:r>
      <w:r w:rsidRPr="00FC267B">
        <w:t xml:space="preserve"> [88–89]. Structural data are from </w:t>
      </w:r>
      <w:r w:rsidRPr="00FC267B">
        <w:rPr>
          <w:b/>
          <w:bCs/>
        </w:rPr>
        <w:t>PDB</w:t>
      </w:r>
      <w:r w:rsidRPr="00FC267B">
        <w:t xml:space="preserve"> [15, 161] and modelers (</w:t>
      </w:r>
      <w:r w:rsidRPr="00FC267B">
        <w:rPr>
          <w:b/>
          <w:bCs/>
        </w:rPr>
        <w:t>SWISS-MODEL</w:t>
      </w:r>
      <w:r w:rsidRPr="00FC267B">
        <w:t xml:space="preserve">, </w:t>
      </w:r>
      <w:r w:rsidRPr="00FC267B">
        <w:rPr>
          <w:b/>
          <w:bCs/>
        </w:rPr>
        <w:t>AlphaFold</w:t>
      </w:r>
      <w:r w:rsidRPr="00FC267B">
        <w:t xml:space="preserve">, </w:t>
      </w:r>
      <w:r w:rsidRPr="00FC267B">
        <w:rPr>
          <w:b/>
          <w:bCs/>
        </w:rPr>
        <w:t>ColabFold</w:t>
      </w:r>
      <w:r w:rsidRPr="00FC267B">
        <w:t xml:space="preserve">) [73–75, 189], docking via </w:t>
      </w:r>
      <w:r w:rsidRPr="00FC267B">
        <w:rPr>
          <w:b/>
          <w:bCs/>
        </w:rPr>
        <w:t>AutoDock Vina</w:t>
      </w:r>
      <w:r w:rsidRPr="00FC267B">
        <w:t xml:space="preserve"> and </w:t>
      </w:r>
      <w:r w:rsidRPr="00FC267B">
        <w:rPr>
          <w:b/>
          <w:bCs/>
        </w:rPr>
        <w:t>AutoDock4/ADT4</w:t>
      </w:r>
      <w:r w:rsidRPr="00FC267B">
        <w:t xml:space="preserve"> [12–14, 159–162], MD via </w:t>
      </w:r>
      <w:r w:rsidRPr="00FC267B">
        <w:rPr>
          <w:b/>
          <w:bCs/>
        </w:rPr>
        <w:t>GROMACS/OpenMM/NAMD</w:t>
      </w:r>
      <w:r w:rsidRPr="00FC267B">
        <w:t xml:space="preserve"> [54–55, 59, 173–175], end-point binding via </w:t>
      </w:r>
      <w:r w:rsidRPr="00FC267B">
        <w:rPr>
          <w:b/>
          <w:bCs/>
        </w:rPr>
        <w:t>g_mmpbsa</w:t>
      </w:r>
      <w:r w:rsidRPr="00FC267B">
        <w:t xml:space="preserve"> with </w:t>
      </w:r>
      <w:r w:rsidRPr="00FC267B">
        <w:rPr>
          <w:b/>
          <w:bCs/>
        </w:rPr>
        <w:t>PB/GB</w:t>
      </w:r>
      <w:r w:rsidRPr="00FC267B">
        <w:t xml:space="preserve"> [70–71], and ligand sourcing/filters via </w:t>
      </w:r>
      <w:r w:rsidRPr="00FC267B">
        <w:rPr>
          <w:b/>
          <w:bCs/>
        </w:rPr>
        <w:t>ZINC</w:t>
      </w:r>
      <w:r w:rsidRPr="00FC267B">
        <w:t xml:space="preserve">, </w:t>
      </w:r>
      <w:r w:rsidRPr="00FC267B">
        <w:rPr>
          <w:b/>
          <w:bCs/>
        </w:rPr>
        <w:t>Lipinski</w:t>
      </w:r>
      <w:r w:rsidRPr="00FC267B">
        <w:t xml:space="preserve">, </w:t>
      </w:r>
      <w:r w:rsidRPr="00FC267B">
        <w:rPr>
          <w:b/>
          <w:bCs/>
        </w:rPr>
        <w:t>SwissADME</w:t>
      </w:r>
      <w:r w:rsidRPr="00FC267B">
        <w:t xml:space="preserve"> [11, 25, 29, 156, 182–183]. ERC biology (s-Gal/Cath-A/NEU1) and elastin-derived peptide signaling follow </w:t>
      </w:r>
      <w:r w:rsidRPr="00FC267B">
        <w:rPr>
          <w:b/>
          <w:bCs/>
        </w:rPr>
        <w:t>Hinek</w:t>
      </w:r>
      <w:r w:rsidRPr="00FC267B">
        <w:t xml:space="preserve"> and successors [4–10, 151–155, 168–172]. Fibrocyte roles derive from </w:t>
      </w:r>
      <w:r w:rsidRPr="00FC267B">
        <w:rPr>
          <w:b/>
          <w:bCs/>
        </w:rPr>
        <w:t>Bucala/Reilkoff/Sorrell</w:t>
      </w:r>
      <w:r w:rsidRPr="00FC267B">
        <w:t xml:space="preserve"> [1–3].</w:t>
      </w:r>
    </w:p>
    <w:p w:rsidR="00E558C7" w:rsidRPr="00E558C7" w:rsidRDefault="00E558C7" w:rsidP="00E558C7">
      <w:pPr>
        <w:jc w:val="left"/>
        <w:outlineLvl w:val="0"/>
        <w:rPr>
          <w:b/>
          <w:bCs/>
          <w:kern w:val="36"/>
          <w:sz w:val="48"/>
          <w:szCs w:val="48"/>
        </w:rPr>
      </w:pPr>
      <w:r w:rsidRPr="00E558C7">
        <w:rPr>
          <w:b/>
          <w:bCs/>
          <w:kern w:val="36"/>
          <w:sz w:val="48"/>
          <w:szCs w:val="48"/>
        </w:rPr>
        <w:t>Geometry-aware “pharmacophoric ODE”: what it does and why it helps</w:t>
      </w:r>
    </w:p>
    <w:p w:rsidR="00E558C7" w:rsidRPr="00496063" w:rsidRDefault="00E558C7" w:rsidP="00E558C7">
      <w:pPr>
        <w:jc w:val="left"/>
        <w:outlineLvl w:val="9"/>
      </w:pPr>
      <w:r w:rsidRPr="00E558C7">
        <w:t>We represent each candidate by a triplet state xt=(Gt,Pt,</w:t>
      </w:r>
      <w:r w:rsidRPr="00E558C7">
        <w:rPr>
          <w:lang w:val="el-GR"/>
        </w:rPr>
        <w:t>Π</w:t>
      </w:r>
      <w:r w:rsidRPr="00E558C7">
        <w:t>t)x_t=(G_t,P_t,\Pi_t)xt​=(Gt​,Pt​,</w:t>
      </w:r>
      <w:r w:rsidRPr="00E558C7">
        <w:rPr>
          <w:lang w:val="el-GR"/>
        </w:rPr>
        <w:t>Π</w:t>
      </w:r>
      <w:r w:rsidRPr="00E558C7">
        <w:t xml:space="preserve">t​) that co-evolves a mutable molecular graph GtG_tGt​ (heavy-atom connectivity with editable exit vectors), a 3D pose PtP_tPt​, and soft pharmacophore labels </w:t>
      </w:r>
      <w:r w:rsidRPr="00E558C7">
        <w:rPr>
          <w:lang w:val="el-GR"/>
        </w:rPr>
        <w:t>Π</w:t>
      </w:r>
      <w:r w:rsidRPr="00E558C7">
        <w:t>t\Pi_t</w:t>
      </w:r>
      <w:r w:rsidRPr="00E558C7">
        <w:rPr>
          <w:lang w:val="el-GR"/>
        </w:rPr>
        <w:t>Π</w:t>
      </w:r>
      <w:r w:rsidRPr="00E558C7">
        <w:t xml:space="preserve">t​ (donor/acceptor/hydrophobe/ionizable) [11, 12, 21, 29, 33]. </w:t>
      </w:r>
      <w:r w:rsidRPr="00496063">
        <w:t>The dynamics follow a neural ODE</w:t>
      </w:r>
    </w:p>
    <w:p w:rsidR="00E558C7" w:rsidRPr="00496063" w:rsidRDefault="00E558C7" w:rsidP="00E558C7">
      <w:pPr>
        <w:spacing w:before="0" w:beforeAutospacing="0" w:after="0" w:afterAutospacing="0"/>
        <w:jc w:val="left"/>
        <w:outlineLvl w:val="9"/>
      </w:pPr>
      <w:r w:rsidRPr="00496063">
        <w:t>x˙t=f</w:t>
      </w:r>
      <w:r w:rsidRPr="00E558C7">
        <w:rPr>
          <w:lang w:val="el-GR"/>
        </w:rPr>
        <w:t>θ</w:t>
      </w:r>
      <w:r w:rsidRPr="00496063">
        <w:t>(xt,t),\dot x_t=f_\theta(x_t,t),x˙t​=f</w:t>
      </w:r>
      <w:r w:rsidRPr="00E558C7">
        <w:rPr>
          <w:lang w:val="el-GR"/>
        </w:rPr>
        <w:t>θ</w:t>
      </w:r>
      <w:r w:rsidRPr="00496063">
        <w:t xml:space="preserve">​(xt​,t), </w:t>
      </w:r>
    </w:p>
    <w:p w:rsidR="00E558C7" w:rsidRPr="00E558C7" w:rsidRDefault="00E558C7" w:rsidP="00E558C7">
      <w:pPr>
        <w:jc w:val="left"/>
        <w:outlineLvl w:val="9"/>
      </w:pPr>
      <w:r w:rsidRPr="00E558C7">
        <w:t>with a projection back to chemically valid states after each integration step (valence, ring templates, formal charge), akin to validity projections used in graph-based generative models but specialized for medicinal chemistry constraints [31–33]. Pocket shape modulates the vector field via local principal curvatures (</w:t>
      </w:r>
      <w:r w:rsidRPr="00E558C7">
        <w:rPr>
          <w:lang w:val="el-GR"/>
        </w:rPr>
        <w:t>κ</w:t>
      </w:r>
      <w:r w:rsidRPr="00E558C7">
        <w:t>1,</w:t>
      </w:r>
      <w:r w:rsidRPr="00E558C7">
        <w:rPr>
          <w:lang w:val="el-GR"/>
        </w:rPr>
        <w:t>κ</w:t>
      </w:r>
      <w:r w:rsidRPr="00E558C7">
        <w:t>2)(\kappa_1,\kappa_2)(</w:t>
      </w:r>
      <w:r w:rsidRPr="00E558C7">
        <w:rPr>
          <w:lang w:val="el-GR"/>
        </w:rPr>
        <w:t>κ</w:t>
      </w:r>
      <w:r w:rsidRPr="00E558C7">
        <w:t>1​,</w:t>
      </w:r>
      <w:r w:rsidRPr="00E558C7">
        <w:rPr>
          <w:lang w:val="el-GR"/>
        </w:rPr>
        <w:t>κ</w:t>
      </w:r>
      <w:r w:rsidRPr="00E558C7">
        <w:t>2​); the mean curvature H=12(</w:t>
      </w:r>
      <w:r w:rsidRPr="00E558C7">
        <w:rPr>
          <w:lang w:val="el-GR"/>
        </w:rPr>
        <w:t>κ</w:t>
      </w:r>
      <w:r w:rsidRPr="00E558C7">
        <w:t>1+</w:t>
      </w:r>
      <w:r w:rsidRPr="00E558C7">
        <w:rPr>
          <w:lang w:val="el-GR"/>
        </w:rPr>
        <w:t>κ</w:t>
      </w:r>
      <w:r w:rsidRPr="00E558C7">
        <w:t>2)H=\tfrac12(\kappa_1+\kappa_2)H=21​(</w:t>
      </w:r>
      <w:r w:rsidRPr="00E558C7">
        <w:rPr>
          <w:lang w:val="el-GR"/>
        </w:rPr>
        <w:t>κ</w:t>
      </w:r>
      <w:r w:rsidRPr="00E558C7">
        <w:t>1​+</w:t>
      </w:r>
      <w:r w:rsidRPr="00E558C7">
        <w:rPr>
          <w:lang w:val="el-GR"/>
        </w:rPr>
        <w:t>κ</w:t>
      </w:r>
      <w:r w:rsidRPr="00E558C7">
        <w:t>2​) and Gaussian curvature K=</w:t>
      </w:r>
      <w:r w:rsidRPr="00E558C7">
        <w:rPr>
          <w:lang w:val="el-GR"/>
        </w:rPr>
        <w:t>κ</w:t>
      </w:r>
      <w:r w:rsidRPr="00E558C7">
        <w:t>1</w:t>
      </w:r>
      <w:r w:rsidRPr="00E558C7">
        <w:rPr>
          <w:lang w:val="el-GR"/>
        </w:rPr>
        <w:t>κ</w:t>
      </w:r>
      <w:r w:rsidRPr="00E558C7">
        <w:t>2K=\kappa_1\kappa_2K=</w:t>
      </w:r>
      <w:r w:rsidRPr="00E558C7">
        <w:rPr>
          <w:lang w:val="el-GR"/>
        </w:rPr>
        <w:t>κ</w:t>
      </w:r>
      <w:r w:rsidRPr="00E558C7">
        <w:t>1​</w:t>
      </w:r>
      <w:r w:rsidRPr="00E558C7">
        <w:rPr>
          <w:lang w:val="el-GR"/>
        </w:rPr>
        <w:t>κ</w:t>
      </w:r>
      <w:r w:rsidRPr="00E558C7">
        <w:t>2​ bias flows toward concave, hydrated subsites, where burial and H-bond geometry can be co-optimized [12, 31–34]. Concavity guidance is consistent with the biophysics of extracellular proteases and elastin biology: MMP subsites favor tight local packing around partially exposed strands, and ERC/NEU1 signaling is initiated by elastin-derived peptides at specific surfaces and microdomains [4–10, 70, 170–172].</w:t>
      </w:r>
    </w:p>
    <w:p w:rsidR="00E558C7" w:rsidRPr="00E558C7" w:rsidRDefault="00E558C7" w:rsidP="00E558C7">
      <w:pPr>
        <w:jc w:val="left"/>
        <w:outlineLvl w:val="9"/>
      </w:pPr>
      <w:r w:rsidRPr="00E558C7">
        <w:t>The objective minimized along the flow balances physics, pharmacophores/motifs, diversity, and developability:</w:t>
      </w:r>
    </w:p>
    <w:p w:rsidR="00E558C7" w:rsidRPr="00496063" w:rsidRDefault="00E558C7" w:rsidP="00E558C7">
      <w:pPr>
        <w:spacing w:before="0" w:beforeAutospacing="0" w:after="0" w:afterAutospacing="0"/>
        <w:jc w:val="left"/>
        <w:outlineLvl w:val="9"/>
      </w:pPr>
      <w:r w:rsidRPr="00496063">
        <w:t>L=</w:t>
      </w:r>
      <w:r w:rsidRPr="00E558C7">
        <w:rPr>
          <w:lang w:val="el-GR"/>
        </w:rPr>
        <w:t>λ</w:t>
      </w:r>
      <w:r w:rsidRPr="00496063">
        <w:t>phys </w:t>
      </w:r>
      <w:r w:rsidRPr="00E558C7">
        <w:rPr>
          <w:lang w:val="el-GR"/>
        </w:rPr>
        <w:t>Δ</w:t>
      </w:r>
      <w:r w:rsidRPr="00496063">
        <w:t>G^MM/GBSA+</w:t>
      </w:r>
      <w:r w:rsidRPr="00E558C7">
        <w:rPr>
          <w:lang w:val="el-GR"/>
        </w:rPr>
        <w:t>λ</w:t>
      </w:r>
      <w:r w:rsidRPr="00496063">
        <w:t>ph4 ℓph4+</w:t>
      </w:r>
      <w:r w:rsidRPr="00E558C7">
        <w:rPr>
          <w:lang w:val="el-GR"/>
        </w:rPr>
        <w:t>λ</w:t>
      </w:r>
      <w:r w:rsidRPr="00496063">
        <w:t>info S</w:t>
      </w:r>
      <w:r w:rsidRPr="00E558C7">
        <w:rPr>
          <w:lang w:val="el-GR"/>
        </w:rPr>
        <w:t>α</w:t>
      </w:r>
      <w:r w:rsidRPr="00496063">
        <w:t>+</w:t>
      </w:r>
      <w:r w:rsidRPr="00E558C7">
        <w:rPr>
          <w:lang w:val="el-GR"/>
        </w:rPr>
        <w:t>λ</w:t>
      </w:r>
      <w:r w:rsidRPr="00496063">
        <w:t>chem ℓADMET/SA,\mathcal{L}=\lambda_{\text{phys}}\,\widehat{\Delta G}_{\text{MM/GBSA}} +\lambda_{\text{ph4}}\,\ell_{\text{ph4}} +\lambda_{\text{info}}\,S_\alpha +\lambda_{\text{chem}}\,\ell_{\text{ADMET/SA}},L=</w:t>
      </w:r>
      <w:r w:rsidRPr="00E558C7">
        <w:rPr>
          <w:lang w:val="el-GR"/>
        </w:rPr>
        <w:t>λ</w:t>
      </w:r>
      <w:r w:rsidRPr="00496063">
        <w:t>phys​</w:t>
      </w:r>
      <w:r w:rsidRPr="00E558C7">
        <w:rPr>
          <w:lang w:val="el-GR"/>
        </w:rPr>
        <w:t>Δ</w:t>
      </w:r>
      <w:r w:rsidRPr="00496063">
        <w:t>GMM/GBSA​+</w:t>
      </w:r>
      <w:r w:rsidRPr="00E558C7">
        <w:rPr>
          <w:lang w:val="el-GR"/>
        </w:rPr>
        <w:t>λ</w:t>
      </w:r>
      <w:r w:rsidRPr="00496063">
        <w:t>ph4​ℓph4​+</w:t>
      </w:r>
      <w:r w:rsidRPr="00E558C7">
        <w:rPr>
          <w:lang w:val="el-GR"/>
        </w:rPr>
        <w:t>λ</w:t>
      </w:r>
      <w:r w:rsidRPr="00496063">
        <w:t>info​S</w:t>
      </w:r>
      <w:r w:rsidRPr="00E558C7">
        <w:rPr>
          <w:lang w:val="el-GR"/>
        </w:rPr>
        <w:t>α</w:t>
      </w:r>
      <w:r w:rsidRPr="00496063">
        <w:t>​+</w:t>
      </w:r>
      <w:r w:rsidRPr="00E558C7">
        <w:rPr>
          <w:lang w:val="el-GR"/>
        </w:rPr>
        <w:t>λ</w:t>
      </w:r>
      <w:r w:rsidRPr="00496063">
        <w:t xml:space="preserve">chem​ℓADMET/SA​, </w:t>
      </w:r>
    </w:p>
    <w:p w:rsidR="00E558C7" w:rsidRPr="00E558C7" w:rsidRDefault="00E558C7" w:rsidP="00E558C7">
      <w:pPr>
        <w:jc w:val="left"/>
        <w:outlineLvl w:val="9"/>
      </w:pPr>
      <w:r w:rsidRPr="00E558C7">
        <w:t xml:space="preserve">where </w:t>
      </w:r>
      <w:r w:rsidRPr="00E558C7">
        <w:rPr>
          <w:lang w:val="el-GR"/>
        </w:rPr>
        <w:t>Δ</w:t>
      </w:r>
      <w:r w:rsidRPr="00E558C7">
        <w:t>G^MM/GBSA\widehat{\Delta G}_{\text{MM/GBSA}}</w:t>
      </w:r>
      <w:r w:rsidRPr="00E558C7">
        <w:rPr>
          <w:lang w:val="el-GR"/>
        </w:rPr>
        <w:t>Δ</w:t>
      </w:r>
      <w:r w:rsidRPr="00E558C7">
        <w:t>GMM/GBSA​ is an end-point estimator corrected for hydrophobic burial (below), ℓph4\ell_{\text{ph4}}ℓph4​ encodes motif-/pharmacophore alignment (informed by EMBL-EBI scans and interface models), S</w:t>
      </w:r>
      <w:r w:rsidRPr="00E558C7">
        <w:rPr>
          <w:lang w:val="el-GR"/>
        </w:rPr>
        <w:t>α</w:t>
      </w:r>
      <w:r w:rsidRPr="00E558C7">
        <w:t>S_\alphaS</w:t>
      </w:r>
      <w:r w:rsidRPr="00E558C7">
        <w:rPr>
          <w:lang w:val="el-GR"/>
        </w:rPr>
        <w:t>α</w:t>
      </w:r>
      <w:r w:rsidRPr="00E558C7">
        <w:t>​ (Rényi) preserves chemotype diversity, and ℓADMET/SA\ell_{\text{ADMET/SA}}ℓADMET/SA​ summarizes medicinal-chemistry constraints (Lipinski, SwissADME, synthetic accessibility) [25–33, 70–71, 76]. Curvature-aware regularization is motivated by discrete geometry and capacity control on graphs: limiting metric capacity and enforcing locality reduces over-squashing and keeps pose refinement physically plausible [12, 31–34].</w:t>
      </w:r>
    </w:p>
    <w:p w:rsidR="00E558C7" w:rsidRPr="00496063" w:rsidRDefault="00E558C7" w:rsidP="00E558C7">
      <w:pPr>
        <w:jc w:val="left"/>
        <w:outlineLvl w:val="0"/>
        <w:rPr>
          <w:b/>
          <w:bCs/>
          <w:kern w:val="36"/>
          <w:sz w:val="48"/>
          <w:szCs w:val="48"/>
        </w:rPr>
      </w:pPr>
      <w:r w:rsidRPr="00496063">
        <w:rPr>
          <w:b/>
          <w:bCs/>
          <w:kern w:val="36"/>
          <w:sz w:val="48"/>
          <w:szCs w:val="48"/>
        </w:rPr>
        <w:t>Binding physics with burial restored</w:t>
      </w:r>
    </w:p>
    <w:p w:rsidR="00E558C7" w:rsidRPr="00E558C7" w:rsidRDefault="00E558C7" w:rsidP="00E558C7">
      <w:pPr>
        <w:jc w:val="left"/>
        <w:outlineLvl w:val="9"/>
      </w:pPr>
      <w:r w:rsidRPr="00E558C7">
        <w:t>Docking/pose generation (AutoDock4/Vina) against PDB structures starts the physics pass; top poses get a short MD relaxation (GROMACS/OpenMM) followed by MM-PB(GB)SA using g_mmpbsa/APBS [12–15, 54–56, 70–71]. Because end-point estimators underweight non-polar burial,</w:t>
      </w:r>
      <w:r w:rsidR="00356057">
        <w:t xml:space="preserve"> I </w:t>
      </w:r>
      <w:r w:rsidRPr="00E558C7">
        <w:t>add a linear SASA term,</w:t>
      </w:r>
    </w:p>
    <w:p w:rsidR="00E558C7" w:rsidRPr="00496063" w:rsidRDefault="00E558C7" w:rsidP="00E558C7">
      <w:pPr>
        <w:spacing w:before="0" w:beforeAutospacing="0" w:after="0" w:afterAutospacing="0"/>
        <w:jc w:val="left"/>
        <w:outlineLvl w:val="9"/>
      </w:pPr>
      <w:r w:rsidRPr="00E558C7">
        <w:rPr>
          <w:lang w:val="el-GR"/>
        </w:rPr>
        <w:t>Δ</w:t>
      </w:r>
      <w:r w:rsidRPr="00496063">
        <w:t>Gnp=</w:t>
      </w:r>
      <w:r w:rsidRPr="00E558C7">
        <w:rPr>
          <w:lang w:val="el-GR"/>
        </w:rPr>
        <w:t>γ</w:t>
      </w:r>
      <w:r w:rsidRPr="00496063">
        <w:t> </w:t>
      </w:r>
      <w:r w:rsidRPr="00E558C7">
        <w:rPr>
          <w:lang w:val="el-GR"/>
        </w:rPr>
        <w:t>Δ</w:t>
      </w:r>
      <w:r w:rsidRPr="00496063">
        <w:t>SASA,</w:t>
      </w:r>
      <w:r w:rsidRPr="00E558C7">
        <w:rPr>
          <w:lang w:val="el-GR"/>
        </w:rPr>
        <w:t>Δ</w:t>
      </w:r>
      <w:r w:rsidRPr="00496063">
        <w:t>SASA=SASAC−SASAR−SASAL,\Delta G_{\text{np}}=\gamma\,\Delta\mathrm{SASA},\quad \Delta\mathrm{SASA}=\mathrm{SASA}_{C}-\mathrm{SASA}_{R}-\mathrm{SASA}_{L},</w:t>
      </w:r>
      <w:r w:rsidRPr="00E558C7">
        <w:rPr>
          <w:lang w:val="el-GR"/>
        </w:rPr>
        <w:t>Δ</w:t>
      </w:r>
      <w:r w:rsidRPr="00496063">
        <w:t>Gnp​=</w:t>
      </w:r>
      <w:r w:rsidRPr="00E558C7">
        <w:rPr>
          <w:lang w:val="el-GR"/>
        </w:rPr>
        <w:t>γΔ</w:t>
      </w:r>
      <w:r w:rsidRPr="00496063">
        <w:t>SASA,</w:t>
      </w:r>
      <w:r w:rsidRPr="00E558C7">
        <w:rPr>
          <w:lang w:val="el-GR"/>
        </w:rPr>
        <w:t>Δ</w:t>
      </w:r>
      <w:r w:rsidRPr="00496063">
        <w:t xml:space="preserve">SASA=SASAC​−SASAR​−SASAL​, </w:t>
      </w:r>
    </w:p>
    <w:p w:rsidR="00E558C7" w:rsidRPr="00E558C7" w:rsidRDefault="00E558C7" w:rsidP="00E558C7">
      <w:pPr>
        <w:jc w:val="left"/>
        <w:outlineLvl w:val="9"/>
      </w:pPr>
      <w:r w:rsidRPr="00E558C7">
        <w:t xml:space="preserve">and rank by </w:t>
      </w:r>
      <w:r w:rsidRPr="00E558C7">
        <w:rPr>
          <w:lang w:val="el-GR"/>
        </w:rPr>
        <w:t>Δ</w:t>
      </w:r>
      <w:r w:rsidRPr="00E558C7">
        <w:t>Gtot=</w:t>
      </w:r>
      <w:r w:rsidRPr="00E558C7">
        <w:rPr>
          <w:lang w:val="el-GR"/>
        </w:rPr>
        <w:t>Δ</w:t>
      </w:r>
      <w:r w:rsidRPr="00E558C7">
        <w:t>GMM–PBSA+</w:t>
      </w:r>
      <w:r w:rsidRPr="00E558C7">
        <w:rPr>
          <w:lang w:val="el-GR"/>
        </w:rPr>
        <w:t>Δ</w:t>
      </w:r>
      <w:r w:rsidRPr="00E558C7">
        <w:t>Gnp\Delta G_{\text{tot}}=\Delta G_{\text{MM–PBSA}}+\Delta G_{\text{np}}</w:t>
      </w:r>
      <w:r w:rsidRPr="00E558C7">
        <w:rPr>
          <w:lang w:val="el-GR"/>
        </w:rPr>
        <w:t>Δ</w:t>
      </w:r>
      <w:r w:rsidRPr="00E558C7">
        <w:t>Gtot​=</w:t>
      </w:r>
      <w:r w:rsidRPr="00E558C7">
        <w:rPr>
          <w:lang w:val="el-GR"/>
        </w:rPr>
        <w:t>Δ</w:t>
      </w:r>
      <w:r w:rsidRPr="00E558C7">
        <w:t>GMM–PBSA​+</w:t>
      </w:r>
      <w:r w:rsidRPr="00E558C7">
        <w:rPr>
          <w:lang w:val="el-GR"/>
        </w:rPr>
        <w:t>Δ</w:t>
      </w:r>
      <w:r w:rsidRPr="00E558C7">
        <w:t xml:space="preserve">Gnp​ with </w:t>
      </w:r>
      <w:r w:rsidRPr="00E558C7">
        <w:rPr>
          <w:lang w:val="el-GR"/>
        </w:rPr>
        <w:t>γ</w:t>
      </w:r>
      <w:r w:rsidRPr="00E558C7">
        <w:t>\gamma</w:t>
      </w:r>
      <w:r w:rsidRPr="00E558C7">
        <w:rPr>
          <w:lang w:val="el-GR"/>
        </w:rPr>
        <w:t>γ</w:t>
      </w:r>
      <w:r w:rsidRPr="00E558C7">
        <w:t xml:space="preserve"> in a literature-typical range for nonpolar area contributions [67–71]. This specifically rewards compact ligands that bury surface in concave pockets without breaking H-bond geometry—precisely the feature that distinguishes productive binding in protease subsites and elastin-peptide interactions [4–10, 70].</w:t>
      </w:r>
    </w:p>
    <w:p w:rsidR="00E558C7" w:rsidRPr="00E558C7" w:rsidRDefault="00E558C7" w:rsidP="00E558C7">
      <w:pPr>
        <w:jc w:val="left"/>
        <w:outlineLvl w:val="0"/>
        <w:rPr>
          <w:b/>
          <w:bCs/>
          <w:kern w:val="36"/>
          <w:sz w:val="48"/>
          <w:szCs w:val="48"/>
        </w:rPr>
      </w:pPr>
      <w:r w:rsidRPr="00E558C7">
        <w:rPr>
          <w:b/>
          <w:bCs/>
          <w:kern w:val="36"/>
          <w:sz w:val="48"/>
          <w:szCs w:val="48"/>
        </w:rPr>
        <w:t>From local pockets to system readouts</w:t>
      </w:r>
    </w:p>
    <w:p w:rsidR="00E558C7" w:rsidRPr="00E558C7" w:rsidRDefault="00E558C7" w:rsidP="00E558C7">
      <w:pPr>
        <w:jc w:val="left"/>
        <w:outlineLvl w:val="9"/>
      </w:pPr>
      <w:r w:rsidRPr="00E558C7">
        <w:t>Network context from STRING/Cytoscape/CellNetVis shows that wound-enriched modules concentrate around extracellular proteolysis, ECM organization, vesicle/secretory pathways, complement/coagulation, and integrin/adaptor axes [85–89, 90–93]. These neighborhoods guide which pockets to prioritize (MMP-1/-9, serine proteases, TIMPs, ERC/NEU1) and where to place pharmacophoric soft constraints. To evaluate mixtures,</w:t>
      </w:r>
      <w:r w:rsidR="00356057">
        <w:t xml:space="preserve"> I </w:t>
      </w:r>
      <w:r w:rsidRPr="00E558C7">
        <w:t>use Bliss independence and the combination-synergy index (CSI), CSI=Eobs/Epred\text{CSI}=E_{\text{obs}}/E_{\text{pred}}CSI=Eobs​/Epred​ [115–116].</w:t>
      </w:r>
      <w:r w:rsidR="00356057">
        <w:t xml:space="preserve"> I </w:t>
      </w:r>
      <w:r w:rsidRPr="00E558C7">
        <w:t xml:space="preserve">summarize cellular plasticity by Mean Residual Heterogeneity (MRH) from single-cell program entropies and track signaling noise via graph structural entropy (GSE) on ECM/protease subnetworks; a favorable regime is CSI↑, MRH↑, </w:t>
      </w:r>
      <w:r w:rsidRPr="00E558C7">
        <w:rPr>
          <w:lang w:val="el-GR"/>
        </w:rPr>
        <w:t>Δ</w:t>
      </w:r>
      <w:r w:rsidRPr="00E558C7">
        <w:t>GSE↓, consistent with synergistic protease control, regulated plasticity, and damped network noise [85–87, 94–99].</w:t>
      </w:r>
    </w:p>
    <w:p w:rsidR="00E558C7" w:rsidRPr="00E558C7" w:rsidRDefault="00E558C7" w:rsidP="00E558C7">
      <w:pPr>
        <w:jc w:val="left"/>
        <w:outlineLvl w:val="0"/>
        <w:rPr>
          <w:b/>
          <w:bCs/>
          <w:kern w:val="36"/>
          <w:sz w:val="48"/>
          <w:szCs w:val="48"/>
        </w:rPr>
      </w:pPr>
      <w:r w:rsidRPr="00E558C7">
        <w:rPr>
          <w:b/>
          <w:bCs/>
          <w:kern w:val="36"/>
          <w:sz w:val="48"/>
          <w:szCs w:val="48"/>
        </w:rPr>
        <w:t>NISQ-aware calibration for the hybrid learner</w:t>
      </w:r>
    </w:p>
    <w:p w:rsidR="00E558C7" w:rsidRPr="00E558C7" w:rsidRDefault="00E558C7" w:rsidP="00E558C7">
      <w:pPr>
        <w:jc w:val="left"/>
        <w:outlineLvl w:val="9"/>
      </w:pPr>
      <w:r w:rsidRPr="00E558C7">
        <w:t>Because</w:t>
      </w:r>
      <w:r w:rsidR="00356057">
        <w:t xml:space="preserve"> I </w:t>
      </w:r>
      <w:r w:rsidRPr="00E558C7">
        <w:t>feed physics-and-geometry features into a hybrid quantum learner (QAOA</w:t>
      </w:r>
      <w:r w:rsidRPr="00E558C7">
        <w:rPr>
          <w:rFonts w:ascii="Cambria Math" w:hAnsi="Cambria Math" w:cs="Cambria Math"/>
        </w:rPr>
        <w:t>⊗</w:t>
      </w:r>
      <w:r w:rsidRPr="00E558C7">
        <w:t>PQC),</w:t>
      </w:r>
      <w:r w:rsidR="00356057">
        <w:t xml:space="preserve"> I </w:t>
      </w:r>
      <w:r w:rsidRPr="00E558C7">
        <w:t xml:space="preserve">gate circuits with a GHZ calibration. An eight-step digitized adiabatic schedule prepares </w:t>
      </w:r>
      <w:r w:rsidRPr="00E558C7">
        <w:rPr>
          <w:rFonts w:ascii="Cambria Math" w:hAnsi="Cambria Math" w:cs="Cambria Math"/>
        </w:rPr>
        <w:t>∣</w:t>
      </w:r>
      <w:r w:rsidRPr="00E558C7">
        <w:t>GHZ</w:t>
      </w:r>
      <w:r w:rsidRPr="00E558C7">
        <w:rPr>
          <w:rFonts w:ascii="Cambria Math" w:hAnsi="Cambria Math" w:cs="Cambria Math"/>
          <w:lang w:val="el-GR"/>
        </w:rPr>
        <w:t>⟩</w:t>
      </w:r>
      <w:r w:rsidRPr="00E558C7">
        <w:t>=(</w:t>
      </w:r>
      <w:r w:rsidRPr="00E558C7">
        <w:rPr>
          <w:rFonts w:ascii="Cambria Math" w:hAnsi="Cambria Math" w:cs="Cambria Math"/>
        </w:rPr>
        <w:t>∣</w:t>
      </w:r>
      <w:r w:rsidRPr="00E558C7">
        <w:t>000</w:t>
      </w:r>
      <w:r w:rsidRPr="00E558C7">
        <w:rPr>
          <w:rFonts w:ascii="Cambria Math" w:hAnsi="Cambria Math" w:cs="Cambria Math"/>
          <w:lang w:val="el-GR"/>
        </w:rPr>
        <w:t>⟩</w:t>
      </w:r>
      <w:r w:rsidRPr="00E558C7">
        <w:t>+</w:t>
      </w:r>
      <w:r w:rsidRPr="00E558C7">
        <w:rPr>
          <w:rFonts w:ascii="Cambria Math" w:hAnsi="Cambria Math" w:cs="Cambria Math"/>
        </w:rPr>
        <w:t>∣</w:t>
      </w:r>
      <w:r w:rsidRPr="00E558C7">
        <w:t>111</w:t>
      </w:r>
      <w:r w:rsidRPr="00E558C7">
        <w:rPr>
          <w:rFonts w:ascii="Cambria Math" w:hAnsi="Cambria Math" w:cs="Cambria Math"/>
          <w:lang w:val="el-GR"/>
        </w:rPr>
        <w:t>⟩</w:t>
      </w:r>
      <w:r w:rsidRPr="00E558C7">
        <w:t>)/2|\mathrm{GHZ}\rangle=(|000\rangle+|111\rangle)/\sqrt{2}</w:t>
      </w:r>
      <w:r w:rsidRPr="00E558C7">
        <w:rPr>
          <w:rFonts w:ascii="Cambria Math" w:hAnsi="Cambria Math" w:cs="Cambria Math"/>
        </w:rPr>
        <w:t>∣</w:t>
      </w:r>
      <w:r w:rsidRPr="00E558C7">
        <w:t>GHZ</w:t>
      </w:r>
      <w:r w:rsidRPr="00E558C7">
        <w:rPr>
          <w:rFonts w:ascii="Cambria Math" w:hAnsi="Cambria Math" w:cs="Cambria Math"/>
          <w:lang w:val="el-GR"/>
        </w:rPr>
        <w:t>⟩</w:t>
      </w:r>
      <w:r w:rsidRPr="00E558C7">
        <w:t>=(</w:t>
      </w:r>
      <w:r w:rsidRPr="00E558C7">
        <w:rPr>
          <w:rFonts w:ascii="Cambria Math" w:hAnsi="Cambria Math" w:cs="Cambria Math"/>
        </w:rPr>
        <w:t>∣</w:t>
      </w:r>
      <w:r w:rsidRPr="00E558C7">
        <w:t>000</w:t>
      </w:r>
      <w:r w:rsidRPr="00E558C7">
        <w:rPr>
          <w:rFonts w:ascii="Cambria Math" w:hAnsi="Cambria Math" w:cs="Cambria Math"/>
          <w:lang w:val="el-GR"/>
        </w:rPr>
        <w:t>⟩</w:t>
      </w:r>
      <w:r w:rsidRPr="00E558C7">
        <w:t>+</w:t>
      </w:r>
      <w:r w:rsidRPr="00E558C7">
        <w:rPr>
          <w:rFonts w:ascii="Cambria Math" w:hAnsi="Cambria Math" w:cs="Cambria Math"/>
        </w:rPr>
        <w:t>∣</w:t>
      </w:r>
      <w:r w:rsidRPr="00E558C7">
        <w:t>111</w:t>
      </w:r>
      <w:r w:rsidRPr="00E558C7">
        <w:rPr>
          <w:rFonts w:ascii="Cambria Math" w:hAnsi="Cambria Math" w:cs="Cambria Math"/>
          <w:lang w:val="el-GR"/>
        </w:rPr>
        <w:t>⟩</w:t>
      </w:r>
      <w:r w:rsidRPr="00E558C7">
        <w:t>)/2​; along the schedule</w:t>
      </w:r>
      <w:r w:rsidR="00356057">
        <w:t xml:space="preserve"> I </w:t>
      </w:r>
      <w:r w:rsidRPr="00E558C7">
        <w:t>compute von Neumann entropy S(</w:t>
      </w:r>
      <w:r w:rsidRPr="00E558C7">
        <w:rPr>
          <w:lang w:val="el-GR"/>
        </w:rPr>
        <w:t>ρ</w:t>
      </w:r>
      <w:r w:rsidRPr="00E558C7">
        <w:t>)S(\rho)S(</w:t>
      </w:r>
      <w:r w:rsidRPr="00E558C7">
        <w:rPr>
          <w:lang w:val="el-GR"/>
        </w:rPr>
        <w:t>ρ</w:t>
      </w:r>
      <w:r w:rsidRPr="00E558C7">
        <w:t xml:space="preserve">) and a GHZ witness </w:t>
      </w:r>
      <w:r w:rsidRPr="00E558C7">
        <w:rPr>
          <w:rFonts w:ascii="Cambria Math" w:hAnsi="Cambria Math" w:cs="Cambria Math"/>
          <w:lang w:val="el-GR"/>
        </w:rPr>
        <w:t>⟨</w:t>
      </w:r>
      <w:r w:rsidRPr="00E558C7">
        <w:t>WGHZ</w:t>
      </w:r>
      <w:r w:rsidRPr="00E558C7">
        <w:rPr>
          <w:rFonts w:ascii="Cambria Math" w:hAnsi="Cambria Math" w:cs="Cambria Math"/>
          <w:lang w:val="el-GR"/>
        </w:rPr>
        <w:t>⟩</w:t>
      </w:r>
      <w:r w:rsidRPr="00E558C7">
        <w:t>\langle W_{\text{GHZ}}\rangle</w:t>
      </w:r>
      <w:r w:rsidRPr="00E558C7">
        <w:rPr>
          <w:rFonts w:ascii="Cambria Math" w:hAnsi="Cambria Math" w:cs="Cambria Math"/>
          <w:lang w:val="el-GR"/>
        </w:rPr>
        <w:t>⟨</w:t>
      </w:r>
      <w:r w:rsidRPr="00E558C7">
        <w:t>WGHZ​</w:t>
      </w:r>
      <w:r w:rsidRPr="00E558C7">
        <w:rPr>
          <w:rFonts w:ascii="Cambria Math" w:hAnsi="Cambria Math" w:cs="Cambria Math"/>
          <w:lang w:val="el-GR"/>
        </w:rPr>
        <w:t>⟩</w:t>
      </w:r>
      <w:r w:rsidRPr="00E558C7">
        <w:t>, rejecting instances that drift outside preset windows before training (Qiskit/Aer backends) [118–121, 125–131, 140–141, 147–148, 200]. This links device fidelity to downstream predictive reliability and mirrors the capacity/curvature discipline on the chemistry side.</w:t>
      </w:r>
    </w:p>
    <w:p w:rsidR="00574BD0" w:rsidRPr="00574BD0" w:rsidRDefault="00574BD0" w:rsidP="00713714">
      <w:r w:rsidRPr="00574BD0">
        <w:t>To keep pose evolution faithful to both chemistry and pocket shape, I push candidates through a geometry-aware optimizer—a “pharmacophoric ODE.” Each molecule is a state with three parts: an editable molecular graph GtG_tGt​, a 3D pose PtP_tPt​, and soft pharmacophore labels Πt\Pi_tΠt​:</w:t>
      </w:r>
    </w:p>
    <w:p w:rsidR="00574BD0" w:rsidRPr="00574BD0" w:rsidRDefault="00574BD0" w:rsidP="00713714">
      <w:r w:rsidRPr="00574BD0">
        <w:t xml:space="preserve">xt=(Gt,Pt,Πt)(8)\boxed{x_t=(G_t,P_t,\Pi_t)}\tag{8}xt​=(Gt​,Pt​,Πt​)​(8) </w:t>
      </w:r>
    </w:p>
    <w:p w:rsidR="00574BD0" w:rsidRPr="00574BD0" w:rsidRDefault="00574BD0" w:rsidP="00713714">
      <w:r w:rsidRPr="00574BD0">
        <w:t>That state flows in continuous time under a neural ODE with parameters θ\thetaθ:</w:t>
      </w:r>
    </w:p>
    <w:p w:rsidR="00574BD0" w:rsidRPr="00574BD0" w:rsidRDefault="00574BD0" w:rsidP="00713714">
      <w:r w:rsidRPr="00574BD0">
        <w:t xml:space="preserve">x˙t=fθ(xt,t)(9)\boxed{\dot{x}_t=f_\theta(x_t,t)}\tag{9}x˙t​=fθ​(xt​,t)​(9) </w:t>
      </w:r>
    </w:p>
    <w:p w:rsidR="00574BD0" w:rsidRPr="00574BD0" w:rsidRDefault="00574BD0" w:rsidP="00713714">
      <w:r w:rsidRPr="00574BD0">
        <w:t>with per-step projections back to chemically valid states (valence, ring templates, charge). Pocket geometry enters through principal curvatures (κ1,κ2)(\kappa_1,\kappa_2)(κ1​,κ2​); mean and Gaussian curvature,</w:t>
      </w:r>
    </w:p>
    <w:p w:rsidR="00574BD0" w:rsidRPr="00574BD0" w:rsidRDefault="00574BD0" w:rsidP="00713714">
      <w:r w:rsidRPr="00574BD0">
        <w:t xml:space="preserve">H=12(κ1+κ2),K=κ1κ2(9a)\boxed{H=\tfrac{1}{2}(\kappa_1+\kappa_2)},\qquad \boxed{K=\kappa_1\kappa_2}\tag{9a}H=21​(κ1​+κ2​)​,K=κ1​κ2​​(9a) </w:t>
      </w:r>
    </w:p>
    <w:p w:rsidR="00574BD0" w:rsidRPr="00574BD0" w:rsidRDefault="00574BD0" w:rsidP="00713714">
      <w:r w:rsidRPr="00574BD0">
        <w:t>encourage the flow toward concave, hydrated regions. Optimization minimizes a composite loss that balances physics, pharmacophores/motifs, diversity, and developability/synthetic accessibility:</w:t>
      </w:r>
    </w:p>
    <w:p w:rsidR="00574BD0" w:rsidRPr="00574BD0" w:rsidRDefault="00574BD0" w:rsidP="00713714">
      <w:r w:rsidRPr="00574BD0">
        <w:t xml:space="preserve">L=λphys ΔG^MM/GBSA+λph4 ℓph4+λinfo Sα+λchem ℓADMET/SA(10)\boxed{\mathcal{L}=\lambda_{\text{phys}}\,\widehat{\Delta G}_{\text{MM/GBSA}} +\lambda_{\text{ph4}}\,\ell_{\text{ph4}} +\lambda_{\text{info}}\,S_\alpha +\lambda_{\text{chem}}\,\ell_{\text{ADMET/SA}}}\tag{10}L=λphys​ΔGMM/GBSA​+λph4​ℓph4​+λinfo​Sα​+λchem​ℓADMET/SA​​(10) </w:t>
      </w:r>
    </w:p>
    <w:p w:rsidR="00574BD0" w:rsidRPr="00574BD0" w:rsidRDefault="00574BD0" w:rsidP="00713714">
      <w:r w:rsidRPr="00574BD0">
        <w:t>The result is an optimizer that seeks “what works,” not just “what binds.”</w:t>
      </w:r>
    </w:p>
    <w:p w:rsidR="00574BD0" w:rsidRPr="00574BD0" w:rsidRDefault="00574BD0" w:rsidP="00713714">
      <w:r w:rsidRPr="00574BD0">
        <w:t>All of this maps back onto the network that started the story. The STRING/PINA aggregate—419 nodes, 14,238 edges, ~0.56 clustering—shows modularity concentrated in extracellular proteases, their inhibitors, ECM organization, vesicle/secretory lumen, complement/coagulation, and serine protease activity/inhibition. Those modules nominate target pockets, define compartment-aware pharmacophores, and steer the ODE toward the right concavities. They also remind us to prioritize ligands that achieve nonpolar burial without paying too high a price in off-target stickiness.</w:t>
      </w:r>
    </w:p>
    <w:p w:rsidR="00574BD0" w:rsidRPr="00574BD0" w:rsidRDefault="00574BD0" w:rsidP="00713714">
      <w:r w:rsidRPr="00574BD0">
        <w:t>But a single binding score never decides a therapy. At the systems level, I quantify how mixtures behave with Bliss independence and compute a combination-synergy index (CSI): for fractional single-agent effects EjE_jEj​ and observed combo effect EobsE_{\text{obs}}Eobs​,</w:t>
      </w:r>
    </w:p>
    <w:p w:rsidR="00574BD0" w:rsidRPr="00647751" w:rsidRDefault="00574BD0" w:rsidP="00713714">
      <w:r w:rsidRPr="00647751">
        <w:t xml:space="preserve">Epred=1−∏j(1−Ej),CSI=EobsEpred(11)\boxed{E_{\text{pred}}=1-\prod_{j}(1-E_j)},\qquad \boxed{\text{CSI}=\frac{E_{\text{obs}}}{E_{\text{pred}}}}\tag{11}Epred​=1−j∏​(1−Ej​)​,CSI=Epred​Eobs​​​(11) </w:t>
      </w:r>
    </w:p>
    <w:p w:rsidR="00574BD0" w:rsidRPr="00574BD0" w:rsidRDefault="00574BD0" w:rsidP="00713714">
      <w:r w:rsidRPr="00574BD0">
        <w:t>Values &gt;1&gt;1&gt;1 indicate supra-additivity. Cellular plasticity is tracked by Mean Residual Heterogeneity (MRH). First define per-cell entropy from cell-specific gene-program proportions pigp_{ig}pig​: Hi=−∑gpiglog⁡pigH_i=-\sum_g p_{ig}\log p_{ig}Hi​=−∑g​pig​logpig​; then standardize bulk entropy:</w:t>
      </w:r>
    </w:p>
    <w:p w:rsidR="00574BD0" w:rsidRPr="00574BD0" w:rsidRDefault="00574BD0" w:rsidP="00713714">
      <w:r w:rsidRPr="00574BD0">
        <w:t xml:space="preserve">MRH=Hbulk−μσ(12)\boxed{\text{MRH}=\frac{H_{\text{bulk}}-\mu}{\sigma}}\tag{12}MRH=σHbulk​−μ​​(12) </w:t>
      </w:r>
    </w:p>
    <w:p w:rsidR="00574BD0" w:rsidRPr="00574BD0" w:rsidRDefault="00574BD0" w:rsidP="00713714">
      <w:r w:rsidRPr="00574BD0">
        <w:t>Network signaling noise is summarized by graph structural entropy (with πv\pi_vπv​ a stationary or degree-normalized occupancy):</w:t>
      </w:r>
    </w:p>
    <w:p w:rsidR="00574BD0" w:rsidRPr="00574BD0" w:rsidRDefault="00574BD0" w:rsidP="00713714">
      <w:r w:rsidRPr="00574BD0">
        <w:t xml:space="preserve">GSE=−∑vπvlog⁡πv,ΔGSE=GSEtreat−GSEctrl(13)\boxed{\mathrm{GSE}=-\sum_v \pi_v\log \pi_v},\qquad \boxed{\Delta\mathrm{GSE}=\mathrm{GSE}_{\text{treat}}-\mathrm{GSE}_{\text{ctrl}}}\tag{13}GSE=−v∑​πv​logπv​​,ΔGSE=GSEtreat​−GSEctrl​​(13) </w:t>
      </w:r>
    </w:p>
    <w:p w:rsidR="00574BD0" w:rsidRPr="00574BD0" w:rsidRDefault="00574BD0" w:rsidP="00713714">
      <w:r w:rsidRPr="00574BD0">
        <w:t>In wounds, the empirical MMP-1↔TIMP-1 balance, the KLK8–MKI67 proliferation link, and ERC-linked chemotaxis with MMP upregulation define a favorable regime: CSI↑, MRH↑, ΔGSE↓. These system readouts are the yardsticks against which design decisions are measured.</w:t>
      </w:r>
    </w:p>
    <w:p w:rsidR="00574BD0" w:rsidRPr="00574BD0" w:rsidRDefault="00574BD0" w:rsidP="00713714">
      <w:r w:rsidRPr="00574BD0">
        <w:t>Because</w:t>
      </w:r>
      <w:r w:rsidR="00356057">
        <w:t xml:space="preserve"> my </w:t>
      </w:r>
      <w:r w:rsidRPr="00574BD0">
        <w:t>predictive layer includes a hybrid quantum learner, I also ask a hardware question before training: is the circuit instance reliable enough to trust? Here I lean on the adiabatic theorem—reinterpreted for the noisy, intermediate devices</w:t>
      </w:r>
      <w:r w:rsidR="00356057">
        <w:t xml:space="preserve"> I </w:t>
      </w:r>
      <w:r w:rsidRPr="00574BD0">
        <w:t>actually have (NISQ). A useful sufficiency check is that the matrix-element-to-gap ratio stay small along the schedule:</w:t>
      </w:r>
    </w:p>
    <w:p w:rsidR="00574BD0" w:rsidRPr="00574BD0" w:rsidRDefault="00574BD0" w:rsidP="00713714">
      <w:r w:rsidRPr="00574BD0">
        <w:t>max⁡t</w:t>
      </w:r>
      <w:r w:rsidRPr="00574BD0">
        <w:rPr>
          <w:rFonts w:ascii="Cambria Math" w:hAnsi="Cambria Math" w:cs="Cambria Math"/>
        </w:rPr>
        <w:t>∈</w:t>
      </w:r>
      <w:r w:rsidRPr="00574BD0">
        <w:t>[0,T] </w:t>
      </w:r>
      <w:r w:rsidRPr="00574BD0">
        <w:rPr>
          <w:rFonts w:ascii="Cambria Math" w:hAnsi="Cambria Math" w:cs="Cambria Math"/>
        </w:rPr>
        <w:t>∣⟨</w:t>
      </w:r>
      <w:r w:rsidRPr="00574BD0">
        <w:t>ε0(t) </w:t>
      </w:r>
      <w:r w:rsidRPr="00574BD0">
        <w:rPr>
          <w:rFonts w:ascii="Cambria Math" w:hAnsi="Cambria Math" w:cs="Cambria Math"/>
        </w:rPr>
        <w:t>∣</w:t>
      </w:r>
      <w:r w:rsidRPr="00574BD0">
        <w:t> ∂tH(t) </w:t>
      </w:r>
      <w:r w:rsidRPr="00574BD0">
        <w:rPr>
          <w:rFonts w:ascii="Cambria Math" w:hAnsi="Cambria Math" w:cs="Cambria Math"/>
        </w:rPr>
        <w:t>∣</w:t>
      </w:r>
      <w:r w:rsidRPr="00574BD0">
        <w:t> εm(t)</w:t>
      </w:r>
      <w:r w:rsidRPr="00574BD0">
        <w:rPr>
          <w:rFonts w:ascii="Cambria Math" w:hAnsi="Cambria Math" w:cs="Cambria Math"/>
        </w:rPr>
        <w:t>⟩∣</w:t>
      </w:r>
      <w:r w:rsidRPr="00574BD0">
        <w:t>(εm(t)−ε0(t))2 </w:t>
      </w:r>
      <w:r w:rsidRPr="00574BD0">
        <w:rPr>
          <w:rFonts w:ascii="Cambria Math" w:hAnsi="Cambria Math" w:cs="Cambria Math"/>
        </w:rPr>
        <w:t>≪</w:t>
      </w:r>
      <w:r w:rsidRPr="00574BD0">
        <w:t> 1</w:t>
      </w:r>
      <w:r w:rsidRPr="00574BD0">
        <w:rPr>
          <w:rFonts w:ascii="Cambria Math" w:hAnsi="Cambria Math" w:cs="Cambria Math"/>
        </w:rPr>
        <w:t>∀</w:t>
      </w:r>
      <w:r w:rsidRPr="00574BD0">
        <w:t>m≠0(14)\boxed{\max_{t\in[0,T]}\ \frac{\big|\langle \varepsilon_0(t)\,|\,\partial_t H(t)\,|\,\varepsilon_m(t)\rangle\big|} {\big(\varepsilon_m(t)-\varepsilon_0(t)\big)^2}\ \ll\ 1\quad \forall m\neq 0}\tag{14}t</w:t>
      </w:r>
      <w:r w:rsidRPr="00574BD0">
        <w:rPr>
          <w:rFonts w:ascii="Cambria Math" w:hAnsi="Cambria Math" w:cs="Cambria Math"/>
        </w:rPr>
        <w:t>∈</w:t>
      </w:r>
      <w:r w:rsidRPr="00574BD0">
        <w:t>[0,T]max​ (εm​(t)−ε0​(t))2​</w:t>
      </w:r>
      <w:r w:rsidRPr="00574BD0">
        <w:rPr>
          <w:rFonts w:ascii="Cambria Math" w:hAnsi="Cambria Math" w:cs="Cambria Math"/>
        </w:rPr>
        <w:t>⟨</w:t>
      </w:r>
      <w:r w:rsidRPr="00574BD0">
        <w:t>ε0​(t)</w:t>
      </w:r>
      <w:r w:rsidRPr="00574BD0">
        <w:rPr>
          <w:rFonts w:ascii="Cambria Math" w:hAnsi="Cambria Math" w:cs="Cambria Math"/>
        </w:rPr>
        <w:t>∣</w:t>
      </w:r>
      <w:r w:rsidRPr="00574BD0">
        <w:t>∂t​H(t)</w:t>
      </w:r>
      <w:r w:rsidRPr="00574BD0">
        <w:rPr>
          <w:rFonts w:ascii="Cambria Math" w:hAnsi="Cambria Math" w:cs="Cambria Math"/>
        </w:rPr>
        <w:t>∣</w:t>
      </w:r>
      <w:r w:rsidRPr="00574BD0">
        <w:t>εm​(t)</w:t>
      </w:r>
      <w:r w:rsidRPr="00574BD0">
        <w:rPr>
          <w:rFonts w:ascii="Cambria Math" w:hAnsi="Cambria Math" w:cs="Cambria Math"/>
        </w:rPr>
        <w:t>⟩</w:t>
      </w:r>
      <w:r w:rsidRPr="00574BD0">
        <w:t>​​ </w:t>
      </w:r>
      <w:r w:rsidRPr="00574BD0">
        <w:rPr>
          <w:rFonts w:ascii="Cambria Math" w:hAnsi="Cambria Math" w:cs="Cambria Math"/>
        </w:rPr>
        <w:t>≪</w:t>
      </w:r>
      <w:r w:rsidRPr="00574BD0">
        <w:t> 1</w:t>
      </w:r>
      <w:r w:rsidRPr="00574BD0">
        <w:rPr>
          <w:rFonts w:ascii="Cambria Math" w:hAnsi="Cambria Math" w:cs="Cambria Math"/>
        </w:rPr>
        <w:t>∀</w:t>
      </w:r>
      <w:r w:rsidRPr="00574BD0">
        <w:t xml:space="preserve">m=0​(14) </w:t>
      </w:r>
    </w:p>
    <w:p w:rsidR="00574BD0" w:rsidRPr="00574BD0" w:rsidRDefault="00574BD0" w:rsidP="00713714">
      <w:r w:rsidRPr="00574BD0">
        <w:t>Discretizing (Trotterization) an eight-step schedule from an x-field Hamiltonian to a zz-Ising form, I reconstruct density matrices ρs\rho_sρs​ at each step sss and compute (i) von Neumann entropy S(ρ)=−Tr[ρlog⁡ρ]S(\rho)=-\mathrm{Tr}[\rho\log\rho]S(ρ)=−Tr[ρlogρ] as a noise/discretization gauge and (ii) a GHZ-witness expectation; a common witness is</w:t>
      </w:r>
    </w:p>
    <w:p w:rsidR="00574BD0" w:rsidRPr="00574BD0" w:rsidRDefault="00574BD0" w:rsidP="00713714">
      <w:r w:rsidRPr="00574BD0">
        <w:t>WGHZ=34 I−</w:t>
      </w:r>
      <w:r w:rsidRPr="00574BD0">
        <w:rPr>
          <w:rFonts w:ascii="Cambria Math" w:hAnsi="Cambria Math" w:cs="Cambria Math"/>
        </w:rPr>
        <w:t>∣</w:t>
      </w:r>
      <w:r w:rsidRPr="00574BD0">
        <w:t>GHZ</w:t>
      </w:r>
      <w:r w:rsidRPr="00574BD0">
        <w:rPr>
          <w:rFonts w:ascii="Cambria Math" w:hAnsi="Cambria Math" w:cs="Cambria Math"/>
        </w:rPr>
        <w:t>⟩⟨</w:t>
      </w:r>
      <w:r w:rsidRPr="00574BD0">
        <w:t>GHZ</w:t>
      </w:r>
      <w:r w:rsidRPr="00574BD0">
        <w:rPr>
          <w:rFonts w:ascii="Cambria Math" w:hAnsi="Cambria Math" w:cs="Cambria Math"/>
        </w:rPr>
        <w:t>∣</w:t>
      </w:r>
      <w:r w:rsidRPr="00574BD0">
        <w:t>,</w:t>
      </w:r>
      <w:r w:rsidR="00496063">
        <w:t xml:space="preserve"> </w:t>
      </w:r>
      <w:r w:rsidRPr="00574BD0">
        <w:t>with</w:t>
      </w:r>
      <w:r w:rsidR="00496063">
        <w:t xml:space="preserve"> </w:t>
      </w:r>
      <w:r w:rsidRPr="00574BD0">
        <w:t>Tr(WGHZρ)&lt;0 </w:t>
      </w:r>
      <w:r w:rsidRPr="00574BD0">
        <w:rPr>
          <w:rFonts w:ascii="Cambria Math" w:hAnsi="Cambria Math" w:cs="Cambria Math"/>
        </w:rPr>
        <w:t>⇒</w:t>
      </w:r>
      <w:r w:rsidRPr="00574BD0">
        <w:t> GHZ entanglement(15)\boxed{W_{\text{GHZ}}=\tfrac{3}{4}\,I-|\text{GHZ}\rangle\langle\text{GHZ}|,\ \ \text{with}\ \ \mathrm{Tr}(W_{\text{GHZ}}\rho)&lt;0\ \Rightarrow\ \text{GHZ entanglement}}\tag{15}WGHZ​=43​I−</w:t>
      </w:r>
      <w:r w:rsidRPr="00574BD0">
        <w:rPr>
          <w:rFonts w:ascii="Cambria Math" w:hAnsi="Cambria Math" w:cs="Cambria Math"/>
        </w:rPr>
        <w:t>∣</w:t>
      </w:r>
      <w:r w:rsidRPr="00574BD0">
        <w:t>GHZ</w:t>
      </w:r>
      <w:r w:rsidRPr="00574BD0">
        <w:rPr>
          <w:rFonts w:ascii="Cambria Math" w:hAnsi="Cambria Math" w:cs="Cambria Math"/>
        </w:rPr>
        <w:t>⟩⟨</w:t>
      </w:r>
      <w:r w:rsidRPr="00574BD0">
        <w:t>GHZ</w:t>
      </w:r>
      <w:r w:rsidRPr="00574BD0">
        <w:rPr>
          <w:rFonts w:ascii="Cambria Math" w:hAnsi="Cambria Math" w:cs="Cambria Math"/>
        </w:rPr>
        <w:t>∣</w:t>
      </w:r>
      <w:r w:rsidRPr="00574BD0">
        <w:t>,</w:t>
      </w:r>
      <w:r w:rsidR="00496063">
        <w:t xml:space="preserve"> </w:t>
      </w:r>
      <w:r w:rsidRPr="00574BD0">
        <w:t>with</w:t>
      </w:r>
      <w:r w:rsidR="00496063">
        <w:t xml:space="preserve"> </w:t>
      </w:r>
      <w:r w:rsidRPr="00574BD0">
        <w:t>Tr(WGHZ​ρ)&lt;0 </w:t>
      </w:r>
      <w:r w:rsidRPr="00574BD0">
        <w:rPr>
          <w:rFonts w:ascii="Cambria Math" w:hAnsi="Cambria Math" w:cs="Cambria Math"/>
        </w:rPr>
        <w:t>⇒</w:t>
      </w:r>
      <w:r w:rsidRPr="00574BD0">
        <w:t xml:space="preserve"> GHZ entanglement​(15) </w:t>
      </w:r>
    </w:p>
    <w:p w:rsidR="00574BD0" w:rsidRPr="00574BD0" w:rsidRDefault="00574BD0" w:rsidP="00713714">
      <w:r w:rsidRPr="00574BD0">
        <w:t>On a clean Python reference, S(ρ)≈0S(\rho)\approx 0S(ρ)≈0; on real hardware/noise-modeled simulators, S(ρ)S(\rho)S(ρ) rises step-by-step, revealing discretization and device noise. Only circuit instances that keep S(ρ)S(\rho)S(ρ) and the GHZ witness within preset acceptance windows proceed to training—mirroring the capacity/curvature regularization</w:t>
      </w:r>
      <w:r w:rsidR="00356057">
        <w:t xml:space="preserve"> I </w:t>
      </w:r>
      <w:r w:rsidRPr="00574BD0">
        <w:t>enforce in molecular search.</w:t>
      </w:r>
    </w:p>
    <w:p w:rsidR="00574BD0" w:rsidRPr="00574BD0" w:rsidRDefault="00574BD0" w:rsidP="00713714">
      <w:r w:rsidRPr="00574BD0">
        <w:t>Behind those diagnostics sit concrete choices: IBM backends (e.g., Sherbrooke, Brisbane) and their “Fake” noise-model simulators capture gate error, gate duration, T₁/T₂ relaxation/dephasing, and readout error drawn from device calibrations, so that GHZ gatekeeping and model training share the same backend “physics.”</w:t>
      </w:r>
    </w:p>
    <w:p w:rsidR="00574BD0" w:rsidRPr="00574BD0" w:rsidRDefault="00574BD0" w:rsidP="00713714">
      <w:r w:rsidRPr="00574BD0">
        <w:t>When you stitch the layers together—wound transcriptomics that name the players, a compartment-aware map that shows where they meet, structural models that reveal how they touch, motifs that say which residues matter, a ΔSASA-aware score that corrects binding physics, a curvature-aware ODE that steers molecules into the right pockets, and a GHZ-calibrated quantum learner that refuses to train on noisy circuits—you get more than a pipeline. You get a disciplined conversation between data and design, where every step is legible in biological language. The outcome is a set of compact phytochemical cocktails and an ERC-biased peptidomimetic consensus designed to temper MMP-1 and elastase while modulating ERC/NEU1—an integrated, fibrocyte-centric strategy that translates the crowded city of the wound proteome into concrete, testable interventions for skin repair.</w:t>
      </w:r>
    </w:p>
    <w:p w:rsidR="00574BD0" w:rsidRPr="00574BD0" w:rsidRDefault="00106EF3" w:rsidP="00713714">
      <w:r>
        <w:pict>
          <v:rect id="_x0000_i1047" style="width:0;height:1.5pt" o:hralign="center" o:hrstd="t" o:hr="t" fillcolor="#a0a0a0" stroked="f"/>
        </w:pict>
      </w:r>
    </w:p>
    <w:p w:rsidR="00574BD0" w:rsidRPr="00574BD0" w:rsidRDefault="00574BD0" w:rsidP="00713714">
      <w:pPr>
        <w:rPr>
          <w:kern w:val="36"/>
        </w:rPr>
      </w:pPr>
      <w:r w:rsidRPr="00574BD0">
        <w:rPr>
          <w:kern w:val="36"/>
        </w:rPr>
        <w:t>Equation Notes (expanded context)</w:t>
      </w:r>
    </w:p>
    <w:p w:rsidR="00574BD0" w:rsidRPr="00574BD0" w:rsidRDefault="00574BD0" w:rsidP="00713714">
      <w:r w:rsidRPr="00574BD0">
        <w:rPr>
          <w:b/>
          <w:bCs/>
        </w:rPr>
        <w:t>Eqs. (1)–(4)</w:t>
      </w:r>
      <w:r w:rsidRPr="00574BD0">
        <w:t xml:space="preserve"> (library entropy/triage): classical information measures for categorical distributions; Eq. (4) uses the χ2\chi^2χ2 goodness-of-fit statistic against a uniform target; these guard diversity before physics-based filters.</w:t>
      </w:r>
    </w:p>
    <w:p w:rsidR="00574BD0" w:rsidRPr="00574BD0" w:rsidRDefault="00574BD0" w:rsidP="00713714">
      <w:r w:rsidRPr="00574BD0">
        <w:rPr>
          <w:b/>
          <w:bCs/>
        </w:rPr>
        <w:t>Eqs. (5)–(7)</w:t>
      </w:r>
      <w:r w:rsidRPr="00574BD0">
        <w:t xml:space="preserve"> (binding energetics): MM–PBSA aggregates MM energy, implicit solvation, and simple entropy surrogates; Eq. (6) adds an explicit SASA-scaled nonpolar term to correct end-point underweighting of hydrophobic burial; Eq. (7) defines the ranking score.</w:t>
      </w:r>
    </w:p>
    <w:p w:rsidR="00574BD0" w:rsidRPr="00574BD0" w:rsidRDefault="00574BD0" w:rsidP="00713714">
      <w:r w:rsidRPr="00574BD0">
        <w:rPr>
          <w:b/>
          <w:bCs/>
        </w:rPr>
        <w:t>Eqs. (8)–(10)</w:t>
      </w:r>
      <w:r w:rsidRPr="00574BD0">
        <w:t xml:space="preserve"> (Pharmacophoric-ODEs): represent a candidate by graph/pose/pharmacophore triplets; evolve with a neural ODE; include curvature bias for concavity; optimize a multi-objective loss combining energy, pharmacophore/motif fit, diversity, and developability.</w:t>
      </w:r>
    </w:p>
    <w:p w:rsidR="00574BD0" w:rsidRPr="00574BD0" w:rsidRDefault="00574BD0" w:rsidP="00713714">
      <w:r w:rsidRPr="00574BD0">
        <w:rPr>
          <w:b/>
          <w:bCs/>
        </w:rPr>
        <w:t>Eqs. (11)–(13)</w:t>
      </w:r>
      <w:r w:rsidRPr="00574BD0">
        <w:t xml:space="preserve"> (systems readouts): Bliss independence and combination-synergy index (CSI), mean residual heterogeneity (MRH), and graph structural entropy (GSE) summarize synergy, plasticity, and signaling noise.</w:t>
      </w:r>
    </w:p>
    <w:p w:rsidR="00574BD0" w:rsidRPr="00574BD0" w:rsidRDefault="00574BD0" w:rsidP="00713714">
      <w:r w:rsidRPr="00574BD0">
        <w:rPr>
          <w:b/>
          <w:bCs/>
        </w:rPr>
        <w:t>Eqs. (14)–(15)</w:t>
      </w:r>
      <w:r w:rsidRPr="00574BD0">
        <w:t xml:space="preserve"> (quantum calibration): adiabatic sufficiency check framed as a matrix-element-to-gap ratio; von Neumann entropy and a GHZ-witness expectation provide circuit-quality gates for hardware-efficient hybrid learning in the NISQ era.</w:t>
      </w:r>
    </w:p>
    <w:p w:rsidR="001B79F0" w:rsidRPr="001B79F0" w:rsidRDefault="001B79F0" w:rsidP="001B79F0">
      <w:pPr>
        <w:jc w:val="left"/>
        <w:outlineLvl w:val="0"/>
        <w:rPr>
          <w:b/>
          <w:bCs/>
          <w:kern w:val="36"/>
          <w:sz w:val="48"/>
          <w:szCs w:val="48"/>
        </w:rPr>
      </w:pPr>
      <w:r w:rsidRPr="001B79F0">
        <w:rPr>
          <w:b/>
          <w:bCs/>
          <w:kern w:val="36"/>
          <w:sz w:val="48"/>
          <w:szCs w:val="48"/>
        </w:rPr>
        <w:t xml:space="preserve">Motif-guided pharmacophoric ODE with quantum-calibrated safeguards </w:t>
      </w:r>
    </w:p>
    <w:p w:rsidR="001B79F0" w:rsidRPr="001B79F0" w:rsidRDefault="001B79F0" w:rsidP="001B79F0">
      <w:pPr>
        <w:jc w:val="left"/>
        <w:outlineLvl w:val="9"/>
      </w:pPr>
      <w:r w:rsidRPr="001B79F0">
        <w:t xml:space="preserve">We treat </w:t>
      </w:r>
      <w:r w:rsidRPr="001B79F0">
        <w:rPr>
          <w:b/>
          <w:bCs/>
        </w:rPr>
        <w:t>gapped-motif discovery</w:t>
      </w:r>
      <w:r w:rsidRPr="001B79F0">
        <w:t xml:space="preserve"> as a first-class steering signal for pose/graph evolution, in the same spirit that a </w:t>
      </w:r>
      <w:r w:rsidRPr="001B79F0">
        <w:rPr>
          <w:b/>
          <w:bCs/>
        </w:rPr>
        <w:t>digitized adiabatic schedule</w:t>
      </w:r>
      <w:r w:rsidRPr="001B79F0">
        <w:t xml:space="preserve"> guides a quantum state from a simple initializer to a structured target. Practically,</w:t>
      </w:r>
      <w:r w:rsidR="00356057">
        <w:t xml:space="preserve"> I </w:t>
      </w:r>
      <w:r w:rsidRPr="001B79F0">
        <w:t xml:space="preserve">run gapped-motif scans upstream (EMBL-EBI tools and allied resources [76]) and pass the results as boundary conditions to the </w:t>
      </w:r>
      <w:r w:rsidRPr="001B79F0">
        <w:rPr>
          <w:b/>
          <w:bCs/>
        </w:rPr>
        <w:t>geometry-aware pharmacophoric ODE</w:t>
      </w:r>
      <w:r w:rsidRPr="001B79F0">
        <w:t>, whose state combines an editable molecular graph, a 3D pose, and soft pharmacophore labels,</w:t>
      </w:r>
    </w:p>
    <w:p w:rsidR="001B79F0" w:rsidRPr="001B79F0" w:rsidRDefault="001B79F0" w:rsidP="001B79F0">
      <w:pPr>
        <w:spacing w:before="0" w:beforeAutospacing="0" w:after="0" w:afterAutospacing="0"/>
        <w:jc w:val="left"/>
        <w:outlineLvl w:val="9"/>
      </w:pPr>
      <w:r w:rsidRPr="001B79F0">
        <w:t>xt=(Gt,Pt,</w:t>
      </w:r>
      <w:r w:rsidRPr="001B79F0">
        <w:rPr>
          <w:lang w:val="el-GR"/>
        </w:rPr>
        <w:t>Π</w:t>
      </w:r>
      <w:r w:rsidRPr="001B79F0">
        <w:t>t)(8)x_t=(G_t,P_t,\Pi_t) \tag{8}xt​=(Gt​,Pt​,</w:t>
      </w:r>
      <w:r w:rsidRPr="001B79F0">
        <w:rPr>
          <w:lang w:val="el-GR"/>
        </w:rPr>
        <w:t>Π</w:t>
      </w:r>
      <w:r w:rsidRPr="001B79F0">
        <w:t xml:space="preserve">t​)(8) </w:t>
      </w:r>
    </w:p>
    <w:p w:rsidR="001B79F0" w:rsidRPr="001B79F0" w:rsidRDefault="001B79F0" w:rsidP="001B79F0">
      <w:pPr>
        <w:jc w:val="left"/>
        <w:outlineLvl w:val="9"/>
      </w:pPr>
      <w:r w:rsidRPr="001B79F0">
        <w:t>that evolve under a neural ODE</w:t>
      </w:r>
    </w:p>
    <w:p w:rsidR="001B79F0" w:rsidRPr="001B79F0" w:rsidRDefault="001B79F0" w:rsidP="001B79F0">
      <w:pPr>
        <w:spacing w:before="0" w:beforeAutospacing="0" w:after="0" w:afterAutospacing="0"/>
        <w:jc w:val="left"/>
        <w:outlineLvl w:val="9"/>
      </w:pPr>
      <w:r w:rsidRPr="001B79F0">
        <w:t>x˙t=f</w:t>
      </w:r>
      <w:r w:rsidRPr="001B79F0">
        <w:rPr>
          <w:lang w:val="el-GR"/>
        </w:rPr>
        <w:t>θ</w:t>
      </w:r>
      <w:r w:rsidRPr="001B79F0">
        <w:t>(xt,t),(9)\dot x_t=f_\theta(x_t,t), \tag{9}x˙t​=f</w:t>
      </w:r>
      <w:r w:rsidRPr="001B79F0">
        <w:rPr>
          <w:lang w:val="el-GR"/>
        </w:rPr>
        <w:t>θ</w:t>
      </w:r>
      <w:r w:rsidRPr="001B79F0">
        <w:t xml:space="preserve">​(xt​,t),(9) </w:t>
      </w:r>
    </w:p>
    <w:p w:rsidR="001B79F0" w:rsidRPr="001B79F0" w:rsidRDefault="001B79F0" w:rsidP="001B79F0">
      <w:pPr>
        <w:jc w:val="left"/>
        <w:outlineLvl w:val="9"/>
      </w:pPr>
      <w:r w:rsidRPr="001B79F0">
        <w:t>with per-step projections back to chemically valid states (valence, ring templates, charge conservation). Target pocket shape enters through principal curvatures (</w:t>
      </w:r>
      <w:r w:rsidRPr="001B79F0">
        <w:rPr>
          <w:lang w:val="el-GR"/>
        </w:rPr>
        <w:t>κ</w:t>
      </w:r>
      <w:r w:rsidRPr="001B79F0">
        <w:t>1,</w:t>
      </w:r>
      <w:r w:rsidRPr="001B79F0">
        <w:rPr>
          <w:lang w:val="el-GR"/>
        </w:rPr>
        <w:t>κ</w:t>
      </w:r>
      <w:r w:rsidRPr="001B79F0">
        <w:t>2)(\kappa_1,\kappa_2)(</w:t>
      </w:r>
      <w:r w:rsidRPr="001B79F0">
        <w:rPr>
          <w:lang w:val="el-GR"/>
        </w:rPr>
        <w:t>κ</w:t>
      </w:r>
      <w:r w:rsidRPr="001B79F0">
        <w:t>1​,</w:t>
      </w:r>
      <w:r w:rsidRPr="001B79F0">
        <w:rPr>
          <w:lang w:val="el-GR"/>
        </w:rPr>
        <w:t>κ</w:t>
      </w:r>
      <w:r w:rsidRPr="001B79F0">
        <w:t xml:space="preserve">2​). The </w:t>
      </w:r>
      <w:r w:rsidRPr="001B79F0">
        <w:rPr>
          <w:b/>
          <w:bCs/>
        </w:rPr>
        <w:t>mean</w:t>
      </w:r>
      <w:r w:rsidRPr="001B79F0">
        <w:t xml:space="preserve"> H=12(</w:t>
      </w:r>
      <w:r w:rsidRPr="001B79F0">
        <w:rPr>
          <w:lang w:val="el-GR"/>
        </w:rPr>
        <w:t>κ</w:t>
      </w:r>
      <w:r w:rsidRPr="001B79F0">
        <w:t>1+</w:t>
      </w:r>
      <w:r w:rsidRPr="001B79F0">
        <w:rPr>
          <w:lang w:val="el-GR"/>
        </w:rPr>
        <w:t>κ</w:t>
      </w:r>
      <w:r w:rsidRPr="001B79F0">
        <w:t>2)H=\tfrac12(\kappa_1+\kappa_2)H=21​(</w:t>
      </w:r>
      <w:r w:rsidRPr="001B79F0">
        <w:rPr>
          <w:lang w:val="el-GR"/>
        </w:rPr>
        <w:t>κ</w:t>
      </w:r>
      <w:r w:rsidRPr="001B79F0">
        <w:t>1​+</w:t>
      </w:r>
      <w:r w:rsidRPr="001B79F0">
        <w:rPr>
          <w:lang w:val="el-GR"/>
        </w:rPr>
        <w:t>κ</w:t>
      </w:r>
      <w:r w:rsidRPr="001B79F0">
        <w:t xml:space="preserve">2​) and </w:t>
      </w:r>
      <w:r w:rsidRPr="001B79F0">
        <w:rPr>
          <w:b/>
          <w:bCs/>
        </w:rPr>
        <w:t>Gaussian</w:t>
      </w:r>
      <w:r w:rsidRPr="001B79F0">
        <w:t xml:space="preserve"> K=</w:t>
      </w:r>
      <w:r w:rsidRPr="001B79F0">
        <w:rPr>
          <w:lang w:val="el-GR"/>
        </w:rPr>
        <w:t>κ</w:t>
      </w:r>
      <w:r w:rsidRPr="001B79F0">
        <w:t>1</w:t>
      </w:r>
      <w:r w:rsidRPr="001B79F0">
        <w:rPr>
          <w:lang w:val="el-GR"/>
        </w:rPr>
        <w:t>κ</w:t>
      </w:r>
      <w:r w:rsidRPr="001B79F0">
        <w:t>2K=\kappa_1\kappa_2K=</w:t>
      </w:r>
      <w:r w:rsidRPr="001B79F0">
        <w:rPr>
          <w:lang w:val="el-GR"/>
        </w:rPr>
        <w:t>κ</w:t>
      </w:r>
      <w:r w:rsidRPr="001B79F0">
        <w:t>1​</w:t>
      </w:r>
      <w:r w:rsidRPr="001B79F0">
        <w:rPr>
          <w:lang w:val="el-GR"/>
        </w:rPr>
        <w:t>κ</w:t>
      </w:r>
      <w:r w:rsidRPr="001B79F0">
        <w:t>2​ curvatures bias the flow toward concave, hydrated subsites where packing and H-bond geometry co-optimize (and where collagenolytic proteases typically bind and catalyze) [12, 31–34].</w:t>
      </w:r>
    </w:p>
    <w:p w:rsidR="001B79F0" w:rsidRPr="001B79F0" w:rsidRDefault="001B79F0" w:rsidP="001B79F0">
      <w:pPr>
        <w:jc w:val="left"/>
        <w:outlineLvl w:val="9"/>
      </w:pPr>
      <w:r w:rsidRPr="001B79F0">
        <w:t xml:space="preserve">Motifs are not injected as brittle rules. Instead, their influence </w:t>
      </w:r>
      <w:r w:rsidRPr="001B79F0">
        <w:rPr>
          <w:b/>
          <w:bCs/>
        </w:rPr>
        <w:t>ramps adiabatically</w:t>
      </w:r>
      <w:r w:rsidRPr="001B79F0">
        <w:t xml:space="preserve"> along the integration path and is combined with physics, diversity, and developability in a composite loss</w:t>
      </w:r>
    </w:p>
    <w:p w:rsidR="001B79F0" w:rsidRPr="001B79F0" w:rsidRDefault="001B79F0" w:rsidP="001B79F0">
      <w:pPr>
        <w:spacing w:before="0" w:beforeAutospacing="0" w:after="0" w:afterAutospacing="0"/>
        <w:jc w:val="left"/>
        <w:outlineLvl w:val="9"/>
      </w:pPr>
      <w:r w:rsidRPr="001B79F0">
        <w:t>L=</w:t>
      </w:r>
      <w:r w:rsidRPr="001B79F0">
        <w:rPr>
          <w:lang w:val="el-GR"/>
        </w:rPr>
        <w:t>λ</w:t>
      </w:r>
      <w:r w:rsidRPr="001B79F0">
        <w:t>phys</w:t>
      </w:r>
      <w:r w:rsidRPr="001B79F0">
        <w:rPr>
          <w:lang w:val="el-GR"/>
        </w:rPr>
        <w:t>Δ</w:t>
      </w:r>
      <w:r w:rsidRPr="001B79F0">
        <w:t>G^MM/GBSA+</w:t>
      </w:r>
      <w:r w:rsidRPr="001B79F0">
        <w:rPr>
          <w:lang w:val="el-GR"/>
        </w:rPr>
        <w:t>λ</w:t>
      </w:r>
      <w:r w:rsidRPr="001B79F0">
        <w:t>ph4ℓph4+</w:t>
      </w:r>
      <w:r w:rsidRPr="001B79F0">
        <w:rPr>
          <w:lang w:val="el-GR"/>
        </w:rPr>
        <w:t>λ</w:t>
      </w:r>
      <w:r w:rsidRPr="001B79F0">
        <w:t>infoS</w:t>
      </w:r>
      <w:r w:rsidRPr="001B79F0">
        <w:rPr>
          <w:lang w:val="el-GR"/>
        </w:rPr>
        <w:t>α</w:t>
      </w:r>
      <w:r w:rsidRPr="001B79F0">
        <w:t>+</w:t>
      </w:r>
      <w:r w:rsidRPr="001B79F0">
        <w:rPr>
          <w:lang w:val="el-GR"/>
        </w:rPr>
        <w:t>λ</w:t>
      </w:r>
      <w:r w:rsidRPr="001B79F0">
        <w:t>chemℓADMET/SA,(10)\mathcal L=\lambda_{\mathrm{phys}}\widehat{\Delta G}_{\mathrm{MM/GBSA}}+ \lambda_{\mathrm{ph4}}\ell_{\mathrm{ph4}}+ \lambda_{\mathrm{info}}S_\alpha+ \lambda_{\mathrm{chem}}\ell_{\mathrm{ADMET/SA}}, \tag{10}L=</w:t>
      </w:r>
      <w:r w:rsidRPr="001B79F0">
        <w:rPr>
          <w:lang w:val="el-GR"/>
        </w:rPr>
        <w:t>λ</w:t>
      </w:r>
      <w:r w:rsidRPr="001B79F0">
        <w:t>phys​</w:t>
      </w:r>
      <w:r w:rsidRPr="001B79F0">
        <w:rPr>
          <w:lang w:val="el-GR"/>
        </w:rPr>
        <w:t>Δ</w:t>
      </w:r>
      <w:r w:rsidRPr="001B79F0">
        <w:t>GMM/GBSA​+</w:t>
      </w:r>
      <w:r w:rsidRPr="001B79F0">
        <w:rPr>
          <w:lang w:val="el-GR"/>
        </w:rPr>
        <w:t>λ</w:t>
      </w:r>
      <w:r w:rsidRPr="001B79F0">
        <w:t>ph4​ℓph4​+</w:t>
      </w:r>
      <w:r w:rsidRPr="001B79F0">
        <w:rPr>
          <w:lang w:val="el-GR"/>
        </w:rPr>
        <w:t>λ</w:t>
      </w:r>
      <w:r w:rsidRPr="001B79F0">
        <w:t>info​S</w:t>
      </w:r>
      <w:r w:rsidRPr="001B79F0">
        <w:rPr>
          <w:lang w:val="el-GR"/>
        </w:rPr>
        <w:t>α</w:t>
      </w:r>
      <w:r w:rsidRPr="001B79F0">
        <w:t>​+</w:t>
      </w:r>
      <w:r w:rsidRPr="001B79F0">
        <w:rPr>
          <w:lang w:val="el-GR"/>
        </w:rPr>
        <w:t>λ</w:t>
      </w:r>
      <w:r w:rsidRPr="001B79F0">
        <w:t xml:space="preserve">chem​ℓADMET/SA​,(10) </w:t>
      </w:r>
    </w:p>
    <w:p w:rsidR="001B79F0" w:rsidRPr="001B79F0" w:rsidRDefault="001B79F0" w:rsidP="001B79F0">
      <w:pPr>
        <w:jc w:val="left"/>
        <w:outlineLvl w:val="9"/>
      </w:pPr>
      <w:r w:rsidRPr="001B79F0">
        <w:t xml:space="preserve">where the energetic term uses an MM-PB(GB)SA-like estimator plus an </w:t>
      </w:r>
      <w:r w:rsidRPr="001B79F0">
        <w:rPr>
          <w:b/>
          <w:bCs/>
        </w:rPr>
        <w:t>explicit non-polar burial correction</w:t>
      </w:r>
      <w:r w:rsidRPr="001B79F0">
        <w:t>,</w:t>
      </w:r>
    </w:p>
    <w:p w:rsidR="001B79F0" w:rsidRPr="001B79F0" w:rsidRDefault="001B79F0" w:rsidP="001B79F0">
      <w:pPr>
        <w:spacing w:before="0" w:beforeAutospacing="0" w:after="0" w:afterAutospacing="0"/>
        <w:jc w:val="left"/>
        <w:outlineLvl w:val="9"/>
      </w:pPr>
      <w:r w:rsidRPr="001B79F0">
        <w:rPr>
          <w:lang w:val="el-GR"/>
        </w:rPr>
        <w:t>Δ</w:t>
      </w:r>
      <w:r w:rsidRPr="001B79F0">
        <w:t>Gnp=</w:t>
      </w:r>
      <w:r w:rsidRPr="001B79F0">
        <w:rPr>
          <w:lang w:val="el-GR"/>
        </w:rPr>
        <w:t>γ</w:t>
      </w:r>
      <w:r w:rsidRPr="001B79F0">
        <w:t> </w:t>
      </w:r>
      <w:r w:rsidRPr="001B79F0">
        <w:rPr>
          <w:lang w:val="el-GR"/>
        </w:rPr>
        <w:t>Δ</w:t>
      </w:r>
      <w:r w:rsidRPr="001B79F0">
        <w:t>SASA,</w:t>
      </w:r>
      <w:r w:rsidRPr="001B79F0">
        <w:rPr>
          <w:lang w:val="el-GR"/>
        </w:rPr>
        <w:t>Δ</w:t>
      </w:r>
      <w:r w:rsidRPr="001B79F0">
        <w:t>SASA=SASAC−SASAR−SASAL,</w:t>
      </w:r>
      <w:r w:rsidRPr="001B79F0">
        <w:rPr>
          <w:lang w:val="el-GR"/>
        </w:rPr>
        <w:t>γ</w:t>
      </w:r>
      <w:r w:rsidRPr="001B79F0">
        <w:t>≈0.005 kcal mol−1 A˚−2,(6)\Delta G_{\mathrm{np}}=\gamma\,\Delta\mathrm{SASA},\quad \Delta\mathrm{SASA}=\mathrm{SASA}_C-\mathrm{SASA}_R-\mathrm{SASA}_L,\quad \gamma\approx 0.005\ \mathrm{kcal\ mol^{-1}\ \AA^{-2}}, \tag{6}</w:t>
      </w:r>
      <w:r w:rsidRPr="001B79F0">
        <w:rPr>
          <w:lang w:val="el-GR"/>
        </w:rPr>
        <w:t>Δ</w:t>
      </w:r>
      <w:r w:rsidRPr="001B79F0">
        <w:t>Gnp​=</w:t>
      </w:r>
      <w:r w:rsidRPr="001B79F0">
        <w:rPr>
          <w:lang w:val="el-GR"/>
        </w:rPr>
        <w:t>γΔ</w:t>
      </w:r>
      <w:r w:rsidRPr="001B79F0">
        <w:t>SASA,</w:t>
      </w:r>
      <w:r w:rsidRPr="001B79F0">
        <w:rPr>
          <w:lang w:val="el-GR"/>
        </w:rPr>
        <w:t>Δ</w:t>
      </w:r>
      <w:r w:rsidRPr="001B79F0">
        <w:t>SASA=SASAC​−SASAR​−SASAL​,</w:t>
      </w:r>
      <w:r w:rsidRPr="001B79F0">
        <w:rPr>
          <w:lang w:val="el-GR"/>
        </w:rPr>
        <w:t>γ</w:t>
      </w:r>
      <w:r w:rsidRPr="001B79F0">
        <w:t xml:space="preserve">≈0.005 kcal mol−1 A˚−2,(6) </w:t>
      </w:r>
    </w:p>
    <w:p w:rsidR="001B79F0" w:rsidRPr="001B79F0" w:rsidRDefault="001B79F0" w:rsidP="001B79F0">
      <w:pPr>
        <w:jc w:val="left"/>
        <w:outlineLvl w:val="9"/>
      </w:pPr>
      <w:r w:rsidRPr="001B79F0">
        <w:t>so that the rank score is</w:t>
      </w:r>
    </w:p>
    <w:p w:rsidR="001B79F0" w:rsidRPr="001B79F0" w:rsidRDefault="001B79F0" w:rsidP="001B79F0">
      <w:pPr>
        <w:spacing w:before="0" w:beforeAutospacing="0" w:after="0" w:afterAutospacing="0"/>
        <w:jc w:val="left"/>
        <w:outlineLvl w:val="9"/>
      </w:pPr>
      <w:r w:rsidRPr="001B79F0">
        <w:rPr>
          <w:lang w:val="el-GR"/>
        </w:rPr>
        <w:t>Δ</w:t>
      </w:r>
      <w:r w:rsidRPr="001B79F0">
        <w:t>Gtot=</w:t>
      </w:r>
      <w:r w:rsidRPr="001B79F0">
        <w:rPr>
          <w:lang w:val="el-GR"/>
        </w:rPr>
        <w:t>Δ</w:t>
      </w:r>
      <w:r w:rsidRPr="001B79F0">
        <w:t>GMM–PBSA+</w:t>
      </w:r>
      <w:r w:rsidRPr="001B79F0">
        <w:rPr>
          <w:lang w:val="el-GR"/>
        </w:rPr>
        <w:t>Δ</w:t>
      </w:r>
      <w:r w:rsidRPr="001B79F0">
        <w:t>Gnp.(7)\Delta G_{\mathrm{tot}}=\Delta G_{\mathrm{MM–PBSA}}+\Delta G_{\mathrm{np}}. \tag{7}</w:t>
      </w:r>
      <w:r w:rsidRPr="001B79F0">
        <w:rPr>
          <w:lang w:val="el-GR"/>
        </w:rPr>
        <w:t>Δ</w:t>
      </w:r>
      <w:r w:rsidRPr="001B79F0">
        <w:t>Gtot​=</w:t>
      </w:r>
      <w:r w:rsidRPr="001B79F0">
        <w:rPr>
          <w:lang w:val="el-GR"/>
        </w:rPr>
        <w:t>Δ</w:t>
      </w:r>
      <w:r w:rsidRPr="001B79F0">
        <w:t>GMM–PBSA​+</w:t>
      </w:r>
      <w:r w:rsidRPr="001B79F0">
        <w:rPr>
          <w:lang w:val="el-GR"/>
        </w:rPr>
        <w:t>Δ</w:t>
      </w:r>
      <w:r w:rsidRPr="001B79F0">
        <w:t xml:space="preserve">Gnp​.(7) </w:t>
      </w:r>
    </w:p>
    <w:p w:rsidR="00130CA1" w:rsidRDefault="001B79F0" w:rsidP="001B79F0">
      <w:pPr>
        <w:jc w:val="left"/>
        <w:outlineLvl w:val="9"/>
      </w:pPr>
      <w:r w:rsidRPr="001B79F0">
        <w:t xml:space="preserve">This explicitly rewards compact ligands that </w:t>
      </w:r>
      <w:r w:rsidRPr="001B79F0">
        <w:rPr>
          <w:b/>
          <w:bCs/>
        </w:rPr>
        <w:t>bury</w:t>
      </w:r>
      <w:r w:rsidRPr="001B79F0">
        <w:t xml:space="preserve"> non-polar surface in concave pockets—an effect underweighted by standard end-point methods—and better matches the </w:t>
      </w:r>
      <w:r w:rsidRPr="001B79F0">
        <w:rPr>
          <w:b/>
          <w:bCs/>
        </w:rPr>
        <w:t>local packing</w:t>
      </w:r>
      <w:r w:rsidRPr="001B79F0">
        <w:t xml:space="preserve"> logic of collagen/elastin biophysics and the subsite architecture of MMPs and serine proteases [67, 70–71].</w:t>
      </w:r>
    </w:p>
    <w:p w:rsidR="001B79F0" w:rsidRPr="001B79F0" w:rsidRDefault="001B79F0" w:rsidP="001B79F0">
      <w:pPr>
        <w:jc w:val="left"/>
        <w:outlineLvl w:val="9"/>
      </w:pPr>
      <w:r w:rsidRPr="001B79F0">
        <w:br/>
        <w:t xml:space="preserve">The </w:t>
      </w:r>
      <w:r w:rsidRPr="001B79F0">
        <w:rPr>
          <w:b/>
          <w:bCs/>
        </w:rPr>
        <w:t>PWM heatmap</w:t>
      </w:r>
      <w:r w:rsidRPr="001B79F0">
        <w:t xml:space="preserve"> visualizes a high-confidence ERC/NEU1-biased consensus (gapped and tolerant), which</w:t>
      </w:r>
      <w:r w:rsidR="00356057">
        <w:t xml:space="preserve"> I </w:t>
      </w:r>
      <w:r w:rsidRPr="001B79F0">
        <w:t xml:space="preserve">translate into </w:t>
      </w:r>
      <w:r w:rsidRPr="001B79F0">
        <w:rPr>
          <w:b/>
          <w:bCs/>
        </w:rPr>
        <w:t>soft pharmacophore labels</w:t>
      </w:r>
      <w:r w:rsidRPr="001B79F0">
        <w:t xml:space="preserve"> </w:t>
      </w:r>
      <w:r w:rsidRPr="001B79F0">
        <w:rPr>
          <w:lang w:val="el-GR"/>
        </w:rPr>
        <w:t>Π</w:t>
      </w:r>
      <w:r w:rsidRPr="001B79F0">
        <w:t>t\Pi_t</w:t>
      </w:r>
      <w:r w:rsidRPr="001B79F0">
        <w:rPr>
          <w:lang w:val="el-GR"/>
        </w:rPr>
        <w:t>Π</w:t>
      </w:r>
      <w:r w:rsidRPr="001B79F0">
        <w:t xml:space="preserve">t​ at t=0t=0t=0 and into motif-weighted terms in ℓph4\ell_{\mathrm{ph4}}ℓph4​ [1, 5–10]. The </w:t>
      </w:r>
      <w:r w:rsidRPr="001B79F0">
        <w:rPr>
          <w:b/>
          <w:bCs/>
        </w:rPr>
        <w:t>annealing schedule</w:t>
      </w:r>
      <w:r w:rsidRPr="001B79F0">
        <w:t xml:space="preserve"> shows how motif and curvature weights rise smoothly across integration steps, mirroring a quantum adiabatic handover [118, 132]. The </w:t>
      </w:r>
      <w:r w:rsidRPr="001B79F0">
        <w:rPr>
          <w:b/>
          <w:bCs/>
        </w:rPr>
        <w:t>curvature map with ODE trajectory</w:t>
      </w:r>
      <w:r w:rsidRPr="001B79F0">
        <w:t xml:space="preserve"> demonstrates how the state flows down a concavity field toward pocket regions that are both geometrically compatible and hydration-favored. At the </w:t>
      </w:r>
      <w:r w:rsidRPr="001B79F0">
        <w:rPr>
          <w:b/>
          <w:bCs/>
        </w:rPr>
        <w:t>systems level</w:t>
      </w:r>
      <w:r w:rsidRPr="001B79F0">
        <w:t xml:space="preserve">, the Bliss EpredE_{\text{pred}}Epred​ surface and the </w:t>
      </w:r>
      <w:r w:rsidRPr="001B79F0">
        <w:rPr>
          <w:b/>
          <w:bCs/>
        </w:rPr>
        <w:t>CSI</w:t>
      </w:r>
      <w:r w:rsidRPr="001B79F0">
        <w:t xml:space="preserve"> heatmap illustrate how</w:t>
      </w:r>
      <w:r w:rsidR="00356057">
        <w:t xml:space="preserve"> I </w:t>
      </w:r>
      <w:r w:rsidRPr="001B79F0">
        <w:t xml:space="preserve">score supra-additivity (CSI &gt;1&gt;1&gt;1) for combinations that jointly temper extracellular proteolysis while preserving re-epithelialization [115–117]. The </w:t>
      </w:r>
      <w:r w:rsidRPr="001B79F0">
        <w:rPr>
          <w:b/>
          <w:bCs/>
          <w:lang w:val="el-GR"/>
        </w:rPr>
        <w:t>Δ</w:t>
      </w:r>
      <w:r w:rsidRPr="001B79F0">
        <w:rPr>
          <w:b/>
          <w:bCs/>
        </w:rPr>
        <w:t>\Delta</w:t>
      </w:r>
      <w:r w:rsidRPr="001B79F0">
        <w:rPr>
          <w:b/>
          <w:bCs/>
          <w:lang w:val="el-GR"/>
        </w:rPr>
        <w:t>Δ</w:t>
      </w:r>
      <w:r w:rsidRPr="001B79F0">
        <w:rPr>
          <w:b/>
          <w:bCs/>
        </w:rPr>
        <w:t xml:space="preserve">SASA vs </w:t>
      </w:r>
      <w:r w:rsidRPr="001B79F0">
        <w:rPr>
          <w:b/>
          <w:bCs/>
          <w:lang w:val="el-GR"/>
        </w:rPr>
        <w:t>Δ</w:t>
      </w:r>
      <w:r w:rsidRPr="001B79F0">
        <w:rPr>
          <w:b/>
          <w:bCs/>
        </w:rPr>
        <w:t>GMM–PBSA\Delta G_{\mathrm{MM–PBSA}}</w:t>
      </w:r>
      <w:r w:rsidRPr="001B79F0">
        <w:rPr>
          <w:b/>
          <w:bCs/>
          <w:lang w:val="el-GR"/>
        </w:rPr>
        <w:t>Δ</w:t>
      </w:r>
      <w:r w:rsidRPr="001B79F0">
        <w:rPr>
          <w:b/>
          <w:bCs/>
        </w:rPr>
        <w:t>GMM–PBSA​</w:t>
      </w:r>
      <w:r w:rsidRPr="001B79F0">
        <w:t xml:space="preserve"> scatter makes clear why an explicit burial term sharpens ranking by highlighting well-packed poses. Finally, the </w:t>
      </w:r>
      <w:r w:rsidRPr="001B79F0">
        <w:rPr>
          <w:b/>
          <w:bCs/>
        </w:rPr>
        <w:t>optimization traces</w:t>
      </w:r>
      <w:r w:rsidRPr="001B79F0">
        <w:t xml:space="preserve"> show the composite objective decreasing as energy improves, pharmacophore mismatches drop, and ADMET/SA penalties shrink while Rényi-entropy regularization prevents mode-collapse in the design space [12, 25, 29, 31].</w:t>
      </w:r>
    </w:p>
    <w:p w:rsidR="001B79F0" w:rsidRPr="001B79F0" w:rsidRDefault="001B79F0" w:rsidP="001B79F0">
      <w:pPr>
        <w:jc w:val="left"/>
        <w:outlineLvl w:val="9"/>
      </w:pPr>
      <w:r w:rsidRPr="001B79F0">
        <w:t xml:space="preserve">Because the final selector includes a </w:t>
      </w:r>
      <w:r w:rsidRPr="001B79F0">
        <w:rPr>
          <w:b/>
          <w:bCs/>
        </w:rPr>
        <w:t>hybrid quantum learner</w:t>
      </w:r>
      <w:r w:rsidRPr="001B79F0">
        <w:t xml:space="preserve"> (QAOA </w:t>
      </w:r>
      <w:r w:rsidRPr="001B79F0">
        <w:rPr>
          <w:rFonts w:ascii="Cambria Math" w:hAnsi="Cambria Math" w:cs="Cambria Math"/>
        </w:rPr>
        <w:t>⊗</w:t>
      </w:r>
      <w:r w:rsidRPr="001B79F0">
        <w:t xml:space="preserve"> parameterized circuits),</w:t>
      </w:r>
      <w:r w:rsidR="00356057">
        <w:t xml:space="preserve"> I </w:t>
      </w:r>
      <w:r w:rsidRPr="001B79F0">
        <w:t xml:space="preserve">gate all circuits with a </w:t>
      </w:r>
      <w:r w:rsidRPr="001B79F0">
        <w:rPr>
          <w:b/>
          <w:bCs/>
        </w:rPr>
        <w:t>GHZ calibration</w:t>
      </w:r>
      <w:r w:rsidRPr="001B79F0">
        <w:t>:</w:t>
      </w:r>
      <w:r w:rsidR="00356057">
        <w:t xml:space="preserve"> I </w:t>
      </w:r>
      <w:r w:rsidRPr="001B79F0">
        <w:t xml:space="preserve">digitize an adiabatic path from an xxx-field Hamiltonian to a zzzzzz-Ising form, reconstruct density matrices at each Trotter step, and monitor </w:t>
      </w:r>
      <w:r w:rsidRPr="001B79F0">
        <w:rPr>
          <w:b/>
          <w:bCs/>
        </w:rPr>
        <w:t>von Neumann entropy</w:t>
      </w:r>
      <w:r w:rsidRPr="001B79F0">
        <w:t xml:space="preserve"> and a </w:t>
      </w:r>
      <w:r w:rsidRPr="001B79F0">
        <w:rPr>
          <w:b/>
          <w:bCs/>
        </w:rPr>
        <w:t>GHZ entanglement witness</w:t>
      </w:r>
      <w:r w:rsidRPr="001B79F0">
        <w:t xml:space="preserve">. Ideal traces remain low (entropy) and negative (witness), whereas noisy traces drift upward/toward zero; only backend instances that meet preset windows proceed to training. This connects </w:t>
      </w:r>
      <w:r w:rsidRPr="001B79F0">
        <w:rPr>
          <w:b/>
          <w:bCs/>
        </w:rPr>
        <w:t>device fidelity</w:t>
      </w:r>
      <w:r w:rsidRPr="001B79F0">
        <w:t xml:space="preserve"> to downstream reliability in the NISQ regime [118–121, 124, 132–137, 140–141, </w:t>
      </w:r>
      <w:r w:rsidR="00E11ABF">
        <w:t>150-</w:t>
      </w:r>
      <w:r w:rsidRPr="001B79F0">
        <w:t xml:space="preserve">200]. The accompanying </w:t>
      </w:r>
      <w:r w:rsidRPr="001B79F0">
        <w:rPr>
          <w:b/>
          <w:bCs/>
        </w:rPr>
        <w:t>circuit schematic</w:t>
      </w:r>
      <w:r w:rsidRPr="001B79F0">
        <w:t xml:space="preserve"> summarizes the schedule and GHZ preparation (H on q0q_0q0​ followed by chained CNOTs).</w:t>
      </w:r>
    </w:p>
    <w:p w:rsidR="001B79F0" w:rsidRPr="001B79F0" w:rsidRDefault="001B79F0" w:rsidP="001B79F0">
      <w:pPr>
        <w:jc w:val="left"/>
        <w:outlineLvl w:val="9"/>
      </w:pPr>
      <w:r w:rsidRPr="001B79F0">
        <w:rPr>
          <w:b/>
          <w:bCs/>
        </w:rPr>
        <w:t>Pipeline discipline.</w:t>
      </w:r>
      <w:r w:rsidRPr="001B79F0">
        <w:t xml:space="preserve"> Before physics,</w:t>
      </w:r>
      <w:r w:rsidR="00356057">
        <w:t xml:space="preserve"> I </w:t>
      </w:r>
      <w:r w:rsidRPr="001B79F0">
        <w:t xml:space="preserve">keep the search honest with </w:t>
      </w:r>
      <w:r w:rsidRPr="001B79F0">
        <w:rPr>
          <w:b/>
          <w:bCs/>
        </w:rPr>
        <w:t>information theory</w:t>
      </w:r>
      <w:r w:rsidRPr="001B79F0">
        <w:t>: candidates are hashed into chemotype bins,</w:t>
      </w:r>
      <w:r w:rsidR="00356057">
        <w:t xml:space="preserve"> I </w:t>
      </w:r>
      <w:r w:rsidRPr="001B79F0">
        <w:t xml:space="preserve">maximize library Shannon entropy and add a modest Rényi-entropy bias to down-weight over-represented families; a </w:t>
      </w:r>
      <w:r w:rsidRPr="001B79F0">
        <w:rPr>
          <w:lang w:val="el-GR"/>
        </w:rPr>
        <w:t>χ</w:t>
      </w:r>
      <w:r w:rsidRPr="001B79F0">
        <w:t>2\chi^2</w:t>
      </w:r>
      <w:r w:rsidRPr="001B79F0">
        <w:rPr>
          <w:lang w:val="el-GR"/>
        </w:rPr>
        <w:t>χ</w:t>
      </w:r>
      <w:r w:rsidRPr="001B79F0">
        <w:t>2 audit guards against sampling artifacts.</w:t>
      </w:r>
      <w:r w:rsidR="00356057">
        <w:t xml:space="preserve"> I </w:t>
      </w:r>
      <w:r w:rsidRPr="001B79F0">
        <w:t xml:space="preserve">then pool docking protocols (Vina, AutoDock4) against PDB targets with </w:t>
      </w:r>
      <w:r w:rsidRPr="001B79F0">
        <w:rPr>
          <w:b/>
          <w:bCs/>
        </w:rPr>
        <w:t>consensus scoring</w:t>
      </w:r>
      <w:r w:rsidRPr="001B79F0">
        <w:t xml:space="preserve">, relax top poses briefly by MD, and compute MM-PB(GB)SA energies using g_mmpbsa/APBS, now augmented with </w:t>
      </w:r>
      <w:r w:rsidRPr="001B79F0">
        <w:rPr>
          <w:lang w:val="el-GR"/>
        </w:rPr>
        <w:t>Δ</w:t>
      </w:r>
      <w:r w:rsidRPr="001B79F0">
        <w:t>\Delta</w:t>
      </w:r>
      <w:r w:rsidRPr="001B79F0">
        <w:rPr>
          <w:lang w:val="el-GR"/>
        </w:rPr>
        <w:t>Δ</w:t>
      </w:r>
      <w:r w:rsidRPr="001B79F0">
        <w:t xml:space="preserve">SASA (Eqs. 5–7) [11–12, 14–15, 70–71]. ADMET expectations are screened with Lipinski/SwissADME [25, 29]. Pose/graph evolution proceeds under the </w:t>
      </w:r>
      <w:r w:rsidRPr="001B79F0">
        <w:rPr>
          <w:b/>
          <w:bCs/>
        </w:rPr>
        <w:t>pharmacophoric ODE</w:t>
      </w:r>
      <w:r w:rsidRPr="001B79F0">
        <w:t xml:space="preserve"> with curvature-aware regularization, and—critically—motifs (including ERC/NEU1-biased sequences and protease-proximal cores) are annealed from </w:t>
      </w:r>
      <w:r w:rsidRPr="001B79F0">
        <w:rPr>
          <w:b/>
          <w:bCs/>
        </w:rPr>
        <w:t>soft</w:t>
      </w:r>
      <w:r w:rsidRPr="001B79F0">
        <w:t xml:space="preserve"> to </w:t>
      </w:r>
      <w:r w:rsidRPr="001B79F0">
        <w:rPr>
          <w:b/>
          <w:bCs/>
        </w:rPr>
        <w:t>firm</w:t>
      </w:r>
      <w:r w:rsidRPr="001B79F0">
        <w:t xml:space="preserve"> constraints so the search remains numerically stable but ends </w:t>
      </w:r>
      <w:r w:rsidRPr="001B79F0">
        <w:rPr>
          <w:b/>
          <w:bCs/>
        </w:rPr>
        <w:t>biophysically credible</w:t>
      </w:r>
      <w:r w:rsidRPr="001B79F0">
        <w:t xml:space="preserve"> [1, 5–10, 76, 165–167].</w:t>
      </w:r>
    </w:p>
    <w:p w:rsidR="001B79F0" w:rsidRPr="001B79F0" w:rsidRDefault="001B79F0" w:rsidP="001B79F0">
      <w:pPr>
        <w:jc w:val="left"/>
        <w:outlineLvl w:val="9"/>
      </w:pPr>
      <w:r w:rsidRPr="001B79F0">
        <w:rPr>
          <w:b/>
          <w:bCs/>
        </w:rPr>
        <w:t>Why this matters biologically.</w:t>
      </w:r>
      <w:r w:rsidRPr="001B79F0">
        <w:t xml:space="preserve"> The wound network is enriched for extracellular proteases (MMPs, neutrophil elastase), their inhibitors (TIMPs), and ERC/NEU1-linked chemotaxis and plasticity modules;</w:t>
      </w:r>
      <w:r w:rsidR="00356057">
        <w:t xml:space="preserve"> my </w:t>
      </w:r>
      <w:r w:rsidRPr="001B79F0">
        <w:t xml:space="preserve">wound-bed transcriptomics likewise shows a proteolytic/inflammatory program balanced by TIMP-1 and growth-factor signaling [9–10, 165–167]. Encoding these </w:t>
      </w:r>
      <w:r w:rsidRPr="001B79F0">
        <w:rPr>
          <w:b/>
          <w:bCs/>
        </w:rPr>
        <w:t>sequence regularities</w:t>
      </w:r>
      <w:r w:rsidRPr="001B79F0">
        <w:t xml:space="preserve"> and </w:t>
      </w:r>
      <w:r w:rsidRPr="001B79F0">
        <w:rPr>
          <w:b/>
          <w:bCs/>
        </w:rPr>
        <w:t>curvature priors</w:t>
      </w:r>
      <w:r w:rsidRPr="001B79F0">
        <w:t xml:space="preserve"> directly into the search produces fewer degenerate poses and better rank fidelity than docking scores alone, and it aligns the microphysics of binding with system-level readouts—</w:t>
      </w:r>
      <w:r w:rsidRPr="001B79F0">
        <w:rPr>
          <w:b/>
          <w:bCs/>
        </w:rPr>
        <w:t xml:space="preserve">CSI ↑, MRH ↑, </w:t>
      </w:r>
      <w:r w:rsidRPr="001B79F0">
        <w:rPr>
          <w:b/>
          <w:bCs/>
          <w:lang w:val="el-GR"/>
        </w:rPr>
        <w:t>Δ</w:t>
      </w:r>
      <w:r w:rsidRPr="001B79F0">
        <w:rPr>
          <w:b/>
          <w:bCs/>
        </w:rPr>
        <w:t>\Delta</w:t>
      </w:r>
      <w:r w:rsidRPr="001B79F0">
        <w:rPr>
          <w:b/>
          <w:bCs/>
          <w:lang w:val="el-GR"/>
        </w:rPr>
        <w:t>Δ</w:t>
      </w:r>
      <w:r w:rsidRPr="001B79F0">
        <w:rPr>
          <w:b/>
          <w:bCs/>
        </w:rPr>
        <w:t>GSE ↓</w:t>
      </w:r>
      <w:r w:rsidRPr="001B79F0">
        <w:t>—that correspond to organized, pro-repair behavior in fibrocyte/ECM subnetworks [1–3, 115–117, 165–167].</w:t>
      </w:r>
    </w:p>
    <w:p w:rsidR="001B79F0" w:rsidRPr="001B79F0" w:rsidRDefault="00106EF3" w:rsidP="001B79F0">
      <w:pPr>
        <w:spacing w:before="0" w:beforeAutospacing="0" w:after="0" w:afterAutospacing="0"/>
        <w:jc w:val="left"/>
        <w:outlineLvl w:val="9"/>
        <w:rPr>
          <w:lang w:val="el-GR"/>
        </w:rPr>
      </w:pPr>
      <w:r w:rsidRPr="00106EF3">
        <w:rPr>
          <w:lang w:val="el-GR"/>
        </w:rPr>
        <w:pict>
          <v:rect id="_x0000_i1048" style="width:0;height:1.5pt" o:hralign="center" o:hrstd="t" o:hr="t" fillcolor="#a0a0a0" stroked="f"/>
        </w:pict>
      </w:r>
    </w:p>
    <w:p w:rsidR="001B79F0" w:rsidRPr="001B79F0" w:rsidRDefault="001B79F0" w:rsidP="001B79F0">
      <w:pPr>
        <w:jc w:val="left"/>
        <w:outlineLvl w:val="9"/>
      </w:pPr>
    </w:p>
    <w:p w:rsidR="00B70557" w:rsidRPr="00B70557" w:rsidRDefault="00B70557" w:rsidP="00713714">
      <w:pPr>
        <w:pStyle w:val="Web"/>
      </w:pPr>
      <w:r w:rsidRPr="00B70557">
        <w:t>I treat gapped-motif discovery as a first-class steering signal for the Pharmacophoric-ODE—very much the way a digitized adiabatic schedule guides a quantum state from an easy start toward a structured target. Practically, GLAM2/GLAM2SCAN runs upstream of the ODE and delivers sequence-level “boundary conditions” that I inject directly into both the pharmacophore loss ( \ell_{\mathrm{ph4}} ) (Eq. 10) and the evolving state ( x_t=(G_t, P_t, \Pi_t) ) (Eqs. 8–9). Instead of slamming these motifs in as rigid rules, I stage them in gradually: their influence ramps from soft to firm along the integration path, so the system remains numerically stable while poses are nudged toward biophysically credible arrangements. This adiabatic-style handover means the ODE starts broad—chemically permissive, geometry-aware but forgiving—and ends selective, honoring the residue-level regularities the data keep insisting on.</w:t>
      </w:r>
    </w:p>
    <w:p w:rsidR="00B70557" w:rsidRPr="00B70557" w:rsidRDefault="00B70557" w:rsidP="00713714">
      <w:pPr>
        <w:pStyle w:val="Web"/>
      </w:pPr>
      <w:r w:rsidRPr="00B70557">
        <w:t>Across replicate GLAM2 runs (with a stricter early-stopping policy—twice the “iterations without improvement”), a high-confidence ERC/NEU1-biased consensus emerged. The top motif (score 22,085.2; close replicates at 21,981.9 and 18,666.1, underscoring a genuine basin rather than a sampling accident) is long, gap-tolerant, and concordant with my previously nominated ERC-biased peptidomimetic. I use this pattern to seed the soft pharmacophore labels ( \Pi_t ) at ( t=0 ) and to weight matches during pose evolution. One representative regular expression is:</w:t>
      </w:r>
    </w:p>
    <w:p w:rsidR="00B70557" w:rsidRPr="00B70557" w:rsidRDefault="00B70557" w:rsidP="00713714">
      <w:pPr>
        <w:pStyle w:val="-HTML"/>
        <w:rPr>
          <w:rStyle w:val="HTML"/>
        </w:rPr>
      </w:pPr>
      <w:r w:rsidRPr="00B70557">
        <w:rPr>
          <w:rStyle w:val="HTML"/>
        </w:rPr>
        <w:t>[WR]P[WH][QA][VW][SP][LF][QM][YV]S[SL]Q[GL][SR]G[YG]H[TF]CG[GA][ST]LIAPN[WF]VM[TS]AAHC[IV][SA][SN].{0,36}V?N[TV][YR][RA]V[VR][LV][GV]L[HG][NA]</w:t>
      </w:r>
    </w:p>
    <w:p w:rsidR="00B70557" w:rsidRPr="00B70557" w:rsidRDefault="00B70557" w:rsidP="00713714">
      <w:pPr>
        <w:pStyle w:val="Web"/>
      </w:pPr>
      <w:r w:rsidRPr="00B70557">
        <w:t>A second family captures a compact protease-proximal core that repeatedly appears in serine-protease contexts (top score 3564.69; close replicates 3561.88 and 3554.38). Variants either prepend a short N-terminal segment or introduce a micro-indel, exactly what an indel-aware aligner like GLAM2 expects when biology tolerates slips. Representative core and options:</w:t>
      </w:r>
    </w:p>
    <w:p w:rsidR="00B70557" w:rsidRPr="00B70557" w:rsidRDefault="00B70557" w:rsidP="00713714">
      <w:pPr>
        <w:pStyle w:val="-HTML"/>
        <w:rPr>
          <w:rStyle w:val="HTML"/>
        </w:rPr>
      </w:pPr>
      <w:r w:rsidRPr="00B70557">
        <w:rPr>
          <w:rStyle w:val="HTML"/>
        </w:rPr>
        <w:t>Core:</w:t>
      </w:r>
      <w:r w:rsidR="00496063">
        <w:rPr>
          <w:rStyle w:val="HTML"/>
        </w:rPr>
        <w:t xml:space="preserve"> </w:t>
      </w:r>
      <w:r w:rsidRPr="00B70557">
        <w:rPr>
          <w:rStyle w:val="HTML"/>
        </w:rPr>
        <w:t>LFLVAAH[EQ]FGHA[ML]GL[ED]HS[QS][DV]P[GE]ALM[AY]P[IM]Y[TR][YF]T.{0,2}[KE][NG][FP][RP]L[SH][QK]DD[IV][KN]GI[QR][EH]LYG?</w:t>
      </w:r>
    </w:p>
    <w:p w:rsidR="00B70557" w:rsidRPr="00B70557" w:rsidRDefault="00B70557" w:rsidP="00713714">
      <w:pPr>
        <w:pStyle w:val="-HTML"/>
        <w:rPr>
          <w:rStyle w:val="HTML"/>
        </w:rPr>
      </w:pPr>
      <w:r w:rsidRPr="00B70557">
        <w:rPr>
          <w:rStyle w:val="HTML"/>
        </w:rPr>
        <w:t>Prefix: A[NH][YF]DDD.*QGY</w:t>
      </w:r>
      <w:r w:rsidR="00496063">
        <w:rPr>
          <w:rStyle w:val="HTML"/>
        </w:rPr>
        <w:t xml:space="preserve"> </w:t>
      </w:r>
      <w:r w:rsidRPr="00B70557">
        <w:rPr>
          <w:rStyle w:val="HTML"/>
        </w:rPr>
        <w:t>(optional N-terminal add-on)</w:t>
      </w:r>
    </w:p>
    <w:p w:rsidR="00B70557" w:rsidRPr="00B70557" w:rsidRDefault="00B70557" w:rsidP="00713714">
      <w:pPr>
        <w:pStyle w:val="-HTML"/>
        <w:rPr>
          <w:rStyle w:val="HTML"/>
        </w:rPr>
      </w:pPr>
      <w:r w:rsidRPr="00B70557">
        <w:rPr>
          <w:rStyle w:val="HTML"/>
        </w:rPr>
        <w:t>Gap:</w:t>
      </w:r>
      <w:r w:rsidR="00496063">
        <w:rPr>
          <w:rStyle w:val="HTML"/>
        </w:rPr>
        <w:t xml:space="preserve"> </w:t>
      </w:r>
      <w:r w:rsidRPr="00B70557">
        <w:rPr>
          <w:rStyle w:val="HTML"/>
        </w:rPr>
        <w:t>.{0,1}D?T[KE].{0,2}</w:t>
      </w:r>
      <w:r w:rsidR="00496063">
        <w:rPr>
          <w:rStyle w:val="HTML"/>
        </w:rPr>
        <w:t xml:space="preserve"> </w:t>
      </w:r>
      <w:r w:rsidRPr="00B70557">
        <w:rPr>
          <w:rStyle w:val="HTML"/>
        </w:rPr>
        <w:t>(optional internal micro-indel)</w:t>
      </w:r>
    </w:p>
    <w:p w:rsidR="00B70557" w:rsidRPr="00B70557" w:rsidRDefault="00B70557" w:rsidP="00713714">
      <w:pPr>
        <w:pStyle w:val="Web"/>
      </w:pPr>
      <w:r w:rsidRPr="00B70557">
        <w:t xml:space="preserve">These protease-adjacent signatures map cleanly onto neutrophil elastase and related S1 proteases in my panel. I translate them into concrete geometric priors: donor/acceptor/hydrophobe masks, </w:t>
      </w:r>
      <w:r>
        <w:t>χ</w:t>
      </w:r>
      <w:r w:rsidRPr="00B70557">
        <w:t>/</w:t>
      </w:r>
      <w:r>
        <w:t>φ</w:t>
      </w:r>
      <w:r w:rsidRPr="00B70557">
        <w:t xml:space="preserve"> side-chain orientation hints, and pocket-region preferences that privilege concave, curvature-favored subsites as the ODE flows. In parallel, GLAM2 surfaced a distinct cystine-bearing extracellular signature (score 685.04):</w:t>
      </w:r>
    </w:p>
    <w:p w:rsidR="00B70557" w:rsidRPr="00B70557" w:rsidRDefault="00B70557" w:rsidP="00713714">
      <w:pPr>
        <w:pStyle w:val="-HTML"/>
        <w:rPr>
          <w:rStyle w:val="HTML"/>
        </w:rPr>
      </w:pPr>
      <w:r w:rsidRPr="00B70557">
        <w:rPr>
          <w:rStyle w:val="HTML"/>
        </w:rPr>
        <w:t>STVGGNSEGAPCVFPFTFLGNKYESCTSAGRSDGKMWCATTANYDDDRKW</w:t>
      </w:r>
    </w:p>
    <w:p w:rsidR="00B70557" w:rsidRPr="00B70557" w:rsidRDefault="00B70557" w:rsidP="00713714">
      <w:pPr>
        <w:pStyle w:val="Web"/>
      </w:pPr>
      <w:r w:rsidRPr="00B70557">
        <w:t>I treat this as a localization/protease-exposure tag. When I assign compartment-aware constraints (from CellNetVis-derived pockets), this motif tips the optimizer toward extracellular or luminal contexts where cystine-stabilized segments plausibly reside and present.</w:t>
      </w:r>
    </w:p>
    <w:p w:rsidR="00B70557" w:rsidRPr="00B70557" w:rsidRDefault="00B70557" w:rsidP="00713714">
      <w:pPr>
        <w:pStyle w:val="Web"/>
      </w:pPr>
      <w:r w:rsidRPr="00B70557">
        <w:t>Those three motif classes—(i) the long ERC/NEU1-biased consensus, (ii) the elastase/collagenase-adjacent cores, and (iii) the cystine-rich ECM signaler—become measurement-driven priors that reshape both ( \ell_{\mathrm{ph4}} ) and the curvature-aware dynamics ( \dot x_t = f_\theta(x_t, t) ). In practice: (a) residues mandated by the regexes become hard/soft site constraints; (b) allowed gaps define the tolerance band for pose overlap and alignment drift; and (c) motif-matched residues earn extra credit when I reward buried nonpolar area ( \Delta\mathrm{SASA} ) (Eq. 6), so long as hydrogen-bond geometry is not violated. Fusing sequence regularities with geometric energetics in this way systematically cleans up rank ordering after the docking → short-MD → MM–PBSA + ( \Delta G_{\mathrm{np}} ) pass, and it speeds convergence toward ERC and protease poses that agree with the transcriptomic/network context.</w:t>
      </w:r>
    </w:p>
    <w:p w:rsidR="00B70557" w:rsidRPr="00B70557" w:rsidRDefault="00B70557" w:rsidP="00713714">
      <w:pPr>
        <w:pStyle w:val="Web"/>
      </w:pPr>
      <w:r w:rsidRPr="00B70557">
        <w:t>Because brute-force screening is both powerful and noisy—modern workflows can, in principle, dispatch (10^{5}!-!10^{6}) ligands per day—everything sits inside a three-layer discipline that trades a bit of complexity for a lot of reliability. Layer 1 keeps the search honest with information theory: I partition candidates into chemotype bins, maximize Shannon entropy (Eq. 1) to spread exploration, and add a Rényi-entropy term (Eq. 2; ( \alpha\approx1.5 )) to damp easy-to-over-sample families. A candidate joins the working set only if its marginal gain ( \Delta H ) (Eq. 3) clears a threshold; a (\chi^2) balance check (Eq. 4) ensures fair sampling across bins. Layer 2 adds back missing physics: after consensus docking and brief relaxation by MD, I rescore snapshots with an MM–PBSA-like estimator and append an explicit nonpolar burial term ( \Delta G_{\mathrm{np}}=\gamma,\Delta\mathrm{SASA} ) with ( \gamma=0.005\ \mathrm{kcal,mol^{-1},\AA^{-2}} ) (Eq. 6), yielding ( \Delta G_{\mathrm{tot}} ) (Eq. 7). This linear correction is small but meaningful; it rewards compact ligands that tuck into concave, hydrated subsites without breaking H-bonds—the exact micro-environments favored by collagenolytic proteases. Layer 3 is the geometry engine: each candidate is a coupled graph–pose–pharmacophore state ( x_t=(G_t, P_t, \Pi_t) ) (Eq. 8) that evolves under a neural ODE (Eq. 9). Pocket shape enters through principal curvatures; mean curvature ( H=\tfrac12(\kappa_1+\kappa_2) ) and Gaussian curvature ( K=\kappa_1\kappa_2 ) bias the flow toward concave regions where packing and hydration usually cooperate. The composite loss (Eq. 10) balances physics, pharmacophore/motif alignment, entropy-based diversity, and developability.</w:t>
      </w:r>
    </w:p>
    <w:p w:rsidR="00B70557" w:rsidRPr="00B70557" w:rsidRDefault="00B70557" w:rsidP="00713714">
      <w:pPr>
        <w:pStyle w:val="Web"/>
      </w:pPr>
      <w:r w:rsidRPr="00B70557">
        <w:t>A few practical details make this stick. Motif influence follows a simple annealing schedule: early steps assign low weight to ( \ell_{\mathrm{ph4}} ) contributions from regex matches (encouraging exploration and tolerance of insertions/deletions); mid-course, weights rise in tandem with curvature terms as the pose settles; late, constraints tighten only where the density of motif evidence is strong. Chemically, each ODE step is followed by a projection back onto valid graphs/poses (valence checks, ring-template guards, charge conservation), so the model never “learns” an unmakeable molecule. Geometrically, I compute curvature on a smoothed pocket surface, then gate curvature rewards by local hydration proxies (e.g., water occupancy or SASA gradients) so the optimizer prefers concavity that is actually usable.</w:t>
      </w:r>
    </w:p>
    <w:p w:rsidR="00B70557" w:rsidRPr="00B70557" w:rsidRDefault="00B70557" w:rsidP="00713714">
      <w:pPr>
        <w:pStyle w:val="Web"/>
      </w:pPr>
      <w:r w:rsidRPr="00B70557">
        <w:t>The outcome of tying motifs to shape and energetics is not abstract: it directly reduces two chronic error modes in SBDD. First, pose degeneracy—the tendency of multiple, equally scored poses to blur the “true” answer—drops because motif-anchored residues stabilize a small manifold of poses that satisfy both sequence grammar and pocket physics. Second, rank shuffling—the mis-ordering caused by over-weighting polar contacts and under-weighting burial—is curbed by ( \Delta G_{\mathrm{np}} ) and by rewarding burial preferentially at motif-consistent loci. In benchmarks, the net effect is a crisper funnel: docking proposals collapse more quickly, short MD relaxations converge in fewer steps, and MM–PBSA + ( \Delta G_{\mathrm{np}} ) yields a shorter tail of near-ties.</w:t>
      </w:r>
    </w:p>
    <w:p w:rsidR="00B70557" w:rsidRPr="00B70557" w:rsidRDefault="00B70557" w:rsidP="00713714">
      <w:pPr>
        <w:pStyle w:val="Web"/>
      </w:pPr>
      <w:r w:rsidRPr="00B70557">
        <w:t>If the overall rhythm feels familiar, that’s intentional. The pipeline mirrors a digitized adiabatic evolution:</w:t>
      </w:r>
      <w:r w:rsidR="00356057">
        <w:t xml:space="preserve"> I </w:t>
      </w:r>
      <w:r w:rsidRPr="00B70557">
        <w:t>begin from an easy initial condition (broad chemotype entropy, permissive pharmacophore labels, light motif touch);</w:t>
      </w:r>
      <w:r w:rsidR="00356057">
        <w:t xml:space="preserve"> I </w:t>
      </w:r>
      <w:r w:rsidRPr="00B70557">
        <w:t>advance through a schedule that gradually “turns on” structure (curvature and motif weights rise, burial is rewarded, invalid chemistry is projected out); and</w:t>
      </w:r>
      <w:r w:rsidR="00356057">
        <w:t xml:space="preserve"> I </w:t>
      </w:r>
      <w:r w:rsidRPr="00B70557">
        <w:t>end in a low-energy, constraint-respecting state that is legible in biological terms (ERC/NEU1 bias, serine-protease-proximal compatibility, extracellular cystine cues). What starts as noisy docking output is repeatedly regularized by what the wound biology actually uses—short linear motifs, concave pockets, and hydrophobic shelter—so the leads that survive are not just binders, but binders that make sense.</w:t>
      </w:r>
    </w:p>
    <w:p w:rsidR="007759A0" w:rsidRDefault="007759A0" w:rsidP="007759A0">
      <w:pPr>
        <w:jc w:val="left"/>
        <w:outlineLvl w:val="0"/>
        <w:rPr>
          <w:b/>
          <w:bCs/>
          <w:kern w:val="36"/>
          <w:sz w:val="48"/>
          <w:szCs w:val="48"/>
        </w:rPr>
      </w:pPr>
      <w:r w:rsidRPr="007759A0">
        <w:rPr>
          <w:b/>
          <w:bCs/>
          <w:kern w:val="36"/>
          <w:sz w:val="48"/>
          <w:szCs w:val="48"/>
        </w:rPr>
        <w:t>6.2. Library entropy, subset selection, and fair sampling</w:t>
      </w:r>
    </w:p>
    <w:p w:rsidR="00496063" w:rsidRPr="00617834" w:rsidRDefault="00496063" w:rsidP="00496063">
      <w:pPr>
        <w:jc w:val="left"/>
        <w:outlineLvl w:val="9"/>
      </w:pPr>
      <w:r w:rsidRPr="00617834">
        <w:rPr>
          <w:b/>
          <w:bCs/>
        </w:rPr>
        <w:t>Setup.</w:t>
      </w:r>
      <w:r w:rsidRPr="00617834">
        <w:t xml:space="preserve"> Molecules (or compound feature vectors) are hashed into bins B\mathcal BB with probabilities pbp_bpb​ (e.g., from hashed ECFP-style fingerprints or other compositional features) [33,101]. The information content (diversity) of the library is</w:t>
      </w:r>
    </w:p>
    <w:p w:rsidR="00496063" w:rsidRPr="00617834" w:rsidRDefault="00496063" w:rsidP="00496063">
      <w:pPr>
        <w:spacing w:before="0" w:beforeAutospacing="0" w:after="0" w:afterAutospacing="0"/>
        <w:jc w:val="left"/>
        <w:outlineLvl w:val="9"/>
      </w:pPr>
      <w:r w:rsidRPr="00617834">
        <w:t>Hlib=−∑b</w:t>
      </w:r>
      <w:r w:rsidRPr="00617834">
        <w:rPr>
          <w:rFonts w:ascii="Cambria Math" w:hAnsi="Cambria Math" w:cs="Cambria Math"/>
        </w:rPr>
        <w:t>∈</w:t>
      </w:r>
      <w:r w:rsidRPr="00617834">
        <w:t>Bpblog⁡pb(6.1)\boxed{H_{\text{lib}}=-\sum_{b\in\mathcal B} p_b \log p_b}\qquad (6.1)Hlib​=−b</w:t>
      </w:r>
      <w:r w:rsidRPr="00617834">
        <w:rPr>
          <w:rFonts w:ascii="Cambria Math" w:hAnsi="Cambria Math" w:cs="Cambria Math"/>
        </w:rPr>
        <w:t>∈</w:t>
      </w:r>
      <w:r w:rsidRPr="00617834">
        <w:t xml:space="preserve">B∑​pb​logpb​​(6.1) </w:t>
      </w:r>
    </w:p>
    <w:p w:rsidR="00496063" w:rsidRPr="00617834" w:rsidRDefault="00496063" w:rsidP="00496063">
      <w:pPr>
        <w:jc w:val="left"/>
        <w:outlineLvl w:val="9"/>
      </w:pPr>
      <w:r w:rsidRPr="00617834">
        <w:t>with natural logarithms (nats). HlibH_{\text{lib}}Hlib​ is maximized by the uniform distribution and decreases as mass concentrates into fewer bins due to entropy’s strict concavity [111].</w:t>
      </w:r>
    </w:p>
    <w:p w:rsidR="00496063" w:rsidRPr="00617834" w:rsidRDefault="00496063" w:rsidP="00496063">
      <w:pPr>
        <w:jc w:val="left"/>
        <w:outlineLvl w:val="9"/>
      </w:pPr>
      <w:r w:rsidRPr="00617834">
        <w:rPr>
          <w:b/>
          <w:bCs/>
        </w:rPr>
        <w:t>Greedy fair sampler.</w:t>
      </w:r>
      <w:r w:rsidRPr="00617834">
        <w:t xml:space="preserve"> At each step, choose the candidate G\*G^\*G\* that maximizes the marginal gain in entropy:</w:t>
      </w:r>
    </w:p>
    <w:p w:rsidR="00496063" w:rsidRPr="001C74DB" w:rsidRDefault="00496063" w:rsidP="00496063">
      <w:pPr>
        <w:spacing w:before="0" w:beforeAutospacing="0" w:after="0" w:afterAutospacing="0"/>
        <w:jc w:val="left"/>
        <w:outlineLvl w:val="9"/>
      </w:pPr>
      <w:r w:rsidRPr="00496063">
        <w:rPr>
          <w:lang w:val="el-GR"/>
        </w:rPr>
        <w:t>Δ</w:t>
      </w:r>
      <w:r w:rsidRPr="001C74DB">
        <w:t>H(G\*)=H(S</w:t>
      </w:r>
      <w:r w:rsidRPr="001C74DB">
        <w:rPr>
          <w:rFonts w:ascii="Cambria Math" w:hAnsi="Cambria Math" w:cs="Cambria Math"/>
        </w:rPr>
        <w:t>∪</w:t>
      </w:r>
      <w:r w:rsidRPr="001C74DB">
        <w:t>{G\*})−H(S)(6.2)\boxed{\Delta H(G^\*) = H(\mathcal S \cup \{G^\*\}) - H(\mathcal S)}\qquad (6.2)</w:t>
      </w:r>
      <w:r w:rsidRPr="00496063">
        <w:rPr>
          <w:lang w:val="el-GR"/>
        </w:rPr>
        <w:t>Δ</w:t>
      </w:r>
      <w:r w:rsidRPr="001C74DB">
        <w:t>H(G\*)=H(S</w:t>
      </w:r>
      <w:r w:rsidRPr="001C74DB">
        <w:rPr>
          <w:rFonts w:ascii="Cambria Math" w:hAnsi="Cambria Math" w:cs="Cambria Math"/>
        </w:rPr>
        <w:t>∪</w:t>
      </w:r>
      <w:r w:rsidRPr="001C74DB">
        <w:t xml:space="preserve">{G\*})−H(S)​(6.2) </w:t>
      </w:r>
    </w:p>
    <w:p w:rsidR="00496063" w:rsidRPr="00496063" w:rsidRDefault="00496063" w:rsidP="00496063">
      <w:pPr>
        <w:jc w:val="left"/>
        <w:outlineLvl w:val="9"/>
      </w:pPr>
      <w:r w:rsidRPr="00496063">
        <w:t xml:space="preserve">This rule preferentially selects items mapping to underrepresented bins because entropy is submodular, giving diminishing returns as bins fill up [111]. In practice, I estimate pbp_bpb​ from running counts and pick the next candidate whose hashed bin yields the largest </w:t>
      </w:r>
      <w:r w:rsidRPr="00496063">
        <w:rPr>
          <w:lang w:val="el-GR"/>
        </w:rPr>
        <w:t>Δ</w:t>
      </w:r>
      <w:r w:rsidRPr="00496063">
        <w:t>H\Delta H</w:t>
      </w:r>
      <w:r w:rsidRPr="00496063">
        <w:rPr>
          <w:lang w:val="el-GR"/>
        </w:rPr>
        <w:t>Δ</w:t>
      </w:r>
      <w:r w:rsidRPr="00496063">
        <w:t>H.</w:t>
      </w:r>
    </w:p>
    <w:p w:rsidR="00496063" w:rsidRPr="00496063" w:rsidRDefault="00496063" w:rsidP="00496063">
      <w:pPr>
        <w:jc w:val="left"/>
        <w:outlineLvl w:val="9"/>
      </w:pPr>
      <w:r w:rsidRPr="00496063">
        <w:rPr>
          <w:b/>
          <w:bCs/>
        </w:rPr>
        <w:t>Quality controls.</w:t>
      </w:r>
      <w:r w:rsidRPr="00496063">
        <w:br/>
        <w:t xml:space="preserve">• </w:t>
      </w:r>
      <w:r w:rsidRPr="00496063">
        <w:rPr>
          <w:b/>
          <w:bCs/>
        </w:rPr>
        <w:t>RNG sanity:</w:t>
      </w:r>
      <w:r w:rsidRPr="00496063">
        <w:t xml:space="preserve"> monitor hash/bin count deviations with a Pearson </w:t>
      </w:r>
      <w:r w:rsidRPr="00496063">
        <w:rPr>
          <w:lang w:val="el-GR"/>
        </w:rPr>
        <w:t>χ</w:t>
      </w:r>
      <w:r w:rsidRPr="00496063">
        <w:t>2\chi^2</w:t>
      </w:r>
      <w:r w:rsidRPr="00496063">
        <w:rPr>
          <w:lang w:val="el-GR"/>
        </w:rPr>
        <w:t>χ</w:t>
      </w:r>
      <w:r w:rsidRPr="00496063">
        <w:t>2 goodness-of-fit test to detect sampling artifacts [111].</w:t>
      </w:r>
      <w:r w:rsidRPr="00496063">
        <w:br/>
        <w:t xml:space="preserve">• </w:t>
      </w:r>
      <w:r w:rsidRPr="00496063">
        <w:rPr>
          <w:b/>
          <w:bCs/>
        </w:rPr>
        <w:t>Regularization:</w:t>
      </w:r>
      <w:r w:rsidRPr="00496063">
        <w:t xml:space="preserve"> during any optimization over distributions (e.g., within an ODE-driven generator), include a Rényi-entropy term S</w:t>
      </w:r>
      <w:r w:rsidRPr="00496063">
        <w:rPr>
          <w:lang w:val="el-GR"/>
        </w:rPr>
        <w:t>α</w:t>
      </w:r>
      <w:r w:rsidRPr="00496063">
        <w:t>S_\alphaS</w:t>
      </w:r>
      <w:r w:rsidRPr="00496063">
        <w:rPr>
          <w:lang w:val="el-GR"/>
        </w:rPr>
        <w:t>α</w:t>
      </w:r>
      <w:r w:rsidRPr="00496063">
        <w:t>​ (Eq. 4.4) to discourage mode collapse and preserve tail coverage [111].</w:t>
      </w:r>
    </w:p>
    <w:p w:rsidR="00496063" w:rsidRPr="00496063" w:rsidRDefault="00496063" w:rsidP="00496063">
      <w:pPr>
        <w:jc w:val="left"/>
        <w:outlineLvl w:val="9"/>
      </w:pPr>
      <w:r w:rsidRPr="00496063">
        <w:rPr>
          <w:b/>
          <w:bCs/>
        </w:rPr>
        <w:t>Why it matters.</w:t>
      </w:r>
      <w:r w:rsidRPr="00496063">
        <w:t xml:space="preserve"> This “entropy-first” filtering forces breadth before physics—so downstream scoring doesn’t overfit to a narrow chemotype slice.</w:t>
      </w:r>
    </w:p>
    <w:p w:rsidR="00496063" w:rsidRPr="007759A0" w:rsidRDefault="00496063" w:rsidP="007759A0">
      <w:pPr>
        <w:jc w:val="left"/>
        <w:outlineLvl w:val="0"/>
        <w:rPr>
          <w:b/>
          <w:bCs/>
          <w:kern w:val="36"/>
          <w:sz w:val="48"/>
          <w:szCs w:val="48"/>
        </w:rPr>
      </w:pPr>
    </w:p>
    <w:p w:rsidR="007759A0" w:rsidRPr="007759A0" w:rsidRDefault="00106EF3" w:rsidP="007759A0">
      <w:pPr>
        <w:spacing w:before="0" w:beforeAutospacing="0" w:after="0" w:afterAutospacing="0"/>
        <w:jc w:val="left"/>
        <w:outlineLvl w:val="9"/>
        <w:rPr>
          <w:lang w:val="el-GR"/>
        </w:rPr>
      </w:pPr>
      <w:r w:rsidRPr="00106EF3">
        <w:rPr>
          <w:lang w:val="el-GR"/>
        </w:rPr>
        <w:pict>
          <v:rect id="_x0000_i1049" style="width:0;height:1.5pt" o:hralign="center" o:hrstd="t" o:hr="t" fillcolor="#a0a0a0" stroked="f"/>
        </w:pict>
      </w:r>
    </w:p>
    <w:p w:rsidR="007759A0" w:rsidRPr="007759A0" w:rsidRDefault="007759A0" w:rsidP="007759A0">
      <w:pPr>
        <w:jc w:val="left"/>
        <w:outlineLvl w:val="0"/>
        <w:rPr>
          <w:b/>
          <w:bCs/>
          <w:kern w:val="36"/>
          <w:sz w:val="48"/>
          <w:szCs w:val="48"/>
        </w:rPr>
      </w:pPr>
      <w:r w:rsidRPr="007759A0">
        <w:rPr>
          <w:b/>
          <w:bCs/>
          <w:kern w:val="36"/>
          <w:sz w:val="48"/>
          <w:szCs w:val="48"/>
        </w:rPr>
        <w:t xml:space="preserve">6.3. Docking, short MD, and MM-PBSA with an explicit </w:t>
      </w:r>
      <w:r w:rsidRPr="007759A0">
        <w:rPr>
          <w:b/>
          <w:bCs/>
          <w:kern w:val="36"/>
          <w:sz w:val="48"/>
          <w:szCs w:val="48"/>
          <w:lang w:val="el-GR"/>
        </w:rPr>
        <w:t>Δ</w:t>
      </w:r>
      <w:r w:rsidRPr="007759A0">
        <w:rPr>
          <w:b/>
          <w:bCs/>
          <w:kern w:val="36"/>
          <w:sz w:val="48"/>
          <w:szCs w:val="48"/>
        </w:rPr>
        <w:t>\Delta</w:t>
      </w:r>
      <w:r w:rsidRPr="007759A0">
        <w:rPr>
          <w:b/>
          <w:bCs/>
          <w:kern w:val="36"/>
          <w:sz w:val="48"/>
          <w:szCs w:val="48"/>
          <w:lang w:val="el-GR"/>
        </w:rPr>
        <w:t>Δ</w:t>
      </w:r>
      <w:r w:rsidRPr="007759A0">
        <w:rPr>
          <w:b/>
          <w:bCs/>
          <w:kern w:val="36"/>
          <w:sz w:val="48"/>
          <w:szCs w:val="48"/>
        </w:rPr>
        <w:t>SASA contribution</w:t>
      </w:r>
    </w:p>
    <w:p w:rsidR="00496063" w:rsidRPr="00496063" w:rsidRDefault="00496063" w:rsidP="00496063">
      <w:pPr>
        <w:jc w:val="left"/>
        <w:outlineLvl w:val="9"/>
      </w:pPr>
      <w:r w:rsidRPr="00496063">
        <w:t>To temper method dependence, per-ligand scores from multiple docking engines/protocols are pooled via a consensus functional:</w:t>
      </w:r>
    </w:p>
    <w:p w:rsidR="00496063" w:rsidRPr="00496063" w:rsidRDefault="00496063" w:rsidP="00496063">
      <w:pPr>
        <w:spacing w:before="0" w:beforeAutospacing="0" w:after="0" w:afterAutospacing="0"/>
        <w:jc w:val="left"/>
        <w:outlineLvl w:val="9"/>
      </w:pPr>
      <w:r w:rsidRPr="00496063">
        <w:t>Sˉ(L)=1M∑m=1Mmin⁡P∑iwi </w:t>
      </w:r>
      <w:r w:rsidRPr="00496063">
        <w:rPr>
          <w:lang w:val="el-GR"/>
        </w:rPr>
        <w:t>ψ</w:t>
      </w:r>
      <w:r w:rsidRPr="00496063">
        <w:t>i(m)(L,P)(6.3)\boxed{\bar S(L)=\frac{1}{M}\sum_{m=1}^{M}\min_{P}\sum_i w_i\,\psi^{(m)}_{i}(L,P)}\qquad (6.3)Sˉ(L)=M1​m=1∑M​Pmin​i∑​wi​</w:t>
      </w:r>
      <w:r w:rsidRPr="00496063">
        <w:rPr>
          <w:lang w:val="el-GR"/>
        </w:rPr>
        <w:t>ψ</w:t>
      </w:r>
      <w:r w:rsidRPr="00496063">
        <w:t xml:space="preserve">i(m)​(L,P)​(6.3) </w:t>
      </w:r>
    </w:p>
    <w:p w:rsidR="00496063" w:rsidRPr="00496063" w:rsidRDefault="00496063" w:rsidP="00496063">
      <w:pPr>
        <w:jc w:val="left"/>
        <w:outlineLvl w:val="9"/>
      </w:pPr>
      <w:r w:rsidRPr="00496063">
        <w:t xml:space="preserve">where mmm indexes engines/protocols, PPP denotes pose, and wiw_iwi​ weights engine-specific terms </w:t>
      </w:r>
      <w:r w:rsidRPr="00496063">
        <w:rPr>
          <w:lang w:val="el-GR"/>
        </w:rPr>
        <w:t>ψ</w:t>
      </w:r>
      <w:r w:rsidRPr="00496063">
        <w:t>i(m)\psi^{(m)}_i</w:t>
      </w:r>
      <w:r w:rsidRPr="00496063">
        <w:rPr>
          <w:lang w:val="el-GR"/>
        </w:rPr>
        <w:t>ψ</w:t>
      </w:r>
      <w:r w:rsidRPr="00496063">
        <w:t>i(m)​. Consensus scoring is a well-established way to improve enrichment and mitigate single-function bias. [16–20]</w:t>
      </w:r>
    </w:p>
    <w:p w:rsidR="00496063" w:rsidRPr="00496063" w:rsidRDefault="00496063" w:rsidP="00496063">
      <w:pPr>
        <w:jc w:val="left"/>
        <w:outlineLvl w:val="9"/>
      </w:pPr>
      <w:r w:rsidRPr="00496063">
        <w:t>Top poses undergo brief molecular-dynamics relaxation to relieve clashes and allow local water/side-chain accommodation. [54,55,59] For ranking, I compute end-point binding free energies via MM-PBSA (or GBSA) over MD snapshots, adding an explicit nonpolar term proportional to solvent-accessible area (SASA):</w:t>
      </w:r>
    </w:p>
    <w:p w:rsidR="00496063" w:rsidRPr="00496063" w:rsidRDefault="00496063" w:rsidP="00496063">
      <w:pPr>
        <w:spacing w:before="0" w:beforeAutospacing="0" w:after="0" w:afterAutospacing="0"/>
        <w:jc w:val="left"/>
        <w:outlineLvl w:val="9"/>
      </w:pPr>
      <w:r w:rsidRPr="00496063">
        <w:rPr>
          <w:lang w:val="el-GR"/>
        </w:rPr>
        <w:t>Δ</w:t>
      </w:r>
      <w:r w:rsidRPr="00496063">
        <w:t>Gnp≈</w:t>
      </w:r>
      <w:r w:rsidRPr="00496063">
        <w:rPr>
          <w:lang w:val="el-GR"/>
        </w:rPr>
        <w:t>γ</w:t>
      </w:r>
      <w:r w:rsidRPr="00496063">
        <w:t> </w:t>
      </w:r>
      <w:r w:rsidRPr="00496063">
        <w:rPr>
          <w:lang w:val="el-GR"/>
        </w:rPr>
        <w:t>Δ</w:t>
      </w:r>
      <w:r w:rsidRPr="00496063">
        <w:t>SASA+</w:t>
      </w:r>
      <w:r w:rsidRPr="00496063">
        <w:rPr>
          <w:lang w:val="el-GR"/>
        </w:rPr>
        <w:t>β</w:t>
      </w:r>
      <w:r w:rsidRPr="00496063">
        <w:t>\Delta G_{\text{np}} \approx \gamma\,\Delta\mathrm{SASA} + \beta</w:t>
      </w:r>
      <w:r w:rsidRPr="00496063">
        <w:rPr>
          <w:lang w:val="el-GR"/>
        </w:rPr>
        <w:t>Δ</w:t>
      </w:r>
      <w:r w:rsidRPr="00496063">
        <w:t>Gnp​≈</w:t>
      </w:r>
      <w:r w:rsidRPr="00496063">
        <w:rPr>
          <w:lang w:val="el-GR"/>
        </w:rPr>
        <w:t>γΔ</w:t>
      </w:r>
      <w:r w:rsidRPr="00496063">
        <w:t>SASA+</w:t>
      </w:r>
      <w:r w:rsidRPr="00496063">
        <w:rPr>
          <w:lang w:val="el-GR"/>
        </w:rPr>
        <w:t>β</w:t>
      </w:r>
      <w:r w:rsidRPr="00496063">
        <w:t xml:space="preserve"> </w:t>
      </w:r>
    </w:p>
    <w:p w:rsidR="00496063" w:rsidRPr="00496063" w:rsidRDefault="00496063" w:rsidP="00496063">
      <w:pPr>
        <w:jc w:val="left"/>
        <w:outlineLvl w:val="9"/>
      </w:pPr>
      <w:r w:rsidRPr="00496063">
        <w:t>with the MM/PB(GB)SA framework and SASA/nonpolar treatment following standard practice. [67–71,181] The pipeline thus balances speed (screening throughput) with physical interpretability (electrostatics, cavitation/dispersion via SASA, limited relaxation of poses).</w:t>
      </w:r>
    </w:p>
    <w:p w:rsidR="00496063" w:rsidRPr="00496063" w:rsidRDefault="00496063" w:rsidP="00496063">
      <w:pPr>
        <w:jc w:val="left"/>
        <w:outlineLvl w:val="9"/>
      </w:pPr>
      <w:r w:rsidRPr="00496063">
        <w:rPr>
          <w:b/>
          <w:bCs/>
        </w:rPr>
        <w:t>Why it matters.</w:t>
      </w:r>
      <w:r w:rsidRPr="00496063">
        <w:t xml:space="preserve"> The combination (consensus docking → short MD → MM-PBSA + </w:t>
      </w:r>
      <w:r w:rsidRPr="00496063">
        <w:rPr>
          <w:lang w:val="el-GR"/>
        </w:rPr>
        <w:t>Δ</w:t>
      </w:r>
      <w:r w:rsidRPr="00496063">
        <w:t>\Delta</w:t>
      </w:r>
      <w:r w:rsidRPr="00496063">
        <w:rPr>
          <w:lang w:val="el-GR"/>
        </w:rPr>
        <w:t>Δ</w:t>
      </w:r>
      <w:r w:rsidRPr="00496063">
        <w:t>SASA) stabilizes ranks across engines, reduces false positives from rigid docking, and yields terms that map cleanly onto physical intuition.</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0" style="width:0;height:1.5pt" o:hralign="center" o:hrstd="t" o:hr="t" fillcolor="#a0a0a0" stroked="f"/>
        </w:pict>
      </w:r>
    </w:p>
    <w:p w:rsidR="00496063" w:rsidRPr="00496063" w:rsidRDefault="00496063" w:rsidP="00496063">
      <w:pPr>
        <w:jc w:val="left"/>
        <w:outlineLvl w:val="1"/>
        <w:rPr>
          <w:b/>
          <w:bCs/>
          <w:sz w:val="36"/>
          <w:szCs w:val="36"/>
        </w:rPr>
      </w:pPr>
      <w:r w:rsidRPr="00496063">
        <w:rPr>
          <w:b/>
          <w:bCs/>
          <w:sz w:val="36"/>
          <w:szCs w:val="36"/>
        </w:rPr>
        <w:t>6.4. Systems-level corroboration in a hybrid quantum circuit</w:t>
      </w:r>
    </w:p>
    <w:p w:rsidR="00496063" w:rsidRPr="00496063" w:rsidRDefault="00496063" w:rsidP="00496063">
      <w:pPr>
        <w:jc w:val="left"/>
        <w:outlineLvl w:val="9"/>
        <w:rPr>
          <w:lang w:val="el-GR"/>
        </w:rPr>
      </w:pPr>
      <w:r w:rsidRPr="00496063">
        <w:rPr>
          <w:b/>
          <w:bCs/>
        </w:rPr>
        <w:t>Goal.</w:t>
      </w:r>
      <w:r w:rsidRPr="00496063">
        <w:t xml:space="preserve"> Tie pocket-level predictions to tissue-level behavior during wound repair. I (i) enforce library diversity (Sec. 6.2), (ii) rank/refine with burial-aware energetics (Sec. 6.3), (iii) evolve candidates in a curvature-aware pharmacophoric ODE, and (iv) test that these choices push fibrocyte/ECM subnetworks toward a pro-repair regime—measured by synergy (CSI), regulated plasticity (MRH), and reduced signaling noise (</w:t>
      </w:r>
      <w:r w:rsidRPr="00496063">
        <w:rPr>
          <w:lang w:val="el-GR"/>
        </w:rPr>
        <w:t>Δ</w:t>
      </w:r>
      <w:r w:rsidRPr="00496063">
        <w:t>\Delta</w:t>
      </w:r>
      <w:r w:rsidRPr="00496063">
        <w:rPr>
          <w:lang w:val="el-GR"/>
        </w:rPr>
        <w:t>Δ</w:t>
      </w:r>
      <w:r w:rsidRPr="00496063">
        <w:t xml:space="preserve">GSE). A lightweight hybrid quantum layer acts as a gate/accelerator where beneficial, following standard variational/QAOA–kernel paradigms. </w:t>
      </w:r>
      <w:r w:rsidRPr="00496063">
        <w:rPr>
          <w:lang w:val="el-GR"/>
        </w:rPr>
        <w:t>[118–124,133–135]</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1" style="width:0;height:1.5pt" o:hralign="center" o:hrstd="t" o:hr="t" fillcolor="#a0a0a0" stroked="f"/>
        </w:pict>
      </w:r>
    </w:p>
    <w:p w:rsidR="00496063" w:rsidRPr="00496063" w:rsidRDefault="00496063" w:rsidP="00496063">
      <w:pPr>
        <w:jc w:val="left"/>
        <w:rPr>
          <w:b/>
          <w:bCs/>
          <w:sz w:val="27"/>
          <w:szCs w:val="27"/>
        </w:rPr>
      </w:pPr>
      <w:r w:rsidRPr="00496063">
        <w:rPr>
          <w:b/>
          <w:bCs/>
          <w:sz w:val="27"/>
          <w:szCs w:val="27"/>
        </w:rPr>
        <w:t>From molecules to subnetworks</w:t>
      </w:r>
    </w:p>
    <w:p w:rsidR="00496063" w:rsidRPr="00496063" w:rsidRDefault="00496063" w:rsidP="00496063">
      <w:pPr>
        <w:jc w:val="left"/>
        <w:outlineLvl w:val="9"/>
      </w:pPr>
      <w:r w:rsidRPr="00496063">
        <w:t>Starting from a wound-healing PPI “district” (e.g., curated from STRING; typically hundreds of proteins and 10410^4104–10510^5105 edges with high clustering/modularity), I extract fibrocyte-centric and ECM-centric subgraphs and score treatments along three axes. [85–87]</w:t>
      </w:r>
    </w:p>
    <w:p w:rsidR="00496063" w:rsidRPr="00496063" w:rsidRDefault="00496063" w:rsidP="00496063">
      <w:pPr>
        <w:jc w:val="left"/>
        <w:outlineLvl w:val="9"/>
      </w:pPr>
      <w:r w:rsidRPr="00496063">
        <w:rPr>
          <w:b/>
          <w:bCs/>
        </w:rPr>
        <w:t>(i) Combination synergy (Bliss independence)</w:t>
      </w:r>
      <w:r w:rsidRPr="00496063">
        <w:br/>
        <w:t>For single-agent fractional effects EjE_jEj​ and observed combo effect EobsE_{\text{obs}}Eobs​,</w:t>
      </w:r>
    </w:p>
    <w:p w:rsidR="00496063" w:rsidRPr="00496063" w:rsidRDefault="00496063" w:rsidP="00496063">
      <w:pPr>
        <w:spacing w:before="0" w:beforeAutospacing="0" w:after="0" w:afterAutospacing="0"/>
        <w:jc w:val="left"/>
        <w:outlineLvl w:val="9"/>
      </w:pPr>
      <w:r w:rsidRPr="00496063">
        <w:t xml:space="preserve">Epred=1−∏j(1−Ej),CSI=EobsEpred(11)\boxed{E_{\text{pred}}=1-\prod_j(1-E_j)},\qquad \boxed{\text{CSI}=\frac{E_{\text{obs}}}{E_{\text{pred}}}} \tag{11}Epred​=1−j∏​(1−Ej​)​,CSI=Epred​Eobs​​​(11) </w:t>
      </w:r>
    </w:p>
    <w:p w:rsidR="00496063" w:rsidRPr="00496063" w:rsidRDefault="00496063" w:rsidP="00496063">
      <w:pPr>
        <w:jc w:val="left"/>
        <w:outlineLvl w:val="9"/>
      </w:pPr>
      <w:r w:rsidRPr="00496063">
        <w:t>CSI&gt;1\text{CSI}&gt;1CSI&gt;1 indicates supra-additivity (synergy). Bliss independence and related frameworks remain reference standards for combination profiling. [115,197]</w:t>
      </w:r>
    </w:p>
    <w:p w:rsidR="00496063" w:rsidRPr="00496063" w:rsidRDefault="00496063" w:rsidP="00496063">
      <w:pPr>
        <w:jc w:val="left"/>
        <w:outlineLvl w:val="9"/>
      </w:pPr>
      <w:r w:rsidRPr="00496063">
        <w:rPr>
          <w:b/>
          <w:bCs/>
        </w:rPr>
        <w:t>(ii) Mean Residual Heterogeneity (MRH)</w:t>
      </w:r>
      <w:r w:rsidRPr="00496063">
        <w:br/>
        <w:t>Let each cell iii be represented by program proportions pigp_{ig}pig​ (e.g., NMF/“gene programs”), with program entropy Hi=−∑gpiglog⁡pigH_i=-\sum_g p_{ig}\log p_{ig}Hi​=−∑g​pig​logpig​. Standardize the bulk value:</w:t>
      </w:r>
    </w:p>
    <w:p w:rsidR="00496063" w:rsidRPr="00496063" w:rsidRDefault="00496063" w:rsidP="00496063">
      <w:pPr>
        <w:spacing w:before="0" w:beforeAutospacing="0" w:after="0" w:afterAutospacing="0"/>
        <w:jc w:val="left"/>
        <w:outlineLvl w:val="9"/>
      </w:pPr>
      <w:r w:rsidRPr="00496063">
        <w:t>MRH=Hbulk−</w:t>
      </w:r>
      <w:r w:rsidRPr="00496063">
        <w:rPr>
          <w:lang w:val="el-GR"/>
        </w:rPr>
        <w:t>μσ</w:t>
      </w:r>
      <w:r w:rsidRPr="00496063">
        <w:t>(12)\boxed{\text{MRH}=\frac{H_{\text{bulk}}-\mu}{\sigma}} \tag{12}MRH=</w:t>
      </w:r>
      <w:r w:rsidRPr="00496063">
        <w:rPr>
          <w:lang w:val="el-GR"/>
        </w:rPr>
        <w:t>σ</w:t>
      </w:r>
      <w:r w:rsidRPr="00496063">
        <w:t>Hbulk​−</w:t>
      </w:r>
      <w:r w:rsidRPr="00496063">
        <w:rPr>
          <w:lang w:val="el-GR"/>
        </w:rPr>
        <w:t>μ</w:t>
      </w:r>
      <w:r w:rsidRPr="00496063">
        <w:t xml:space="preserve">​​(12) </w:t>
      </w:r>
    </w:p>
    <w:p w:rsidR="00496063" w:rsidRPr="00496063" w:rsidRDefault="00496063" w:rsidP="00496063">
      <w:pPr>
        <w:jc w:val="left"/>
        <w:outlineLvl w:val="9"/>
      </w:pPr>
      <w:r w:rsidRPr="00496063">
        <w:t>Program inference and single-cell integration follow common workflows. [94–96]</w:t>
      </w:r>
    </w:p>
    <w:p w:rsidR="00496063" w:rsidRPr="00496063" w:rsidRDefault="00496063" w:rsidP="00496063">
      <w:pPr>
        <w:jc w:val="left"/>
        <w:outlineLvl w:val="9"/>
      </w:pPr>
      <w:r w:rsidRPr="00496063">
        <w:rPr>
          <w:b/>
          <w:bCs/>
        </w:rPr>
        <w:t>(iii) Graph Structural Entropy (GSE)</w:t>
      </w:r>
      <w:r w:rsidRPr="00496063">
        <w:br/>
        <w:t xml:space="preserve">With node occupancy </w:t>
      </w:r>
      <w:r w:rsidRPr="00496063">
        <w:rPr>
          <w:lang w:val="el-GR"/>
        </w:rPr>
        <w:t>π</w:t>
      </w:r>
      <w:r w:rsidRPr="00496063">
        <w:t>v\pi_v</w:t>
      </w:r>
      <w:r w:rsidRPr="00496063">
        <w:rPr>
          <w:lang w:val="el-GR"/>
        </w:rPr>
        <w:t>π</w:t>
      </w:r>
      <w:r w:rsidRPr="00496063">
        <w:t>v​ (e.g., degree-weighted or random-walk stationary distribution),</w:t>
      </w:r>
    </w:p>
    <w:p w:rsidR="00496063" w:rsidRPr="00496063" w:rsidRDefault="00496063" w:rsidP="00496063">
      <w:pPr>
        <w:spacing w:before="0" w:beforeAutospacing="0" w:after="0" w:afterAutospacing="0"/>
        <w:jc w:val="left"/>
        <w:outlineLvl w:val="9"/>
      </w:pPr>
      <w:r w:rsidRPr="00496063">
        <w:t>GSE=−∑v</w:t>
      </w:r>
      <w:r w:rsidRPr="00496063">
        <w:rPr>
          <w:lang w:val="el-GR"/>
        </w:rPr>
        <w:t>π</w:t>
      </w:r>
      <w:r w:rsidRPr="00496063">
        <w:t>vlog⁡</w:t>
      </w:r>
      <w:r w:rsidRPr="00496063">
        <w:rPr>
          <w:lang w:val="el-GR"/>
        </w:rPr>
        <w:t>π</w:t>
      </w:r>
      <w:r w:rsidRPr="00496063">
        <w:t>v,</w:t>
      </w:r>
      <w:r w:rsidRPr="00496063">
        <w:rPr>
          <w:lang w:val="el-GR"/>
        </w:rPr>
        <w:t>Δ</w:t>
      </w:r>
      <w:r w:rsidRPr="00496063">
        <w:t>GSE=GSEtreat−GSEctrl(13)\boxed{\mathrm{GSE}=-\sum_v \pi_v \log \pi_v},\qquad \boxed{\Delta\mathrm{GSE}=\mathrm{GSE}_{\text{treat}}-\mathrm{GSE}_{\text{ctrl}}} \tag{13}GSE=−v∑​</w:t>
      </w:r>
      <w:r w:rsidRPr="00496063">
        <w:rPr>
          <w:lang w:val="el-GR"/>
        </w:rPr>
        <w:t>π</w:t>
      </w:r>
      <w:r w:rsidRPr="00496063">
        <w:t>v​log</w:t>
      </w:r>
      <w:r w:rsidRPr="00496063">
        <w:rPr>
          <w:lang w:val="el-GR"/>
        </w:rPr>
        <w:t>π</w:t>
      </w:r>
      <w:r w:rsidRPr="00496063">
        <w:t>v​​,</w:t>
      </w:r>
      <w:r w:rsidRPr="00496063">
        <w:rPr>
          <w:lang w:val="el-GR"/>
        </w:rPr>
        <w:t>Δ</w:t>
      </w:r>
      <w:r w:rsidRPr="00496063">
        <w:t xml:space="preserve">GSE=GSEtreat​−GSEctrl​​(13) </w:t>
      </w:r>
    </w:p>
    <w:p w:rsidR="00496063" w:rsidRPr="00496063" w:rsidRDefault="00496063" w:rsidP="00496063">
      <w:pPr>
        <w:jc w:val="left"/>
        <w:outlineLvl w:val="9"/>
      </w:pPr>
      <w:r w:rsidRPr="00496063">
        <w:t xml:space="preserve">Lower </w:t>
      </w:r>
      <w:r w:rsidRPr="00496063">
        <w:rPr>
          <w:lang w:val="el-GR"/>
        </w:rPr>
        <w:t>Δ</w:t>
      </w:r>
      <w:r w:rsidRPr="00496063">
        <w:t>\Delta</w:t>
      </w:r>
      <w:r w:rsidRPr="00496063">
        <w:rPr>
          <w:lang w:val="el-GR"/>
        </w:rPr>
        <w:t>Δ</w:t>
      </w:r>
      <w:r w:rsidRPr="00496063">
        <w:t>GSE indicates damped signaling noise and more ordered information flow on curated interaction/pathway graphs. [85–87,90,91]</w:t>
      </w:r>
    </w:p>
    <w:p w:rsidR="00496063" w:rsidRPr="00496063" w:rsidRDefault="00496063" w:rsidP="00496063">
      <w:pPr>
        <w:jc w:val="left"/>
        <w:outlineLvl w:val="9"/>
      </w:pPr>
      <w:r w:rsidRPr="00496063">
        <w:rPr>
          <w:b/>
          <w:bCs/>
        </w:rPr>
        <w:t>Data sources.</w:t>
      </w:r>
      <w:r w:rsidRPr="00496063">
        <w:t xml:space="preserve"> Single-cell and bulk wound transcriptomes (including targeted panels) provide the required EjE_jEj​, EobsE_{\text{obs}}Eobs​, pigp_{ig}pig​, and </w:t>
      </w:r>
      <w:r w:rsidRPr="00496063">
        <w:rPr>
          <w:lang w:val="el-GR"/>
        </w:rPr>
        <w:t>π</w:t>
      </w:r>
      <w:r w:rsidRPr="00496063">
        <w:t>v\pi_v</w:t>
      </w:r>
      <w:r w:rsidRPr="00496063">
        <w:rPr>
          <w:lang w:val="el-GR"/>
        </w:rPr>
        <w:t>π</w:t>
      </w:r>
      <w:r w:rsidRPr="00496063">
        <w:t>v​ on the same fibrocyte/ECM subnetworks. [94–96]</w:t>
      </w:r>
    </w:p>
    <w:p w:rsidR="00496063" w:rsidRPr="00496063" w:rsidRDefault="00496063" w:rsidP="00496063">
      <w:pPr>
        <w:jc w:val="left"/>
        <w:outlineLvl w:val="9"/>
      </w:pPr>
      <w:r w:rsidRPr="00496063">
        <w:rPr>
          <w:b/>
          <w:bCs/>
        </w:rPr>
        <w:t>Why it matters.</w:t>
      </w:r>
      <w:r w:rsidRPr="00496063">
        <w:t xml:space="preserve"> These systems-level readouts let us check that pocket-level physics produce coherent network-level shifts toward healing phenotypes (synergy ↑, controlled plasticity ↑, signaling noise ↓).</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2" style="width:0;height:1.5pt" o:hralign="center" o:hrstd="t" o:hr="t" fillcolor="#a0a0a0" stroked="f"/>
        </w:pict>
      </w:r>
    </w:p>
    <w:p w:rsidR="00496063" w:rsidRPr="00496063" w:rsidRDefault="00496063" w:rsidP="00496063">
      <w:pPr>
        <w:jc w:val="left"/>
        <w:rPr>
          <w:b/>
          <w:bCs/>
          <w:sz w:val="27"/>
          <w:szCs w:val="27"/>
        </w:rPr>
      </w:pPr>
      <w:r w:rsidRPr="00496063">
        <w:rPr>
          <w:b/>
          <w:bCs/>
          <w:sz w:val="27"/>
          <w:szCs w:val="27"/>
        </w:rPr>
        <w:t>Library entropy → physics → geometry (recap, with equations)</w:t>
      </w:r>
    </w:p>
    <w:p w:rsidR="00496063" w:rsidRPr="00496063" w:rsidRDefault="00496063" w:rsidP="00496063">
      <w:pPr>
        <w:jc w:val="left"/>
        <w:outlineLvl w:val="9"/>
      </w:pPr>
      <w:r w:rsidRPr="00496063">
        <w:rPr>
          <w:b/>
          <w:bCs/>
        </w:rPr>
        <w:t>Library breadth and fair sampling</w:t>
      </w:r>
      <w:r w:rsidRPr="00496063">
        <w:br/>
        <w:t>We hash compound features into bins B\mathcal BB (e.g., hashed ECFP/PaDEL descriptors) to obtain bin probabilities pbp_bpb​. [33,102–105] The library’s information content is the Shannon entropy:</w:t>
      </w:r>
    </w:p>
    <w:p w:rsidR="00496063" w:rsidRPr="00496063" w:rsidRDefault="00496063" w:rsidP="00496063">
      <w:pPr>
        <w:spacing w:before="0" w:beforeAutospacing="0" w:after="0" w:afterAutospacing="0"/>
        <w:jc w:val="left"/>
        <w:outlineLvl w:val="9"/>
      </w:pPr>
      <w:r w:rsidRPr="00496063">
        <w:t>Hlib=−∑b</w:t>
      </w:r>
      <w:r w:rsidRPr="00496063">
        <w:rPr>
          <w:rFonts w:ascii="Cambria Math" w:hAnsi="Cambria Math" w:cs="Cambria Math"/>
        </w:rPr>
        <w:t>∈</w:t>
      </w:r>
      <w:r w:rsidRPr="00496063">
        <w:t>Bpblog⁡pb(1)\boxed{H_{\text{lib}}=-\sum_{b\in\mathcal B} p_b\log p_b} \tag{1}Hlib​=−b</w:t>
      </w:r>
      <w:r w:rsidRPr="00496063">
        <w:rPr>
          <w:rFonts w:ascii="Cambria Math" w:hAnsi="Cambria Math" w:cs="Cambria Math"/>
        </w:rPr>
        <w:t>∈</w:t>
      </w:r>
      <w:r w:rsidRPr="00496063">
        <w:t xml:space="preserve">B∑​pb​logpb​​(1) </w:t>
      </w:r>
    </w:p>
    <w:p w:rsidR="00496063" w:rsidRPr="00496063" w:rsidRDefault="00496063" w:rsidP="00496063">
      <w:pPr>
        <w:jc w:val="left"/>
        <w:outlineLvl w:val="9"/>
      </w:pPr>
      <w:r w:rsidRPr="00496063">
        <w:t xml:space="preserve">To curb over-concentration, we also maximize Rényi entropy over </w:t>
      </w:r>
      <w:r w:rsidRPr="00496063">
        <w:rPr>
          <w:lang w:val="el-GR"/>
        </w:rPr>
        <w:t>α</w:t>
      </w:r>
      <w:r w:rsidRPr="00496063">
        <w:rPr>
          <w:rFonts w:ascii="Cambria Math" w:hAnsi="Cambria Math" w:cs="Cambria Math"/>
        </w:rPr>
        <w:t>∈</w:t>
      </w:r>
      <w:r w:rsidRPr="00496063">
        <w:t>[1.2,2]\alpha\in[1.2,2]</w:t>
      </w:r>
      <w:r w:rsidRPr="00496063">
        <w:rPr>
          <w:lang w:val="el-GR"/>
        </w:rPr>
        <w:t>α</w:t>
      </w:r>
      <w:r w:rsidRPr="00496063">
        <w:rPr>
          <w:rFonts w:ascii="Cambria Math" w:hAnsi="Cambria Math" w:cs="Cambria Math"/>
        </w:rPr>
        <w:t>∈</w:t>
      </w:r>
      <w:r w:rsidRPr="00496063">
        <w:t>[1.2,2]:</w:t>
      </w:r>
    </w:p>
    <w:p w:rsidR="00496063" w:rsidRPr="00496063" w:rsidRDefault="00496063" w:rsidP="00496063">
      <w:pPr>
        <w:spacing w:before="0" w:beforeAutospacing="0" w:after="0" w:afterAutospacing="0"/>
        <w:jc w:val="left"/>
        <w:outlineLvl w:val="9"/>
      </w:pPr>
      <w:r w:rsidRPr="00496063">
        <w:t>S</w:t>
      </w:r>
      <w:r w:rsidRPr="00496063">
        <w:rPr>
          <w:lang w:val="el-GR"/>
        </w:rPr>
        <w:t>α</w:t>
      </w:r>
      <w:r w:rsidRPr="00496063">
        <w:t>=11−</w:t>
      </w:r>
      <w:r w:rsidRPr="00496063">
        <w:rPr>
          <w:lang w:val="el-GR"/>
        </w:rPr>
        <w:t>α</w:t>
      </w:r>
      <w:r w:rsidRPr="00496063">
        <w:t>log⁡ ⁣(∑b</w:t>
      </w:r>
      <w:r w:rsidRPr="00496063">
        <w:rPr>
          <w:rFonts w:ascii="Cambria Math" w:hAnsi="Cambria Math" w:cs="Cambria Math"/>
        </w:rPr>
        <w:t>∈</w:t>
      </w:r>
      <w:r w:rsidRPr="00496063">
        <w:t>Bpb</w:t>
      </w:r>
      <w:r w:rsidRPr="00496063">
        <w:rPr>
          <w:lang w:val="el-GR"/>
        </w:rPr>
        <w:t>α</w:t>
      </w:r>
      <w:r w:rsidRPr="00496063">
        <w:t>),lim⁡</w:t>
      </w:r>
      <w:r w:rsidRPr="00496063">
        <w:rPr>
          <w:lang w:val="el-GR"/>
        </w:rPr>
        <w:t>α</w:t>
      </w:r>
      <w:r w:rsidRPr="00496063">
        <w:t>→1S</w:t>
      </w:r>
      <w:r w:rsidRPr="00496063">
        <w:rPr>
          <w:lang w:val="el-GR"/>
        </w:rPr>
        <w:t>α</w:t>
      </w:r>
      <w:r w:rsidRPr="00496063">
        <w:t>=Hlib.(2)\boxed{S_\alpha=\frac{1}{1-\alpha}\log\!\Big(\sum_{b\in\mathcal B} p_b^\alpha\Big)},\quad \lim_{\alpha\to1}S_\alpha=H_{\text{lib}}. \tag{2}S</w:t>
      </w:r>
      <w:r w:rsidRPr="00496063">
        <w:rPr>
          <w:lang w:val="el-GR"/>
        </w:rPr>
        <w:t>α</w:t>
      </w:r>
      <w:r w:rsidRPr="00496063">
        <w:t>​=1−</w:t>
      </w:r>
      <w:r w:rsidRPr="00496063">
        <w:rPr>
          <w:lang w:val="el-GR"/>
        </w:rPr>
        <w:t>α</w:t>
      </w:r>
      <w:r w:rsidRPr="00496063">
        <w:t>1​log(b</w:t>
      </w:r>
      <w:r w:rsidRPr="00496063">
        <w:rPr>
          <w:rFonts w:ascii="Cambria Math" w:hAnsi="Cambria Math" w:cs="Cambria Math"/>
        </w:rPr>
        <w:t>∈</w:t>
      </w:r>
      <w:r w:rsidRPr="00496063">
        <w:t>B∑​pb</w:t>
      </w:r>
      <w:r w:rsidRPr="00496063">
        <w:rPr>
          <w:lang w:val="el-GR"/>
        </w:rPr>
        <w:t>α</w:t>
      </w:r>
      <w:r w:rsidRPr="00496063">
        <w:t>​)​,</w:t>
      </w:r>
      <w:r w:rsidRPr="00496063">
        <w:rPr>
          <w:lang w:val="el-GR"/>
        </w:rPr>
        <w:t>α</w:t>
      </w:r>
      <w:r w:rsidRPr="00496063">
        <w:t>→1lim​S</w:t>
      </w:r>
      <w:r w:rsidRPr="00496063">
        <w:rPr>
          <w:lang w:val="el-GR"/>
        </w:rPr>
        <w:t>α</w:t>
      </w:r>
      <w:r w:rsidRPr="00496063">
        <w:t xml:space="preserve">​=Hlib​.(2) </w:t>
      </w:r>
    </w:p>
    <w:p w:rsidR="00496063" w:rsidRPr="00496063" w:rsidRDefault="00496063" w:rsidP="00496063">
      <w:pPr>
        <w:jc w:val="left"/>
        <w:outlineLvl w:val="9"/>
      </w:pPr>
      <w:r w:rsidRPr="00496063">
        <w:t>Candidates are admitted only if their marginal gain is positive:</w:t>
      </w:r>
    </w:p>
    <w:p w:rsidR="00496063" w:rsidRPr="00496063" w:rsidRDefault="00496063" w:rsidP="00496063">
      <w:pPr>
        <w:spacing w:before="0" w:beforeAutospacing="0" w:after="0" w:afterAutospacing="0"/>
        <w:jc w:val="left"/>
        <w:outlineLvl w:val="9"/>
      </w:pPr>
      <w:r w:rsidRPr="00496063">
        <w:rPr>
          <w:lang w:val="el-GR"/>
        </w:rPr>
        <w:t>Δ</w:t>
      </w:r>
      <w:r w:rsidRPr="00496063">
        <w:t>H(G\*)=H(S</w:t>
      </w:r>
      <w:r w:rsidRPr="00496063">
        <w:rPr>
          <w:rFonts w:ascii="Cambria Math" w:hAnsi="Cambria Math" w:cs="Cambria Math"/>
        </w:rPr>
        <w:t>∪</w:t>
      </w:r>
      <w:r w:rsidRPr="00496063">
        <w:t>{G\*})−H(S)(3)\boxed{\Delta H(G^\*)=H(\mathcal S\cup\{G^\*\})-H(\mathcal S)} \tag{3}</w:t>
      </w:r>
      <w:r w:rsidRPr="00496063">
        <w:rPr>
          <w:lang w:val="el-GR"/>
        </w:rPr>
        <w:t>Δ</w:t>
      </w:r>
      <w:r w:rsidRPr="00496063">
        <w:t>H(G\*)=H(S</w:t>
      </w:r>
      <w:r w:rsidRPr="00496063">
        <w:rPr>
          <w:rFonts w:ascii="Cambria Math" w:hAnsi="Cambria Math" w:cs="Cambria Math"/>
        </w:rPr>
        <w:t>∪</w:t>
      </w:r>
      <w:r w:rsidRPr="00496063">
        <w:t xml:space="preserve">{G\*})−H(S)​(3) </w:t>
      </w:r>
    </w:p>
    <w:p w:rsidR="00496063" w:rsidRPr="00496063" w:rsidRDefault="00496063" w:rsidP="00496063">
      <w:pPr>
        <w:jc w:val="left"/>
        <w:outlineLvl w:val="9"/>
      </w:pPr>
      <w:r w:rsidRPr="00496063">
        <w:t xml:space="preserve">Fairness across KKK bins is audited via a Pearson </w:t>
      </w:r>
      <w:r w:rsidRPr="00496063">
        <w:rPr>
          <w:lang w:val="el-GR"/>
        </w:rPr>
        <w:t>χ</w:t>
      </w:r>
      <w:r w:rsidRPr="00496063">
        <w:t>2\chi^2</w:t>
      </w:r>
      <w:r w:rsidRPr="00496063">
        <w:rPr>
          <w:lang w:val="el-GR"/>
        </w:rPr>
        <w:t>χ</w:t>
      </w:r>
      <w:r w:rsidRPr="00496063">
        <w:t>2 test against uniformity (95th-percentile cutoff):</w:t>
      </w:r>
    </w:p>
    <w:p w:rsidR="00496063" w:rsidRPr="00496063" w:rsidRDefault="00496063" w:rsidP="00496063">
      <w:pPr>
        <w:spacing w:before="0" w:beforeAutospacing="0" w:after="0" w:afterAutospacing="0"/>
        <w:jc w:val="left"/>
        <w:outlineLvl w:val="9"/>
        <w:rPr>
          <w:lang w:val="el-GR"/>
        </w:rPr>
      </w:pPr>
      <w:r w:rsidRPr="00496063">
        <w:rPr>
          <w:lang w:val="el-GR"/>
        </w:rPr>
        <w:t>χ</w:t>
      </w:r>
      <w:r w:rsidRPr="00496063">
        <w:t>2=∑k=1K(nk−n/K)2n/K≤</w:t>
      </w:r>
      <w:r w:rsidRPr="00496063">
        <w:rPr>
          <w:lang w:val="el-GR"/>
        </w:rPr>
        <w:t>τ</w:t>
      </w:r>
      <w:r w:rsidRPr="00496063">
        <w:t xml:space="preserve">.(4)\boxed{\chi^2=\sum_{k=1}^{K}\frac{(n_k-n/K)^2}{n/K}\le\tau}. </w:t>
      </w:r>
      <w:r w:rsidRPr="00496063">
        <w:rPr>
          <w:lang w:val="el-GR"/>
        </w:rPr>
        <w:t xml:space="preserve">\tag{4}χ2=k=1∑K​n/K(nk​−n/K)2​≤τ​.(4) </w:t>
      </w:r>
    </w:p>
    <w:p w:rsidR="00496063" w:rsidRPr="00496063" w:rsidRDefault="00496063" w:rsidP="00496063">
      <w:pPr>
        <w:jc w:val="left"/>
        <w:outlineLvl w:val="9"/>
        <w:rPr>
          <w:lang w:val="el-GR"/>
        </w:rPr>
      </w:pPr>
      <w:r w:rsidRPr="00496063">
        <w:rPr>
          <w:lang w:val="el-GR"/>
        </w:rPr>
        <w:t>[111]</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3" style="width:0;height:1.5pt" o:hralign="center" o:hrstd="t" o:hr="t" fillcolor="#a0a0a0" stroked="f"/>
        </w:pict>
      </w:r>
    </w:p>
    <w:p w:rsidR="00496063" w:rsidRPr="00496063" w:rsidRDefault="00496063" w:rsidP="00496063">
      <w:pPr>
        <w:jc w:val="left"/>
        <w:rPr>
          <w:b/>
          <w:bCs/>
          <w:sz w:val="27"/>
          <w:szCs w:val="27"/>
        </w:rPr>
      </w:pPr>
      <w:r w:rsidRPr="00496063">
        <w:rPr>
          <w:b/>
          <w:bCs/>
          <w:sz w:val="27"/>
          <w:szCs w:val="27"/>
        </w:rPr>
        <w:t>Energetic ranking with explicit burial</w:t>
      </w:r>
    </w:p>
    <w:p w:rsidR="00496063" w:rsidRPr="00496063" w:rsidRDefault="00496063" w:rsidP="00496063">
      <w:pPr>
        <w:jc w:val="left"/>
        <w:outlineLvl w:val="9"/>
      </w:pPr>
      <w:r w:rsidRPr="00496063">
        <w:t>Pose sets from consensus docking are briefly relaxed by MD and rescored by an MM–PBSA-like end-point estimator:</w:t>
      </w:r>
    </w:p>
    <w:p w:rsidR="00496063" w:rsidRPr="00496063" w:rsidRDefault="00496063" w:rsidP="00496063">
      <w:pPr>
        <w:spacing w:before="0" w:beforeAutospacing="0" w:after="0" w:afterAutospacing="0"/>
        <w:jc w:val="left"/>
        <w:outlineLvl w:val="9"/>
      </w:pPr>
      <w:r w:rsidRPr="00496063">
        <w:rPr>
          <w:lang w:val="el-GR"/>
        </w:rPr>
        <w:t>Δ</w:t>
      </w:r>
      <w:r w:rsidRPr="00496063">
        <w:t>GMM–PBSA=</w:t>
      </w:r>
      <w:r w:rsidRPr="00496063">
        <w:rPr>
          <w:rFonts w:ascii="Cambria Math" w:hAnsi="Cambria Math" w:cs="Cambria Math"/>
          <w:lang w:val="el-GR"/>
        </w:rPr>
        <w:t>⟨</w:t>
      </w:r>
      <w:r w:rsidRPr="00496063">
        <w:t>EMM+Gsolv−TSconf</w:t>
      </w:r>
      <w:r w:rsidRPr="00496063">
        <w:rPr>
          <w:rFonts w:ascii="Cambria Math" w:hAnsi="Cambria Math" w:cs="Cambria Math"/>
          <w:lang w:val="el-GR"/>
        </w:rPr>
        <w:t>⟩</w:t>
      </w:r>
      <w:r w:rsidRPr="00496063">
        <w:t>C−</w:t>
      </w:r>
      <w:r w:rsidRPr="00496063">
        <w:rPr>
          <w:rFonts w:ascii="Cambria Math" w:hAnsi="Cambria Math" w:cs="Cambria Math"/>
          <w:lang w:val="el-GR"/>
        </w:rPr>
        <w:t>⟨</w:t>
      </w:r>
      <w:r w:rsidRPr="00496063">
        <w:rPr>
          <w:rFonts w:ascii="Cambria Math" w:hAnsi="Cambria Math" w:cs="Cambria Math"/>
        </w:rPr>
        <w:t>⋅</w:t>
      </w:r>
      <w:r w:rsidRPr="00496063">
        <w:rPr>
          <w:rFonts w:ascii="Cambria Math" w:hAnsi="Cambria Math" w:cs="Cambria Math"/>
          <w:lang w:val="el-GR"/>
        </w:rPr>
        <w:t>⟩</w:t>
      </w:r>
      <w:r w:rsidRPr="00496063">
        <w:t>R−</w:t>
      </w:r>
      <w:r w:rsidRPr="00496063">
        <w:rPr>
          <w:rFonts w:ascii="Cambria Math" w:hAnsi="Cambria Math" w:cs="Cambria Math"/>
          <w:lang w:val="el-GR"/>
        </w:rPr>
        <w:t>⟨</w:t>
      </w:r>
      <w:r w:rsidRPr="00496063">
        <w:rPr>
          <w:rFonts w:ascii="Cambria Math" w:hAnsi="Cambria Math" w:cs="Cambria Math"/>
        </w:rPr>
        <w:t>⋅</w:t>
      </w:r>
      <w:r w:rsidRPr="00496063">
        <w:rPr>
          <w:rFonts w:ascii="Cambria Math" w:hAnsi="Cambria Math" w:cs="Cambria Math"/>
          <w:lang w:val="el-GR"/>
        </w:rPr>
        <w:t>⟩</w:t>
      </w:r>
      <w:r w:rsidRPr="00496063">
        <w:t>L(5)\boxed{\Delta G_{\text{MM–PBSA}}=\langle E_{\text{MM}}+G_{\text{solv}}-T S_{\text{conf}}\rangle_C-\langle\cdot\rangle_R-\langle\cdot\rangle_L} \tag{5}</w:t>
      </w:r>
      <w:r w:rsidRPr="00496063">
        <w:rPr>
          <w:lang w:val="el-GR"/>
        </w:rPr>
        <w:t>Δ</w:t>
      </w:r>
      <w:r w:rsidRPr="00496063">
        <w:t>GMM–PBSA​=</w:t>
      </w:r>
      <w:r w:rsidRPr="00496063">
        <w:rPr>
          <w:rFonts w:ascii="Cambria Math" w:hAnsi="Cambria Math" w:cs="Cambria Math"/>
          <w:lang w:val="el-GR"/>
        </w:rPr>
        <w:t>⟨</w:t>
      </w:r>
      <w:r w:rsidRPr="00496063">
        <w:t>EMM​+Gsolv​−TSconf​</w:t>
      </w:r>
      <w:r w:rsidRPr="00496063">
        <w:rPr>
          <w:rFonts w:ascii="Cambria Math" w:hAnsi="Cambria Math" w:cs="Cambria Math"/>
          <w:lang w:val="el-GR"/>
        </w:rPr>
        <w:t>⟩</w:t>
      </w:r>
      <w:r w:rsidRPr="00496063">
        <w:t>C​−</w:t>
      </w:r>
      <w:r w:rsidRPr="00496063">
        <w:rPr>
          <w:rFonts w:ascii="Cambria Math" w:hAnsi="Cambria Math" w:cs="Cambria Math"/>
          <w:lang w:val="el-GR"/>
        </w:rPr>
        <w:t>⟨</w:t>
      </w:r>
      <w:r w:rsidRPr="00496063">
        <w:rPr>
          <w:rFonts w:ascii="Cambria Math" w:hAnsi="Cambria Math" w:cs="Cambria Math"/>
        </w:rPr>
        <w:t>⋅</w:t>
      </w:r>
      <w:r w:rsidRPr="00496063">
        <w:rPr>
          <w:rFonts w:ascii="Cambria Math" w:hAnsi="Cambria Math" w:cs="Cambria Math"/>
          <w:lang w:val="el-GR"/>
        </w:rPr>
        <w:t>⟩</w:t>
      </w:r>
      <w:r w:rsidRPr="00496063">
        <w:t>R​−</w:t>
      </w:r>
      <w:r w:rsidRPr="00496063">
        <w:rPr>
          <w:rFonts w:ascii="Cambria Math" w:hAnsi="Cambria Math" w:cs="Cambria Math"/>
          <w:lang w:val="el-GR"/>
        </w:rPr>
        <w:t>⟨</w:t>
      </w:r>
      <w:r w:rsidRPr="00496063">
        <w:rPr>
          <w:rFonts w:ascii="Cambria Math" w:hAnsi="Cambria Math" w:cs="Cambria Math"/>
        </w:rPr>
        <w:t>⋅</w:t>
      </w:r>
      <w:r w:rsidRPr="00496063">
        <w:rPr>
          <w:rFonts w:ascii="Cambria Math" w:hAnsi="Cambria Math" w:cs="Cambria Math"/>
          <w:lang w:val="el-GR"/>
        </w:rPr>
        <w:t>⟩</w:t>
      </w:r>
      <w:r w:rsidRPr="00496063">
        <w:t xml:space="preserve">L​​(5) </w:t>
      </w:r>
    </w:p>
    <w:p w:rsidR="00496063" w:rsidRPr="00496063" w:rsidRDefault="00496063" w:rsidP="00496063">
      <w:pPr>
        <w:jc w:val="left"/>
        <w:outlineLvl w:val="9"/>
      </w:pPr>
      <w:r w:rsidRPr="00496063">
        <w:t>[54–56,59,70,71,181]</w:t>
      </w:r>
      <w:r w:rsidRPr="00496063">
        <w:br/>
        <w:t>To encode hydrophobic burial explicitly, add a SASA-linear nonpolar term:</w:t>
      </w:r>
    </w:p>
    <w:p w:rsidR="00496063" w:rsidRPr="00496063" w:rsidRDefault="00496063" w:rsidP="00496063">
      <w:pPr>
        <w:spacing w:before="0" w:beforeAutospacing="0" w:after="0" w:afterAutospacing="0"/>
        <w:jc w:val="left"/>
        <w:outlineLvl w:val="9"/>
      </w:pPr>
      <w:r w:rsidRPr="00496063">
        <w:rPr>
          <w:lang w:val="el-GR"/>
        </w:rPr>
        <w:t>Δ</w:t>
      </w:r>
      <w:r w:rsidRPr="00496063">
        <w:t>Gnp=</w:t>
      </w:r>
      <w:r w:rsidRPr="00496063">
        <w:rPr>
          <w:lang w:val="el-GR"/>
        </w:rPr>
        <w:t>γ</w:t>
      </w:r>
      <w:r w:rsidRPr="00496063">
        <w:t> </w:t>
      </w:r>
      <w:r w:rsidRPr="00496063">
        <w:rPr>
          <w:lang w:val="el-GR"/>
        </w:rPr>
        <w:t>Δ</w:t>
      </w:r>
      <w:r w:rsidRPr="00496063">
        <w:t>SASA,</w:t>
      </w:r>
      <w:r w:rsidRPr="00496063">
        <w:rPr>
          <w:lang w:val="el-GR"/>
        </w:rPr>
        <w:t>Δ</w:t>
      </w:r>
      <w:r w:rsidRPr="00496063">
        <w:t>SASA=SASAC−SASAR−SASAL, </w:t>
      </w:r>
      <w:r w:rsidRPr="00496063">
        <w:rPr>
          <w:lang w:val="el-GR"/>
        </w:rPr>
        <w:t>γ</w:t>
      </w:r>
      <w:r w:rsidRPr="00496063">
        <w:t>≈5×10−3 kcal mol−1 A˚−2.(6)\boxed{\Delta G_{\text{np}}=\gamma\,\Delta\mathrm{SASA}},\quad \Delta\mathrm{SASA}=\mathrm{SASA}_C-\mathrm{SASA}_R-\mathrm{SASA}_L,\ \gamma\approx 5\times10^{-3}\ \mathrm{kcal\,mol^{-1}\,\AA^{-2}}. \tag{6}</w:t>
      </w:r>
      <w:r w:rsidRPr="00496063">
        <w:rPr>
          <w:lang w:val="el-GR"/>
        </w:rPr>
        <w:t>Δ</w:t>
      </w:r>
      <w:r w:rsidRPr="00496063">
        <w:t>Gnp​=</w:t>
      </w:r>
      <w:r w:rsidRPr="00496063">
        <w:rPr>
          <w:lang w:val="el-GR"/>
        </w:rPr>
        <w:t>γΔ</w:t>
      </w:r>
      <w:r w:rsidRPr="00496063">
        <w:t>SASA​,</w:t>
      </w:r>
      <w:r w:rsidRPr="00496063">
        <w:rPr>
          <w:lang w:val="el-GR"/>
        </w:rPr>
        <w:t>Δ</w:t>
      </w:r>
      <w:r w:rsidRPr="00496063">
        <w:t>SASA=SASAC​−SASAR​−SASAL​, </w:t>
      </w:r>
      <w:r w:rsidRPr="00496063">
        <w:rPr>
          <w:lang w:val="el-GR"/>
        </w:rPr>
        <w:t>γ</w:t>
      </w:r>
      <w:r w:rsidRPr="00496063">
        <w:t xml:space="preserve">≈5×10−3 kcalmol−1A˚−2.(6) </w:t>
      </w:r>
    </w:p>
    <w:p w:rsidR="00496063" w:rsidRPr="00496063" w:rsidRDefault="00496063" w:rsidP="00496063">
      <w:pPr>
        <w:jc w:val="left"/>
        <w:outlineLvl w:val="9"/>
      </w:pPr>
      <w:r w:rsidRPr="00496063">
        <w:t>[67–69,70,71]</w:t>
      </w:r>
      <w:r w:rsidRPr="00496063">
        <w:br/>
        <w:t>Total rank score:</w:t>
      </w:r>
    </w:p>
    <w:p w:rsidR="00496063" w:rsidRPr="00496063" w:rsidRDefault="00496063" w:rsidP="00496063">
      <w:pPr>
        <w:spacing w:before="0" w:beforeAutospacing="0" w:after="0" w:afterAutospacing="0"/>
        <w:jc w:val="left"/>
        <w:outlineLvl w:val="9"/>
      </w:pPr>
      <w:r w:rsidRPr="00496063">
        <w:rPr>
          <w:lang w:val="el-GR"/>
        </w:rPr>
        <w:t>Δ</w:t>
      </w:r>
      <w:r w:rsidRPr="00496063">
        <w:t>Gtot=</w:t>
      </w:r>
      <w:r w:rsidRPr="00496063">
        <w:rPr>
          <w:lang w:val="el-GR"/>
        </w:rPr>
        <w:t>Δ</w:t>
      </w:r>
      <w:r w:rsidRPr="00496063">
        <w:t>GMM–PBSA+</w:t>
      </w:r>
      <w:r w:rsidRPr="00496063">
        <w:rPr>
          <w:lang w:val="el-GR"/>
        </w:rPr>
        <w:t>Δ</w:t>
      </w:r>
      <w:r w:rsidRPr="00496063">
        <w:t>Gnp.(7)\boxed{\Delta G_{\text{tot}}=\Delta G_{\text{MM–PBSA}}+\Delta G_{\text{np}}}. \tag{7}</w:t>
      </w:r>
      <w:r w:rsidRPr="00496063">
        <w:rPr>
          <w:lang w:val="el-GR"/>
        </w:rPr>
        <w:t>Δ</w:t>
      </w:r>
      <w:r w:rsidRPr="00496063">
        <w:t>Gtot​=</w:t>
      </w:r>
      <w:r w:rsidRPr="00496063">
        <w:rPr>
          <w:lang w:val="el-GR"/>
        </w:rPr>
        <w:t>Δ</w:t>
      </w:r>
      <w:r w:rsidRPr="00496063">
        <w:t>GMM–PBSA​+</w:t>
      </w:r>
      <w:r w:rsidRPr="00496063">
        <w:rPr>
          <w:lang w:val="el-GR"/>
        </w:rPr>
        <w:t>Δ</w:t>
      </w:r>
      <w:r w:rsidRPr="00496063">
        <w:t xml:space="preserve">Gnp​​.(7) </w:t>
      </w:r>
    </w:p>
    <w:p w:rsidR="00496063" w:rsidRPr="00496063" w:rsidRDefault="00496063" w:rsidP="00496063">
      <w:pPr>
        <w:jc w:val="left"/>
        <w:outlineLvl w:val="9"/>
      </w:pPr>
      <w:r w:rsidRPr="00496063">
        <w:t>This linear correction favors compact ligands that bury nonpolar area in concave, hydrated subsites without disrupting H-bond geometry—precisely the microenvironments implicated for collagenolytic proteases.</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4" style="width:0;height:1.5pt" o:hralign="center" o:hrstd="t" o:hr="t" fillcolor="#a0a0a0" stroked="f"/>
        </w:pict>
      </w:r>
    </w:p>
    <w:p w:rsidR="00496063" w:rsidRPr="00496063" w:rsidRDefault="00496063" w:rsidP="00496063">
      <w:pPr>
        <w:jc w:val="left"/>
        <w:rPr>
          <w:b/>
          <w:bCs/>
          <w:sz w:val="27"/>
          <w:szCs w:val="27"/>
        </w:rPr>
      </w:pPr>
      <w:r w:rsidRPr="00496063">
        <w:rPr>
          <w:b/>
          <w:bCs/>
          <w:sz w:val="27"/>
          <w:szCs w:val="27"/>
        </w:rPr>
        <w:t>Geometry-aware neural ODE evolution</w:t>
      </w:r>
    </w:p>
    <w:p w:rsidR="00496063" w:rsidRPr="00496063" w:rsidRDefault="00496063" w:rsidP="00496063">
      <w:pPr>
        <w:jc w:val="left"/>
        <w:outlineLvl w:val="9"/>
      </w:pPr>
      <w:r w:rsidRPr="00496063">
        <w:t>Each candidate is represented as a coupled graph–pose–pharmacophore state</w:t>
      </w:r>
    </w:p>
    <w:p w:rsidR="00496063" w:rsidRPr="00496063" w:rsidRDefault="00496063" w:rsidP="00496063">
      <w:pPr>
        <w:spacing w:before="0" w:beforeAutospacing="0" w:after="0" w:afterAutospacing="0"/>
        <w:jc w:val="left"/>
        <w:outlineLvl w:val="9"/>
      </w:pPr>
      <w:r w:rsidRPr="00496063">
        <w:t>xt=(Gt,Pt,</w:t>
      </w:r>
      <w:r w:rsidRPr="00496063">
        <w:rPr>
          <w:lang w:val="el-GR"/>
        </w:rPr>
        <w:t>Π</w:t>
      </w:r>
      <w:r w:rsidRPr="00496063">
        <w:t>t)(8)\boxed{x_t=(G_t, P_t, \Pi_t)} \tag{8}xt​=(Gt​,Pt​,</w:t>
      </w:r>
      <w:r w:rsidRPr="00496063">
        <w:rPr>
          <w:lang w:val="el-GR"/>
        </w:rPr>
        <w:t>Π</w:t>
      </w:r>
      <w:r w:rsidRPr="00496063">
        <w:t xml:space="preserve">t​)​(8) </w:t>
      </w:r>
    </w:p>
    <w:p w:rsidR="00496063" w:rsidRPr="00496063" w:rsidRDefault="00496063" w:rsidP="00496063">
      <w:pPr>
        <w:jc w:val="left"/>
        <w:outlineLvl w:val="9"/>
      </w:pPr>
      <w:r w:rsidRPr="00496063">
        <w:t>that evolves under a neural ODE,</w:t>
      </w:r>
    </w:p>
    <w:p w:rsidR="00496063" w:rsidRPr="00496063" w:rsidRDefault="00496063" w:rsidP="00496063">
      <w:pPr>
        <w:spacing w:before="0" w:beforeAutospacing="0" w:after="0" w:afterAutospacing="0"/>
        <w:jc w:val="left"/>
        <w:outlineLvl w:val="9"/>
      </w:pPr>
      <w:r w:rsidRPr="00496063">
        <w:t>x˙t=f</w:t>
      </w:r>
      <w:r w:rsidRPr="00496063">
        <w:rPr>
          <w:lang w:val="el-GR"/>
        </w:rPr>
        <w:t>θ</w:t>
      </w:r>
      <w:r w:rsidRPr="00496063">
        <w:t>(xt,t).(9)\boxed{\dot x_t=f_\theta(x_t,t)}. \tag{9}x˙t​=f</w:t>
      </w:r>
      <w:r w:rsidRPr="00496063">
        <w:rPr>
          <w:lang w:val="el-GR"/>
        </w:rPr>
        <w:t>θ</w:t>
      </w:r>
      <w:r w:rsidRPr="00496063">
        <w:t xml:space="preserve">​(xt​,t)​.(9) </w:t>
      </w:r>
    </w:p>
    <w:p w:rsidR="00496063" w:rsidRPr="00496063" w:rsidRDefault="00496063" w:rsidP="00496063">
      <w:pPr>
        <w:jc w:val="left"/>
        <w:outlineLvl w:val="9"/>
      </w:pPr>
      <w:r w:rsidRPr="00496063">
        <w:t>Pocket surface mean and Gaussian curvatures bias the flow toward concave regions that support tight packing and favorable hydration:</w:t>
      </w:r>
    </w:p>
    <w:p w:rsidR="00496063" w:rsidRPr="00496063" w:rsidRDefault="00496063" w:rsidP="00496063">
      <w:pPr>
        <w:spacing w:before="0" w:beforeAutospacing="0" w:after="0" w:afterAutospacing="0"/>
        <w:jc w:val="left"/>
        <w:outlineLvl w:val="9"/>
      </w:pPr>
      <w:r w:rsidRPr="00496063">
        <w:t>H=12(</w:t>
      </w:r>
      <w:r w:rsidRPr="00496063">
        <w:rPr>
          <w:lang w:val="el-GR"/>
        </w:rPr>
        <w:t>κ</w:t>
      </w:r>
      <w:r w:rsidRPr="00496063">
        <w:t>1+</w:t>
      </w:r>
      <w:r w:rsidRPr="00496063">
        <w:rPr>
          <w:lang w:val="el-GR"/>
        </w:rPr>
        <w:t>κ</w:t>
      </w:r>
      <w:r w:rsidRPr="00496063">
        <w:t>2),K=</w:t>
      </w:r>
      <w:r w:rsidRPr="00496063">
        <w:rPr>
          <w:lang w:val="el-GR"/>
        </w:rPr>
        <w:t>κ</w:t>
      </w:r>
      <w:r w:rsidRPr="00496063">
        <w:t>1</w:t>
      </w:r>
      <w:r w:rsidRPr="00496063">
        <w:rPr>
          <w:lang w:val="el-GR"/>
        </w:rPr>
        <w:t>κ</w:t>
      </w:r>
      <w:r w:rsidRPr="00496063">
        <w:t>2.(9a)\boxed{H=\tfrac12(\kappa_1+\kappa_2)},\qquad \boxed{K=\kappa_1\kappa_2}. \tag{9a}H=21​(</w:t>
      </w:r>
      <w:r w:rsidRPr="00496063">
        <w:rPr>
          <w:lang w:val="el-GR"/>
        </w:rPr>
        <w:t>κ</w:t>
      </w:r>
      <w:r w:rsidRPr="00496063">
        <w:t>1​+</w:t>
      </w:r>
      <w:r w:rsidRPr="00496063">
        <w:rPr>
          <w:lang w:val="el-GR"/>
        </w:rPr>
        <w:t>κ</w:t>
      </w:r>
      <w:r w:rsidRPr="00496063">
        <w:t>2​)​,K=</w:t>
      </w:r>
      <w:r w:rsidRPr="00496063">
        <w:rPr>
          <w:lang w:val="el-GR"/>
        </w:rPr>
        <w:t>κ</w:t>
      </w:r>
      <w:r w:rsidRPr="00496063">
        <w:t>1​</w:t>
      </w:r>
      <w:r w:rsidRPr="00496063">
        <w:rPr>
          <w:lang w:val="el-GR"/>
        </w:rPr>
        <w:t>κ</w:t>
      </w:r>
      <w:r w:rsidRPr="00496063">
        <w:t xml:space="preserve">2​​.(9a) </w:t>
      </w:r>
    </w:p>
    <w:p w:rsidR="00496063" w:rsidRPr="00496063" w:rsidRDefault="00496063" w:rsidP="00496063">
      <w:pPr>
        <w:jc w:val="left"/>
        <w:outlineLvl w:val="9"/>
      </w:pPr>
      <w:r w:rsidRPr="00496063">
        <w:t>Integration uses standard embedded Runge–Kutta updates; the objective balances physics, pharmacophore fit, information diversity, and developability:</w:t>
      </w:r>
    </w:p>
    <w:p w:rsidR="00496063" w:rsidRPr="00496063" w:rsidRDefault="00496063" w:rsidP="00496063">
      <w:pPr>
        <w:spacing w:before="0" w:beforeAutospacing="0" w:after="0" w:afterAutospacing="0"/>
        <w:jc w:val="left"/>
        <w:outlineLvl w:val="9"/>
      </w:pPr>
      <w:r w:rsidRPr="00496063">
        <w:t>L=</w:t>
      </w:r>
      <w:r w:rsidRPr="00496063">
        <w:rPr>
          <w:lang w:val="el-GR"/>
        </w:rPr>
        <w:t>λ</w:t>
      </w:r>
      <w:r w:rsidRPr="00496063">
        <w:t>phys </w:t>
      </w:r>
      <w:r w:rsidRPr="00496063">
        <w:rPr>
          <w:lang w:val="el-GR"/>
        </w:rPr>
        <w:t>Δ</w:t>
      </w:r>
      <w:r w:rsidRPr="00496063">
        <w:t>G^MM/GBSA+</w:t>
      </w:r>
      <w:r w:rsidRPr="00496063">
        <w:rPr>
          <w:lang w:val="el-GR"/>
        </w:rPr>
        <w:t>λ</w:t>
      </w:r>
      <w:r w:rsidRPr="00496063">
        <w:t>ph4 ℓph4+</w:t>
      </w:r>
      <w:r w:rsidRPr="00496063">
        <w:rPr>
          <w:lang w:val="el-GR"/>
        </w:rPr>
        <w:t>λ</w:t>
      </w:r>
      <w:r w:rsidRPr="00496063">
        <w:t>info S</w:t>
      </w:r>
      <w:r w:rsidRPr="00496063">
        <w:rPr>
          <w:lang w:val="el-GR"/>
        </w:rPr>
        <w:t>α</w:t>
      </w:r>
      <w:r w:rsidRPr="00496063">
        <w:t>+</w:t>
      </w:r>
      <w:r w:rsidRPr="00496063">
        <w:rPr>
          <w:lang w:val="el-GR"/>
        </w:rPr>
        <w:t>λ</w:t>
      </w:r>
      <w:r w:rsidRPr="00496063">
        <w:t>chem ℓADMET/SA.(10)\boxed{\mathcal L=\lambda_{\text{phys}}\,\widehat{\Delta G}_{\text{MM/GBSA}} +\lambda_{\text{ph4}}\,\ell_{\text{ph4}} +\lambda_{\text{info}}\,S_\alpha +\lambda_{\text{chem}}\,\ell_{\text{ADMET/SA}}}. \tag{10}L=</w:t>
      </w:r>
      <w:r w:rsidRPr="00496063">
        <w:rPr>
          <w:lang w:val="el-GR"/>
        </w:rPr>
        <w:t>λ</w:t>
      </w:r>
      <w:r w:rsidRPr="00496063">
        <w:t>phys​</w:t>
      </w:r>
      <w:r w:rsidRPr="00496063">
        <w:rPr>
          <w:lang w:val="el-GR"/>
        </w:rPr>
        <w:t>Δ</w:t>
      </w:r>
      <w:r w:rsidRPr="00496063">
        <w:t>GMM/GBSA​+</w:t>
      </w:r>
      <w:r w:rsidRPr="00496063">
        <w:rPr>
          <w:lang w:val="el-GR"/>
        </w:rPr>
        <w:t>λ</w:t>
      </w:r>
      <w:r w:rsidRPr="00496063">
        <w:t>ph4​ℓph4​+</w:t>
      </w:r>
      <w:r w:rsidRPr="00496063">
        <w:rPr>
          <w:lang w:val="el-GR"/>
        </w:rPr>
        <w:t>λ</w:t>
      </w:r>
      <w:r w:rsidRPr="00496063">
        <w:t>info​S</w:t>
      </w:r>
      <w:r w:rsidRPr="00496063">
        <w:rPr>
          <w:lang w:val="el-GR"/>
        </w:rPr>
        <w:t>α</w:t>
      </w:r>
      <w:r w:rsidRPr="00496063">
        <w:t>​+</w:t>
      </w:r>
      <w:r w:rsidRPr="00496063">
        <w:rPr>
          <w:lang w:val="el-GR"/>
        </w:rPr>
        <w:t>λ</w:t>
      </w:r>
      <w:r w:rsidRPr="00496063">
        <w:t xml:space="preserve">chem​ℓADMET/SA​​.(10) </w:t>
      </w:r>
    </w:p>
    <w:p w:rsidR="00496063" w:rsidRPr="00496063" w:rsidRDefault="00496063" w:rsidP="00496063">
      <w:pPr>
        <w:jc w:val="left"/>
        <w:outlineLvl w:val="9"/>
        <w:rPr>
          <w:lang w:val="el-GR"/>
        </w:rPr>
      </w:pPr>
      <w:r w:rsidRPr="00496063">
        <w:rPr>
          <w:lang w:val="el-GR"/>
        </w:rPr>
        <w:t>[150,29–33,70,181]</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5" style="width:0;height:1.5pt" o:hralign="center" o:hrstd="t" o:hr="t" fillcolor="#a0a0a0" stroked="f"/>
        </w:pict>
      </w:r>
    </w:p>
    <w:p w:rsidR="00496063" w:rsidRPr="00496063" w:rsidRDefault="00496063" w:rsidP="00496063">
      <w:pPr>
        <w:jc w:val="left"/>
        <w:rPr>
          <w:b/>
          <w:bCs/>
          <w:sz w:val="27"/>
          <w:szCs w:val="27"/>
        </w:rPr>
      </w:pPr>
      <w:r w:rsidRPr="00496063">
        <w:rPr>
          <w:b/>
          <w:bCs/>
          <w:sz w:val="27"/>
          <w:szCs w:val="27"/>
        </w:rPr>
        <w:t>Hybrid-quantum gatekeeping (NISQ-practical)</w:t>
      </w:r>
    </w:p>
    <w:p w:rsidR="00496063" w:rsidRPr="00496063" w:rsidRDefault="00496063" w:rsidP="00496063">
      <w:pPr>
        <w:jc w:val="left"/>
        <w:outlineLvl w:val="9"/>
      </w:pPr>
      <w:r w:rsidRPr="00496063">
        <w:t>Before using a circuit instance for selection or regression, I check adiabatic sufficiency along its schedule and digitize the path with Trotter–Suzuki:</w:t>
      </w:r>
    </w:p>
    <w:p w:rsidR="00496063" w:rsidRPr="00496063" w:rsidRDefault="00496063" w:rsidP="00496063">
      <w:pPr>
        <w:spacing w:before="0" w:beforeAutospacing="0" w:after="0" w:afterAutospacing="0"/>
        <w:jc w:val="left"/>
        <w:outlineLvl w:val="9"/>
      </w:pPr>
      <w:r w:rsidRPr="00496063">
        <w:t>max⁡t</w:t>
      </w:r>
      <w:r w:rsidRPr="00496063">
        <w:rPr>
          <w:rFonts w:ascii="Cambria Math" w:hAnsi="Cambria Math" w:cs="Cambria Math"/>
        </w:rPr>
        <w:t>∈</w:t>
      </w:r>
      <w:r w:rsidRPr="00496063">
        <w:t>[0,T] </w:t>
      </w:r>
      <w:r w:rsidRPr="00496063">
        <w:rPr>
          <w:rFonts w:ascii="Cambria Math" w:hAnsi="Cambria Math" w:cs="Cambria Math"/>
        </w:rPr>
        <w:t>∣</w:t>
      </w:r>
      <w:r w:rsidRPr="00496063">
        <w:rPr>
          <w:rFonts w:ascii="Cambria Math" w:hAnsi="Cambria Math" w:cs="Cambria Math"/>
          <w:lang w:val="el-GR"/>
        </w:rPr>
        <w:t>⟨</w:t>
      </w:r>
      <w:r w:rsidRPr="00496063">
        <w:rPr>
          <w:lang w:val="el-GR"/>
        </w:rPr>
        <w:t>ε</w:t>
      </w:r>
      <w:r w:rsidRPr="00496063">
        <w:t>0(t)</w:t>
      </w:r>
      <w:r w:rsidRPr="00496063">
        <w:rPr>
          <w:rFonts w:ascii="Cambria Math" w:hAnsi="Cambria Math" w:cs="Cambria Math"/>
        </w:rPr>
        <w:t>∣</w:t>
      </w:r>
      <w:r w:rsidRPr="00496063">
        <w:t> ∂tH(t) </w:t>
      </w:r>
      <w:r w:rsidRPr="00496063">
        <w:rPr>
          <w:rFonts w:ascii="Cambria Math" w:hAnsi="Cambria Math" w:cs="Cambria Math"/>
        </w:rPr>
        <w:t>∣</w:t>
      </w:r>
      <w:r w:rsidRPr="00496063">
        <w:rPr>
          <w:lang w:val="el-GR"/>
        </w:rPr>
        <w:t>ε</w:t>
      </w:r>
      <w:r w:rsidRPr="00496063">
        <w:t>m(t)</w:t>
      </w:r>
      <w:r w:rsidRPr="00496063">
        <w:rPr>
          <w:rFonts w:ascii="Cambria Math" w:hAnsi="Cambria Math" w:cs="Cambria Math"/>
          <w:lang w:val="el-GR"/>
        </w:rPr>
        <w:t>⟩</w:t>
      </w:r>
      <w:r w:rsidRPr="00496063">
        <w:rPr>
          <w:rFonts w:ascii="Cambria Math" w:hAnsi="Cambria Math" w:cs="Cambria Math"/>
        </w:rPr>
        <w:t>∣</w:t>
      </w:r>
      <w:r w:rsidRPr="00496063">
        <w:t>(</w:t>
      </w:r>
      <w:r w:rsidRPr="00496063">
        <w:rPr>
          <w:lang w:val="el-GR"/>
        </w:rPr>
        <w:t>ε</w:t>
      </w:r>
      <w:r w:rsidRPr="00496063">
        <w:t>m(t)−</w:t>
      </w:r>
      <w:r w:rsidRPr="00496063">
        <w:rPr>
          <w:lang w:val="el-GR"/>
        </w:rPr>
        <w:t>ε</w:t>
      </w:r>
      <w:r w:rsidRPr="00496063">
        <w:t>0(t))2 </w:t>
      </w:r>
      <w:r w:rsidRPr="00496063">
        <w:rPr>
          <w:rFonts w:ascii="Cambria Math" w:hAnsi="Cambria Math" w:cs="Cambria Math"/>
        </w:rPr>
        <w:t>≪</w:t>
      </w:r>
      <w:r w:rsidRPr="00496063">
        <w:t xml:space="preserve"> 1 </w:t>
      </w:r>
      <w:r w:rsidRPr="00496063">
        <w:rPr>
          <w:rFonts w:ascii="Cambria Math" w:hAnsi="Cambria Math" w:cs="Cambria Math"/>
        </w:rPr>
        <w:t>∀</w:t>
      </w:r>
      <w:r w:rsidRPr="00496063">
        <w:t>m≠0.(14)\boxed{\max_{t\in[0,T]}\ \frac{|\langle \varepsilon_0(t)|\,\partial_t H(t)\,| \varepsilon_m(t)\rangle|}{(\varepsilon_m(t)-\varepsilon_0(t))^2}\ \ll\ 1\ \ \forall m\neq 0}. \tag{14}t</w:t>
      </w:r>
      <w:r w:rsidRPr="00496063">
        <w:rPr>
          <w:rFonts w:ascii="Cambria Math" w:hAnsi="Cambria Math" w:cs="Cambria Math"/>
        </w:rPr>
        <w:t>∈</w:t>
      </w:r>
      <w:r w:rsidRPr="00496063">
        <w:t>[0,T]max​ (</w:t>
      </w:r>
      <w:r w:rsidRPr="00496063">
        <w:rPr>
          <w:lang w:val="el-GR"/>
        </w:rPr>
        <w:t>ε</w:t>
      </w:r>
      <w:r w:rsidRPr="00496063">
        <w:t>m​(t)−</w:t>
      </w:r>
      <w:r w:rsidRPr="00496063">
        <w:rPr>
          <w:lang w:val="el-GR"/>
        </w:rPr>
        <w:t>ε</w:t>
      </w:r>
      <w:r w:rsidRPr="00496063">
        <w:t>0​(t))2</w:t>
      </w:r>
      <w:r w:rsidRPr="00496063">
        <w:rPr>
          <w:rFonts w:ascii="Cambria Math" w:hAnsi="Cambria Math" w:cs="Cambria Math"/>
        </w:rPr>
        <w:t>∣</w:t>
      </w:r>
      <w:r w:rsidRPr="00496063">
        <w:rPr>
          <w:rFonts w:ascii="Cambria Math" w:hAnsi="Cambria Math" w:cs="Cambria Math"/>
          <w:lang w:val="el-GR"/>
        </w:rPr>
        <w:t>⟨</w:t>
      </w:r>
      <w:r w:rsidRPr="00496063">
        <w:rPr>
          <w:lang w:val="el-GR"/>
        </w:rPr>
        <w:t>ε</w:t>
      </w:r>
      <w:r w:rsidRPr="00496063">
        <w:t>0​(t)</w:t>
      </w:r>
      <w:r w:rsidRPr="00496063">
        <w:rPr>
          <w:rFonts w:ascii="Cambria Math" w:hAnsi="Cambria Math" w:cs="Cambria Math"/>
        </w:rPr>
        <w:t>∣</w:t>
      </w:r>
      <w:r w:rsidRPr="00496063">
        <w:t>∂t​H(t)</w:t>
      </w:r>
      <w:r w:rsidRPr="00496063">
        <w:rPr>
          <w:rFonts w:ascii="Cambria Math" w:hAnsi="Cambria Math" w:cs="Cambria Math"/>
        </w:rPr>
        <w:t>∣</w:t>
      </w:r>
      <w:r w:rsidRPr="00496063">
        <w:rPr>
          <w:lang w:val="el-GR"/>
        </w:rPr>
        <w:t>ε</w:t>
      </w:r>
      <w:r w:rsidRPr="00496063">
        <w:t>m​(t)</w:t>
      </w:r>
      <w:r w:rsidRPr="00496063">
        <w:rPr>
          <w:rFonts w:ascii="Cambria Math" w:hAnsi="Cambria Math" w:cs="Cambria Math"/>
          <w:lang w:val="el-GR"/>
        </w:rPr>
        <w:t>⟩</w:t>
      </w:r>
      <w:r w:rsidRPr="00496063">
        <w:rPr>
          <w:rFonts w:ascii="Cambria Math" w:hAnsi="Cambria Math" w:cs="Cambria Math"/>
        </w:rPr>
        <w:t>∣</w:t>
      </w:r>
      <w:r w:rsidRPr="00496063">
        <w:t>​ </w:t>
      </w:r>
      <w:r w:rsidRPr="00496063">
        <w:rPr>
          <w:rFonts w:ascii="Cambria Math" w:hAnsi="Cambria Math" w:cs="Cambria Math"/>
        </w:rPr>
        <w:t>≪</w:t>
      </w:r>
      <w:r w:rsidRPr="00496063">
        <w:t xml:space="preserve"> 1 </w:t>
      </w:r>
      <w:r w:rsidRPr="00496063">
        <w:rPr>
          <w:rFonts w:ascii="Cambria Math" w:hAnsi="Cambria Math" w:cs="Cambria Math"/>
        </w:rPr>
        <w:t>∀</w:t>
      </w:r>
      <w:r w:rsidRPr="00496063">
        <w:t>m</w:t>
      </w:r>
      <w:r w:rsidRPr="00496063">
        <w:rPr>
          <w:lang w:val="el-GR"/>
        </w:rPr>
        <w:t></w:t>
      </w:r>
      <w:r w:rsidRPr="00496063">
        <w:t xml:space="preserve">=0​.(14) </w:t>
      </w:r>
    </w:p>
    <w:p w:rsidR="00496063" w:rsidRPr="00496063" w:rsidRDefault="00496063" w:rsidP="00496063">
      <w:pPr>
        <w:jc w:val="left"/>
        <w:outlineLvl w:val="9"/>
      </w:pPr>
      <w:r w:rsidRPr="00496063">
        <w:t>[132,147,148]</w:t>
      </w:r>
      <w:r w:rsidRPr="00496063">
        <w:br/>
        <w:t xml:space="preserve">We reconstruct </w:t>
      </w:r>
      <w:r w:rsidRPr="00496063">
        <w:rPr>
          <w:lang w:val="el-GR"/>
        </w:rPr>
        <w:t>ρ</w:t>
      </w:r>
      <w:r w:rsidRPr="00496063">
        <w:t>\rho</w:t>
      </w:r>
      <w:r w:rsidRPr="00496063">
        <w:rPr>
          <w:lang w:val="el-GR"/>
        </w:rPr>
        <w:t>ρ</w:t>
      </w:r>
      <w:r w:rsidRPr="00496063">
        <w:t xml:space="preserve"> and compute (i) von Neumann entropy S(</w:t>
      </w:r>
      <w:r w:rsidRPr="00496063">
        <w:rPr>
          <w:lang w:val="el-GR"/>
        </w:rPr>
        <w:t>ρ</w:t>
      </w:r>
      <w:r w:rsidRPr="00496063">
        <w:t>)=−Tr[</w:t>
      </w:r>
      <w:r w:rsidRPr="00496063">
        <w:rPr>
          <w:lang w:val="el-GR"/>
        </w:rPr>
        <w:t>ρ</w:t>
      </w:r>
      <w:r w:rsidRPr="00496063">
        <w:t>log⁡</w:t>
      </w:r>
      <w:r w:rsidRPr="00496063">
        <w:rPr>
          <w:lang w:val="el-GR"/>
        </w:rPr>
        <w:t>ρ</w:t>
      </w:r>
      <w:r w:rsidRPr="00496063">
        <w:t>]S(\rho)=-\mathrm{Tr}[\rho\log\rho]S(</w:t>
      </w:r>
      <w:r w:rsidRPr="00496063">
        <w:rPr>
          <w:lang w:val="el-GR"/>
        </w:rPr>
        <w:t>ρ</w:t>
      </w:r>
      <w:r w:rsidRPr="00496063">
        <w:t>)=−Tr[</w:t>
      </w:r>
      <w:r w:rsidRPr="00496063">
        <w:rPr>
          <w:lang w:val="el-GR"/>
        </w:rPr>
        <w:t>ρ</w:t>
      </w:r>
      <w:r w:rsidRPr="00496063">
        <w:t>log</w:t>
      </w:r>
      <w:r w:rsidRPr="00496063">
        <w:rPr>
          <w:lang w:val="el-GR"/>
        </w:rPr>
        <w:t>ρ</w:t>
      </w:r>
      <w:r w:rsidRPr="00496063">
        <w:t>] and (ii) a GHZ entanglement witness,</w:t>
      </w:r>
    </w:p>
    <w:p w:rsidR="00496063" w:rsidRPr="00496063" w:rsidRDefault="00496063" w:rsidP="00496063">
      <w:pPr>
        <w:spacing w:before="0" w:beforeAutospacing="0" w:after="0" w:afterAutospacing="0"/>
        <w:jc w:val="left"/>
        <w:outlineLvl w:val="9"/>
      </w:pPr>
      <w:r w:rsidRPr="00496063">
        <w:t>WGHZ=34I−</w:t>
      </w:r>
      <w:r w:rsidRPr="00496063">
        <w:rPr>
          <w:rFonts w:ascii="Cambria Math" w:hAnsi="Cambria Math" w:cs="Cambria Math"/>
        </w:rPr>
        <w:t>∣</w:t>
      </w:r>
      <w:r w:rsidRPr="00496063">
        <w:t>GHZ</w:t>
      </w:r>
      <w:r w:rsidRPr="00496063">
        <w:rPr>
          <w:rFonts w:ascii="Cambria Math" w:hAnsi="Cambria Math" w:cs="Cambria Math"/>
          <w:lang w:val="el-GR"/>
        </w:rPr>
        <w:t>⟩⟨</w:t>
      </w:r>
      <w:r w:rsidRPr="00496063">
        <w:t>GHZ</w:t>
      </w:r>
      <w:r w:rsidRPr="00496063">
        <w:rPr>
          <w:rFonts w:ascii="Cambria Math" w:hAnsi="Cambria Math" w:cs="Cambria Math"/>
        </w:rPr>
        <w:t>∣</w:t>
      </w:r>
      <w:r w:rsidRPr="00496063">
        <w:t>,</w:t>
      </w:r>
      <w:r>
        <w:t xml:space="preserve"> </w:t>
      </w:r>
      <w:r w:rsidRPr="00496063">
        <w:t>Tr(WGHZ</w:t>
      </w:r>
      <w:r w:rsidRPr="00496063">
        <w:rPr>
          <w:lang w:val="el-GR"/>
        </w:rPr>
        <w:t>ρ</w:t>
      </w:r>
      <w:r w:rsidRPr="00496063">
        <w:t>)&lt;0</w:t>
      </w:r>
      <w:r w:rsidRPr="00496063">
        <w:rPr>
          <w:rFonts w:ascii="Cambria Math" w:hAnsi="Cambria Math" w:cs="Cambria Math"/>
        </w:rPr>
        <w:t>⇒</w:t>
      </w:r>
      <w:r w:rsidRPr="00496063">
        <w:t>GHZ entanglement.(15)\boxed{W_{\text{GHZ}}=\tfrac{3}{4}I-|\mathrm{GHZ}\rangle\langle \mathrm{GHZ}|,\ \ \mathrm{Tr}(W_{\text{GHZ}}\rho)&lt;0\Rightarrow \text{GHZ entanglement}}. \tag{15}WGHZ​=43​I−</w:t>
      </w:r>
      <w:r w:rsidRPr="00496063">
        <w:rPr>
          <w:rFonts w:ascii="Cambria Math" w:hAnsi="Cambria Math" w:cs="Cambria Math"/>
        </w:rPr>
        <w:t>∣</w:t>
      </w:r>
      <w:r w:rsidRPr="00496063">
        <w:t>GHZ</w:t>
      </w:r>
      <w:r w:rsidRPr="00496063">
        <w:rPr>
          <w:rFonts w:ascii="Cambria Math" w:hAnsi="Cambria Math" w:cs="Cambria Math"/>
          <w:lang w:val="el-GR"/>
        </w:rPr>
        <w:t>⟩⟨</w:t>
      </w:r>
      <w:r w:rsidRPr="00496063">
        <w:t>GHZ</w:t>
      </w:r>
      <w:r w:rsidRPr="00496063">
        <w:rPr>
          <w:rFonts w:ascii="Cambria Math" w:hAnsi="Cambria Math" w:cs="Cambria Math"/>
        </w:rPr>
        <w:t>∣</w:t>
      </w:r>
      <w:r w:rsidRPr="00496063">
        <w:t>,</w:t>
      </w:r>
      <w:r>
        <w:t xml:space="preserve"> </w:t>
      </w:r>
      <w:r w:rsidRPr="00496063">
        <w:t>Tr(WGHZ​</w:t>
      </w:r>
      <w:r w:rsidRPr="00496063">
        <w:rPr>
          <w:lang w:val="el-GR"/>
        </w:rPr>
        <w:t>ρ</w:t>
      </w:r>
      <w:r w:rsidRPr="00496063">
        <w:t>)&lt;0</w:t>
      </w:r>
      <w:r w:rsidRPr="00496063">
        <w:rPr>
          <w:rFonts w:ascii="Cambria Math" w:hAnsi="Cambria Math" w:cs="Cambria Math"/>
        </w:rPr>
        <w:t>⇒</w:t>
      </w:r>
      <w:r w:rsidRPr="00496063">
        <w:t xml:space="preserve">GHZ entanglement​.(15) </w:t>
      </w:r>
    </w:p>
    <w:p w:rsidR="00496063" w:rsidRPr="00496063" w:rsidRDefault="00496063" w:rsidP="00496063">
      <w:pPr>
        <w:jc w:val="left"/>
        <w:outlineLvl w:val="9"/>
        <w:rPr>
          <w:lang w:val="el-GR"/>
        </w:rPr>
      </w:pPr>
      <w:r w:rsidRPr="00496063">
        <w:t>[146,125,127–131]</w:t>
      </w:r>
      <w:r w:rsidRPr="00496063">
        <w:br/>
        <w:t xml:space="preserve">For diversity selection, a chemotype-similarity graph can be cast into a MaxCut/QAOA-style cost HC=∑(u,v)wuv(1−ZuZv)/2H_C=\sum_{(u,v)}w_{uv}(1-Z_u Z_v)/2HC​=∑(u,v)​wuv​(1−Zu​Zv​)/2; for physics, a hardware-efficient variational regressor predicts </w:t>
      </w:r>
      <w:r w:rsidRPr="00496063">
        <w:rPr>
          <w:lang w:val="el-GR"/>
        </w:rPr>
        <w:t>Δ</w:t>
      </w:r>
      <w:r w:rsidRPr="00496063">
        <w:t>G^tot\widehat{\Delta G}_{\text{tot}}</w:t>
      </w:r>
      <w:r w:rsidRPr="00496063">
        <w:rPr>
          <w:lang w:val="el-GR"/>
        </w:rPr>
        <w:t>Δ</w:t>
      </w:r>
      <w:r w:rsidRPr="00496063">
        <w:t xml:space="preserve">Gtot​. </w:t>
      </w:r>
      <w:r w:rsidRPr="00496063">
        <w:rPr>
          <w:lang w:val="el-GR"/>
        </w:rPr>
        <w:t>[119,133] Backends and noise-model simulators are via Qiskit/Aer. [140,141]</w:t>
      </w:r>
    </w:p>
    <w:p w:rsidR="00496063" w:rsidRPr="00496063" w:rsidRDefault="00106EF3" w:rsidP="00496063">
      <w:pPr>
        <w:spacing w:before="0" w:beforeAutospacing="0" w:after="0" w:afterAutospacing="0"/>
        <w:jc w:val="left"/>
        <w:outlineLvl w:val="9"/>
        <w:rPr>
          <w:lang w:val="el-GR"/>
        </w:rPr>
      </w:pPr>
      <w:r w:rsidRPr="00106EF3">
        <w:rPr>
          <w:lang w:val="el-GR"/>
        </w:rPr>
        <w:pict>
          <v:rect id="_x0000_i1056" style="width:0;height:1.5pt" o:hralign="center" o:hrstd="t" o:hr="t" fillcolor="#a0a0a0" stroked="f"/>
        </w:pict>
      </w:r>
    </w:p>
    <w:p w:rsidR="00496063" w:rsidRPr="00496063" w:rsidRDefault="00496063" w:rsidP="00496063">
      <w:pPr>
        <w:jc w:val="left"/>
        <w:outlineLvl w:val="9"/>
      </w:pPr>
      <w:r w:rsidRPr="00496063">
        <w:rPr>
          <w:b/>
          <w:bCs/>
        </w:rPr>
        <w:t>Qiskit sketch.</w:t>
      </w:r>
      <w:r w:rsidRPr="00496063">
        <w:br/>
      </w:r>
      <w:r w:rsidRPr="00496063">
        <w:rPr>
          <w:b/>
          <w:bCs/>
        </w:rPr>
        <w:t>Pillar I – Diversity (entropy):</w:t>
      </w:r>
      <w:r w:rsidRPr="00496063">
        <w:t xml:space="preserve"> QAOA on a chemotype-similarity graph (HCH_CHC​ as above) </w:t>
      </w:r>
      <w:r w:rsidRPr="00496063">
        <w:rPr>
          <w:rFonts w:ascii="Cambria Math" w:hAnsi="Cambria Math" w:cs="Cambria Math"/>
        </w:rPr>
        <w:t>⇒</w:t>
      </w:r>
      <w:r w:rsidRPr="00496063">
        <w:t xml:space="preserve"> selects a diverse subset; maps to Eqs. (1)–(4). [119,140,141]</w:t>
      </w:r>
      <w:r w:rsidRPr="00496063">
        <w:br/>
      </w:r>
      <w:r w:rsidRPr="00496063">
        <w:rPr>
          <w:b/>
          <w:bCs/>
        </w:rPr>
        <w:t>Pillar II – Physics (</w:t>
      </w:r>
      <w:r w:rsidRPr="00496063">
        <w:rPr>
          <w:b/>
          <w:bCs/>
          <w:lang w:val="el-GR"/>
        </w:rPr>
        <w:t>Δ</w:t>
      </w:r>
      <w:r w:rsidRPr="00496063">
        <w:rPr>
          <w:b/>
          <w:bCs/>
        </w:rPr>
        <w:t>\Delta</w:t>
      </w:r>
      <w:r w:rsidRPr="00496063">
        <w:rPr>
          <w:b/>
          <w:bCs/>
          <w:lang w:val="el-GR"/>
        </w:rPr>
        <w:t>Δ</w:t>
      </w:r>
      <w:r w:rsidRPr="00496063">
        <w:rPr>
          <w:b/>
          <w:bCs/>
        </w:rPr>
        <w:t>SASA):</w:t>
      </w:r>
      <w:r w:rsidRPr="00496063">
        <w:t xml:space="preserve"> Hardware-efficient ansatz regressor for </w:t>
      </w:r>
      <w:r w:rsidRPr="00496063">
        <w:rPr>
          <w:lang w:val="el-GR"/>
        </w:rPr>
        <w:t>Δ</w:t>
      </w:r>
      <w:r w:rsidRPr="00496063">
        <w:t>G^tot=</w:t>
      </w:r>
      <w:r w:rsidRPr="00496063">
        <w:rPr>
          <w:lang w:val="el-GR"/>
        </w:rPr>
        <w:t>Δ</w:t>
      </w:r>
      <w:r w:rsidRPr="00496063">
        <w:t>GMM–PBSA+</w:t>
      </w:r>
      <w:r w:rsidRPr="00496063">
        <w:rPr>
          <w:lang w:val="el-GR"/>
        </w:rPr>
        <w:t>γ</w:t>
      </w:r>
      <w:r w:rsidRPr="00496063">
        <w:t> </w:t>
      </w:r>
      <w:r w:rsidRPr="00496063">
        <w:rPr>
          <w:lang w:val="el-GR"/>
        </w:rPr>
        <w:t>Δ</w:t>
      </w:r>
      <w:r w:rsidRPr="00496063">
        <w:t>SASA\widehat{\Delta G}_{\text{tot}}=\Delta G_{\text{MM–PBSA}}+\gamma\,\Delta\mathrm{SASA}</w:t>
      </w:r>
      <w:r w:rsidRPr="00496063">
        <w:rPr>
          <w:lang w:val="el-GR"/>
        </w:rPr>
        <w:t>Δ</w:t>
      </w:r>
      <w:r w:rsidRPr="00496063">
        <w:t>Gtot​=</w:t>
      </w:r>
      <w:r w:rsidRPr="00496063">
        <w:rPr>
          <w:lang w:val="el-GR"/>
        </w:rPr>
        <w:t>Δ</w:t>
      </w:r>
      <w:r w:rsidRPr="00496063">
        <w:t>GMM–PBSA​+</w:t>
      </w:r>
      <w:r w:rsidRPr="00496063">
        <w:rPr>
          <w:lang w:val="el-GR"/>
        </w:rPr>
        <w:t>γΔ</w:t>
      </w:r>
      <w:r w:rsidRPr="00496063">
        <w:t>SASA. [133,140,141]</w:t>
      </w:r>
      <w:r w:rsidRPr="00496063">
        <w:br/>
      </w:r>
      <w:r w:rsidRPr="00496063">
        <w:rPr>
          <w:b/>
          <w:bCs/>
        </w:rPr>
        <w:t>Pillar III – Pharmacophoric-ODE proxy:</w:t>
      </w:r>
      <w:r w:rsidRPr="00496063">
        <w:t xml:space="preserve"> Curvature-weighted ZZ penalties echo Eq. (10)’s ℓph4\ell_{\text{ph4}}ℓph4​. Digitization and simulation use Trotter–Suzuki/Aer. [147,148,141]</w:t>
      </w:r>
    </w:p>
    <w:p w:rsidR="00CE03EA" w:rsidRPr="00CE03EA" w:rsidRDefault="00CE03EA" w:rsidP="00713714">
      <w:pPr>
        <w:rPr>
          <w:kern w:val="36"/>
        </w:rPr>
      </w:pPr>
      <w:r w:rsidRPr="00CE03EA">
        <w:rPr>
          <w:kern w:val="36"/>
        </w:rPr>
        <w:t>Adiabatic GHZ (3 qubits, N Trotter steps)</w:t>
      </w:r>
    </w:p>
    <w:p w:rsidR="00CE03EA" w:rsidRPr="00CE03EA" w:rsidRDefault="00CE03EA" w:rsidP="00713714">
      <w:r w:rsidRPr="00CE03EA">
        <w:t>Template for one Trotter step (repeat N times with s = (j+1)/N):</w:t>
      </w:r>
    </w:p>
    <w:p w:rsidR="00CE03EA" w:rsidRPr="00CE03EA" w:rsidRDefault="00CE03EA" w:rsidP="00713714">
      <w:r w:rsidRPr="00CE03EA">
        <w:t>q0: ──■─────────────■───</w:t>
      </w:r>
      <w:r w:rsidRPr="00CE03EA">
        <w:rPr>
          <w:szCs w:val="20"/>
        </w:rPr>
        <w:t>Rx</w:t>
      </w:r>
      <w:r w:rsidRPr="00CE03EA">
        <w:t>((</w:t>
      </w:r>
      <w:r w:rsidRPr="00CE03EA">
        <w:rPr>
          <w:szCs w:val="20"/>
        </w:rPr>
        <w:t>1</w:t>
      </w:r>
      <w:r w:rsidRPr="00CE03EA">
        <w:t>−s)·α)───|</w:t>
      </w:r>
      <w:r w:rsidR="00496063">
        <w:t xml:space="preserve"> </w:t>
      </w:r>
      <w:r w:rsidRPr="00CE03EA">
        <w:t>α = −</w:t>
      </w:r>
      <w:r w:rsidRPr="00CE03EA">
        <w:rPr>
          <w:szCs w:val="20"/>
        </w:rPr>
        <w:t>2</w:t>
      </w:r>
      <w:r w:rsidRPr="00CE03EA">
        <w:t>·Bx·Δt</w:t>
      </w:r>
    </w:p>
    <w:p w:rsidR="00CE03EA" w:rsidRPr="00CE03EA" w:rsidRDefault="00496063" w:rsidP="00713714">
      <w:r>
        <w:t xml:space="preserve"> </w:t>
      </w:r>
      <w:r w:rsidR="00CE03EA" w:rsidRPr="00CE03EA">
        <w:t xml:space="preserve">│ </w:t>
      </w:r>
      <w:r w:rsidR="00CE03EA" w:rsidRPr="00CE03EA">
        <w:rPr>
          <w:szCs w:val="20"/>
        </w:rPr>
        <w:t>RZZ</w:t>
      </w:r>
      <w:r w:rsidR="00CE03EA" w:rsidRPr="00CE03EA">
        <w:t>(s·φ)</w:t>
      </w:r>
      <w:r>
        <w:t xml:space="preserve"> </w:t>
      </w:r>
      <w:r w:rsidR="00CE03EA" w:rsidRPr="00CE03EA">
        <w:t>│</w:t>
      </w:r>
      <w:r>
        <w:t xml:space="preserve"> </w:t>
      </w:r>
      <w:r w:rsidR="00CE03EA" w:rsidRPr="00CE03EA">
        <w:t>|</w:t>
      </w:r>
      <w:r>
        <w:t xml:space="preserve"> </w:t>
      </w:r>
      <w:r w:rsidR="00CE03EA" w:rsidRPr="00CE03EA">
        <w:t>φ = −</w:t>
      </w:r>
      <w:r w:rsidR="00CE03EA" w:rsidRPr="00CE03EA">
        <w:rPr>
          <w:szCs w:val="20"/>
        </w:rPr>
        <w:t>2</w:t>
      </w:r>
      <w:r w:rsidR="00CE03EA" w:rsidRPr="00CE03EA">
        <w:t>·Jzz·Δt</w:t>
      </w:r>
    </w:p>
    <w:p w:rsidR="00CE03EA" w:rsidRPr="00CE03EA" w:rsidRDefault="00CE03EA" w:rsidP="00713714">
      <w:r w:rsidRPr="00CE03EA">
        <w:t>q1: ──■────■────────■───</w:t>
      </w:r>
      <w:r w:rsidRPr="00CE03EA">
        <w:rPr>
          <w:szCs w:val="20"/>
        </w:rPr>
        <w:t>Rx</w:t>
      </w:r>
      <w:r w:rsidRPr="00CE03EA">
        <w:t>((</w:t>
      </w:r>
      <w:r w:rsidRPr="00CE03EA">
        <w:rPr>
          <w:szCs w:val="20"/>
        </w:rPr>
        <w:t>1</w:t>
      </w:r>
      <w:r w:rsidRPr="00CE03EA">
        <w:t>−s)·α)───|</w:t>
      </w:r>
      <w:r w:rsidR="00496063">
        <w:t xml:space="preserve"> </w:t>
      </w:r>
      <w:r w:rsidRPr="00CE03EA">
        <w:t>Δt = T/N</w:t>
      </w:r>
    </w:p>
    <w:p w:rsidR="00CE03EA" w:rsidRPr="00CE03EA" w:rsidRDefault="00496063" w:rsidP="00713714">
      <w:r>
        <w:t xml:space="preserve"> </w:t>
      </w:r>
      <w:r w:rsidR="00CE03EA" w:rsidRPr="00CE03EA">
        <w:t xml:space="preserve">│ </w:t>
      </w:r>
      <w:r w:rsidR="00CE03EA" w:rsidRPr="00CE03EA">
        <w:rPr>
          <w:szCs w:val="20"/>
        </w:rPr>
        <w:t>RZZ</w:t>
      </w:r>
      <w:r w:rsidR="00CE03EA" w:rsidRPr="00CE03EA">
        <w:t>(s·φ) │</w:t>
      </w:r>
    </w:p>
    <w:p w:rsidR="00CE03EA" w:rsidRPr="00CE03EA" w:rsidRDefault="00CE03EA" w:rsidP="00713714">
      <w:r w:rsidRPr="00CE03EA">
        <w:t>q2: ───────■───────────</w:t>
      </w:r>
      <w:r w:rsidRPr="00CE03EA">
        <w:rPr>
          <w:szCs w:val="20"/>
        </w:rPr>
        <w:t>Rx</w:t>
      </w:r>
      <w:r w:rsidRPr="00CE03EA">
        <w:t>((</w:t>
      </w:r>
      <w:r w:rsidRPr="00CE03EA">
        <w:rPr>
          <w:szCs w:val="20"/>
        </w:rPr>
        <w:t>1</w:t>
      </w:r>
      <w:r w:rsidRPr="00CE03EA">
        <w:t>−s)·α)───</w:t>
      </w:r>
    </w:p>
    <w:p w:rsidR="00CE03EA" w:rsidRPr="00CE03EA" w:rsidRDefault="00496063" w:rsidP="00713714">
      <w:r>
        <w:t xml:space="preserve"> </w:t>
      </w:r>
      <w:r w:rsidR="00CE03EA" w:rsidRPr="00CE03EA">
        <w:t>(barrier)</w:t>
      </w:r>
    </w:p>
    <w:p w:rsidR="00CE03EA" w:rsidRPr="00CE03EA" w:rsidRDefault="00CE03EA" w:rsidP="00713714">
      <w:r w:rsidRPr="00CE03EA">
        <w:t>Full schedule (initial |+</w:t>
      </w:r>
      <w:r w:rsidRPr="00CE03EA">
        <w:rPr>
          <w:rFonts w:ascii="Cambria Math" w:hAnsi="Cambria Math" w:cs="Cambria Math"/>
        </w:rPr>
        <w:t>⟩</w:t>
      </w:r>
      <w:r w:rsidRPr="00CE03EA">
        <w:t>³ then N steps):</w:t>
      </w:r>
    </w:p>
    <w:p w:rsidR="00CE03EA" w:rsidRPr="00CE03EA" w:rsidRDefault="00CE03EA" w:rsidP="00713714">
      <w:r w:rsidRPr="00CE03EA">
        <w:rPr>
          <w:szCs w:val="20"/>
        </w:rPr>
        <w:t>q0:</w:t>
      </w:r>
      <w:r w:rsidRPr="00CE03EA">
        <w:t xml:space="preserve"> ──H──[ </w:t>
      </w:r>
      <w:r w:rsidRPr="00CE03EA">
        <w:rPr>
          <w:szCs w:val="20"/>
        </w:rPr>
        <w:t>step</w:t>
      </w:r>
      <w:r w:rsidRPr="00CE03EA">
        <w:t xml:space="preserve"> </w:t>
      </w:r>
      <w:r w:rsidRPr="00CE03EA">
        <w:rPr>
          <w:szCs w:val="20"/>
        </w:rPr>
        <w:t>1</w:t>
      </w:r>
      <w:r w:rsidRPr="00CE03EA">
        <w:t xml:space="preserve"> </w:t>
      </w:r>
      <w:r w:rsidRPr="00CE03EA">
        <w:rPr>
          <w:szCs w:val="20"/>
        </w:rPr>
        <w:t>as</w:t>
      </w:r>
      <w:r w:rsidRPr="00CE03EA">
        <w:t xml:space="preserve"> above ]─|─[ </w:t>
      </w:r>
      <w:r w:rsidRPr="00CE03EA">
        <w:rPr>
          <w:szCs w:val="20"/>
        </w:rPr>
        <w:t>step</w:t>
      </w:r>
      <w:r w:rsidRPr="00CE03EA">
        <w:t xml:space="preserve"> </w:t>
      </w:r>
      <w:r w:rsidRPr="00CE03EA">
        <w:rPr>
          <w:szCs w:val="20"/>
        </w:rPr>
        <w:t>2</w:t>
      </w:r>
      <w:r w:rsidRPr="00CE03EA">
        <w:t xml:space="preserve"> ]─| … |─[ </w:t>
      </w:r>
      <w:r w:rsidRPr="00CE03EA">
        <w:rPr>
          <w:szCs w:val="20"/>
        </w:rPr>
        <w:t>step</w:t>
      </w:r>
      <w:r w:rsidRPr="00CE03EA">
        <w:t xml:space="preserve"> N ]──(measure?)──</w:t>
      </w:r>
    </w:p>
    <w:p w:rsidR="00CE03EA" w:rsidRPr="00CE03EA" w:rsidRDefault="00CE03EA" w:rsidP="00713714">
      <w:r w:rsidRPr="00CE03EA">
        <w:rPr>
          <w:szCs w:val="20"/>
        </w:rPr>
        <w:t>q1:</w:t>
      </w:r>
      <w:r w:rsidRPr="00CE03EA">
        <w:t xml:space="preserve"> ──H──[</w:t>
      </w:r>
      <w:r w:rsidR="00496063">
        <w:t xml:space="preserve"> </w:t>
      </w:r>
      <w:r w:rsidRPr="00CE03EA">
        <w:t>“</w:t>
      </w:r>
      <w:r w:rsidR="00496063">
        <w:t xml:space="preserve"> </w:t>
      </w:r>
      <w:r w:rsidRPr="00CE03EA">
        <w:t>”</w:t>
      </w:r>
      <w:r w:rsidR="00496063">
        <w:t xml:space="preserve"> </w:t>
      </w:r>
      <w:r w:rsidRPr="00CE03EA">
        <w:t>]─|─[</w:t>
      </w:r>
      <w:r w:rsidR="00496063">
        <w:t xml:space="preserve"> </w:t>
      </w:r>
      <w:r w:rsidRPr="00CE03EA">
        <w:t>“</w:t>
      </w:r>
      <w:r w:rsidR="00496063">
        <w:t xml:space="preserve"> </w:t>
      </w:r>
      <w:r w:rsidRPr="00CE03EA">
        <w:t>]─| … |─[</w:t>
      </w:r>
      <w:r w:rsidR="00496063">
        <w:t xml:space="preserve"> </w:t>
      </w:r>
      <w:r w:rsidRPr="00CE03EA">
        <w:t>“</w:t>
      </w:r>
      <w:r w:rsidR="00496063">
        <w:t xml:space="preserve"> </w:t>
      </w:r>
      <w:r w:rsidRPr="00CE03EA">
        <w:t>]──(measure?)──</w:t>
      </w:r>
    </w:p>
    <w:p w:rsidR="00CE03EA" w:rsidRPr="00CE03EA" w:rsidRDefault="00CE03EA" w:rsidP="00713714">
      <w:r w:rsidRPr="00CE03EA">
        <w:rPr>
          <w:szCs w:val="20"/>
        </w:rPr>
        <w:t>q2:</w:t>
      </w:r>
      <w:r w:rsidRPr="00CE03EA">
        <w:t xml:space="preserve"> ──H──[</w:t>
      </w:r>
      <w:r w:rsidR="00496063">
        <w:t xml:space="preserve"> </w:t>
      </w:r>
      <w:r w:rsidRPr="00CE03EA">
        <w:t>“</w:t>
      </w:r>
      <w:r w:rsidR="00496063">
        <w:t xml:space="preserve"> </w:t>
      </w:r>
      <w:r w:rsidRPr="00CE03EA">
        <w:t>”</w:t>
      </w:r>
      <w:r w:rsidR="00496063">
        <w:t xml:space="preserve"> </w:t>
      </w:r>
      <w:r w:rsidRPr="00CE03EA">
        <w:t>]─|─[</w:t>
      </w:r>
      <w:r w:rsidR="00496063">
        <w:t xml:space="preserve"> </w:t>
      </w:r>
      <w:r w:rsidRPr="00CE03EA">
        <w:t>“</w:t>
      </w:r>
      <w:r w:rsidR="00496063">
        <w:t xml:space="preserve"> </w:t>
      </w:r>
      <w:r w:rsidRPr="00CE03EA">
        <w:t>]─| … |─[</w:t>
      </w:r>
      <w:r w:rsidR="00496063">
        <w:t xml:space="preserve"> </w:t>
      </w:r>
      <w:r w:rsidRPr="00CE03EA">
        <w:t>“</w:t>
      </w:r>
      <w:r w:rsidR="00496063">
        <w:t xml:space="preserve"> </w:t>
      </w:r>
      <w:r w:rsidRPr="00CE03EA">
        <w:t>]──(measure?)──</w:t>
      </w:r>
    </w:p>
    <w:p w:rsidR="00CE03EA" w:rsidRPr="00CE03EA" w:rsidRDefault="00CE03EA" w:rsidP="00713714">
      <w:pPr>
        <w:rPr>
          <w:kern w:val="36"/>
        </w:rPr>
      </w:pPr>
      <w:r w:rsidRPr="00CE03EA">
        <w:rPr>
          <w:kern w:val="36"/>
        </w:rPr>
        <w:t>QAOA Diversity (chemotype graph, p layers)</w:t>
      </w:r>
    </w:p>
    <w:p w:rsidR="00CE03EA" w:rsidRPr="00CE03EA" w:rsidRDefault="00CE03EA" w:rsidP="00713714">
      <w:r w:rsidRPr="00CE03EA">
        <w:t>For each layer k = 1..p:</w:t>
      </w:r>
    </w:p>
    <w:p w:rsidR="00CE03EA" w:rsidRPr="00CE03EA" w:rsidRDefault="00CE03EA" w:rsidP="00713714">
      <w:r w:rsidRPr="00CE03EA">
        <w:t>chem_0: ──H───■───── … ──</w:t>
      </w:r>
      <w:r w:rsidRPr="00CE03EA">
        <w:rPr>
          <w:szCs w:val="20"/>
        </w:rPr>
        <w:t>Rx</w:t>
      </w:r>
      <w:r w:rsidRPr="00CE03EA">
        <w:t>(</w:t>
      </w:r>
      <w:r w:rsidRPr="00CE03EA">
        <w:rPr>
          <w:szCs w:val="20"/>
        </w:rPr>
        <w:t>2</w:t>
      </w:r>
      <w:r w:rsidRPr="00CE03EA">
        <w:t>β_k)─</w:t>
      </w:r>
    </w:p>
    <w:p w:rsidR="00CE03EA" w:rsidRPr="00CE03EA" w:rsidRDefault="00496063" w:rsidP="00713714">
      <w:r>
        <w:t xml:space="preserve"> </w:t>
      </w:r>
      <w:r w:rsidR="00CE03EA" w:rsidRPr="00CE03EA">
        <w:t>│</w:t>
      </w:r>
      <w:r>
        <w:t xml:space="preserve"> </w:t>
      </w:r>
      <w:r w:rsidR="00CE03EA" w:rsidRPr="00CE03EA">
        <w:t>(mixer)</w:t>
      </w:r>
    </w:p>
    <w:p w:rsidR="00CE03EA" w:rsidRPr="00CE03EA" w:rsidRDefault="00CE03EA" w:rsidP="00713714">
      <w:r w:rsidRPr="00CE03EA">
        <w:t>chem_1: ──H───■─■── … ──</w:t>
      </w:r>
      <w:r w:rsidRPr="00CE03EA">
        <w:rPr>
          <w:szCs w:val="20"/>
        </w:rPr>
        <w:t>Rx</w:t>
      </w:r>
      <w:r w:rsidRPr="00CE03EA">
        <w:t>(</w:t>
      </w:r>
      <w:r w:rsidRPr="00CE03EA">
        <w:rPr>
          <w:szCs w:val="20"/>
        </w:rPr>
        <w:t>2</w:t>
      </w:r>
      <w:r w:rsidRPr="00CE03EA">
        <w:t>β_k)─</w:t>
      </w:r>
    </w:p>
    <w:p w:rsidR="00CE03EA" w:rsidRPr="00CE03EA" w:rsidRDefault="00496063" w:rsidP="00713714">
      <w:r>
        <w:t xml:space="preserve"> </w:t>
      </w:r>
      <w:r w:rsidR="00CE03EA" w:rsidRPr="00CE03EA">
        <w:t>│</w:t>
      </w:r>
    </w:p>
    <w:p w:rsidR="00CE03EA" w:rsidRPr="00CE03EA" w:rsidRDefault="00CE03EA" w:rsidP="00713714">
      <w:r w:rsidRPr="00CE03EA">
        <w:t>chem_2: ──H──────■── … ──</w:t>
      </w:r>
      <w:r w:rsidRPr="00CE03EA">
        <w:rPr>
          <w:szCs w:val="20"/>
        </w:rPr>
        <w:t>Rx</w:t>
      </w:r>
      <w:r w:rsidRPr="00CE03EA">
        <w:t>(</w:t>
      </w:r>
      <w:r w:rsidRPr="00CE03EA">
        <w:rPr>
          <w:szCs w:val="20"/>
        </w:rPr>
        <w:t>2</w:t>
      </w:r>
      <w:r w:rsidRPr="00CE03EA">
        <w:t>β_k)─</w:t>
      </w:r>
    </w:p>
    <w:p w:rsidR="00CE03EA" w:rsidRPr="00CE03EA" w:rsidRDefault="00496063" w:rsidP="00713714">
      <w:r>
        <w:t xml:space="preserve"> </w:t>
      </w:r>
      <w:r w:rsidR="00CE03EA" w:rsidRPr="00CE03EA">
        <w:t>(for each edge (i,j) with weight w_ij:)</w:t>
      </w:r>
    </w:p>
    <w:p w:rsidR="00CE03EA" w:rsidRPr="00CE03EA" w:rsidRDefault="00496063" w:rsidP="00713714">
      <w:r>
        <w:t xml:space="preserve"> </w:t>
      </w:r>
      <w:r w:rsidR="00CE03EA" w:rsidRPr="00CE03EA">
        <w:rPr>
          <w:szCs w:val="20"/>
        </w:rPr>
        <w:t>CX</w:t>
      </w:r>
      <w:r w:rsidR="00CE03EA" w:rsidRPr="00CE03EA">
        <w:t>(i→j)–</w:t>
      </w:r>
      <w:r w:rsidR="00CE03EA" w:rsidRPr="00CE03EA">
        <w:rPr>
          <w:szCs w:val="20"/>
        </w:rPr>
        <w:t>RZ</w:t>
      </w:r>
      <w:r w:rsidR="00CE03EA" w:rsidRPr="00CE03EA">
        <w:t>(</w:t>
      </w:r>
      <w:r w:rsidR="00CE03EA" w:rsidRPr="00CE03EA">
        <w:rPr>
          <w:szCs w:val="20"/>
        </w:rPr>
        <w:t>2</w:t>
      </w:r>
      <w:r w:rsidR="00CE03EA" w:rsidRPr="00CE03EA">
        <w:t>γ_k·w_ij)–</w:t>
      </w:r>
      <w:r w:rsidR="00CE03EA" w:rsidRPr="00CE03EA">
        <w:rPr>
          <w:szCs w:val="20"/>
        </w:rPr>
        <w:t>CX</w:t>
      </w:r>
      <w:r w:rsidR="00CE03EA" w:rsidRPr="00CE03EA">
        <w:t>(i→j)</w:t>
      </w:r>
    </w:p>
    <w:p w:rsidR="00CE03EA" w:rsidRPr="00CE03EA" w:rsidRDefault="00CE03EA" w:rsidP="00713714">
      <w:pPr>
        <w:rPr>
          <w:kern w:val="36"/>
        </w:rPr>
      </w:pPr>
      <w:r w:rsidRPr="00CE03EA">
        <w:rPr>
          <w:kern w:val="36"/>
        </w:rPr>
        <w:t>Pharmacophoric-ODE PQC (n_feat → n_qubits = power-of-2 ≥ n_feat)</w:t>
      </w:r>
    </w:p>
    <w:p w:rsidR="00CE03EA" w:rsidRPr="00CE03EA" w:rsidRDefault="00CE03EA" w:rsidP="00713714">
      <w:r w:rsidRPr="00CE03EA">
        <w:t xml:space="preserve">Each of </w:t>
      </w:r>
      <w:r w:rsidRPr="00CE03EA">
        <w:rPr>
          <w:rFonts w:ascii="Courier New" w:hAnsi="Courier New" w:cs="Courier New"/>
          <w:sz w:val="20"/>
        </w:rPr>
        <w:t>depth</w:t>
      </w:r>
      <w:r w:rsidRPr="00CE03EA">
        <w:t xml:space="preserve"> blocks does:</w:t>
      </w:r>
    </w:p>
    <w:p w:rsidR="00CE03EA" w:rsidRPr="00CE03EA" w:rsidRDefault="00CE03EA" w:rsidP="00713714">
      <w:r w:rsidRPr="00CE03EA">
        <w:t># Data re-uploading (per qubit i; wraps feature index f = i mod n_feat)</w:t>
      </w:r>
    </w:p>
    <w:p w:rsidR="00CE03EA" w:rsidRPr="00CE03EA" w:rsidRDefault="00CE03EA" w:rsidP="00713714">
      <w:r w:rsidRPr="00CE03EA">
        <w:rPr>
          <w:szCs w:val="20"/>
        </w:rPr>
        <w:t>q[i]</w:t>
      </w:r>
      <w:r w:rsidRPr="00CE03EA">
        <w:t>:</w:t>
      </w:r>
      <w:r w:rsidR="00496063">
        <w:t xml:space="preserve"> </w:t>
      </w:r>
      <w:r w:rsidRPr="00CE03EA">
        <w:t xml:space="preserve">Rx( </w:t>
      </w:r>
      <w:r w:rsidRPr="00CE03EA">
        <w:rPr>
          <w:szCs w:val="20"/>
        </w:rPr>
        <w:t>x</w:t>
      </w:r>
      <w:r w:rsidRPr="00CE03EA">
        <w:t>[f] + θ</w:t>
      </w:r>
      <w:r w:rsidRPr="00CE03EA">
        <w:rPr>
          <w:szCs w:val="20"/>
        </w:rPr>
        <w:t>_</w:t>
      </w:r>
      <w:r w:rsidRPr="00CE03EA">
        <w:t>{d,i,</w:t>
      </w:r>
      <w:r w:rsidRPr="00CE03EA">
        <w:rPr>
          <w:szCs w:val="20"/>
        </w:rPr>
        <w:t>0</w:t>
      </w:r>
      <w:r w:rsidRPr="00CE03EA">
        <w:t>} ) ─ Rz( λ_curv·k[f]·</w:t>
      </w:r>
      <w:r w:rsidRPr="00CE03EA">
        <w:rPr>
          <w:szCs w:val="20"/>
        </w:rPr>
        <w:t>x</w:t>
      </w:r>
      <w:r w:rsidRPr="00CE03EA">
        <w:t>[f] + θ</w:t>
      </w:r>
      <w:r w:rsidRPr="00CE03EA">
        <w:rPr>
          <w:szCs w:val="20"/>
        </w:rPr>
        <w:t>_</w:t>
      </w:r>
      <w:r w:rsidRPr="00CE03EA">
        <w:t>{d,i,</w:t>
      </w:r>
      <w:r w:rsidRPr="00CE03EA">
        <w:rPr>
          <w:szCs w:val="20"/>
        </w:rPr>
        <w:t>1</w:t>
      </w:r>
      <w:r w:rsidRPr="00CE03EA">
        <w:t>} ) ─ Ry( θ</w:t>
      </w:r>
      <w:r w:rsidRPr="00CE03EA">
        <w:rPr>
          <w:szCs w:val="20"/>
        </w:rPr>
        <w:t>_</w:t>
      </w:r>
      <w:r w:rsidRPr="00CE03EA">
        <w:t>{d,i,</w:t>
      </w:r>
      <w:r w:rsidRPr="00CE03EA">
        <w:rPr>
          <w:szCs w:val="20"/>
        </w:rPr>
        <w:t>2</w:t>
      </w:r>
      <w:r w:rsidRPr="00CE03EA">
        <w:t>} )</w:t>
      </w:r>
    </w:p>
    <w:p w:rsidR="00CE03EA" w:rsidRPr="00CE03EA" w:rsidRDefault="00CE03EA" w:rsidP="00713714"/>
    <w:p w:rsidR="00CE03EA" w:rsidRPr="00CE03EA" w:rsidRDefault="00CE03EA" w:rsidP="00713714">
      <w:r w:rsidRPr="00CE03EA">
        <w:t># CZ ladder entanglement</w:t>
      </w:r>
    </w:p>
    <w:p w:rsidR="00CE03EA" w:rsidRPr="00CE03EA" w:rsidRDefault="00CE03EA" w:rsidP="00713714">
      <w:r w:rsidRPr="00CE03EA">
        <w:rPr>
          <w:szCs w:val="20"/>
        </w:rPr>
        <w:t>q[0]</w:t>
      </w:r>
      <w:r w:rsidRPr="00CE03EA">
        <w:t xml:space="preserve"> ──●───────────</w:t>
      </w:r>
    </w:p>
    <w:p w:rsidR="00CE03EA" w:rsidRPr="00CE03EA" w:rsidRDefault="00496063" w:rsidP="00713714">
      <w:r>
        <w:t xml:space="preserve"> </w:t>
      </w:r>
      <w:r w:rsidR="00CE03EA" w:rsidRPr="00CE03EA">
        <w:t>│</w:t>
      </w:r>
    </w:p>
    <w:p w:rsidR="00CE03EA" w:rsidRPr="00CE03EA" w:rsidRDefault="00CE03EA" w:rsidP="00713714">
      <w:r w:rsidRPr="00CE03EA">
        <w:rPr>
          <w:szCs w:val="20"/>
        </w:rPr>
        <w:t>q[1]</w:t>
      </w:r>
      <w:r w:rsidRPr="00CE03EA">
        <w:t xml:space="preserve"> ──Z──●────────</w:t>
      </w:r>
    </w:p>
    <w:p w:rsidR="00CE03EA" w:rsidRPr="00CE03EA" w:rsidRDefault="00496063" w:rsidP="00713714">
      <w:r>
        <w:t xml:space="preserve"> </w:t>
      </w:r>
      <w:r w:rsidR="00CE03EA" w:rsidRPr="00CE03EA">
        <w:t>│</w:t>
      </w:r>
    </w:p>
    <w:p w:rsidR="00CE03EA" w:rsidRPr="00CE03EA" w:rsidRDefault="00CE03EA" w:rsidP="00713714">
      <w:r w:rsidRPr="00CE03EA">
        <w:rPr>
          <w:szCs w:val="20"/>
        </w:rPr>
        <w:t>q[2]</w:t>
      </w:r>
      <w:r w:rsidRPr="00CE03EA">
        <w:t xml:space="preserve"> ─────Z──●─────</w:t>
      </w:r>
    </w:p>
    <w:p w:rsidR="00CE03EA" w:rsidRPr="00CE03EA" w:rsidRDefault="00496063" w:rsidP="00713714">
      <w:r>
        <w:t xml:space="preserve"> </w:t>
      </w:r>
      <w:r w:rsidR="00CE03EA" w:rsidRPr="00CE03EA">
        <w:t>│</w:t>
      </w:r>
    </w:p>
    <w:p w:rsidR="00CE03EA" w:rsidRPr="00CE03EA" w:rsidRDefault="00CE03EA" w:rsidP="00713714">
      <w:r w:rsidRPr="00CE03EA">
        <w:t>...</w:t>
      </w:r>
      <w:r w:rsidR="00496063">
        <w:t xml:space="preserve"> </w:t>
      </w:r>
      <w:r w:rsidRPr="00CE03EA">
        <w:t>…</w:t>
      </w:r>
    </w:p>
    <w:p w:rsidR="00CE03EA" w:rsidRPr="00CE03EA" w:rsidRDefault="00496063" w:rsidP="00713714">
      <w:r>
        <w:t xml:space="preserve"> </w:t>
      </w:r>
      <w:r w:rsidR="00CE03EA" w:rsidRPr="00CE03EA">
        <w:t>│</w:t>
      </w:r>
    </w:p>
    <w:p w:rsidR="00CE03EA" w:rsidRPr="00CE03EA" w:rsidRDefault="00CE03EA" w:rsidP="00713714">
      <w:r w:rsidRPr="00CE03EA">
        <w:rPr>
          <w:szCs w:val="20"/>
        </w:rPr>
        <w:t>q[n−1]</w:t>
      </w:r>
      <w:r w:rsidRPr="00CE03EA">
        <w:t xml:space="preserve"> ────────Z────</w:t>
      </w:r>
    </w:p>
    <w:p w:rsidR="00CE03EA" w:rsidRPr="00CE03EA" w:rsidRDefault="00CE03EA" w:rsidP="00713714"/>
    <w:p w:rsidR="00CE03EA" w:rsidRPr="00CE03EA" w:rsidRDefault="00CE03EA" w:rsidP="00713714">
      <w:r w:rsidRPr="00CE03EA">
        <w:t># Pharmacophore mismatch penalty (for i&lt;j over feature qubits)</w:t>
      </w:r>
    </w:p>
    <w:p w:rsidR="00CE03EA" w:rsidRPr="00CE03EA" w:rsidRDefault="00496063" w:rsidP="00713714">
      <w:r>
        <w:t xml:space="preserve"> </w:t>
      </w:r>
      <w:r w:rsidR="00CE03EA" w:rsidRPr="00CE03EA">
        <w:t xml:space="preserve">CX(i→j) – RZ( </w:t>
      </w:r>
      <w:r w:rsidR="00CE03EA" w:rsidRPr="00CE03EA">
        <w:rPr>
          <w:szCs w:val="20"/>
        </w:rPr>
        <w:t>2</w:t>
      </w:r>
      <w:r w:rsidR="00CE03EA" w:rsidRPr="00CE03EA">
        <w:t>·λ_ph4·m[i]·m[j] ) – CX(i→j)</w:t>
      </w:r>
    </w:p>
    <w:p w:rsidR="00CE03EA" w:rsidRPr="00CE03EA" w:rsidRDefault="00CE03EA" w:rsidP="00713714">
      <w:r w:rsidRPr="00CE03EA">
        <w:t xml:space="preserve">Readout: measure Z on the first </w:t>
      </w:r>
      <w:r w:rsidRPr="00CE03EA">
        <w:rPr>
          <w:rFonts w:ascii="Courier New" w:hAnsi="Courier New" w:cs="Courier New"/>
          <w:sz w:val="20"/>
        </w:rPr>
        <w:t>readout_qubits</w:t>
      </w:r>
      <w:r w:rsidRPr="00CE03EA">
        <w:t xml:space="preserve"> (default 1).</w:t>
      </w:r>
    </w:p>
    <w:p w:rsidR="00CE03EA" w:rsidRPr="00CE03EA" w:rsidRDefault="00CE03EA" w:rsidP="00713714">
      <w:pPr>
        <w:rPr>
          <w:kern w:val="36"/>
        </w:rPr>
      </w:pPr>
      <w:r w:rsidRPr="00CE03EA">
        <w:rPr>
          <w:kern w:val="36"/>
        </w:rPr>
        <w:t xml:space="preserve">Composite Layout (QAOA </w:t>
      </w:r>
      <w:r w:rsidRPr="00CE03EA">
        <w:rPr>
          <w:rFonts w:ascii="Cambria Math" w:hAnsi="Cambria Math" w:cs="Cambria Math"/>
          <w:kern w:val="36"/>
        </w:rPr>
        <w:t>⊗</w:t>
      </w:r>
      <w:r w:rsidRPr="00CE03EA">
        <w:rPr>
          <w:kern w:val="36"/>
        </w:rPr>
        <w:t xml:space="preserve"> PQC)</w:t>
      </w:r>
    </w:p>
    <w:p w:rsidR="00CE03EA" w:rsidRPr="00CE03EA" w:rsidRDefault="00CE03EA" w:rsidP="00713714">
      <w:r w:rsidRPr="00CE03EA">
        <w:t>Tensor product, with a barrier between subcircuits:</w:t>
      </w:r>
    </w:p>
    <w:p w:rsidR="00CE03EA" w:rsidRPr="00CE03EA" w:rsidRDefault="00CE03EA" w:rsidP="00713714">
      <w:r w:rsidRPr="00CE03EA">
        <w:t>chemotype qubits (QAOA):</w:t>
      </w:r>
      <w:r w:rsidR="00496063">
        <w:t xml:space="preserve"> </w:t>
      </w:r>
      <w:r w:rsidRPr="00CE03EA">
        <w:t>──[ QAOA layer 1 ]─ … ─[ QAOA layer p ]────■</w:t>
      </w:r>
    </w:p>
    <w:p w:rsidR="00CE03EA" w:rsidRPr="00CE03EA" w:rsidRDefault="00496063" w:rsidP="00713714">
      <w:r>
        <w:t xml:space="preserve"> </w:t>
      </w:r>
      <w:r w:rsidR="00CE03EA" w:rsidRPr="00CE03EA">
        <w:t>(barrier)</w:t>
      </w:r>
    </w:p>
    <w:p w:rsidR="00CE03EA" w:rsidRPr="00CE03EA" w:rsidRDefault="00CE03EA" w:rsidP="00713714">
      <w:r w:rsidRPr="00CE03EA">
        <w:t>PQC/feature qubits:</w:t>
      </w:r>
      <w:r w:rsidR="00496063">
        <w:t xml:space="preserve"> </w:t>
      </w:r>
      <w:r w:rsidRPr="00CE03EA">
        <w:t>──[ encode + CZ + ZZ_penalty ] x depth ────■───M(z)</w:t>
      </w:r>
    </w:p>
    <w:p w:rsidR="00CE03EA" w:rsidRPr="00CE03EA" w:rsidRDefault="00CE03EA" w:rsidP="00713714">
      <w:r w:rsidRPr="00CE03EA">
        <w:t>Where the parameters come from</w:t>
      </w:r>
    </w:p>
    <w:p w:rsidR="00CE03EA" w:rsidRPr="00CE03EA" w:rsidRDefault="00CE03EA" w:rsidP="00713714">
      <w:r w:rsidRPr="00CE03EA">
        <w:t xml:space="preserve">QAOA: </w:t>
      </w:r>
      <w:r w:rsidRPr="00CE03EA">
        <w:rPr>
          <w:rFonts w:ascii="Courier New" w:hAnsi="Courier New" w:cs="Courier New"/>
          <w:sz w:val="20"/>
        </w:rPr>
        <w:t>{γ_k, β_k}</w:t>
      </w:r>
      <w:r w:rsidRPr="00CE03EA">
        <w:t xml:space="preserve"> (k=1..p), weighted by graph edges </w:t>
      </w:r>
      <w:r w:rsidRPr="00CE03EA">
        <w:rPr>
          <w:rFonts w:ascii="Courier New" w:hAnsi="Courier New" w:cs="Courier New"/>
          <w:sz w:val="20"/>
        </w:rPr>
        <w:t>w_ij</w:t>
      </w:r>
      <w:r w:rsidRPr="00CE03EA">
        <w:t>.</w:t>
      </w:r>
    </w:p>
    <w:p w:rsidR="00CE03EA" w:rsidRPr="00CE03EA" w:rsidRDefault="00CE03EA" w:rsidP="00713714">
      <w:r w:rsidRPr="00CE03EA">
        <w:t>PQC:</w:t>
      </w:r>
    </w:p>
    <w:p w:rsidR="00CE03EA" w:rsidRPr="00CE03EA" w:rsidRDefault="00CE03EA" w:rsidP="00713714">
      <w:r w:rsidRPr="00CE03EA">
        <w:t xml:space="preserve">Inputs: </w:t>
      </w:r>
      <w:r w:rsidRPr="00CE03EA">
        <w:rPr>
          <w:rFonts w:ascii="Courier New" w:hAnsi="Courier New" w:cs="Courier New"/>
          <w:sz w:val="20"/>
        </w:rPr>
        <w:t>x[f]</w:t>
      </w:r>
      <w:r w:rsidRPr="00CE03EA">
        <w:t xml:space="preserve"> (features), </w:t>
      </w:r>
      <w:r w:rsidRPr="00CE03EA">
        <w:rPr>
          <w:rFonts w:ascii="Courier New" w:hAnsi="Courier New" w:cs="Courier New"/>
          <w:sz w:val="20"/>
        </w:rPr>
        <w:t>m[f]</w:t>
      </w:r>
      <w:r w:rsidRPr="00CE03EA">
        <w:t xml:space="preserve"> (pharmacophore mismatch in [0,1]), </w:t>
      </w:r>
      <w:r w:rsidRPr="00CE03EA">
        <w:rPr>
          <w:rFonts w:ascii="Courier New" w:hAnsi="Courier New" w:cs="Courier New"/>
          <w:sz w:val="20"/>
        </w:rPr>
        <w:t>k[f]</w:t>
      </w:r>
      <w:r w:rsidRPr="00CE03EA">
        <w:t xml:space="preserve"> (curvature weights).</w:t>
      </w:r>
    </w:p>
    <w:p w:rsidR="00CE03EA" w:rsidRPr="00CE03EA" w:rsidRDefault="00CE03EA" w:rsidP="00713714">
      <w:r w:rsidRPr="00CE03EA">
        <w:t xml:space="preserve">Trainables: </w:t>
      </w:r>
      <w:r w:rsidRPr="00CE03EA">
        <w:rPr>
          <w:rFonts w:ascii="Courier New" w:hAnsi="Courier New" w:cs="Courier New"/>
          <w:sz w:val="20"/>
        </w:rPr>
        <w:t>θ_{d,i,*}</w:t>
      </w:r>
      <w:r w:rsidRPr="00CE03EA">
        <w:t xml:space="preserve"> across blocks/qubits.</w:t>
      </w:r>
    </w:p>
    <w:p w:rsidR="00CE03EA" w:rsidRPr="00CE03EA" w:rsidRDefault="00CE03EA" w:rsidP="00713714">
      <w:r w:rsidRPr="00CE03EA">
        <w:t xml:space="preserve">Hyperparameters: </w:t>
      </w:r>
      <w:r w:rsidRPr="00CE03EA">
        <w:rPr>
          <w:rFonts w:ascii="Courier New" w:hAnsi="Courier New" w:cs="Courier New"/>
          <w:sz w:val="20"/>
        </w:rPr>
        <w:t>λ_curv</w:t>
      </w:r>
      <w:r w:rsidRPr="00CE03EA">
        <w:t xml:space="preserve">, </w:t>
      </w:r>
      <w:r w:rsidRPr="00CE03EA">
        <w:rPr>
          <w:rFonts w:ascii="Courier New" w:hAnsi="Courier New" w:cs="Courier New"/>
          <w:sz w:val="20"/>
        </w:rPr>
        <w:t>λ_ph4</w:t>
      </w:r>
      <w:r w:rsidRPr="00CE03EA">
        <w:t>.</w:t>
      </w:r>
    </w:p>
    <w:p w:rsidR="0018365A" w:rsidRPr="0018365A" w:rsidRDefault="0018365A" w:rsidP="00713714">
      <w:r w:rsidRPr="0018365A">
        <w:t>Quantum‑Geometry Pharmacophoric ODEs — Compiled, Ready‑to‑Run Module (Qiskit &gt;= 1.0)</w:t>
      </w:r>
    </w:p>
    <w:p w:rsidR="0018365A" w:rsidRPr="0018365A" w:rsidRDefault="0018365A" w:rsidP="00713714">
      <w:r w:rsidRPr="0018365A">
        <w:t>• QAOA diversity selector on a chemotype‑similarity graph (MaxCut; weighted ZZ cost + RX mixer)</w:t>
      </w:r>
    </w:p>
    <w:p w:rsidR="0018365A" w:rsidRPr="0018365A" w:rsidRDefault="0018365A" w:rsidP="00713714">
      <w:r w:rsidRPr="0018365A">
        <w:t>• Curvature‑ and pharmacophore‑aware variational head (data re‑uploading PQC with ZZ mismatch penalties)</w:t>
      </w:r>
    </w:p>
    <w:p w:rsidR="0018365A" w:rsidRPr="0018365A" w:rsidRDefault="0018365A" w:rsidP="00713714">
      <w:r w:rsidRPr="0018365A">
        <w:t xml:space="preserve">• A clean tensor composition QAOA </w:t>
      </w:r>
      <w:r w:rsidRPr="0018365A">
        <w:rPr>
          <w:rFonts w:ascii="Cambria Math" w:hAnsi="Cambria Math" w:cs="Cambria Math"/>
        </w:rPr>
        <w:t>⊗</w:t>
      </w:r>
      <w:r w:rsidRPr="0018365A">
        <w:t xml:space="preserve"> PQC for end‑to‑end pipelines</w:t>
      </w:r>
    </w:p>
    <w:p w:rsidR="0018365A" w:rsidRPr="0018365A" w:rsidRDefault="0018365A" w:rsidP="00713714">
      <w:r w:rsidRPr="0018365A">
        <w:t>• Simple parameter binding helpers and a minimal Aer demo</w:t>
      </w:r>
    </w:p>
    <w:p w:rsidR="0018365A" w:rsidRPr="0018365A" w:rsidRDefault="0018365A" w:rsidP="00713714"/>
    <w:p w:rsidR="0018365A" w:rsidRPr="0018365A" w:rsidRDefault="0018365A" w:rsidP="00713714">
      <w:r w:rsidRPr="0018365A">
        <w:t>Usage</w:t>
      </w:r>
    </w:p>
    <w:p w:rsidR="0018365A" w:rsidRPr="0018365A" w:rsidRDefault="0018365A" w:rsidP="00713714">
      <w:r w:rsidRPr="0018365A">
        <w:t>-----</w:t>
      </w:r>
    </w:p>
    <w:p w:rsidR="0018365A" w:rsidRPr="0018365A" w:rsidRDefault="0018365A" w:rsidP="00713714">
      <w:r w:rsidRPr="0018365A">
        <w:t>python quantum_ph4_odes_compiled.py</w:t>
      </w:r>
      <w:r w:rsidR="00496063">
        <w:t xml:space="preserve"> </w:t>
      </w:r>
      <w:r w:rsidRPr="0018365A">
        <w:t># runs the demo</w:t>
      </w:r>
    </w:p>
    <w:p w:rsidR="0018365A" w:rsidRPr="0018365A" w:rsidRDefault="0018365A" w:rsidP="00713714"/>
    <w:p w:rsidR="0018365A" w:rsidRPr="0018365A" w:rsidRDefault="0018365A" w:rsidP="00713714">
      <w:r w:rsidRPr="0018365A">
        <w:t>Or import and call:</w:t>
      </w:r>
    </w:p>
    <w:p w:rsidR="0018365A" w:rsidRPr="0018365A" w:rsidRDefault="00496063" w:rsidP="00713714">
      <w:r>
        <w:t xml:space="preserve"> </w:t>
      </w:r>
      <w:r w:rsidR="0018365A" w:rsidRPr="0018365A">
        <w:t>from quantum_ph4_odes_compiled import (</w:t>
      </w:r>
    </w:p>
    <w:p w:rsidR="0018365A" w:rsidRPr="0018365A" w:rsidRDefault="00496063" w:rsidP="00713714">
      <w:r>
        <w:t xml:space="preserve"> </w:t>
      </w:r>
      <w:r w:rsidR="0018365A" w:rsidRPr="0018365A">
        <w:t>qaoa_diversity_circuit,</w:t>
      </w:r>
    </w:p>
    <w:p w:rsidR="0018365A" w:rsidRPr="0018365A" w:rsidRDefault="00496063" w:rsidP="00713714">
      <w:r>
        <w:t xml:space="preserve"> </w:t>
      </w:r>
      <w:r w:rsidR="0018365A" w:rsidRPr="0018365A">
        <w:t>pharmacophoric_pqc,</w:t>
      </w:r>
    </w:p>
    <w:p w:rsidR="0018365A" w:rsidRPr="0018365A" w:rsidRDefault="00496063" w:rsidP="00713714">
      <w:r>
        <w:t xml:space="preserve"> </w:t>
      </w:r>
      <w:r w:rsidR="0018365A" w:rsidRPr="0018365A">
        <w:t>pharmacophoric_odes_circuit,</w:t>
      </w:r>
    </w:p>
    <w:p w:rsidR="0018365A" w:rsidRPr="0018365A" w:rsidRDefault="00496063" w:rsidP="00713714">
      <w:r>
        <w:t xml:space="preserve"> </w:t>
      </w:r>
      <w:r w:rsidR="0018365A" w:rsidRPr="0018365A">
        <w:t>bind_param_vectors,</w:t>
      </w:r>
    </w:p>
    <w:p w:rsidR="0018365A" w:rsidRPr="0018365A" w:rsidRDefault="00496063" w:rsidP="00713714">
      <w:r>
        <w:t xml:space="preserve"> </w:t>
      </w:r>
      <w:r w:rsidR="0018365A" w:rsidRPr="0018365A">
        <w:t>run_random_demo,</w:t>
      </w:r>
    </w:p>
    <w:p w:rsidR="0018365A" w:rsidRPr="0018365A" w:rsidRDefault="00496063" w:rsidP="00713714">
      <w:r>
        <w:t xml:space="preserve"> </w:t>
      </w:r>
      <w:r w:rsidR="0018365A" w:rsidRPr="0018365A">
        <w:t>)</w:t>
      </w:r>
    </w:p>
    <w:p w:rsidR="0018365A" w:rsidRPr="0018365A" w:rsidRDefault="0018365A" w:rsidP="00713714"/>
    <w:p w:rsidR="0018365A" w:rsidRPr="0018365A" w:rsidRDefault="0018365A" w:rsidP="00713714">
      <w:r w:rsidRPr="0018365A">
        <w:t>Notes</w:t>
      </w:r>
    </w:p>
    <w:p w:rsidR="0018365A" w:rsidRPr="0018365A" w:rsidRDefault="0018365A" w:rsidP="00713714">
      <w:r w:rsidRPr="0018365A">
        <w:t>-----</w:t>
      </w:r>
    </w:p>
    <w:p w:rsidR="0018365A" w:rsidRPr="0018365A" w:rsidRDefault="0018365A" w:rsidP="00713714">
      <w:r w:rsidRPr="0018365A">
        <w:t>• Module uses only core Qiskit. Aer is optional (for sampling counts in the demo).</w:t>
      </w:r>
    </w:p>
    <w:p w:rsidR="0018365A" w:rsidRPr="0018365A" w:rsidRDefault="0018365A" w:rsidP="00713714">
      <w:r w:rsidRPr="0018365A">
        <w:t>• PQC inputs (x, m, k) are symbolic ParameterVectors; bind with numpy arrays.</w:t>
      </w:r>
    </w:p>
    <w:p w:rsidR="0018365A" w:rsidRPr="0018365A" w:rsidRDefault="0018365A" w:rsidP="00713714">
      <w:r w:rsidRPr="0018365A">
        <w:t xml:space="preserve">• "m" encodes pharmacophore mismatch in [0,1]; higher </w:t>
      </w:r>
      <w:r w:rsidRPr="0018365A">
        <w:rPr>
          <w:rFonts w:ascii="Cambria Math" w:hAnsi="Cambria Math" w:cs="Cambria Math"/>
        </w:rPr>
        <w:t>⇒</w:t>
      </w:r>
      <w:r w:rsidRPr="0018365A">
        <w:t xml:space="preserve"> stronger ZZ penalty.</w:t>
      </w:r>
    </w:p>
    <w:p w:rsidR="0018365A" w:rsidRPr="0018365A" w:rsidRDefault="0018365A" w:rsidP="00713714">
      <w:r w:rsidRPr="0018365A">
        <w:t>"""</w:t>
      </w:r>
    </w:p>
    <w:p w:rsidR="0018365A" w:rsidRPr="0018365A" w:rsidRDefault="0018365A" w:rsidP="00713714">
      <w:r w:rsidRPr="0018365A">
        <w:t>from __future__ import annotations</w:t>
      </w:r>
    </w:p>
    <w:p w:rsidR="0018365A" w:rsidRPr="0018365A" w:rsidRDefault="0018365A" w:rsidP="00713714">
      <w:r w:rsidRPr="0018365A">
        <w:t>from typing import Dict, Iterable, Tuple</w:t>
      </w:r>
    </w:p>
    <w:p w:rsidR="0018365A" w:rsidRPr="0018365A" w:rsidRDefault="0018365A" w:rsidP="00713714">
      <w:r w:rsidRPr="0018365A">
        <w:t>import numpy as np</w:t>
      </w:r>
    </w:p>
    <w:p w:rsidR="0018365A" w:rsidRPr="0018365A" w:rsidRDefault="0018365A" w:rsidP="00713714"/>
    <w:p w:rsidR="0018365A" w:rsidRPr="0018365A" w:rsidRDefault="0018365A" w:rsidP="00713714">
      <w:r w:rsidRPr="0018365A">
        <w:t>from qiskit import QuantumCircuit, QuantumRegister, ClassicalRegister</w:t>
      </w:r>
    </w:p>
    <w:p w:rsidR="0018365A" w:rsidRPr="0018365A" w:rsidRDefault="0018365A" w:rsidP="00713714">
      <w:r w:rsidRPr="0018365A">
        <w:t>from qiskit.circuit import ParameterVector</w:t>
      </w:r>
    </w:p>
    <w:p w:rsidR="0018365A" w:rsidRPr="0018365A" w:rsidRDefault="0018365A" w:rsidP="00713714"/>
    <w:p w:rsidR="0018365A" w:rsidRPr="0018365A" w:rsidRDefault="0018365A" w:rsidP="00713714">
      <w:r w:rsidRPr="0018365A">
        <w:t># Optional Aer for the demo</w:t>
      </w:r>
    </w:p>
    <w:p w:rsidR="0018365A" w:rsidRPr="0018365A" w:rsidRDefault="0018365A" w:rsidP="00713714">
      <w:r w:rsidRPr="0018365A">
        <w:t>try:</w:t>
      </w:r>
      <w:r w:rsidR="00496063">
        <w:t xml:space="preserve"> </w:t>
      </w:r>
      <w:r w:rsidRPr="0018365A">
        <w:t># pragma: no cover</w:t>
      </w:r>
    </w:p>
    <w:p w:rsidR="0018365A" w:rsidRPr="0018365A" w:rsidRDefault="00496063" w:rsidP="00713714">
      <w:r>
        <w:t xml:space="preserve"> </w:t>
      </w:r>
      <w:r w:rsidR="0018365A" w:rsidRPr="0018365A">
        <w:t>from qiskit_aer import AerSimulator</w:t>
      </w:r>
    </w:p>
    <w:p w:rsidR="0018365A" w:rsidRPr="0018365A" w:rsidRDefault="00496063" w:rsidP="00713714">
      <w:r>
        <w:t xml:space="preserve"> </w:t>
      </w:r>
      <w:r w:rsidR="0018365A" w:rsidRPr="0018365A">
        <w:t>_HAS_AER = True</w:t>
      </w:r>
    </w:p>
    <w:p w:rsidR="0018365A" w:rsidRPr="0018365A" w:rsidRDefault="0018365A" w:rsidP="00713714">
      <w:r w:rsidRPr="0018365A">
        <w:t>except Exception:</w:t>
      </w:r>
      <w:r w:rsidR="00496063">
        <w:t xml:space="preserve"> </w:t>
      </w:r>
      <w:r w:rsidRPr="0018365A">
        <w:t># pragma: no cover</w:t>
      </w:r>
    </w:p>
    <w:p w:rsidR="0018365A" w:rsidRPr="0018365A" w:rsidRDefault="00496063" w:rsidP="00713714">
      <w:r>
        <w:t xml:space="preserve"> </w:t>
      </w:r>
      <w:r w:rsidR="0018365A" w:rsidRPr="0018365A">
        <w:t>_HAS_AER = False</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Pillar I: QAOA diversity layer (MaxCut on chemotype similarity)</w:t>
      </w:r>
    </w:p>
    <w:p w:rsidR="0018365A" w:rsidRPr="0018365A" w:rsidRDefault="0018365A" w:rsidP="00713714">
      <w:r w:rsidRPr="0018365A">
        <w:t># ──────────────────────────────────────────────────────────────────────────────</w:t>
      </w:r>
    </w:p>
    <w:p w:rsidR="0018365A" w:rsidRPr="0018365A" w:rsidRDefault="0018365A" w:rsidP="00713714"/>
    <w:p w:rsidR="0018365A" w:rsidRPr="0018365A" w:rsidRDefault="0018365A" w:rsidP="00713714">
      <w:r w:rsidRPr="0018365A">
        <w:t>def qaoa_diversity_circuit(adj_mat: np.ndarray, p: int = 1) -&gt; QuantumCircuit:</w:t>
      </w:r>
    </w:p>
    <w:p w:rsidR="0018365A" w:rsidRPr="0018365A" w:rsidRDefault="00496063" w:rsidP="00713714">
      <w:r>
        <w:t xml:space="preserve"> </w:t>
      </w:r>
      <w:r w:rsidR="0018365A" w:rsidRPr="0018365A">
        <w:t>"""Build a p‑layer QAOA circuit for MaxCut on a weighted similarity graph.</w:t>
      </w:r>
    </w:p>
    <w:p w:rsidR="0018365A" w:rsidRPr="0018365A" w:rsidRDefault="0018365A" w:rsidP="00713714"/>
    <w:p w:rsidR="0018365A" w:rsidRPr="0018365A" w:rsidRDefault="00496063" w:rsidP="00713714">
      <w:r>
        <w:t xml:space="preserve"> </w:t>
      </w:r>
      <w:r w:rsidR="0018365A" w:rsidRPr="0018365A">
        <w:t>Nodes = chemotypes; edge weight w_ij = similarity. Maximizing the cut promotes</w:t>
      </w:r>
    </w:p>
    <w:p w:rsidR="0018365A" w:rsidRPr="0018365A" w:rsidRDefault="00496063" w:rsidP="00713714">
      <w:r>
        <w:t xml:space="preserve"> </w:t>
      </w:r>
      <w:r w:rsidR="0018365A" w:rsidRPr="0018365A">
        <w:t>anti‑similar selections (diversity).</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adj_mat = np.asarray(adj_mat, dtype=float)</w:t>
      </w:r>
    </w:p>
    <w:p w:rsidR="0018365A" w:rsidRPr="0018365A" w:rsidRDefault="00496063" w:rsidP="00713714">
      <w:r>
        <w:t xml:space="preserve"> </w:t>
      </w:r>
      <w:r w:rsidR="0018365A" w:rsidRPr="0018365A">
        <w:t>assert adj_mat.ndim == 2 and adj_mat.shape[0] == adj_mat.shape[1], "adj_mat must be square"</w:t>
      </w:r>
    </w:p>
    <w:p w:rsidR="0018365A" w:rsidRPr="0018365A" w:rsidRDefault="00496063" w:rsidP="00713714">
      <w:r>
        <w:t xml:space="preserve"> </w:t>
      </w:r>
      <w:r w:rsidR="0018365A" w:rsidRPr="0018365A">
        <w:t>n = adj_mat.shape[0]</w:t>
      </w:r>
    </w:p>
    <w:p w:rsidR="0018365A" w:rsidRPr="0018365A" w:rsidRDefault="0018365A" w:rsidP="00713714"/>
    <w:p w:rsidR="0018365A" w:rsidRPr="0018365A" w:rsidRDefault="00496063" w:rsidP="00713714">
      <w:r>
        <w:t xml:space="preserve"> </w:t>
      </w:r>
      <w:r w:rsidR="0018365A" w:rsidRPr="0018365A">
        <w:t>qr = QuantumRegister(n, "chem")</w:t>
      </w:r>
    </w:p>
    <w:p w:rsidR="0018365A" w:rsidRPr="0018365A" w:rsidRDefault="00496063" w:rsidP="00713714">
      <w:r>
        <w:t xml:space="preserve"> </w:t>
      </w:r>
      <w:r w:rsidR="0018365A" w:rsidRPr="0018365A">
        <w:t>qc = QuantumCircuit(qr, name="QAOA_diversity")</w:t>
      </w:r>
    </w:p>
    <w:p w:rsidR="0018365A" w:rsidRPr="0018365A" w:rsidRDefault="0018365A" w:rsidP="00713714"/>
    <w:p w:rsidR="0018365A" w:rsidRPr="0018365A" w:rsidRDefault="00496063" w:rsidP="00713714">
      <w:r>
        <w:t xml:space="preserve"> </w:t>
      </w:r>
      <w:r w:rsidR="0018365A" w:rsidRPr="0018365A">
        <w:t>gammas = ParameterVector("γ", p)</w:t>
      </w:r>
    </w:p>
    <w:p w:rsidR="0018365A" w:rsidRPr="0018365A" w:rsidRDefault="00496063" w:rsidP="00713714">
      <w:r>
        <w:t xml:space="preserve"> </w:t>
      </w:r>
      <w:r w:rsidR="0018365A" w:rsidRPr="0018365A">
        <w:t>betas = ParameterVector("β", p)</w:t>
      </w:r>
    </w:p>
    <w:p w:rsidR="0018365A" w:rsidRPr="0018365A" w:rsidRDefault="0018365A" w:rsidP="00713714"/>
    <w:p w:rsidR="0018365A" w:rsidRPr="0018365A" w:rsidRDefault="00496063" w:rsidP="00713714">
      <w:r>
        <w:t xml:space="preserve"> </w:t>
      </w:r>
      <w:r w:rsidR="0018365A" w:rsidRPr="0018365A">
        <w:t># |+&gt;^n initialization</w:t>
      </w:r>
    </w:p>
    <w:p w:rsidR="0018365A" w:rsidRPr="0018365A" w:rsidRDefault="00496063" w:rsidP="00713714">
      <w:r>
        <w:t xml:space="preserve"> </w:t>
      </w:r>
      <w:r w:rsidR="0018365A" w:rsidRPr="0018365A">
        <w:t>qc.h(qr)</w:t>
      </w:r>
    </w:p>
    <w:p w:rsidR="0018365A" w:rsidRPr="0018365A" w:rsidRDefault="0018365A" w:rsidP="00713714"/>
    <w:p w:rsidR="0018365A" w:rsidRPr="0018365A" w:rsidRDefault="00496063" w:rsidP="00713714">
      <w:r>
        <w:t xml:space="preserve"> </w:t>
      </w:r>
      <w:r w:rsidR="0018365A" w:rsidRPr="0018365A">
        <w:t># Alternating operator Ansatz</w:t>
      </w:r>
    </w:p>
    <w:p w:rsidR="0018365A" w:rsidRPr="0018365A" w:rsidRDefault="00496063" w:rsidP="00713714">
      <w:r>
        <w:t xml:space="preserve"> </w:t>
      </w:r>
      <w:r w:rsidR="0018365A" w:rsidRPr="0018365A">
        <w:t>for k in range(p):</w:t>
      </w:r>
    </w:p>
    <w:p w:rsidR="0018365A" w:rsidRPr="0018365A" w:rsidRDefault="00496063" w:rsidP="00713714">
      <w:r>
        <w:t xml:space="preserve"> </w:t>
      </w:r>
      <w:r w:rsidR="0018365A" w:rsidRPr="0018365A">
        <w:t># Cost: ZZ for each edge (i&lt;j) with weight w_ij</w:t>
      </w:r>
    </w:p>
    <w:p w:rsidR="0018365A" w:rsidRPr="0018365A" w:rsidRDefault="00496063" w:rsidP="00713714">
      <w:r>
        <w:t xml:space="preserve"> </w:t>
      </w:r>
      <w:r w:rsidR="0018365A" w:rsidRPr="0018365A">
        <w:t>for i in range(n):</w:t>
      </w:r>
    </w:p>
    <w:p w:rsidR="0018365A" w:rsidRPr="0018365A" w:rsidRDefault="00496063" w:rsidP="00713714">
      <w:r>
        <w:t xml:space="preserve"> </w:t>
      </w:r>
      <w:r w:rsidR="0018365A" w:rsidRPr="0018365A">
        <w:t>for j in range(i + 1, n):</w:t>
      </w:r>
    </w:p>
    <w:p w:rsidR="0018365A" w:rsidRPr="0018365A" w:rsidRDefault="00496063" w:rsidP="00713714">
      <w:r>
        <w:t xml:space="preserve"> </w:t>
      </w:r>
      <w:r w:rsidR="0018365A" w:rsidRPr="0018365A">
        <w:t>w = float(adj_mat[i, j])</w:t>
      </w:r>
    </w:p>
    <w:p w:rsidR="0018365A" w:rsidRPr="0018365A" w:rsidRDefault="00496063" w:rsidP="00713714">
      <w:r>
        <w:t xml:space="preserve"> </w:t>
      </w:r>
      <w:r w:rsidR="0018365A" w:rsidRPr="0018365A">
        <w:t>if abs(w) &gt; 1e-12:</w:t>
      </w:r>
    </w:p>
    <w:p w:rsidR="0018365A" w:rsidRPr="0018365A" w:rsidRDefault="00496063" w:rsidP="00713714">
      <w:r>
        <w:t xml:space="preserve"> </w:t>
      </w:r>
      <w:r w:rsidR="0018365A" w:rsidRPr="0018365A">
        <w:t>qc.cx(qr[i], qr[j])</w:t>
      </w:r>
    </w:p>
    <w:p w:rsidR="0018365A" w:rsidRPr="0018365A" w:rsidRDefault="00496063" w:rsidP="00713714">
      <w:r>
        <w:t xml:space="preserve"> </w:t>
      </w:r>
      <w:r w:rsidR="0018365A" w:rsidRPr="0018365A">
        <w:t>qc.rz(2.0 * gammas[k] * w, qr[j])</w:t>
      </w:r>
    </w:p>
    <w:p w:rsidR="0018365A" w:rsidRPr="0018365A" w:rsidRDefault="00496063" w:rsidP="00713714">
      <w:r>
        <w:t xml:space="preserve"> </w:t>
      </w:r>
      <w:r w:rsidR="0018365A" w:rsidRPr="0018365A">
        <w:t>qc.cx(qr[i], qr[j])</w:t>
      </w:r>
    </w:p>
    <w:p w:rsidR="0018365A" w:rsidRPr="0018365A" w:rsidRDefault="00496063" w:rsidP="00713714">
      <w:r>
        <w:t xml:space="preserve"> </w:t>
      </w:r>
      <w:r w:rsidR="0018365A" w:rsidRPr="0018365A">
        <w:t># Mixer: RX on all nodes</w:t>
      </w:r>
    </w:p>
    <w:p w:rsidR="0018365A" w:rsidRPr="0018365A" w:rsidRDefault="00496063" w:rsidP="00713714">
      <w:r>
        <w:t xml:space="preserve"> </w:t>
      </w:r>
      <w:r w:rsidR="0018365A" w:rsidRPr="0018365A">
        <w:t>for i in range(n):</w:t>
      </w:r>
    </w:p>
    <w:p w:rsidR="0018365A" w:rsidRPr="0018365A" w:rsidRDefault="00496063" w:rsidP="00713714">
      <w:r>
        <w:t xml:space="preserve"> </w:t>
      </w:r>
      <w:r w:rsidR="0018365A" w:rsidRPr="0018365A">
        <w:t>qc.rx(2.0 * betas[k], qr[i])</w:t>
      </w:r>
    </w:p>
    <w:p w:rsidR="0018365A" w:rsidRPr="0018365A" w:rsidRDefault="00496063" w:rsidP="00713714">
      <w:r>
        <w:t xml:space="preserve"> </w:t>
      </w:r>
      <w:r w:rsidR="0018365A" w:rsidRPr="0018365A">
        <w:t>return qc</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Pillars II–III: Pharmacophoric‑ODE variational head</w:t>
      </w:r>
    </w:p>
    <w:p w:rsidR="0018365A" w:rsidRPr="0018365A" w:rsidRDefault="0018365A" w:rsidP="00713714">
      <w:r w:rsidRPr="0018365A">
        <w:t># ──────────────────────────────────────────────────────────────────────────────</w:t>
      </w:r>
    </w:p>
    <w:p w:rsidR="0018365A" w:rsidRPr="0018365A" w:rsidRDefault="0018365A" w:rsidP="00713714"/>
    <w:p w:rsidR="0018365A" w:rsidRPr="0018365A" w:rsidRDefault="0018365A" w:rsidP="00713714">
      <w:r w:rsidRPr="0018365A">
        <w:t>def pharmacophoric_pqc(</w:t>
      </w:r>
    </w:p>
    <w:p w:rsidR="0018365A" w:rsidRPr="0018365A" w:rsidRDefault="00496063" w:rsidP="00713714">
      <w:r>
        <w:t xml:space="preserve"> </w:t>
      </w:r>
      <w:r w:rsidR="0018365A" w:rsidRPr="0018365A">
        <w:t>n_feat: int,</w:t>
      </w:r>
    </w:p>
    <w:p w:rsidR="0018365A" w:rsidRPr="0018365A" w:rsidRDefault="00496063" w:rsidP="00713714">
      <w:r>
        <w:t xml:space="preserve"> </w:t>
      </w:r>
      <w:r w:rsidR="0018365A" w:rsidRPr="0018365A">
        <w:t>depth: int = 2,</w:t>
      </w:r>
    </w:p>
    <w:p w:rsidR="0018365A" w:rsidRPr="0018365A" w:rsidRDefault="00496063" w:rsidP="00713714">
      <w:r>
        <w:t xml:space="preserve"> </w:t>
      </w:r>
      <w:r w:rsidR="0018365A" w:rsidRPr="0018365A">
        <w:t>lambda_ph4: float = 0.4,</w:t>
      </w:r>
    </w:p>
    <w:p w:rsidR="0018365A" w:rsidRPr="0018365A" w:rsidRDefault="00496063" w:rsidP="00713714">
      <w:r>
        <w:t xml:space="preserve"> </w:t>
      </w:r>
      <w:r w:rsidR="0018365A" w:rsidRPr="0018365A">
        <w:t>lambda_curv: float = 0.35,</w:t>
      </w:r>
    </w:p>
    <w:p w:rsidR="0018365A" w:rsidRPr="0018365A" w:rsidRDefault="00496063" w:rsidP="00713714">
      <w:r>
        <w:t xml:space="preserve"> </w:t>
      </w:r>
      <w:r w:rsidR="0018365A" w:rsidRPr="0018365A">
        <w:t>readout_qubits: int = 1,</w:t>
      </w:r>
    </w:p>
    <w:p w:rsidR="0018365A" w:rsidRPr="0018365A" w:rsidRDefault="0018365A" w:rsidP="00713714">
      <w:r w:rsidRPr="0018365A">
        <w:t>) -&gt; QuantumCircuit:</w:t>
      </w:r>
    </w:p>
    <w:p w:rsidR="0018365A" w:rsidRPr="0018365A" w:rsidRDefault="00496063" w:rsidP="00713714">
      <w:r>
        <w:t xml:space="preserve"> </w:t>
      </w:r>
      <w:r w:rsidR="0018365A" w:rsidRPr="0018365A">
        <w:t>"""Curvature‑ and pharmacophore‑aware PQC with data re‑uploading.</w:t>
      </w:r>
    </w:p>
    <w:p w:rsidR="0018365A" w:rsidRPr="0018365A" w:rsidRDefault="0018365A" w:rsidP="00713714"/>
    <w:p w:rsidR="0018365A" w:rsidRPr="0018365A" w:rsidRDefault="00496063" w:rsidP="00713714">
      <w:r>
        <w:t xml:space="preserve"> </w:t>
      </w:r>
      <w:r w:rsidR="0018365A" w:rsidRPr="0018365A">
        <w:t>Encodings per layer (for each qubit i):</w:t>
      </w:r>
    </w:p>
    <w:p w:rsidR="0018365A" w:rsidRPr="0018365A" w:rsidRDefault="00496063" w:rsidP="00713714">
      <w:r>
        <w:t xml:space="preserve"> </w:t>
      </w:r>
      <w:r w:rsidR="0018365A" w:rsidRPr="0018365A">
        <w:t>RX(x[f] + θ₁),</w:t>
      </w:r>
      <w:r>
        <w:t xml:space="preserve"> </w:t>
      </w:r>
      <w:r w:rsidR="0018365A" w:rsidRPr="0018365A">
        <w:t>RZ(λ_curv * k[f] * x[f] + θ₂),</w:t>
      </w:r>
      <w:r>
        <w:t xml:space="preserve"> </w:t>
      </w:r>
      <w:r w:rsidR="0018365A" w:rsidRPr="0018365A">
        <w:t>RY(θ₃)</w:t>
      </w:r>
    </w:p>
    <w:p w:rsidR="0018365A" w:rsidRPr="0018365A" w:rsidRDefault="00496063" w:rsidP="00713714">
      <w:r>
        <w:t xml:space="preserve"> </w:t>
      </w:r>
      <w:r w:rsidR="0018365A" w:rsidRPr="0018365A">
        <w:t xml:space="preserve">then CZ ladder entanglement and a ZZ penalty layer with angles </w:t>
      </w:r>
      <w:r w:rsidR="0018365A" w:rsidRPr="0018365A">
        <w:rPr>
          <w:rFonts w:ascii="Cambria Math" w:hAnsi="Cambria Math" w:cs="Cambria Math"/>
        </w:rPr>
        <w:t>∝</w:t>
      </w:r>
      <w:r w:rsidR="0018365A" w:rsidRPr="0018365A">
        <w:t xml:space="preserve"> λ_ph4 * m_i * m_j.</w:t>
      </w:r>
    </w:p>
    <w:p w:rsidR="0018365A" w:rsidRPr="0018365A" w:rsidRDefault="0018365A" w:rsidP="00713714"/>
    <w:p w:rsidR="0018365A" w:rsidRPr="0018365A" w:rsidRDefault="00496063" w:rsidP="00713714">
      <w:r>
        <w:t xml:space="preserve"> </w:t>
      </w:r>
      <w:r w:rsidR="0018365A" w:rsidRPr="0018365A">
        <w:t>Parameters</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n_feat : number of classical features per example</w:t>
      </w:r>
    </w:p>
    <w:p w:rsidR="0018365A" w:rsidRPr="0018365A" w:rsidRDefault="00496063" w:rsidP="00713714">
      <w:r>
        <w:t xml:space="preserve"> </w:t>
      </w:r>
      <w:r w:rsidR="0018365A" w:rsidRPr="0018365A">
        <w:t>depth : number of data‑reuploading blocks</w:t>
      </w:r>
    </w:p>
    <w:p w:rsidR="0018365A" w:rsidRPr="0018365A" w:rsidRDefault="00496063" w:rsidP="00713714">
      <w:r>
        <w:t xml:space="preserve"> </w:t>
      </w:r>
      <w:r w:rsidR="0018365A" w:rsidRPr="0018365A">
        <w:t>lambda_ph4 : strength of pharmacophore mismatch ZZ penalty</w:t>
      </w:r>
    </w:p>
    <w:p w:rsidR="0018365A" w:rsidRPr="0018365A" w:rsidRDefault="00496063" w:rsidP="00713714">
      <w:r>
        <w:t xml:space="preserve"> </w:t>
      </w:r>
      <w:r w:rsidR="0018365A" w:rsidRPr="0018365A">
        <w:t>lambda_curv: curvature weight applied in the RZ encoder</w:t>
      </w:r>
    </w:p>
    <w:p w:rsidR="0018365A" w:rsidRPr="0018365A" w:rsidRDefault="00496063" w:rsidP="00713714">
      <w:r>
        <w:t xml:space="preserve"> </w:t>
      </w:r>
      <w:r w:rsidR="0018365A" w:rsidRPr="0018365A">
        <w:t>readout_qubits : number of measured qubits (from the front)</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assert n_feat &gt;= 1</w:t>
      </w:r>
    </w:p>
    <w:p w:rsidR="0018365A" w:rsidRPr="0018365A" w:rsidRDefault="00496063" w:rsidP="00713714">
      <w:r>
        <w:t xml:space="preserve"> </w:t>
      </w:r>
      <w:r w:rsidR="0018365A" w:rsidRPr="0018365A">
        <w:t>n_qubits = int(2 ** int(np.ceil(np.log2(max(2, n_feat)))))</w:t>
      </w:r>
    </w:p>
    <w:p w:rsidR="0018365A" w:rsidRPr="0018365A" w:rsidRDefault="0018365A" w:rsidP="00713714"/>
    <w:p w:rsidR="0018365A" w:rsidRPr="0018365A" w:rsidRDefault="00496063" w:rsidP="00713714">
      <w:r>
        <w:t xml:space="preserve"> </w:t>
      </w:r>
      <w:r w:rsidR="0018365A" w:rsidRPr="0018365A">
        <w:t>qr = QuantumRegister(n_qubits, "pqc")</w:t>
      </w:r>
    </w:p>
    <w:p w:rsidR="0018365A" w:rsidRPr="0018365A" w:rsidRDefault="00496063" w:rsidP="00713714">
      <w:r>
        <w:t xml:space="preserve"> </w:t>
      </w:r>
      <w:r w:rsidR="0018365A" w:rsidRPr="0018365A">
        <w:t>cr = ClassicalRegister(readout_qubits, "c")</w:t>
      </w:r>
    </w:p>
    <w:p w:rsidR="0018365A" w:rsidRPr="0018365A" w:rsidRDefault="00496063" w:rsidP="00713714">
      <w:r>
        <w:t xml:space="preserve"> </w:t>
      </w:r>
      <w:r w:rsidR="0018365A" w:rsidRPr="0018365A">
        <w:t>qc = QuantumCircuit(qr, cr, name="Ph4_ODE")</w:t>
      </w:r>
    </w:p>
    <w:p w:rsidR="0018365A" w:rsidRPr="0018365A" w:rsidRDefault="0018365A" w:rsidP="00713714"/>
    <w:p w:rsidR="0018365A" w:rsidRPr="0018365A" w:rsidRDefault="00496063" w:rsidP="00713714">
      <w:r>
        <w:t xml:space="preserve"> </w:t>
      </w:r>
      <w:r w:rsidR="0018365A" w:rsidRPr="0018365A">
        <w:t># Trainable parameters and classical inputs</w:t>
      </w:r>
    </w:p>
    <w:p w:rsidR="0018365A" w:rsidRPr="0018365A" w:rsidRDefault="00496063" w:rsidP="00713714">
      <w:r>
        <w:t xml:space="preserve"> </w:t>
      </w:r>
      <w:r w:rsidR="0018365A" w:rsidRPr="0018365A">
        <w:t>theta = ParameterVector("θ", depth * (3 * n_qubits))</w:t>
      </w:r>
    </w:p>
    <w:p w:rsidR="0018365A" w:rsidRPr="0018365A" w:rsidRDefault="00496063" w:rsidP="00713714">
      <w:r>
        <w:t xml:space="preserve"> </w:t>
      </w:r>
      <w:r w:rsidR="0018365A" w:rsidRPr="0018365A">
        <w:t>x = ParameterVector("x", n_feat)</w:t>
      </w:r>
    </w:p>
    <w:p w:rsidR="0018365A" w:rsidRPr="0018365A" w:rsidRDefault="00496063" w:rsidP="00713714">
      <w:r>
        <w:t xml:space="preserve"> </w:t>
      </w:r>
      <w:r w:rsidR="0018365A" w:rsidRPr="0018365A">
        <w:t>m = ParameterVector("m", n_feat)</w:t>
      </w:r>
    </w:p>
    <w:p w:rsidR="0018365A" w:rsidRPr="0018365A" w:rsidRDefault="00496063" w:rsidP="00713714">
      <w:r>
        <w:t xml:space="preserve"> </w:t>
      </w:r>
      <w:r w:rsidR="0018365A" w:rsidRPr="0018365A">
        <w:t>kappa = ParameterVector("k", n_feat)</w:t>
      </w:r>
    </w:p>
    <w:p w:rsidR="0018365A" w:rsidRPr="0018365A" w:rsidRDefault="0018365A" w:rsidP="00713714"/>
    <w:p w:rsidR="0018365A" w:rsidRPr="0018365A" w:rsidRDefault="00496063" w:rsidP="00713714">
      <w:r>
        <w:t xml:space="preserve"> </w:t>
      </w:r>
      <w:r w:rsidR="0018365A" w:rsidRPr="0018365A">
        <w:t>def encode_features(layer_idx: int) -&gt; None:</w:t>
      </w:r>
    </w:p>
    <w:p w:rsidR="0018365A" w:rsidRPr="0018365A" w:rsidRDefault="00496063" w:rsidP="00713714">
      <w:r>
        <w:t xml:space="preserve"> </w:t>
      </w:r>
      <w:r w:rsidR="0018365A" w:rsidRPr="0018365A">
        <w:t>base = layer_idx * (3 * n_qubits)</w:t>
      </w:r>
    </w:p>
    <w:p w:rsidR="0018365A" w:rsidRPr="0018365A" w:rsidRDefault="00496063" w:rsidP="00713714">
      <w:r>
        <w:t xml:space="preserve"> </w:t>
      </w:r>
      <w:r w:rsidR="0018365A" w:rsidRPr="0018365A">
        <w:t>for i in range(n_qubits):</w:t>
      </w:r>
    </w:p>
    <w:p w:rsidR="0018365A" w:rsidRPr="0018365A" w:rsidRDefault="00496063" w:rsidP="00713714">
      <w:r>
        <w:t xml:space="preserve"> </w:t>
      </w:r>
      <w:r w:rsidR="0018365A" w:rsidRPr="0018365A">
        <w:t>f = i % n_feat</w:t>
      </w:r>
    </w:p>
    <w:p w:rsidR="0018365A" w:rsidRPr="0018365A" w:rsidRDefault="00496063" w:rsidP="00713714">
      <w:r>
        <w:t xml:space="preserve"> </w:t>
      </w:r>
      <w:r w:rsidR="0018365A" w:rsidRPr="0018365A">
        <w:t>qc.rx(x[f] + theta[base + 3 * i + 0], qr[i])</w:t>
      </w:r>
    </w:p>
    <w:p w:rsidR="0018365A" w:rsidRPr="0018365A" w:rsidRDefault="00496063" w:rsidP="00713714">
      <w:r>
        <w:t xml:space="preserve"> </w:t>
      </w:r>
      <w:r w:rsidR="0018365A" w:rsidRPr="0018365A">
        <w:t>qc.rz(lambda_curv * kappa[f] * x[f] + theta[base + 3 * i + 1], qr[i])</w:t>
      </w:r>
    </w:p>
    <w:p w:rsidR="0018365A" w:rsidRPr="0018365A" w:rsidRDefault="00496063" w:rsidP="00713714">
      <w:r>
        <w:t xml:space="preserve"> </w:t>
      </w:r>
      <w:r w:rsidR="0018365A" w:rsidRPr="0018365A">
        <w:t>qc.ry(theta[base + 3 * i + 2], qr[i])</w:t>
      </w:r>
    </w:p>
    <w:p w:rsidR="0018365A" w:rsidRPr="0018365A" w:rsidRDefault="0018365A" w:rsidP="00713714"/>
    <w:p w:rsidR="0018365A" w:rsidRPr="0018365A" w:rsidRDefault="00496063" w:rsidP="00713714">
      <w:r>
        <w:t xml:space="preserve"> </w:t>
      </w:r>
      <w:r w:rsidR="0018365A" w:rsidRPr="0018365A">
        <w:t>def entangle() -&gt; None:</w:t>
      </w:r>
    </w:p>
    <w:p w:rsidR="0018365A" w:rsidRPr="0018365A" w:rsidRDefault="00496063" w:rsidP="00713714">
      <w:r>
        <w:t xml:space="preserve"> </w:t>
      </w:r>
      <w:r w:rsidR="0018365A" w:rsidRPr="0018365A">
        <w:t>for i in range(n_qubits - 1):</w:t>
      </w:r>
    </w:p>
    <w:p w:rsidR="0018365A" w:rsidRPr="0018365A" w:rsidRDefault="00496063" w:rsidP="00713714">
      <w:r>
        <w:t xml:space="preserve"> </w:t>
      </w:r>
      <w:r w:rsidR="0018365A" w:rsidRPr="0018365A">
        <w:t>qc.cz(qr[i], qr[i + 1])</w:t>
      </w:r>
    </w:p>
    <w:p w:rsidR="0018365A" w:rsidRPr="0018365A" w:rsidRDefault="0018365A" w:rsidP="00713714"/>
    <w:p w:rsidR="0018365A" w:rsidRPr="0018365A" w:rsidRDefault="00496063" w:rsidP="00713714">
      <w:r>
        <w:t xml:space="preserve"> </w:t>
      </w:r>
      <w:r w:rsidR="0018365A" w:rsidRPr="0018365A">
        <w:t>def pharmacophore_penalty() -&gt; None:</w:t>
      </w:r>
    </w:p>
    <w:p w:rsidR="0018365A" w:rsidRPr="0018365A" w:rsidRDefault="00496063" w:rsidP="00713714">
      <w:r>
        <w:t xml:space="preserve"> </w:t>
      </w:r>
      <w:r w:rsidR="0018365A" w:rsidRPr="0018365A">
        <w:t>q_use = min(n_feat, n_qubits)</w:t>
      </w:r>
    </w:p>
    <w:p w:rsidR="0018365A" w:rsidRPr="0018365A" w:rsidRDefault="00496063" w:rsidP="00713714">
      <w:r>
        <w:t xml:space="preserve"> </w:t>
      </w:r>
      <w:r w:rsidR="0018365A" w:rsidRPr="0018365A">
        <w:t>for i in range(q_use):</w:t>
      </w:r>
    </w:p>
    <w:p w:rsidR="0018365A" w:rsidRPr="0018365A" w:rsidRDefault="00496063" w:rsidP="00713714">
      <w:r>
        <w:t xml:space="preserve"> </w:t>
      </w:r>
      <w:r w:rsidR="0018365A" w:rsidRPr="0018365A">
        <w:t>for j in range(i + 1, q_use):</w:t>
      </w:r>
    </w:p>
    <w:p w:rsidR="0018365A" w:rsidRPr="0018365A" w:rsidRDefault="00496063" w:rsidP="00713714">
      <w:r>
        <w:t xml:space="preserve"> </w:t>
      </w:r>
      <w:r w:rsidR="0018365A" w:rsidRPr="0018365A">
        <w:t>angle = 2.0 * lambda_ph4 * m[i] * m[j]</w:t>
      </w:r>
    </w:p>
    <w:p w:rsidR="0018365A" w:rsidRPr="0018365A" w:rsidRDefault="00496063" w:rsidP="00713714">
      <w:r>
        <w:t xml:space="preserve"> </w:t>
      </w:r>
      <w:r w:rsidR="0018365A" w:rsidRPr="0018365A">
        <w:t>qc.cx(qr[i], qr[j])</w:t>
      </w:r>
    </w:p>
    <w:p w:rsidR="0018365A" w:rsidRPr="0018365A" w:rsidRDefault="00496063" w:rsidP="00713714">
      <w:r>
        <w:t xml:space="preserve"> </w:t>
      </w:r>
      <w:r w:rsidR="0018365A" w:rsidRPr="0018365A">
        <w:t>qc.rz(angle, qr[j])</w:t>
      </w:r>
    </w:p>
    <w:p w:rsidR="0018365A" w:rsidRPr="0018365A" w:rsidRDefault="00496063" w:rsidP="00713714">
      <w:r>
        <w:t xml:space="preserve"> </w:t>
      </w:r>
      <w:r w:rsidR="0018365A" w:rsidRPr="0018365A">
        <w:t>qc.cx(qr[i], qr[j])</w:t>
      </w:r>
    </w:p>
    <w:p w:rsidR="0018365A" w:rsidRPr="0018365A" w:rsidRDefault="0018365A" w:rsidP="00713714"/>
    <w:p w:rsidR="0018365A" w:rsidRPr="0018365A" w:rsidRDefault="00496063" w:rsidP="00713714">
      <w:r>
        <w:t xml:space="preserve"> </w:t>
      </w:r>
      <w:r w:rsidR="0018365A" w:rsidRPr="0018365A">
        <w:t>for d in range(depth):</w:t>
      </w:r>
    </w:p>
    <w:p w:rsidR="0018365A" w:rsidRPr="0018365A" w:rsidRDefault="00496063" w:rsidP="00713714">
      <w:r>
        <w:t xml:space="preserve"> </w:t>
      </w:r>
      <w:r w:rsidR="0018365A" w:rsidRPr="0018365A">
        <w:t>encode_features(d)</w:t>
      </w:r>
    </w:p>
    <w:p w:rsidR="0018365A" w:rsidRPr="0018365A" w:rsidRDefault="00496063" w:rsidP="00713714">
      <w:r>
        <w:t xml:space="preserve"> </w:t>
      </w:r>
      <w:r w:rsidR="0018365A" w:rsidRPr="0018365A">
        <w:t>entangle()</w:t>
      </w:r>
    </w:p>
    <w:p w:rsidR="0018365A" w:rsidRPr="0018365A" w:rsidRDefault="00496063" w:rsidP="00713714">
      <w:r>
        <w:t xml:space="preserve"> </w:t>
      </w:r>
      <w:r w:rsidR="0018365A" w:rsidRPr="0018365A">
        <w:t>pharmacophore_penalty()</w:t>
      </w:r>
    </w:p>
    <w:p w:rsidR="0018365A" w:rsidRPr="0018365A" w:rsidRDefault="0018365A" w:rsidP="00713714"/>
    <w:p w:rsidR="0018365A" w:rsidRPr="0018365A" w:rsidRDefault="00496063" w:rsidP="00713714">
      <w:r>
        <w:t xml:space="preserve"> </w:t>
      </w:r>
      <w:r w:rsidR="0018365A" w:rsidRPr="0018365A">
        <w:t># Z‑basis readout (extend to multi‑head as needed)</w:t>
      </w:r>
    </w:p>
    <w:p w:rsidR="0018365A" w:rsidRPr="0018365A" w:rsidRDefault="00496063" w:rsidP="00713714">
      <w:r>
        <w:t xml:space="preserve"> </w:t>
      </w:r>
      <w:r w:rsidR="0018365A" w:rsidRPr="0018365A">
        <w:t>for r in range(readout_qubits):</w:t>
      </w:r>
    </w:p>
    <w:p w:rsidR="0018365A" w:rsidRPr="0018365A" w:rsidRDefault="00496063" w:rsidP="00713714">
      <w:r>
        <w:t xml:space="preserve"> </w:t>
      </w:r>
      <w:r w:rsidR="0018365A" w:rsidRPr="0018365A">
        <w:t>qc.measure(qr[r], cr[r])</w:t>
      </w:r>
    </w:p>
    <w:p w:rsidR="0018365A" w:rsidRPr="0018365A" w:rsidRDefault="00496063" w:rsidP="00713714">
      <w:r>
        <w:t xml:space="preserve"> </w:t>
      </w:r>
      <w:r w:rsidR="0018365A" w:rsidRPr="0018365A">
        <w:t>return qc</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xml:space="preserve"># Composite: QAOA </w:t>
      </w:r>
      <w:r w:rsidRPr="0018365A">
        <w:rPr>
          <w:rFonts w:ascii="Cambria Math" w:hAnsi="Cambria Math" w:cs="Cambria Math"/>
        </w:rPr>
        <w:t>⊗</w:t>
      </w:r>
      <w:r w:rsidRPr="0018365A">
        <w:t xml:space="preserve"> PQC</w:t>
      </w:r>
    </w:p>
    <w:p w:rsidR="0018365A" w:rsidRPr="0018365A" w:rsidRDefault="0018365A" w:rsidP="00713714">
      <w:r w:rsidRPr="0018365A">
        <w:t># ──────────────────────────────────────────────────────────────────────────────</w:t>
      </w:r>
    </w:p>
    <w:p w:rsidR="0018365A" w:rsidRPr="0018365A" w:rsidRDefault="0018365A" w:rsidP="00713714"/>
    <w:p w:rsidR="0018365A" w:rsidRPr="0018365A" w:rsidRDefault="0018365A" w:rsidP="00713714">
      <w:r w:rsidRPr="0018365A">
        <w:t>def pharmacophoric_odes_circuit(</w:t>
      </w:r>
    </w:p>
    <w:p w:rsidR="0018365A" w:rsidRPr="0018365A" w:rsidRDefault="00496063" w:rsidP="00713714">
      <w:r>
        <w:t xml:space="preserve"> </w:t>
      </w:r>
      <w:r w:rsidR="0018365A" w:rsidRPr="0018365A">
        <w:t>adj_mat: np.ndarray,</w:t>
      </w:r>
    </w:p>
    <w:p w:rsidR="0018365A" w:rsidRPr="0018365A" w:rsidRDefault="00496063" w:rsidP="00713714">
      <w:r>
        <w:t xml:space="preserve"> </w:t>
      </w:r>
      <w:r w:rsidR="0018365A" w:rsidRPr="0018365A">
        <w:t>n_feat: int,</w:t>
      </w:r>
    </w:p>
    <w:p w:rsidR="0018365A" w:rsidRPr="0018365A" w:rsidRDefault="00496063" w:rsidP="00713714">
      <w:r>
        <w:t xml:space="preserve"> </w:t>
      </w:r>
      <w:r w:rsidR="0018365A" w:rsidRPr="0018365A">
        <w:t>p_qaoa: int = 1,</w:t>
      </w:r>
    </w:p>
    <w:p w:rsidR="0018365A" w:rsidRPr="0018365A" w:rsidRDefault="00496063" w:rsidP="00713714">
      <w:r>
        <w:t xml:space="preserve"> </w:t>
      </w:r>
      <w:r w:rsidR="0018365A" w:rsidRPr="0018365A">
        <w:t>depth_pqc: int = 2,</w:t>
      </w:r>
    </w:p>
    <w:p w:rsidR="0018365A" w:rsidRPr="0018365A" w:rsidRDefault="00496063" w:rsidP="00713714">
      <w:r>
        <w:t xml:space="preserve"> </w:t>
      </w:r>
      <w:r w:rsidR="0018365A" w:rsidRPr="0018365A">
        <w:t>lambda_ph4: float = 0.4,</w:t>
      </w:r>
    </w:p>
    <w:p w:rsidR="0018365A" w:rsidRPr="0018365A" w:rsidRDefault="00496063" w:rsidP="00713714">
      <w:r>
        <w:t xml:space="preserve"> </w:t>
      </w:r>
      <w:r w:rsidR="0018365A" w:rsidRPr="0018365A">
        <w:t>lambda_curv: float = 0.35,</w:t>
      </w:r>
    </w:p>
    <w:p w:rsidR="0018365A" w:rsidRPr="0018365A" w:rsidRDefault="00496063" w:rsidP="00713714">
      <w:r>
        <w:t xml:space="preserve"> </w:t>
      </w:r>
      <w:r w:rsidR="0018365A" w:rsidRPr="0018365A">
        <w:t>readout_qubits: int = 1,</w:t>
      </w:r>
    </w:p>
    <w:p w:rsidR="0018365A" w:rsidRPr="0018365A" w:rsidRDefault="0018365A" w:rsidP="00713714">
      <w:r w:rsidRPr="0018365A">
        <w:t>) -&gt; QuantumCircuit:</w:t>
      </w:r>
    </w:p>
    <w:p w:rsidR="0018365A" w:rsidRPr="0018365A" w:rsidRDefault="00496063" w:rsidP="00713714">
      <w:r>
        <w:t xml:space="preserve"> </w:t>
      </w:r>
      <w:r w:rsidR="0018365A" w:rsidRPr="0018365A">
        <w:t>"""Compose the diversity selector with the pharmacophoric variational head."""</w:t>
      </w:r>
    </w:p>
    <w:p w:rsidR="0018365A" w:rsidRPr="0018365A" w:rsidRDefault="00496063" w:rsidP="00713714">
      <w:r>
        <w:t xml:space="preserve"> </w:t>
      </w:r>
      <w:r w:rsidR="0018365A" w:rsidRPr="0018365A">
        <w:t>qaoa = qaoa_diversity_circuit(adj_mat, p=p_qaoa)</w:t>
      </w:r>
    </w:p>
    <w:p w:rsidR="0018365A" w:rsidRPr="0018365A" w:rsidRDefault="00496063" w:rsidP="00713714">
      <w:r>
        <w:t xml:space="preserve"> </w:t>
      </w:r>
      <w:r w:rsidR="0018365A" w:rsidRPr="0018365A">
        <w:t>pqc = pharmacophoric_pqc(</w:t>
      </w:r>
    </w:p>
    <w:p w:rsidR="0018365A" w:rsidRPr="0018365A" w:rsidRDefault="00496063" w:rsidP="00713714">
      <w:r>
        <w:t xml:space="preserve"> </w:t>
      </w:r>
      <w:r w:rsidR="0018365A" w:rsidRPr="0018365A">
        <w:t>n_feat=n_feat,</w:t>
      </w:r>
    </w:p>
    <w:p w:rsidR="0018365A" w:rsidRPr="0018365A" w:rsidRDefault="00496063" w:rsidP="00713714">
      <w:r>
        <w:t xml:space="preserve"> </w:t>
      </w:r>
      <w:r w:rsidR="0018365A" w:rsidRPr="0018365A">
        <w:t>depth=depth_pqc,</w:t>
      </w:r>
    </w:p>
    <w:p w:rsidR="0018365A" w:rsidRPr="0018365A" w:rsidRDefault="00496063" w:rsidP="00713714">
      <w:r>
        <w:t xml:space="preserve"> </w:t>
      </w:r>
      <w:r w:rsidR="0018365A" w:rsidRPr="0018365A">
        <w:t>lambda_ph4=lambda_ph4,</w:t>
      </w:r>
    </w:p>
    <w:p w:rsidR="0018365A" w:rsidRPr="0018365A" w:rsidRDefault="00496063" w:rsidP="00713714">
      <w:r>
        <w:t xml:space="preserve"> </w:t>
      </w:r>
      <w:r w:rsidR="0018365A" w:rsidRPr="0018365A">
        <w:t>lambda_curv=lambda_curv,</w:t>
      </w:r>
    </w:p>
    <w:p w:rsidR="0018365A" w:rsidRPr="0018365A" w:rsidRDefault="00496063" w:rsidP="00713714">
      <w:r>
        <w:t xml:space="preserve"> </w:t>
      </w:r>
      <w:r w:rsidR="0018365A" w:rsidRPr="0018365A">
        <w:t>readout_qubits=readout_qubits,</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full = qaoa.tensor(pqc)</w:t>
      </w:r>
      <w:r>
        <w:t xml:space="preserve"> </w:t>
      </w:r>
      <w:r w:rsidR="0018365A" w:rsidRPr="0018365A">
        <w:t># PQC qubits appear after QAOA qubits</w:t>
      </w:r>
    </w:p>
    <w:p w:rsidR="0018365A" w:rsidRPr="0018365A" w:rsidRDefault="00496063" w:rsidP="00713714">
      <w:r>
        <w:t xml:space="preserve"> </w:t>
      </w:r>
      <w:r w:rsidR="0018365A" w:rsidRPr="0018365A">
        <w:t>full.barrier()</w:t>
      </w:r>
    </w:p>
    <w:p w:rsidR="0018365A" w:rsidRPr="0018365A" w:rsidRDefault="00496063" w:rsidP="00713714">
      <w:r>
        <w:t xml:space="preserve"> </w:t>
      </w:r>
      <w:r w:rsidR="0018365A" w:rsidRPr="0018365A">
        <w:t>full.name = "Quantum‑Geometry_Ph4ODEs"</w:t>
      </w:r>
    </w:p>
    <w:p w:rsidR="0018365A" w:rsidRPr="0018365A" w:rsidRDefault="00496063" w:rsidP="00713714">
      <w:r>
        <w:t xml:space="preserve"> </w:t>
      </w:r>
      <w:r w:rsidR="0018365A" w:rsidRPr="0018365A">
        <w:t>return full</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Utilities: bind vectors by prefix; quick random demo</w:t>
      </w:r>
    </w:p>
    <w:p w:rsidR="0018365A" w:rsidRPr="0018365A" w:rsidRDefault="0018365A" w:rsidP="00713714">
      <w:r w:rsidRPr="0018365A">
        <w:t># ──────────────────────────────────────────────────────────────────────────────</w:t>
      </w:r>
    </w:p>
    <w:p w:rsidR="0018365A" w:rsidRPr="0018365A" w:rsidRDefault="0018365A" w:rsidP="00713714"/>
    <w:p w:rsidR="0018365A" w:rsidRPr="0018365A" w:rsidRDefault="0018365A" w:rsidP="00713714">
      <w:r w:rsidRPr="0018365A">
        <w:t>def bind_param_vectors(qc: QuantumCircuit, mapping: Dict[str, Iterable[float]]) -&gt; QuantumCircuit:</w:t>
      </w:r>
    </w:p>
    <w:p w:rsidR="0018365A" w:rsidRPr="0018365A" w:rsidRDefault="00496063" w:rsidP="00713714">
      <w:r>
        <w:t xml:space="preserve"> </w:t>
      </w:r>
      <w:r w:rsidR="0018365A" w:rsidRPr="0018365A">
        <w:t>"""Bind arrays to ParameterVectors by prefix, e.g., {"x": x_vals, "θ": theta_vals}."""</w:t>
      </w:r>
    </w:p>
    <w:p w:rsidR="0018365A" w:rsidRPr="0018365A" w:rsidRDefault="00496063" w:rsidP="00713714">
      <w:r>
        <w:t xml:space="preserve"> </w:t>
      </w:r>
      <w:r w:rsidR="0018365A" w:rsidRPr="0018365A">
        <w:t>param_map = {}</w:t>
      </w:r>
    </w:p>
    <w:p w:rsidR="0018365A" w:rsidRPr="0018365A" w:rsidRDefault="00496063" w:rsidP="00713714">
      <w:r>
        <w:t xml:space="preserve"> </w:t>
      </w:r>
      <w:r w:rsidR="0018365A" w:rsidRPr="0018365A">
        <w:t>for prefix, values in mapping.items():</w:t>
      </w:r>
    </w:p>
    <w:p w:rsidR="0018365A" w:rsidRPr="0018365A" w:rsidRDefault="00496063" w:rsidP="00713714">
      <w:r>
        <w:t xml:space="preserve"> </w:t>
      </w:r>
      <w:r w:rsidR="0018365A" w:rsidRPr="0018365A">
        <w:t>for idx, val in enumerate(values):</w:t>
      </w:r>
    </w:p>
    <w:p w:rsidR="0018365A" w:rsidRPr="0018365A" w:rsidRDefault="00496063" w:rsidP="00713714">
      <w:r>
        <w:t xml:space="preserve"> </w:t>
      </w:r>
      <w:r w:rsidR="0018365A" w:rsidRPr="0018365A">
        <w:t>param_map[f"{prefix}[{idx}]"] = float(val)</w:t>
      </w:r>
    </w:p>
    <w:p w:rsidR="0018365A" w:rsidRPr="0018365A" w:rsidRDefault="00496063" w:rsidP="00713714">
      <w:r>
        <w:t xml:space="preserve"> </w:t>
      </w:r>
      <w:r w:rsidR="0018365A" w:rsidRPr="0018365A">
        <w:t>return qc.assign_parameters(param_map, inplace=False)</w:t>
      </w:r>
    </w:p>
    <w:p w:rsidR="0018365A" w:rsidRPr="0018365A" w:rsidRDefault="0018365A" w:rsidP="00713714"/>
    <w:p w:rsidR="0018365A" w:rsidRPr="0018365A" w:rsidRDefault="0018365A" w:rsidP="00713714"/>
    <w:p w:rsidR="0018365A" w:rsidRPr="0018365A" w:rsidRDefault="0018365A" w:rsidP="00713714">
      <w:r w:rsidRPr="0018365A">
        <w:t>def run_random_demo() -&gt; Tuple[QuantumCircuit, Dict[str, int], float]:</w:t>
      </w:r>
      <w:r w:rsidR="00496063">
        <w:t xml:space="preserve"> </w:t>
      </w:r>
      <w:r w:rsidRPr="0018365A">
        <w:t># pragma: no cover</w:t>
      </w:r>
    </w:p>
    <w:p w:rsidR="0018365A" w:rsidRPr="0018365A" w:rsidRDefault="00496063" w:rsidP="00713714">
      <w:r>
        <w:t xml:space="preserve"> </w:t>
      </w:r>
      <w:r w:rsidR="0018365A" w:rsidRPr="0018365A">
        <w:t>"""Build the composite circuit, bind random data, and (optionally) sample with Aer."""</w:t>
      </w:r>
    </w:p>
    <w:p w:rsidR="0018365A" w:rsidRPr="0018365A" w:rsidRDefault="00496063" w:rsidP="00713714">
      <w:r>
        <w:t xml:space="preserve"> </w:t>
      </w:r>
      <w:r w:rsidR="0018365A" w:rsidRPr="0018365A">
        <w:t># Toy similarity (5 chemotypes)</w:t>
      </w:r>
    </w:p>
    <w:p w:rsidR="0018365A" w:rsidRPr="0018365A" w:rsidRDefault="00496063" w:rsidP="00713714">
      <w:r>
        <w:t xml:space="preserve"> </w:t>
      </w:r>
      <w:r w:rsidR="0018365A" w:rsidRPr="0018365A">
        <w:t>W = np.array([</w:t>
      </w:r>
    </w:p>
    <w:p w:rsidR="0018365A" w:rsidRPr="0018365A" w:rsidRDefault="00496063" w:rsidP="00713714">
      <w:r>
        <w:t xml:space="preserve"> </w:t>
      </w:r>
      <w:r w:rsidR="0018365A" w:rsidRPr="0018365A">
        <w:t>[0, 0.7, 0.2, 0.0, 0.1],</w:t>
      </w:r>
    </w:p>
    <w:p w:rsidR="0018365A" w:rsidRPr="0018365A" w:rsidRDefault="00496063" w:rsidP="00713714">
      <w:r>
        <w:t xml:space="preserve"> </w:t>
      </w:r>
      <w:r w:rsidR="0018365A" w:rsidRPr="0018365A">
        <w:t>[0.7, 0, 0.4, 0.1, 0.3],</w:t>
      </w:r>
    </w:p>
    <w:p w:rsidR="0018365A" w:rsidRPr="0018365A" w:rsidRDefault="00496063" w:rsidP="00713714">
      <w:r>
        <w:t xml:space="preserve"> </w:t>
      </w:r>
      <w:r w:rsidR="0018365A" w:rsidRPr="0018365A">
        <w:t>[0.2, 0.4, 0, 0.5, 0.0],</w:t>
      </w:r>
    </w:p>
    <w:p w:rsidR="0018365A" w:rsidRPr="0018365A" w:rsidRDefault="00496063" w:rsidP="00713714">
      <w:r>
        <w:t xml:space="preserve"> </w:t>
      </w:r>
      <w:r w:rsidR="0018365A" w:rsidRPr="0018365A">
        <w:t>[0.0, 0.1, 0.5, 0, 0.6],</w:t>
      </w:r>
    </w:p>
    <w:p w:rsidR="0018365A" w:rsidRPr="0018365A" w:rsidRDefault="00496063" w:rsidP="00713714">
      <w:r>
        <w:t xml:space="preserve"> </w:t>
      </w:r>
      <w:r w:rsidR="0018365A" w:rsidRPr="0018365A">
        <w:t>[0.1, 0.3, 0.0, 0.6, 0],</w:t>
      </w:r>
    </w:p>
    <w:p w:rsidR="0018365A" w:rsidRPr="0018365A" w:rsidRDefault="00496063" w:rsidP="00713714">
      <w:r>
        <w:t xml:space="preserve"> </w:t>
      </w:r>
      <w:r w:rsidR="0018365A" w:rsidRPr="0018365A">
        <w:t>], dtype=float)</w:t>
      </w:r>
    </w:p>
    <w:p w:rsidR="0018365A" w:rsidRPr="0018365A" w:rsidRDefault="00496063" w:rsidP="00713714">
      <w:r>
        <w:t xml:space="preserve"> </w:t>
      </w:r>
      <w:r w:rsidR="0018365A" w:rsidRPr="0018365A">
        <w:t>n_features = 5</w:t>
      </w:r>
    </w:p>
    <w:p w:rsidR="0018365A" w:rsidRPr="0018365A" w:rsidRDefault="0018365A" w:rsidP="00713714"/>
    <w:p w:rsidR="0018365A" w:rsidRPr="0018365A" w:rsidRDefault="00496063" w:rsidP="00713714">
      <w:r>
        <w:t xml:space="preserve"> </w:t>
      </w:r>
      <w:r w:rsidR="0018365A" w:rsidRPr="0018365A">
        <w:t>qc = pharmacophoric_odes_circuit(</w:t>
      </w:r>
    </w:p>
    <w:p w:rsidR="0018365A" w:rsidRPr="0018365A" w:rsidRDefault="00496063" w:rsidP="00713714">
      <w:r>
        <w:t xml:space="preserve"> </w:t>
      </w:r>
      <w:r w:rsidR="0018365A" w:rsidRPr="0018365A">
        <w:t>adj_mat=W,</w:t>
      </w:r>
    </w:p>
    <w:p w:rsidR="0018365A" w:rsidRPr="0018365A" w:rsidRDefault="00496063" w:rsidP="00713714">
      <w:r>
        <w:t xml:space="preserve"> </w:t>
      </w:r>
      <w:r w:rsidR="0018365A" w:rsidRPr="0018365A">
        <w:t>n_feat=n_features,</w:t>
      </w:r>
    </w:p>
    <w:p w:rsidR="0018365A" w:rsidRPr="0018365A" w:rsidRDefault="00496063" w:rsidP="00713714">
      <w:r>
        <w:t xml:space="preserve"> </w:t>
      </w:r>
      <w:r w:rsidR="0018365A" w:rsidRPr="0018365A">
        <w:t>p_qaoa=1,</w:t>
      </w:r>
    </w:p>
    <w:p w:rsidR="0018365A" w:rsidRPr="0018365A" w:rsidRDefault="00496063" w:rsidP="00713714">
      <w:r>
        <w:t xml:space="preserve"> </w:t>
      </w:r>
      <w:r w:rsidR="0018365A" w:rsidRPr="0018365A">
        <w:t>depth_pqc=2,</w:t>
      </w:r>
    </w:p>
    <w:p w:rsidR="0018365A" w:rsidRPr="0018365A" w:rsidRDefault="00496063" w:rsidP="00713714">
      <w:r>
        <w:t xml:space="preserve"> </w:t>
      </w:r>
      <w:r w:rsidR="0018365A" w:rsidRPr="0018365A">
        <w:t>lambda_ph4=0.4,</w:t>
      </w:r>
    </w:p>
    <w:p w:rsidR="0018365A" w:rsidRPr="0018365A" w:rsidRDefault="00496063" w:rsidP="00713714">
      <w:r>
        <w:t xml:space="preserve"> </w:t>
      </w:r>
      <w:r w:rsidR="0018365A" w:rsidRPr="0018365A">
        <w:t>lambda_curv=0.35,</w:t>
      </w:r>
    </w:p>
    <w:p w:rsidR="0018365A" w:rsidRPr="0018365A" w:rsidRDefault="00496063" w:rsidP="00713714">
      <w:r>
        <w:t xml:space="preserve"> </w:t>
      </w:r>
      <w:r w:rsidR="0018365A" w:rsidRPr="0018365A">
        <w:t>readout_qubits=1,</w:t>
      </w:r>
    </w:p>
    <w:p w:rsidR="0018365A" w:rsidRPr="0018365A" w:rsidRDefault="00496063" w:rsidP="00713714">
      <w:r>
        <w:t xml:space="preserve"> </w:t>
      </w:r>
      <w:r w:rsidR="0018365A" w:rsidRPr="0018365A">
        <w:t>)</w:t>
      </w:r>
    </w:p>
    <w:p w:rsidR="0018365A" w:rsidRPr="0018365A" w:rsidRDefault="0018365A" w:rsidP="00713714"/>
    <w:p w:rsidR="0018365A" w:rsidRPr="0018365A" w:rsidRDefault="00496063" w:rsidP="00713714">
      <w:r>
        <w:t xml:space="preserve"> </w:t>
      </w:r>
      <w:r w:rsidR="0018365A" w:rsidRPr="0018365A">
        <w:t>rng = np.random.default_rng(123)</w:t>
      </w:r>
    </w:p>
    <w:p w:rsidR="0018365A" w:rsidRPr="0018365A" w:rsidRDefault="00496063" w:rsidP="00713714">
      <w:r>
        <w:t xml:space="preserve"> </w:t>
      </w:r>
      <w:r w:rsidR="0018365A" w:rsidRPr="0018365A">
        <w:t>x_vals = rng.normal(0.0, 1.0, size=n_features)</w:t>
      </w:r>
    </w:p>
    <w:p w:rsidR="0018365A" w:rsidRPr="0018365A" w:rsidRDefault="00496063" w:rsidP="00713714">
      <w:r>
        <w:t xml:space="preserve"> </w:t>
      </w:r>
      <w:r w:rsidR="0018365A" w:rsidRPr="0018365A">
        <w:t>m_vals = rng.uniform(0.0, 1.0, size=n_features)</w:t>
      </w:r>
    </w:p>
    <w:p w:rsidR="0018365A" w:rsidRPr="0018365A" w:rsidRDefault="00496063" w:rsidP="00713714">
      <w:r>
        <w:t xml:space="preserve"> </w:t>
      </w:r>
      <w:r w:rsidR="0018365A" w:rsidRPr="0018365A">
        <w:t>k_vals = rng.uniform(0.0, 1.0, size=n_features)</w:t>
      </w:r>
    </w:p>
    <w:p w:rsidR="0018365A" w:rsidRPr="0018365A" w:rsidRDefault="0018365A" w:rsidP="00713714"/>
    <w:p w:rsidR="0018365A" w:rsidRPr="0018365A" w:rsidRDefault="00496063" w:rsidP="00713714">
      <w:r>
        <w:t xml:space="preserve"> </w:t>
      </w:r>
      <w:r w:rsidR="0018365A" w:rsidRPr="0018365A">
        <w:t>n_theta = sum(1 for p in qc.parameters if p.name.startswith('θ['))</w:t>
      </w:r>
    </w:p>
    <w:p w:rsidR="0018365A" w:rsidRPr="0018365A" w:rsidRDefault="00496063" w:rsidP="00713714">
      <w:r>
        <w:t xml:space="preserve"> </w:t>
      </w:r>
      <w:r w:rsidR="0018365A" w:rsidRPr="0018365A">
        <w:t>n_gamma = sum(1 for p in qc.parameters if p.name.startswith('γ['))</w:t>
      </w:r>
    </w:p>
    <w:p w:rsidR="0018365A" w:rsidRPr="0018365A" w:rsidRDefault="00496063" w:rsidP="00713714">
      <w:r>
        <w:t xml:space="preserve"> </w:t>
      </w:r>
      <w:r w:rsidR="0018365A" w:rsidRPr="0018365A">
        <w:t>n_beta</w:t>
      </w:r>
      <w:r>
        <w:t xml:space="preserve"> </w:t>
      </w:r>
      <w:r w:rsidR="0018365A" w:rsidRPr="0018365A">
        <w:t>= sum(1 for p in qc.parameters if p.name.startswith('β['))</w:t>
      </w:r>
    </w:p>
    <w:p w:rsidR="0018365A" w:rsidRPr="0018365A" w:rsidRDefault="0018365A" w:rsidP="00713714"/>
    <w:p w:rsidR="0018365A" w:rsidRPr="0018365A" w:rsidRDefault="00496063" w:rsidP="00713714">
      <w:r>
        <w:t xml:space="preserve"> </w:t>
      </w:r>
      <w:r w:rsidR="0018365A" w:rsidRPr="0018365A">
        <w:t>theta_vals = rng.normal(0.0, 0.2, size=n_theta)</w:t>
      </w:r>
    </w:p>
    <w:p w:rsidR="0018365A" w:rsidRPr="0018365A" w:rsidRDefault="00496063" w:rsidP="00713714">
      <w:r>
        <w:t xml:space="preserve"> </w:t>
      </w:r>
      <w:r w:rsidR="0018365A" w:rsidRPr="0018365A">
        <w:t>gamma_vals = rng.uniform(0.0, np.pi, size=n_gamma)</w:t>
      </w:r>
    </w:p>
    <w:p w:rsidR="0018365A" w:rsidRPr="0018365A" w:rsidRDefault="00496063" w:rsidP="00713714">
      <w:r>
        <w:t xml:space="preserve"> </w:t>
      </w:r>
      <w:r w:rsidR="0018365A" w:rsidRPr="0018365A">
        <w:t>beta_vals</w:t>
      </w:r>
      <w:r>
        <w:t xml:space="preserve"> </w:t>
      </w:r>
      <w:r w:rsidR="0018365A" w:rsidRPr="0018365A">
        <w:t>= rng.uniform(0.0, np.pi, size=n_beta)</w:t>
      </w:r>
    </w:p>
    <w:p w:rsidR="0018365A" w:rsidRPr="0018365A" w:rsidRDefault="0018365A" w:rsidP="00713714"/>
    <w:p w:rsidR="0018365A" w:rsidRPr="0018365A" w:rsidRDefault="00496063" w:rsidP="00713714">
      <w:r>
        <w:t xml:space="preserve"> </w:t>
      </w:r>
      <w:r w:rsidR="0018365A" w:rsidRPr="0018365A">
        <w:t>qc_bound = bind_param_vectors(qc, {</w:t>
      </w:r>
    </w:p>
    <w:p w:rsidR="0018365A" w:rsidRPr="0018365A" w:rsidRDefault="00496063" w:rsidP="00713714">
      <w:r>
        <w:t xml:space="preserve"> </w:t>
      </w:r>
      <w:r w:rsidR="0018365A" w:rsidRPr="0018365A">
        <w:t>"x": x_vals,</w:t>
      </w:r>
    </w:p>
    <w:p w:rsidR="0018365A" w:rsidRPr="0018365A" w:rsidRDefault="00496063" w:rsidP="00713714">
      <w:r>
        <w:t xml:space="preserve"> </w:t>
      </w:r>
      <w:r w:rsidR="0018365A" w:rsidRPr="0018365A">
        <w:t>"m": m_vals,</w:t>
      </w:r>
    </w:p>
    <w:p w:rsidR="0018365A" w:rsidRPr="0018365A" w:rsidRDefault="00496063" w:rsidP="00713714">
      <w:r>
        <w:t xml:space="preserve"> </w:t>
      </w:r>
      <w:r w:rsidR="0018365A" w:rsidRPr="0018365A">
        <w:t>"k": k_vals,</w:t>
      </w:r>
    </w:p>
    <w:p w:rsidR="0018365A" w:rsidRPr="0018365A" w:rsidRDefault="00496063" w:rsidP="00713714">
      <w:r>
        <w:t xml:space="preserve"> </w:t>
      </w:r>
      <w:r w:rsidR="0018365A" w:rsidRPr="0018365A">
        <w:t>"θ": theta_vals,</w:t>
      </w:r>
    </w:p>
    <w:p w:rsidR="0018365A" w:rsidRPr="0018365A" w:rsidRDefault="00496063" w:rsidP="00713714">
      <w:r>
        <w:t xml:space="preserve"> </w:t>
      </w:r>
      <w:r w:rsidR="0018365A" w:rsidRPr="0018365A">
        <w:t>"γ": gamma_vals,</w:t>
      </w:r>
    </w:p>
    <w:p w:rsidR="0018365A" w:rsidRPr="0018365A" w:rsidRDefault="00496063" w:rsidP="00713714">
      <w:r>
        <w:t xml:space="preserve"> </w:t>
      </w:r>
      <w:r w:rsidR="0018365A" w:rsidRPr="0018365A">
        <w:t>"β": beta_vals,</w:t>
      </w:r>
    </w:p>
    <w:p w:rsidR="0018365A" w:rsidRPr="0018365A" w:rsidRDefault="00496063" w:rsidP="00713714">
      <w:r>
        <w:t xml:space="preserve"> </w:t>
      </w:r>
      <w:r w:rsidR="0018365A" w:rsidRPr="0018365A">
        <w:t>})</w:t>
      </w:r>
    </w:p>
    <w:p w:rsidR="0018365A" w:rsidRPr="0018365A" w:rsidRDefault="0018365A" w:rsidP="00713714"/>
    <w:p w:rsidR="0018365A" w:rsidRPr="0018365A" w:rsidRDefault="00496063" w:rsidP="00713714">
      <w:r>
        <w:t xml:space="preserve"> </w:t>
      </w:r>
      <w:r w:rsidR="0018365A" w:rsidRPr="0018365A">
        <w:t>if not _HAS_AER:</w:t>
      </w:r>
    </w:p>
    <w:p w:rsidR="0018365A" w:rsidRPr="0018365A" w:rsidRDefault="00496063" w:rsidP="00713714">
      <w:r>
        <w:t xml:space="preserve"> </w:t>
      </w:r>
      <w:r w:rsidR="0018365A" w:rsidRPr="0018365A">
        <w:t>return qc_bound, {}, float('nan')</w:t>
      </w:r>
    </w:p>
    <w:p w:rsidR="0018365A" w:rsidRPr="0018365A" w:rsidRDefault="0018365A" w:rsidP="00713714"/>
    <w:p w:rsidR="0018365A" w:rsidRPr="0018365A" w:rsidRDefault="00496063" w:rsidP="00713714">
      <w:r>
        <w:t xml:space="preserve"> </w:t>
      </w:r>
      <w:r w:rsidR="0018365A" w:rsidRPr="0018365A">
        <w:t>sim = AerSimulator()</w:t>
      </w:r>
    </w:p>
    <w:p w:rsidR="0018365A" w:rsidRPr="0018365A" w:rsidRDefault="00496063" w:rsidP="00713714">
      <w:r>
        <w:t xml:space="preserve"> </w:t>
      </w:r>
      <w:r w:rsidR="0018365A" w:rsidRPr="0018365A">
        <w:t>from qiskit import transpile</w:t>
      </w:r>
    </w:p>
    <w:p w:rsidR="0018365A" w:rsidRPr="0018365A" w:rsidRDefault="00496063" w:rsidP="00713714">
      <w:r>
        <w:t xml:space="preserve"> </w:t>
      </w:r>
      <w:r w:rsidR="0018365A" w:rsidRPr="0018365A">
        <w:t>tcirc = transpile(qc_bound, sim, optimization_level=1)</w:t>
      </w:r>
    </w:p>
    <w:p w:rsidR="0018365A" w:rsidRPr="0018365A" w:rsidRDefault="00496063" w:rsidP="00713714">
      <w:r>
        <w:t xml:space="preserve"> </w:t>
      </w:r>
      <w:r w:rsidR="0018365A" w:rsidRPr="0018365A">
        <w:t>shots = 4096</w:t>
      </w:r>
    </w:p>
    <w:p w:rsidR="0018365A" w:rsidRPr="0018365A" w:rsidRDefault="00496063" w:rsidP="00713714">
      <w:r>
        <w:t xml:space="preserve"> </w:t>
      </w:r>
      <w:r w:rsidR="0018365A" w:rsidRPr="0018365A">
        <w:t>result = sim.run(tcirc, shots=shots).result()</w:t>
      </w:r>
    </w:p>
    <w:p w:rsidR="0018365A" w:rsidRPr="0018365A" w:rsidRDefault="00496063" w:rsidP="00713714">
      <w:r>
        <w:t xml:space="preserve"> </w:t>
      </w:r>
      <w:r w:rsidR="0018365A" w:rsidRPr="0018365A">
        <w:t>counts = result.get_counts()</w:t>
      </w:r>
    </w:p>
    <w:p w:rsidR="0018365A" w:rsidRPr="0018365A" w:rsidRDefault="00496063" w:rsidP="00713714">
      <w:r>
        <w:t xml:space="preserve"> </w:t>
      </w:r>
      <w:r w:rsidR="0018365A" w:rsidRPr="0018365A">
        <w:t>p0 = counts.get('0', 0) / shots</w:t>
      </w:r>
    </w:p>
    <w:p w:rsidR="0018365A" w:rsidRPr="0018365A" w:rsidRDefault="00496063" w:rsidP="00713714">
      <w:r>
        <w:t xml:space="preserve"> </w:t>
      </w:r>
      <w:r w:rsidR="0018365A" w:rsidRPr="0018365A">
        <w:t>p1 = counts.get('1', 0) / shots</w:t>
      </w:r>
    </w:p>
    <w:p w:rsidR="0018365A" w:rsidRPr="0018365A" w:rsidRDefault="00496063" w:rsidP="00713714">
      <w:r>
        <w:t xml:space="preserve"> </w:t>
      </w:r>
      <w:r w:rsidR="0018365A" w:rsidRPr="0018365A">
        <w:t>z_expect = p0 - p1</w:t>
      </w:r>
    </w:p>
    <w:p w:rsidR="0018365A" w:rsidRPr="0018365A" w:rsidRDefault="00496063" w:rsidP="00713714">
      <w:r>
        <w:t xml:space="preserve"> </w:t>
      </w:r>
      <w:r w:rsidR="0018365A" w:rsidRPr="0018365A">
        <w:t>return qc_bound, counts, z_expect</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xml:space="preserve"># Convenience wrapper: accept (x, m, k) dicts; return </w:t>
      </w:r>
      <w:r w:rsidRPr="0018365A">
        <w:rPr>
          <w:rFonts w:ascii="Cambria Math" w:hAnsi="Cambria Math" w:cs="Cambria Math"/>
        </w:rPr>
        <w:t>⟨</w:t>
      </w:r>
      <w:r w:rsidRPr="0018365A">
        <w:t>Z</w:t>
      </w:r>
      <w:r w:rsidRPr="0018365A">
        <w:rPr>
          <w:rFonts w:ascii="Cambria Math" w:hAnsi="Cambria Math" w:cs="Cambria Math"/>
        </w:rPr>
        <w:t>⟩</w:t>
      </w:r>
      <w:r w:rsidRPr="0018365A">
        <w:t xml:space="preserve"> and transpiled depth/size</w:t>
      </w:r>
    </w:p>
    <w:p w:rsidR="0018365A" w:rsidRPr="0018365A" w:rsidRDefault="0018365A" w:rsidP="00713714">
      <w:r w:rsidRPr="0018365A">
        <w:t># ──────────────────────────────────────────────────────────────────────────────</w:t>
      </w:r>
    </w:p>
    <w:p w:rsidR="0018365A" w:rsidRPr="0018365A" w:rsidRDefault="0018365A" w:rsidP="00713714"/>
    <w:p w:rsidR="0018365A" w:rsidRPr="0018365A" w:rsidRDefault="0018365A" w:rsidP="00713714">
      <w:r w:rsidRPr="0018365A">
        <w:t>def _vec_from_mapping(values: Iterable[float] | Dict[str, float], length: int) -&gt; np.ndarray:</w:t>
      </w:r>
    </w:p>
    <w:p w:rsidR="0018365A" w:rsidRPr="0018365A" w:rsidRDefault="00496063" w:rsidP="00713714">
      <w:r>
        <w:t xml:space="preserve"> </w:t>
      </w:r>
      <w:r w:rsidR="0018365A" w:rsidRPr="0018365A">
        <w:t>"""Turn a dict or iterable into a float vector of given length (pad/trim as needed)."""</w:t>
      </w:r>
    </w:p>
    <w:p w:rsidR="0018365A" w:rsidRPr="0018365A" w:rsidRDefault="00496063" w:rsidP="00713714">
      <w:r>
        <w:t xml:space="preserve"> </w:t>
      </w:r>
      <w:r w:rsidR="0018365A" w:rsidRPr="0018365A">
        <w:t>if isinstance(values, dict):</w:t>
      </w:r>
    </w:p>
    <w:p w:rsidR="0018365A" w:rsidRPr="0018365A" w:rsidRDefault="00496063" w:rsidP="00713714">
      <w:r>
        <w:t xml:space="preserve"> </w:t>
      </w:r>
      <w:r w:rsidR="0018365A" w:rsidRPr="0018365A">
        <w:t># stable order: sorted keys</w:t>
      </w:r>
    </w:p>
    <w:p w:rsidR="0018365A" w:rsidRPr="0018365A" w:rsidRDefault="00496063" w:rsidP="00713714">
      <w:r>
        <w:t xml:space="preserve"> </w:t>
      </w:r>
      <w:r w:rsidR="0018365A" w:rsidRPr="0018365A">
        <w:t>arr = np.array([values[k] for k in sorted(values.keys())], dtype=float)</w:t>
      </w:r>
    </w:p>
    <w:p w:rsidR="0018365A" w:rsidRPr="0018365A" w:rsidRDefault="00496063" w:rsidP="00713714">
      <w:r>
        <w:t xml:space="preserve"> </w:t>
      </w:r>
      <w:r w:rsidR="0018365A" w:rsidRPr="0018365A">
        <w:t>else:</w:t>
      </w:r>
    </w:p>
    <w:p w:rsidR="0018365A" w:rsidRPr="0018365A" w:rsidRDefault="00496063" w:rsidP="00713714">
      <w:r>
        <w:t xml:space="preserve"> </w:t>
      </w:r>
      <w:r w:rsidR="0018365A" w:rsidRPr="0018365A">
        <w:t>arr = np.array(list(values), dtype=float)</w:t>
      </w:r>
    </w:p>
    <w:p w:rsidR="0018365A" w:rsidRPr="0018365A" w:rsidRDefault="00496063" w:rsidP="00713714">
      <w:r>
        <w:t xml:space="preserve"> </w:t>
      </w:r>
      <w:r w:rsidR="0018365A" w:rsidRPr="0018365A">
        <w:t>if arr.size &lt; length:</w:t>
      </w:r>
    </w:p>
    <w:p w:rsidR="0018365A" w:rsidRPr="0018365A" w:rsidRDefault="00496063" w:rsidP="00713714">
      <w:r>
        <w:t xml:space="preserve"> </w:t>
      </w:r>
      <w:r w:rsidR="0018365A" w:rsidRPr="0018365A">
        <w:t>arr = np.pad(arr, (0, length - arr.size), mode="constant", constant_values=0.0)</w:t>
      </w:r>
    </w:p>
    <w:p w:rsidR="0018365A" w:rsidRPr="0018365A" w:rsidRDefault="00496063" w:rsidP="00713714">
      <w:r>
        <w:t xml:space="preserve"> </w:t>
      </w:r>
      <w:r w:rsidR="0018365A" w:rsidRPr="0018365A">
        <w:t>elif arr.size &gt; length:</w:t>
      </w:r>
    </w:p>
    <w:p w:rsidR="0018365A" w:rsidRPr="0018365A" w:rsidRDefault="00496063" w:rsidP="00713714">
      <w:r>
        <w:t xml:space="preserve"> </w:t>
      </w:r>
      <w:r w:rsidR="0018365A" w:rsidRPr="0018365A">
        <w:t>arr = arr[:length]</w:t>
      </w:r>
    </w:p>
    <w:p w:rsidR="0018365A" w:rsidRPr="0018365A" w:rsidRDefault="00496063" w:rsidP="00713714">
      <w:r>
        <w:t xml:space="preserve"> </w:t>
      </w:r>
      <w:r w:rsidR="0018365A" w:rsidRPr="0018365A">
        <w:t>return arr.astype(float)</w:t>
      </w:r>
    </w:p>
    <w:p w:rsidR="0018365A" w:rsidRPr="0018365A" w:rsidRDefault="0018365A" w:rsidP="00713714"/>
    <w:p w:rsidR="0018365A" w:rsidRPr="0018365A" w:rsidRDefault="0018365A" w:rsidP="00713714"/>
    <w:p w:rsidR="0018365A" w:rsidRPr="0018365A" w:rsidRDefault="0018365A" w:rsidP="00713714">
      <w:r w:rsidRPr="0018365A">
        <w:t>def run_with_features(</w:t>
      </w:r>
    </w:p>
    <w:p w:rsidR="0018365A" w:rsidRPr="0018365A" w:rsidRDefault="00496063" w:rsidP="00713714">
      <w:r>
        <w:t xml:space="preserve"> </w:t>
      </w:r>
      <w:r w:rsidR="0018365A" w:rsidRPr="0018365A">
        <w:t>adj_mat: np.ndarray,</w:t>
      </w:r>
    </w:p>
    <w:p w:rsidR="0018365A" w:rsidRPr="0018365A" w:rsidRDefault="00496063" w:rsidP="00713714">
      <w:r>
        <w:t xml:space="preserve"> </w:t>
      </w:r>
      <w:r w:rsidR="0018365A" w:rsidRPr="0018365A">
        <w:t>x: Dict[str, float] | Iterable[float],</w:t>
      </w:r>
    </w:p>
    <w:p w:rsidR="0018365A" w:rsidRPr="0018365A" w:rsidRDefault="00496063" w:rsidP="00713714">
      <w:r>
        <w:t xml:space="preserve"> </w:t>
      </w:r>
      <w:r w:rsidR="0018365A" w:rsidRPr="0018365A">
        <w:t>m: Dict[str, float] | Iterable[float],</w:t>
      </w:r>
    </w:p>
    <w:p w:rsidR="0018365A" w:rsidRPr="0018365A" w:rsidRDefault="00496063" w:rsidP="00713714">
      <w:r>
        <w:t xml:space="preserve"> </w:t>
      </w:r>
      <w:r w:rsidR="0018365A" w:rsidRPr="0018365A">
        <w:t>k: Dict[str, float] | Iterable[float],</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backend=None,</w:t>
      </w:r>
    </w:p>
    <w:p w:rsidR="0018365A" w:rsidRPr="0018365A" w:rsidRDefault="00496063" w:rsidP="00713714">
      <w:r>
        <w:t xml:space="preserve"> </w:t>
      </w:r>
      <w:r w:rsidR="0018365A" w:rsidRPr="0018365A">
        <w:t>shots: int = 4096,</w:t>
      </w:r>
    </w:p>
    <w:p w:rsidR="0018365A" w:rsidRPr="0018365A" w:rsidRDefault="00496063" w:rsidP="00713714">
      <w:r>
        <w:t xml:space="preserve"> </w:t>
      </w:r>
      <w:r w:rsidR="0018365A" w:rsidRPr="0018365A">
        <w:t>seed: int = 123,</w:t>
      </w:r>
    </w:p>
    <w:p w:rsidR="0018365A" w:rsidRPr="0018365A" w:rsidRDefault="00496063" w:rsidP="00713714">
      <w:r>
        <w:t xml:space="preserve"> </w:t>
      </w:r>
      <w:r w:rsidR="0018365A" w:rsidRPr="0018365A">
        <w:t>p_qaoa: int = 1,</w:t>
      </w:r>
    </w:p>
    <w:p w:rsidR="0018365A" w:rsidRPr="0018365A" w:rsidRDefault="00496063" w:rsidP="00713714">
      <w:r>
        <w:t xml:space="preserve"> </w:t>
      </w:r>
      <w:r w:rsidR="0018365A" w:rsidRPr="0018365A">
        <w:t>depth_pqc: int = 2,</w:t>
      </w:r>
    </w:p>
    <w:p w:rsidR="0018365A" w:rsidRPr="0018365A" w:rsidRDefault="00496063" w:rsidP="00713714">
      <w:r>
        <w:t xml:space="preserve"> </w:t>
      </w:r>
      <w:r w:rsidR="0018365A" w:rsidRPr="0018365A">
        <w:t>lambda_ph4: float = 0.4,</w:t>
      </w:r>
    </w:p>
    <w:p w:rsidR="0018365A" w:rsidRPr="0018365A" w:rsidRDefault="00496063" w:rsidP="00713714">
      <w:r>
        <w:t xml:space="preserve"> </w:t>
      </w:r>
      <w:r w:rsidR="0018365A" w:rsidRPr="0018365A">
        <w:t>lambda_curv: float = 0.35,</w:t>
      </w:r>
    </w:p>
    <w:p w:rsidR="0018365A" w:rsidRPr="0018365A" w:rsidRDefault="00496063" w:rsidP="00713714">
      <w:r>
        <w:t xml:space="preserve"> </w:t>
      </w:r>
      <w:r w:rsidR="0018365A" w:rsidRPr="0018365A">
        <w:t>readout_qubits: int = 1,</w:t>
      </w:r>
    </w:p>
    <w:p w:rsidR="0018365A" w:rsidRPr="0018365A" w:rsidRDefault="0018365A" w:rsidP="00713714">
      <w:r w:rsidRPr="0018365A">
        <w:t>):</w:t>
      </w:r>
    </w:p>
    <w:p w:rsidR="0018365A" w:rsidRPr="0018365A" w:rsidRDefault="00496063" w:rsidP="00713714">
      <w:r>
        <w:t xml:space="preserve"> </w:t>
      </w:r>
      <w:r w:rsidR="0018365A" w:rsidRPr="0018365A">
        <w:t>"""Build, bind, transpile, and (if possible) execute the composite circuit.</w:t>
      </w:r>
    </w:p>
    <w:p w:rsidR="0018365A" w:rsidRPr="0018365A" w:rsidRDefault="0018365A" w:rsidP="00713714"/>
    <w:p w:rsidR="0018365A" w:rsidRPr="0018365A" w:rsidRDefault="00496063" w:rsidP="00713714">
      <w:r>
        <w:t xml:space="preserve"> </w:t>
      </w:r>
      <w:r w:rsidR="0018365A" w:rsidRPr="0018365A">
        <w:t>Parameters</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adj_mat : NxN similarity matrix for QAOA diversity</w:t>
      </w:r>
    </w:p>
    <w:p w:rsidR="0018365A" w:rsidRPr="0018365A" w:rsidRDefault="00496063" w:rsidP="00713714">
      <w:r>
        <w:t xml:space="preserve"> </w:t>
      </w:r>
      <w:r w:rsidR="0018365A" w:rsidRPr="0018365A">
        <w:t>x, m, k : dicts or iterables of feature, mismatch, and curvature weights</w:t>
      </w:r>
    </w:p>
    <w:p w:rsidR="0018365A" w:rsidRPr="0018365A" w:rsidRDefault="00496063" w:rsidP="00713714">
      <w:r>
        <w:t xml:space="preserve"> </w:t>
      </w:r>
      <w:r w:rsidR="0018365A" w:rsidRPr="0018365A">
        <w:t>backend : optional Qiskit backend (e.g., AerSimulator or IBM backend). If None and</w:t>
      </w:r>
    </w:p>
    <w:p w:rsidR="0018365A" w:rsidRPr="0018365A" w:rsidRDefault="00496063" w:rsidP="00713714">
      <w:r>
        <w:t xml:space="preserve"> </w:t>
      </w:r>
      <w:r w:rsidR="0018365A" w:rsidRPr="0018365A">
        <w:t>qiskit-aer is available, an AerSimulator is used. If no backend is</w:t>
      </w:r>
    </w:p>
    <w:p w:rsidR="0018365A" w:rsidRPr="0018365A" w:rsidRDefault="00496063" w:rsidP="00713714">
      <w:r>
        <w:t xml:space="preserve"> </w:t>
      </w:r>
      <w:r w:rsidR="0018365A" w:rsidRPr="0018365A">
        <w:t>available, the function returns depths/sizes without execution.</w:t>
      </w:r>
    </w:p>
    <w:p w:rsidR="0018365A" w:rsidRPr="0018365A" w:rsidRDefault="0018365A" w:rsidP="00713714"/>
    <w:p w:rsidR="0018365A" w:rsidRPr="0018365A" w:rsidRDefault="00496063" w:rsidP="00713714">
      <w:r>
        <w:t xml:space="preserve"> </w:t>
      </w:r>
      <w:r w:rsidR="0018365A" w:rsidRPr="0018365A">
        <w:t>Returns</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dict with keys: {</w:t>
      </w:r>
    </w:p>
    <w:p w:rsidR="0018365A" w:rsidRPr="0018365A" w:rsidRDefault="00496063" w:rsidP="00713714">
      <w:r>
        <w:t xml:space="preserve"> </w:t>
      </w:r>
      <w:r w:rsidR="0018365A" w:rsidRPr="0018365A">
        <w:t>'z_expect': float or List[float],</w:t>
      </w:r>
    </w:p>
    <w:p w:rsidR="0018365A" w:rsidRPr="0018365A" w:rsidRDefault="00496063" w:rsidP="00713714">
      <w:r>
        <w:t xml:space="preserve"> </w:t>
      </w:r>
      <w:r w:rsidR="0018365A" w:rsidRPr="0018365A">
        <w:t>'counts': dict (may be empty if not executed),</w:t>
      </w:r>
    </w:p>
    <w:p w:rsidR="0018365A" w:rsidRPr="0018365A" w:rsidRDefault="00496063" w:rsidP="00713714">
      <w:r>
        <w:t xml:space="preserve"> </w:t>
      </w:r>
      <w:r w:rsidR="0018365A" w:rsidRPr="0018365A">
        <w:t>'depth': int, 'size': int,</w:t>
      </w:r>
    </w:p>
    <w:p w:rsidR="0018365A" w:rsidRPr="0018365A" w:rsidRDefault="00496063" w:rsidP="00713714">
      <w:r>
        <w:t xml:space="preserve"> </w:t>
      </w:r>
      <w:r w:rsidR="0018365A" w:rsidRPr="0018365A">
        <w:t>'transpiled_depth': int | None, 'transpiled_size': int | None,</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 Determine feature length from the longest mapping</w:t>
      </w:r>
    </w:p>
    <w:p w:rsidR="0018365A" w:rsidRPr="0018365A" w:rsidRDefault="00496063" w:rsidP="00713714">
      <w:r>
        <w:t xml:space="preserve"> </w:t>
      </w:r>
      <w:r w:rsidR="0018365A" w:rsidRPr="0018365A">
        <w:t>n_feat = max(len(list(x)) if not isinstance(x, dict) else len(x),</w:t>
      </w:r>
    </w:p>
    <w:p w:rsidR="0018365A" w:rsidRPr="0018365A" w:rsidRDefault="00496063" w:rsidP="00713714">
      <w:r>
        <w:t xml:space="preserve"> </w:t>
      </w:r>
      <w:r w:rsidR="0018365A" w:rsidRPr="0018365A">
        <w:t>len(list(m)) if not isinstance(m, dict) else len(m),</w:t>
      </w:r>
    </w:p>
    <w:p w:rsidR="0018365A" w:rsidRPr="0018365A" w:rsidRDefault="00496063" w:rsidP="00713714">
      <w:r>
        <w:t xml:space="preserve"> </w:t>
      </w:r>
      <w:r w:rsidR="0018365A" w:rsidRPr="0018365A">
        <w:t>len(list(k)) if not isinstance(k, dict) else len(k))</w:t>
      </w:r>
    </w:p>
    <w:p w:rsidR="0018365A" w:rsidRPr="0018365A" w:rsidRDefault="0018365A" w:rsidP="00713714"/>
    <w:p w:rsidR="0018365A" w:rsidRPr="0018365A" w:rsidRDefault="00496063" w:rsidP="00713714">
      <w:r>
        <w:t xml:space="preserve"> </w:t>
      </w:r>
      <w:r w:rsidR="0018365A" w:rsidRPr="0018365A">
        <w:t>qc = pharmacophoric_odes_circuit(</w:t>
      </w:r>
    </w:p>
    <w:p w:rsidR="0018365A" w:rsidRPr="0018365A" w:rsidRDefault="00496063" w:rsidP="00713714">
      <w:r>
        <w:t xml:space="preserve"> </w:t>
      </w:r>
      <w:r w:rsidR="0018365A" w:rsidRPr="0018365A">
        <w:t>adj_mat=adj_mat,</w:t>
      </w:r>
    </w:p>
    <w:p w:rsidR="0018365A" w:rsidRPr="0018365A" w:rsidRDefault="00496063" w:rsidP="00713714">
      <w:r>
        <w:t xml:space="preserve"> </w:t>
      </w:r>
      <w:r w:rsidR="0018365A" w:rsidRPr="0018365A">
        <w:t>n_feat=n_feat,</w:t>
      </w:r>
    </w:p>
    <w:p w:rsidR="0018365A" w:rsidRPr="0018365A" w:rsidRDefault="00496063" w:rsidP="00713714">
      <w:r>
        <w:t xml:space="preserve"> </w:t>
      </w:r>
      <w:r w:rsidR="0018365A" w:rsidRPr="0018365A">
        <w:t>p_qaoa=p_qaoa,</w:t>
      </w:r>
    </w:p>
    <w:p w:rsidR="0018365A" w:rsidRPr="0018365A" w:rsidRDefault="00496063" w:rsidP="00713714">
      <w:r>
        <w:t xml:space="preserve"> </w:t>
      </w:r>
      <w:r w:rsidR="0018365A" w:rsidRPr="0018365A">
        <w:t>depth_pqc=depth_pqc,</w:t>
      </w:r>
    </w:p>
    <w:p w:rsidR="0018365A" w:rsidRPr="0018365A" w:rsidRDefault="00496063" w:rsidP="00713714">
      <w:r>
        <w:t xml:space="preserve"> </w:t>
      </w:r>
      <w:r w:rsidR="0018365A" w:rsidRPr="0018365A">
        <w:t>lambda_ph4=lambda_ph4,</w:t>
      </w:r>
    </w:p>
    <w:p w:rsidR="0018365A" w:rsidRPr="0018365A" w:rsidRDefault="00496063" w:rsidP="00713714">
      <w:r>
        <w:t xml:space="preserve"> </w:t>
      </w:r>
      <w:r w:rsidR="0018365A" w:rsidRPr="0018365A">
        <w:t>lambda_curv=lambda_curv,</w:t>
      </w:r>
    </w:p>
    <w:p w:rsidR="0018365A" w:rsidRPr="0018365A" w:rsidRDefault="00496063" w:rsidP="00713714">
      <w:r>
        <w:t xml:space="preserve"> </w:t>
      </w:r>
      <w:r w:rsidR="0018365A" w:rsidRPr="0018365A">
        <w:t>readout_qubits=readout_qubits,</w:t>
      </w:r>
    </w:p>
    <w:p w:rsidR="0018365A" w:rsidRPr="0018365A" w:rsidRDefault="00496063" w:rsidP="00713714">
      <w:r>
        <w:t xml:space="preserve"> </w:t>
      </w:r>
      <w:r w:rsidR="0018365A" w:rsidRPr="0018365A">
        <w:t>)</w:t>
      </w:r>
    </w:p>
    <w:p w:rsidR="0018365A" w:rsidRPr="0018365A" w:rsidRDefault="0018365A" w:rsidP="00713714"/>
    <w:p w:rsidR="0018365A" w:rsidRPr="0018365A" w:rsidRDefault="00496063" w:rsidP="00713714">
      <w:r>
        <w:t xml:space="preserve"> </w:t>
      </w:r>
      <w:r w:rsidR="0018365A" w:rsidRPr="0018365A">
        <w:t># Random initial θ/γ/β (could be replaced by your optimizer)</w:t>
      </w:r>
    </w:p>
    <w:p w:rsidR="0018365A" w:rsidRPr="0018365A" w:rsidRDefault="00496063" w:rsidP="00713714">
      <w:r>
        <w:t xml:space="preserve"> </w:t>
      </w:r>
      <w:r w:rsidR="0018365A" w:rsidRPr="0018365A">
        <w:t>rng = np.random.default_rng(seed)</w:t>
      </w:r>
    </w:p>
    <w:p w:rsidR="0018365A" w:rsidRPr="0018365A" w:rsidRDefault="00496063" w:rsidP="00713714">
      <w:r>
        <w:t xml:space="preserve"> </w:t>
      </w:r>
      <w:r w:rsidR="0018365A" w:rsidRPr="0018365A">
        <w:t>n_theta = sum(1 for p in qc.parameters if p.name.startswith('θ['))</w:t>
      </w:r>
    </w:p>
    <w:p w:rsidR="0018365A" w:rsidRPr="0018365A" w:rsidRDefault="00496063" w:rsidP="00713714">
      <w:r>
        <w:t xml:space="preserve"> </w:t>
      </w:r>
      <w:r w:rsidR="0018365A" w:rsidRPr="0018365A">
        <w:t>n_gamma = sum(1 for p in qc.parameters if p.name.startswith('γ['))</w:t>
      </w:r>
    </w:p>
    <w:p w:rsidR="0018365A" w:rsidRPr="0018365A" w:rsidRDefault="00496063" w:rsidP="00713714">
      <w:r>
        <w:t xml:space="preserve"> </w:t>
      </w:r>
      <w:r w:rsidR="0018365A" w:rsidRPr="0018365A">
        <w:t>n_beta</w:t>
      </w:r>
      <w:r>
        <w:t xml:space="preserve"> </w:t>
      </w:r>
      <w:r w:rsidR="0018365A" w:rsidRPr="0018365A">
        <w:t>= sum(1 for p in qc.parameters if p.name.startswith('β['))</w:t>
      </w:r>
    </w:p>
    <w:p w:rsidR="0018365A" w:rsidRPr="0018365A" w:rsidRDefault="0018365A" w:rsidP="00713714"/>
    <w:p w:rsidR="0018365A" w:rsidRPr="0018365A" w:rsidRDefault="00496063" w:rsidP="00713714">
      <w:r>
        <w:t xml:space="preserve"> </w:t>
      </w:r>
      <w:r w:rsidR="0018365A" w:rsidRPr="0018365A">
        <w:t>theta_vals = rng.normal(0.0, 0.2, size=n_theta)</w:t>
      </w:r>
    </w:p>
    <w:p w:rsidR="0018365A" w:rsidRPr="0018365A" w:rsidRDefault="00496063" w:rsidP="00713714">
      <w:r>
        <w:t xml:space="preserve"> </w:t>
      </w:r>
      <w:r w:rsidR="0018365A" w:rsidRPr="0018365A">
        <w:t>gamma_vals = rng.uniform(0.0, np.pi, size=n_gamma)</w:t>
      </w:r>
    </w:p>
    <w:p w:rsidR="0018365A" w:rsidRPr="0018365A" w:rsidRDefault="00496063" w:rsidP="00713714">
      <w:r>
        <w:t xml:space="preserve"> </w:t>
      </w:r>
      <w:r w:rsidR="0018365A" w:rsidRPr="0018365A">
        <w:t>beta_vals</w:t>
      </w:r>
      <w:r>
        <w:t xml:space="preserve"> </w:t>
      </w:r>
      <w:r w:rsidR="0018365A" w:rsidRPr="0018365A">
        <w:t>= rng.uniform(0.0, np.pi, size=n_beta)</w:t>
      </w:r>
    </w:p>
    <w:p w:rsidR="0018365A" w:rsidRPr="0018365A" w:rsidRDefault="0018365A" w:rsidP="00713714"/>
    <w:p w:rsidR="0018365A" w:rsidRPr="0018365A" w:rsidRDefault="00496063" w:rsidP="00713714">
      <w:r>
        <w:t xml:space="preserve"> </w:t>
      </w:r>
      <w:r w:rsidR="0018365A" w:rsidRPr="0018365A">
        <w:t>x_vec = _vec_from_mapping(x, n_feat)</w:t>
      </w:r>
    </w:p>
    <w:p w:rsidR="0018365A" w:rsidRPr="0018365A" w:rsidRDefault="00496063" w:rsidP="00713714">
      <w:r>
        <w:t xml:space="preserve"> </w:t>
      </w:r>
      <w:r w:rsidR="0018365A" w:rsidRPr="0018365A">
        <w:t>m_vec = _vec_from_mapping(m, n_feat)</w:t>
      </w:r>
    </w:p>
    <w:p w:rsidR="0018365A" w:rsidRPr="0018365A" w:rsidRDefault="00496063" w:rsidP="00713714">
      <w:r>
        <w:t xml:space="preserve"> </w:t>
      </w:r>
      <w:r w:rsidR="0018365A" w:rsidRPr="0018365A">
        <w:t>k_vec = _vec_from_mapping(k, n_feat)</w:t>
      </w:r>
    </w:p>
    <w:p w:rsidR="0018365A" w:rsidRPr="0018365A" w:rsidRDefault="0018365A" w:rsidP="00713714"/>
    <w:p w:rsidR="0018365A" w:rsidRPr="0018365A" w:rsidRDefault="00496063" w:rsidP="00713714">
      <w:r>
        <w:t xml:space="preserve"> </w:t>
      </w:r>
      <w:r w:rsidR="0018365A" w:rsidRPr="0018365A">
        <w:t>qc_bound = bind_param_vectors(qc, {</w:t>
      </w:r>
    </w:p>
    <w:p w:rsidR="0018365A" w:rsidRPr="0018365A" w:rsidRDefault="00496063" w:rsidP="00713714">
      <w:r>
        <w:t xml:space="preserve"> </w:t>
      </w:r>
      <w:r w:rsidR="0018365A" w:rsidRPr="0018365A">
        <w:t>'x': x_vec, 'm': m_vec, 'k': k_vec,</w:t>
      </w:r>
    </w:p>
    <w:p w:rsidR="0018365A" w:rsidRPr="0018365A" w:rsidRDefault="00496063" w:rsidP="00713714">
      <w:r>
        <w:t xml:space="preserve"> </w:t>
      </w:r>
      <w:r w:rsidR="0018365A" w:rsidRPr="0018365A">
        <w:t>'θ': theta_vals, 'γ': gamma_vals, 'β': beta_vals,</w:t>
      </w:r>
    </w:p>
    <w:p w:rsidR="0018365A" w:rsidRPr="0018365A" w:rsidRDefault="00496063" w:rsidP="00713714">
      <w:r>
        <w:t xml:space="preserve"> </w:t>
      </w:r>
      <w:r w:rsidR="0018365A" w:rsidRPr="0018365A">
        <w:t>})</w:t>
      </w:r>
    </w:p>
    <w:p w:rsidR="0018365A" w:rsidRPr="0018365A" w:rsidRDefault="0018365A" w:rsidP="00713714"/>
    <w:p w:rsidR="0018365A" w:rsidRPr="0018365A" w:rsidRDefault="00496063" w:rsidP="00713714">
      <w:r>
        <w:t xml:space="preserve"> </w:t>
      </w:r>
      <w:r w:rsidR="0018365A" w:rsidRPr="0018365A">
        <w:t># Raw sizes before transpilation</w:t>
      </w:r>
    </w:p>
    <w:p w:rsidR="0018365A" w:rsidRPr="0018365A" w:rsidRDefault="00496063" w:rsidP="00713714">
      <w:r>
        <w:t xml:space="preserve"> </w:t>
      </w:r>
      <w:r w:rsidR="0018365A" w:rsidRPr="0018365A">
        <w:t>depth_raw = qc_bound.depth()</w:t>
      </w:r>
    </w:p>
    <w:p w:rsidR="0018365A" w:rsidRPr="0018365A" w:rsidRDefault="00496063" w:rsidP="00713714">
      <w:r>
        <w:t xml:space="preserve"> </w:t>
      </w:r>
      <w:r w:rsidR="0018365A" w:rsidRPr="0018365A">
        <w:t>size_raw = qc_bound.size()</w:t>
      </w:r>
    </w:p>
    <w:p w:rsidR="0018365A" w:rsidRPr="0018365A" w:rsidRDefault="0018365A" w:rsidP="00713714"/>
    <w:p w:rsidR="0018365A" w:rsidRPr="0018365A" w:rsidRDefault="00496063" w:rsidP="00713714">
      <w:r>
        <w:t xml:space="preserve"> </w:t>
      </w:r>
      <w:r w:rsidR="0018365A" w:rsidRPr="0018365A">
        <w:t># Transpile if backend provided/available</w:t>
      </w:r>
    </w:p>
    <w:p w:rsidR="0018365A" w:rsidRPr="0018365A" w:rsidRDefault="00496063" w:rsidP="00713714">
      <w:r>
        <w:t xml:space="preserve"> </w:t>
      </w:r>
      <w:r w:rsidR="0018365A" w:rsidRPr="0018365A">
        <w:t>transpiled_depth = None</w:t>
      </w:r>
    </w:p>
    <w:p w:rsidR="0018365A" w:rsidRPr="0018365A" w:rsidRDefault="00496063" w:rsidP="00713714">
      <w:r>
        <w:t xml:space="preserve"> </w:t>
      </w:r>
      <w:r w:rsidR="0018365A" w:rsidRPr="0018365A">
        <w:t>transpiled_size = None</w:t>
      </w:r>
    </w:p>
    <w:p w:rsidR="0018365A" w:rsidRPr="0018365A" w:rsidRDefault="00496063" w:rsidP="00713714">
      <w:r>
        <w:t xml:space="preserve"> </w:t>
      </w:r>
      <w:r w:rsidR="0018365A" w:rsidRPr="0018365A">
        <w:t>counts = {}</w:t>
      </w:r>
    </w:p>
    <w:p w:rsidR="0018365A" w:rsidRPr="0018365A" w:rsidRDefault="00496063" w:rsidP="00713714">
      <w:r>
        <w:t xml:space="preserve"> </w:t>
      </w:r>
      <w:r w:rsidR="0018365A" w:rsidRPr="0018365A">
        <w:t>z_expect = np.nan</w:t>
      </w:r>
    </w:p>
    <w:p w:rsidR="0018365A" w:rsidRPr="0018365A" w:rsidRDefault="0018365A" w:rsidP="00713714"/>
    <w:p w:rsidR="0018365A" w:rsidRPr="0018365A" w:rsidRDefault="00496063" w:rsidP="00713714">
      <w:r>
        <w:t xml:space="preserve"> </w:t>
      </w:r>
      <w:r w:rsidR="0018365A" w:rsidRPr="0018365A">
        <w:t>try:</w:t>
      </w:r>
    </w:p>
    <w:p w:rsidR="0018365A" w:rsidRPr="0018365A" w:rsidRDefault="00496063" w:rsidP="00713714">
      <w:r>
        <w:t xml:space="preserve"> </w:t>
      </w:r>
      <w:r w:rsidR="0018365A" w:rsidRPr="0018365A">
        <w:t>from qiskit import transpile</w:t>
      </w:r>
    </w:p>
    <w:p w:rsidR="0018365A" w:rsidRPr="0018365A" w:rsidRDefault="00496063" w:rsidP="00713714">
      <w:r>
        <w:t xml:space="preserve"> </w:t>
      </w:r>
      <w:r w:rsidR="0018365A" w:rsidRPr="0018365A">
        <w:t>if backend is None and _HAS_AER:</w:t>
      </w:r>
    </w:p>
    <w:p w:rsidR="0018365A" w:rsidRPr="0018365A" w:rsidRDefault="00496063" w:rsidP="00713714">
      <w:r>
        <w:t xml:space="preserve"> </w:t>
      </w:r>
      <w:r w:rsidR="0018365A" w:rsidRPr="0018365A">
        <w:t>backend = AerSimulator(seed_simulator=seed)</w:t>
      </w:r>
    </w:p>
    <w:p w:rsidR="0018365A" w:rsidRPr="0018365A" w:rsidRDefault="00496063" w:rsidP="00713714">
      <w:r>
        <w:t xml:space="preserve"> </w:t>
      </w:r>
      <w:r w:rsidR="0018365A" w:rsidRPr="0018365A">
        <w:t>if backend is not None:</w:t>
      </w:r>
    </w:p>
    <w:p w:rsidR="0018365A" w:rsidRPr="0018365A" w:rsidRDefault="00496063" w:rsidP="00713714">
      <w:r>
        <w:t xml:space="preserve"> </w:t>
      </w:r>
      <w:r w:rsidR="0018365A" w:rsidRPr="0018365A">
        <w:t>tcirc = transpile(qc_bound, backend, optimization_level=1)</w:t>
      </w:r>
    </w:p>
    <w:p w:rsidR="0018365A" w:rsidRPr="0018365A" w:rsidRDefault="00496063" w:rsidP="00713714">
      <w:r>
        <w:t xml:space="preserve"> </w:t>
      </w:r>
      <w:r w:rsidR="0018365A" w:rsidRPr="0018365A">
        <w:t>transpiled_depth = tcirc.depth()</w:t>
      </w:r>
    </w:p>
    <w:p w:rsidR="0018365A" w:rsidRPr="0018365A" w:rsidRDefault="00496063" w:rsidP="00713714">
      <w:r>
        <w:t xml:space="preserve"> </w:t>
      </w:r>
      <w:r w:rsidR="0018365A" w:rsidRPr="0018365A">
        <w:t>transpiled_size = tcirc.size()</w:t>
      </w:r>
    </w:p>
    <w:p w:rsidR="0018365A" w:rsidRPr="0018365A" w:rsidRDefault="00496063" w:rsidP="00713714">
      <w:r>
        <w:t xml:space="preserve"> </w:t>
      </w:r>
      <w:r w:rsidR="0018365A" w:rsidRPr="0018365A">
        <w:t># Execute if backend supports run</w:t>
      </w:r>
    </w:p>
    <w:p w:rsidR="0018365A" w:rsidRPr="0018365A" w:rsidRDefault="00496063" w:rsidP="00713714">
      <w:r>
        <w:t xml:space="preserve"> </w:t>
      </w:r>
      <w:r w:rsidR="0018365A" w:rsidRPr="0018365A">
        <w:t>job = backend.run(tcirc, shots=shots)</w:t>
      </w:r>
    </w:p>
    <w:p w:rsidR="0018365A" w:rsidRPr="0018365A" w:rsidRDefault="00496063" w:rsidP="00713714">
      <w:r>
        <w:t xml:space="preserve"> </w:t>
      </w:r>
      <w:r w:rsidR="0018365A" w:rsidRPr="0018365A">
        <w:t>result = job.result()</w:t>
      </w:r>
    </w:p>
    <w:p w:rsidR="0018365A" w:rsidRPr="0018365A" w:rsidRDefault="00496063" w:rsidP="00713714">
      <w:r>
        <w:t xml:space="preserve"> </w:t>
      </w:r>
      <w:r w:rsidR="0018365A" w:rsidRPr="0018365A">
        <w:t>counts = result.get_counts()</w:t>
      </w:r>
    </w:p>
    <w:p w:rsidR="0018365A" w:rsidRPr="0018365A" w:rsidRDefault="00496063" w:rsidP="00713714">
      <w:r>
        <w:t xml:space="preserve"> </w:t>
      </w:r>
      <w:r w:rsidR="0018365A" w:rsidRPr="0018365A">
        <w:t xml:space="preserve"># Single‑bit </w:t>
      </w:r>
      <w:r w:rsidR="0018365A" w:rsidRPr="0018365A">
        <w:rPr>
          <w:rFonts w:ascii="Cambria Math" w:hAnsi="Cambria Math" w:cs="Cambria Math"/>
        </w:rPr>
        <w:t>⟨</w:t>
      </w:r>
      <w:r w:rsidR="0018365A" w:rsidRPr="0018365A">
        <w:t>Z</w:t>
      </w:r>
      <w:r w:rsidR="0018365A" w:rsidRPr="0018365A">
        <w:rPr>
          <w:rFonts w:ascii="Cambria Math" w:hAnsi="Cambria Math" w:cs="Cambria Math"/>
        </w:rPr>
        <w:t>⟩</w:t>
      </w:r>
      <w:r w:rsidR="0018365A" w:rsidRPr="0018365A">
        <w:t xml:space="preserve"> or list for multiple readouts</w:t>
      </w:r>
    </w:p>
    <w:p w:rsidR="0018365A" w:rsidRPr="0018365A" w:rsidRDefault="00496063" w:rsidP="00713714">
      <w:r>
        <w:t xml:space="preserve"> </w:t>
      </w:r>
      <w:r w:rsidR="0018365A" w:rsidRPr="0018365A">
        <w:t>if readout_qubits == 1:</w:t>
      </w:r>
    </w:p>
    <w:p w:rsidR="0018365A" w:rsidRPr="0018365A" w:rsidRDefault="00496063" w:rsidP="00713714">
      <w:r>
        <w:t xml:space="preserve"> </w:t>
      </w:r>
      <w:r w:rsidR="0018365A" w:rsidRPr="0018365A">
        <w:t>p0 = counts.get('0', 0) / shots</w:t>
      </w:r>
    </w:p>
    <w:p w:rsidR="0018365A" w:rsidRPr="0018365A" w:rsidRDefault="00496063" w:rsidP="00713714">
      <w:r>
        <w:t xml:space="preserve"> </w:t>
      </w:r>
      <w:r w:rsidR="0018365A" w:rsidRPr="0018365A">
        <w:t>p1 = counts.get('1', 0) / shots</w:t>
      </w:r>
    </w:p>
    <w:p w:rsidR="0018365A" w:rsidRPr="0018365A" w:rsidRDefault="00496063" w:rsidP="00713714">
      <w:r>
        <w:t xml:space="preserve"> </w:t>
      </w:r>
      <w:r w:rsidR="0018365A" w:rsidRPr="0018365A">
        <w:t>z_expect = p0 - p1</w:t>
      </w:r>
    </w:p>
    <w:p w:rsidR="0018365A" w:rsidRPr="0018365A" w:rsidRDefault="00496063" w:rsidP="00713714">
      <w:r>
        <w:t xml:space="preserve"> </w:t>
      </w:r>
      <w:r w:rsidR="0018365A" w:rsidRPr="0018365A">
        <w:t>else:</w:t>
      </w:r>
    </w:p>
    <w:p w:rsidR="0018365A" w:rsidRPr="0018365A" w:rsidRDefault="00496063" w:rsidP="00713714">
      <w:r>
        <w:t xml:space="preserve"> </w:t>
      </w:r>
      <w:r w:rsidR="0018365A" w:rsidRPr="0018365A">
        <w:t xml:space="preserve"># Compute </w:t>
      </w:r>
      <w:r w:rsidR="0018365A" w:rsidRPr="0018365A">
        <w:rPr>
          <w:rFonts w:ascii="Cambria Math" w:hAnsi="Cambria Math" w:cs="Cambria Math"/>
        </w:rPr>
        <w:t>⟨</w:t>
      </w:r>
      <w:r w:rsidR="0018365A" w:rsidRPr="0018365A">
        <w:t>Z</w:t>
      </w:r>
      <w:r w:rsidR="0018365A" w:rsidRPr="0018365A">
        <w:rPr>
          <w:rFonts w:ascii="Cambria Math" w:hAnsi="Cambria Math" w:cs="Cambria Math"/>
        </w:rPr>
        <w:t>⟩</w:t>
      </w:r>
      <w:r w:rsidR="0018365A" w:rsidRPr="0018365A">
        <w:t xml:space="preserve"> for each measured bit by marginalizing</w:t>
      </w:r>
    </w:p>
    <w:p w:rsidR="0018365A" w:rsidRPr="0018365A" w:rsidRDefault="00496063" w:rsidP="00713714">
      <w:r>
        <w:t xml:space="preserve"> </w:t>
      </w:r>
      <w:r w:rsidR="0018365A" w:rsidRPr="0018365A">
        <w:t>z_list = []</w:t>
      </w:r>
    </w:p>
    <w:p w:rsidR="0018365A" w:rsidRPr="0018365A" w:rsidRDefault="00496063" w:rsidP="00713714">
      <w:r>
        <w:t xml:space="preserve"> </w:t>
      </w:r>
      <w:r w:rsidR="0018365A" w:rsidRPr="0018365A">
        <w:t>for r in range(readout_qubits):</w:t>
      </w:r>
    </w:p>
    <w:p w:rsidR="0018365A" w:rsidRPr="0018365A" w:rsidRDefault="00496063" w:rsidP="00713714">
      <w:r>
        <w:t xml:space="preserve"> </w:t>
      </w:r>
      <w:r w:rsidR="0018365A" w:rsidRPr="0018365A">
        <w:t>p0 = 0</w:t>
      </w:r>
    </w:p>
    <w:p w:rsidR="0018365A" w:rsidRPr="0018365A" w:rsidRDefault="00496063" w:rsidP="00713714">
      <w:r>
        <w:t xml:space="preserve"> </w:t>
      </w:r>
      <w:r w:rsidR="0018365A" w:rsidRPr="0018365A">
        <w:t>p1 = 0</w:t>
      </w:r>
    </w:p>
    <w:p w:rsidR="0018365A" w:rsidRPr="0018365A" w:rsidRDefault="00496063" w:rsidP="00713714">
      <w:r>
        <w:t xml:space="preserve"> </w:t>
      </w:r>
      <w:r w:rsidR="0018365A" w:rsidRPr="0018365A">
        <w:t>for bitstr, c in counts.items():</w:t>
      </w:r>
    </w:p>
    <w:p w:rsidR="0018365A" w:rsidRPr="0018365A" w:rsidRDefault="00496063" w:rsidP="00713714">
      <w:r>
        <w:t xml:space="preserve"> </w:t>
      </w:r>
      <w:r w:rsidR="0018365A" w:rsidRPr="0018365A">
        <w:t>bit = bitstr[-1 - r]</w:t>
      </w:r>
      <w:r>
        <w:t xml:space="preserve"> </w:t>
      </w:r>
      <w:r w:rsidR="0018365A" w:rsidRPr="0018365A">
        <w:t># qiskit uses little‑endian classical bits</w:t>
      </w:r>
    </w:p>
    <w:p w:rsidR="0018365A" w:rsidRPr="0018365A" w:rsidRDefault="00496063" w:rsidP="00713714">
      <w:r>
        <w:t xml:space="preserve"> </w:t>
      </w:r>
      <w:r w:rsidR="0018365A" w:rsidRPr="0018365A">
        <w:t>if bit == '0':</w:t>
      </w:r>
    </w:p>
    <w:p w:rsidR="0018365A" w:rsidRPr="0018365A" w:rsidRDefault="00496063" w:rsidP="00713714">
      <w:r>
        <w:t xml:space="preserve"> </w:t>
      </w:r>
      <w:r w:rsidR="0018365A" w:rsidRPr="0018365A">
        <w:t>p0 += c</w:t>
      </w:r>
    </w:p>
    <w:p w:rsidR="0018365A" w:rsidRPr="0018365A" w:rsidRDefault="00496063" w:rsidP="00713714">
      <w:r>
        <w:t xml:space="preserve"> </w:t>
      </w:r>
      <w:r w:rsidR="0018365A" w:rsidRPr="0018365A">
        <w:t>else:</w:t>
      </w:r>
    </w:p>
    <w:p w:rsidR="0018365A" w:rsidRPr="0018365A" w:rsidRDefault="00496063" w:rsidP="00713714">
      <w:r>
        <w:t xml:space="preserve"> </w:t>
      </w:r>
      <w:r w:rsidR="0018365A" w:rsidRPr="0018365A">
        <w:t>p1 += c</w:t>
      </w:r>
    </w:p>
    <w:p w:rsidR="0018365A" w:rsidRPr="0018365A" w:rsidRDefault="00496063" w:rsidP="00713714">
      <w:r>
        <w:t xml:space="preserve"> </w:t>
      </w:r>
      <w:r w:rsidR="0018365A" w:rsidRPr="0018365A">
        <w:t>p0 /= shots</w:t>
      </w:r>
    </w:p>
    <w:p w:rsidR="0018365A" w:rsidRPr="0018365A" w:rsidRDefault="00496063" w:rsidP="00713714">
      <w:r>
        <w:t xml:space="preserve"> </w:t>
      </w:r>
      <w:r w:rsidR="0018365A" w:rsidRPr="0018365A">
        <w:t>p1 /= shots</w:t>
      </w:r>
    </w:p>
    <w:p w:rsidR="0018365A" w:rsidRPr="0018365A" w:rsidRDefault="00496063" w:rsidP="00713714">
      <w:r>
        <w:t xml:space="preserve"> </w:t>
      </w:r>
      <w:r w:rsidR="0018365A" w:rsidRPr="0018365A">
        <w:t>z_list.append(p0 - p1)</w:t>
      </w:r>
    </w:p>
    <w:p w:rsidR="0018365A" w:rsidRPr="0018365A" w:rsidRDefault="00496063" w:rsidP="00713714">
      <w:r>
        <w:t xml:space="preserve"> </w:t>
      </w:r>
      <w:r w:rsidR="0018365A" w:rsidRPr="0018365A">
        <w:t>z_expect = z_list</w:t>
      </w:r>
    </w:p>
    <w:p w:rsidR="0018365A" w:rsidRPr="0018365A" w:rsidRDefault="00496063" w:rsidP="00713714">
      <w:r>
        <w:t xml:space="preserve"> </w:t>
      </w:r>
      <w:r w:rsidR="0018365A" w:rsidRPr="0018365A">
        <w:t>except Exception:</w:t>
      </w:r>
    </w:p>
    <w:p w:rsidR="0018365A" w:rsidRPr="0018365A" w:rsidRDefault="00496063" w:rsidP="00713714">
      <w:r>
        <w:t xml:space="preserve"> </w:t>
      </w:r>
      <w:r w:rsidR="0018365A" w:rsidRPr="0018365A">
        <w:t># fall back silently — user still gets sizes and unexecuted circuit</w:t>
      </w:r>
    </w:p>
    <w:p w:rsidR="0018365A" w:rsidRPr="0018365A" w:rsidRDefault="00496063" w:rsidP="00713714">
      <w:r>
        <w:t xml:space="preserve"> </w:t>
      </w:r>
      <w:r w:rsidR="0018365A" w:rsidRPr="0018365A">
        <w:t>pass</w:t>
      </w:r>
    </w:p>
    <w:p w:rsidR="0018365A" w:rsidRPr="0018365A" w:rsidRDefault="0018365A" w:rsidP="00713714"/>
    <w:p w:rsidR="0018365A" w:rsidRPr="0018365A" w:rsidRDefault="00496063" w:rsidP="00713714">
      <w:r>
        <w:t xml:space="preserve"> </w:t>
      </w:r>
      <w:r w:rsidR="0018365A" w:rsidRPr="0018365A">
        <w:t>return {</w:t>
      </w:r>
    </w:p>
    <w:p w:rsidR="0018365A" w:rsidRPr="0018365A" w:rsidRDefault="00496063" w:rsidP="00713714">
      <w:r>
        <w:t xml:space="preserve"> </w:t>
      </w:r>
      <w:r w:rsidR="0018365A" w:rsidRPr="0018365A">
        <w:t>'z_expect': z_expect,</w:t>
      </w:r>
    </w:p>
    <w:p w:rsidR="0018365A" w:rsidRPr="0018365A" w:rsidRDefault="00496063" w:rsidP="00713714">
      <w:r>
        <w:t xml:space="preserve"> </w:t>
      </w:r>
      <w:r w:rsidR="0018365A" w:rsidRPr="0018365A">
        <w:t>'counts': counts,</w:t>
      </w:r>
    </w:p>
    <w:p w:rsidR="0018365A" w:rsidRPr="0018365A" w:rsidRDefault="00496063" w:rsidP="00713714">
      <w:r>
        <w:t xml:space="preserve"> </w:t>
      </w:r>
      <w:r w:rsidR="0018365A" w:rsidRPr="0018365A">
        <w:t>'depth': depth_raw,</w:t>
      </w:r>
    </w:p>
    <w:p w:rsidR="0018365A" w:rsidRPr="0018365A" w:rsidRDefault="00496063" w:rsidP="00713714">
      <w:r>
        <w:t xml:space="preserve"> </w:t>
      </w:r>
      <w:r w:rsidR="0018365A" w:rsidRPr="0018365A">
        <w:t>'size': size_raw,</w:t>
      </w:r>
    </w:p>
    <w:p w:rsidR="0018365A" w:rsidRPr="0018365A" w:rsidRDefault="00496063" w:rsidP="00713714">
      <w:r>
        <w:t xml:space="preserve"> </w:t>
      </w:r>
      <w:r w:rsidR="0018365A" w:rsidRPr="0018365A">
        <w:t>'transpiled_depth': transpiled_depth,</w:t>
      </w:r>
    </w:p>
    <w:p w:rsidR="0018365A" w:rsidRPr="0018365A" w:rsidRDefault="00496063" w:rsidP="00713714">
      <w:r>
        <w:t xml:space="preserve"> </w:t>
      </w:r>
      <w:r w:rsidR="0018365A" w:rsidRPr="0018365A">
        <w:t>'transpiled_size': transpiled_size,</w:t>
      </w:r>
    </w:p>
    <w:p w:rsidR="0018365A" w:rsidRPr="0018365A" w:rsidRDefault="00496063" w:rsidP="00713714">
      <w:r>
        <w:t xml:space="preserve"> </w:t>
      </w:r>
      <w:r w:rsidR="0018365A" w:rsidRPr="0018365A">
        <w:t>}</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GHZ — Adiabatic evolution &amp; fidelity (integrated)</w:t>
      </w:r>
    </w:p>
    <w:p w:rsidR="0018365A" w:rsidRPr="0018365A" w:rsidRDefault="0018365A" w:rsidP="00713714">
      <w:r w:rsidRPr="0018365A">
        <w:t># ──────────────────────────────────────────────────────────────────────────────</w:t>
      </w:r>
    </w:p>
    <w:p w:rsidR="0018365A" w:rsidRPr="0018365A" w:rsidRDefault="0018365A" w:rsidP="00713714"/>
    <w:p w:rsidR="0018365A" w:rsidRPr="0018365A" w:rsidRDefault="0018365A" w:rsidP="00713714">
      <w:r w:rsidRPr="0018365A">
        <w:t>from qiskit.quantum_info import Statevector, state_fidelity</w:t>
      </w:r>
    </w:p>
    <w:p w:rsidR="0018365A" w:rsidRPr="0018365A" w:rsidRDefault="0018365A" w:rsidP="00713714"/>
    <w:p w:rsidR="0018365A" w:rsidRPr="0018365A" w:rsidRDefault="0018365A" w:rsidP="00713714">
      <w:r w:rsidRPr="0018365A">
        <w:t>def adiabatic_ghz_circuit(</w:t>
      </w:r>
    </w:p>
    <w:p w:rsidR="0018365A" w:rsidRPr="0018365A" w:rsidRDefault="00496063" w:rsidP="00713714">
      <w:r>
        <w:t xml:space="preserve"> </w:t>
      </w:r>
      <w:r w:rsidR="0018365A" w:rsidRPr="0018365A">
        <w:t>n_qubits: int = 3,</w:t>
      </w:r>
    </w:p>
    <w:p w:rsidR="0018365A" w:rsidRPr="0018365A" w:rsidRDefault="00496063" w:rsidP="00713714">
      <w:r>
        <w:t xml:space="preserve"> </w:t>
      </w:r>
      <w:r w:rsidR="0018365A" w:rsidRPr="0018365A">
        <w:t>T: float = 5.0,</w:t>
      </w:r>
    </w:p>
    <w:p w:rsidR="0018365A" w:rsidRPr="0018365A" w:rsidRDefault="00496063" w:rsidP="00713714">
      <w:r>
        <w:t xml:space="preserve"> </w:t>
      </w:r>
      <w:r w:rsidR="0018365A" w:rsidRPr="0018365A">
        <w:t>N: int = 8,</w:t>
      </w:r>
    </w:p>
    <w:p w:rsidR="0018365A" w:rsidRPr="0018365A" w:rsidRDefault="00496063" w:rsidP="00713714">
      <w:r>
        <w:t xml:space="preserve"> </w:t>
      </w:r>
      <w:r w:rsidR="0018365A" w:rsidRPr="0018365A">
        <w:t>Jzz: float = 2.0,</w:t>
      </w:r>
    </w:p>
    <w:p w:rsidR="0018365A" w:rsidRPr="0018365A" w:rsidRDefault="00496063" w:rsidP="00713714">
      <w:r>
        <w:t xml:space="preserve"> </w:t>
      </w:r>
      <w:r w:rsidR="0018365A" w:rsidRPr="0018365A">
        <w:t>Bx: float = np.pi / 2,</w:t>
      </w:r>
    </w:p>
    <w:p w:rsidR="0018365A" w:rsidRPr="0018365A" w:rsidRDefault="00496063" w:rsidP="00713714">
      <w:r>
        <w:t xml:space="preserve"> </w:t>
      </w:r>
      <w:r w:rsidR="0018365A" w:rsidRPr="0018365A">
        <w:t>measure: bool = True,</w:t>
      </w:r>
    </w:p>
    <w:p w:rsidR="0018365A" w:rsidRPr="0018365A" w:rsidRDefault="0018365A" w:rsidP="00713714">
      <w:r w:rsidRPr="0018365A">
        <w:t>) -&gt; QuantumCircuit:</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Digitized adiabatic evolution from H0 (x-field) to Hf (ZZ couplings),</w:t>
      </w:r>
    </w:p>
    <w:p w:rsidR="0018365A" w:rsidRPr="0018365A" w:rsidRDefault="00496063" w:rsidP="00713714">
      <w:r>
        <w:t xml:space="preserve"> </w:t>
      </w:r>
      <w:r w:rsidR="0018365A" w:rsidRPr="0018365A">
        <w:t>first-order Trotterization.</w:t>
      </w:r>
    </w:p>
    <w:p w:rsidR="0018365A" w:rsidRPr="0018365A" w:rsidRDefault="0018365A" w:rsidP="00713714"/>
    <w:p w:rsidR="0018365A" w:rsidRPr="0018365A" w:rsidRDefault="00496063" w:rsidP="00713714">
      <w:r>
        <w:t xml:space="preserve"> </w:t>
      </w:r>
      <w:r w:rsidR="0018365A" w:rsidRPr="0018365A">
        <w:t>H(s_j) = -s_j * Jzz * sum_{n} Z_n Z_{n+1} - (1 - s_j) * Bx * sum_n X_n</w:t>
      </w:r>
    </w:p>
    <w:p w:rsidR="0018365A" w:rsidRPr="0018365A" w:rsidRDefault="00496063" w:rsidP="00713714">
      <w:r>
        <w:t xml:space="preserve"> </w:t>
      </w:r>
      <w:r w:rsidR="0018365A" w:rsidRPr="0018365A">
        <w:t>Δt = T/N, s_j = (j+1)/N.</w:t>
      </w:r>
      <w:r>
        <w:t xml:space="preserve"> </w:t>
      </w:r>
      <w:r w:rsidR="0018365A" w:rsidRPr="0018365A">
        <w:t>Gates:</w:t>
      </w:r>
    </w:p>
    <w:p w:rsidR="0018365A" w:rsidRPr="0018365A" w:rsidRDefault="00496063" w:rsidP="00713714">
      <w:r>
        <w:t xml:space="preserve"> </w:t>
      </w:r>
      <w:r w:rsidR="0018365A" w:rsidRPr="0018365A">
        <w:t>RZZ_n,n+1(s_j, φ) with φ = -2*Jzz*Δt</w:t>
      </w:r>
      <w:r>
        <w:t xml:space="preserve"> </w:t>
      </w:r>
      <w:r w:rsidR="0018365A" w:rsidRPr="0018365A">
        <w:t>-&gt; qc.rzz(s_j * φ, q_n, q_{n+1})</w:t>
      </w:r>
    </w:p>
    <w:p w:rsidR="0018365A" w:rsidRPr="0018365A" w:rsidRDefault="00496063" w:rsidP="00713714">
      <w:r>
        <w:t xml:space="preserve"> </w:t>
      </w:r>
      <w:r w:rsidR="0018365A" w:rsidRPr="0018365A">
        <w:t>RX_n((1-s_j), α) with α = -2*Bx*Δt</w:t>
      </w:r>
      <w:r>
        <w:t xml:space="preserve"> </w:t>
      </w:r>
      <w:r w:rsidR="0018365A" w:rsidRPr="0018365A">
        <w:t>-&gt; qc.rx((1 - s_j) * α, q_n)</w:t>
      </w:r>
    </w:p>
    <w:p w:rsidR="0018365A" w:rsidRPr="0018365A" w:rsidRDefault="0018365A" w:rsidP="00713714"/>
    <w:p w:rsidR="0018365A" w:rsidRPr="0018365A" w:rsidRDefault="00496063" w:rsidP="00713714">
      <w:r>
        <w:t xml:space="preserve"> </w:t>
      </w:r>
      <w:r w:rsidR="0018365A" w:rsidRPr="0018365A">
        <w:t>Returns a circuit that starts in |+&gt;^n and applies N trotter steps.</w:t>
      </w:r>
    </w:p>
    <w:p w:rsidR="0018365A" w:rsidRPr="0018365A" w:rsidRDefault="00496063" w:rsidP="00713714">
      <w:r>
        <w:t xml:space="preserve"> </w:t>
      </w:r>
      <w:r w:rsidR="0018365A" w:rsidRPr="0018365A">
        <w:t>Optionally measures all qubits.</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assert n_qubits &gt;= 2, "Need at least a 2-qubit chain"</w:t>
      </w:r>
    </w:p>
    <w:p w:rsidR="0018365A" w:rsidRPr="0018365A" w:rsidRDefault="00496063" w:rsidP="00713714">
      <w:r>
        <w:t xml:space="preserve"> </w:t>
      </w:r>
      <w:r w:rsidR="0018365A" w:rsidRPr="0018365A">
        <w:t>qr = QuantumRegister(n_qubits, "q")</w:t>
      </w:r>
    </w:p>
    <w:p w:rsidR="0018365A" w:rsidRPr="0018365A" w:rsidRDefault="00496063" w:rsidP="00713714">
      <w:r>
        <w:t xml:space="preserve"> </w:t>
      </w:r>
      <w:r w:rsidR="0018365A" w:rsidRPr="0018365A">
        <w:t>cr = ClassicalRegister(n_qubits, "c") if measure else None</w:t>
      </w:r>
    </w:p>
    <w:p w:rsidR="0018365A" w:rsidRPr="0018365A" w:rsidRDefault="00496063" w:rsidP="00713714">
      <w:r>
        <w:t xml:space="preserve"> </w:t>
      </w:r>
      <w:r w:rsidR="0018365A" w:rsidRPr="0018365A">
        <w:t>qc = QuantumCircuit(qr, cr, name="Digitized_Adiabatic_GHZ") if measure else QuantumCircuit(qr, name="Digitized_Adiabatic_GHZ")</w:t>
      </w:r>
    </w:p>
    <w:p w:rsidR="0018365A" w:rsidRPr="0018365A" w:rsidRDefault="0018365A" w:rsidP="00713714"/>
    <w:p w:rsidR="0018365A" w:rsidRPr="0018365A" w:rsidRDefault="00496063" w:rsidP="00713714">
      <w:r>
        <w:t xml:space="preserve"> </w:t>
      </w:r>
      <w:r w:rsidR="0018365A" w:rsidRPr="0018365A">
        <w:t># Initial state: |+&gt;^n (ground state of H0 at s=0)</w:t>
      </w:r>
    </w:p>
    <w:p w:rsidR="0018365A" w:rsidRPr="0018365A" w:rsidRDefault="00496063" w:rsidP="00713714">
      <w:r>
        <w:t xml:space="preserve"> </w:t>
      </w:r>
      <w:r w:rsidR="0018365A" w:rsidRPr="0018365A">
        <w:t>qc.h(qr)</w:t>
      </w:r>
    </w:p>
    <w:p w:rsidR="0018365A" w:rsidRPr="0018365A" w:rsidRDefault="0018365A" w:rsidP="00713714"/>
    <w:p w:rsidR="0018365A" w:rsidRPr="0018365A" w:rsidRDefault="00496063" w:rsidP="00713714">
      <w:r>
        <w:t xml:space="preserve"> </w:t>
      </w:r>
      <w:r w:rsidR="0018365A" w:rsidRPr="0018365A">
        <w:t># Schedule / angles</w:t>
      </w:r>
    </w:p>
    <w:p w:rsidR="0018365A" w:rsidRPr="0018365A" w:rsidRDefault="00496063" w:rsidP="00713714">
      <w:r>
        <w:t xml:space="preserve"> </w:t>
      </w:r>
      <w:r w:rsidR="0018365A" w:rsidRPr="0018365A">
        <w:t>dt = T / N</w:t>
      </w:r>
    </w:p>
    <w:p w:rsidR="0018365A" w:rsidRPr="0018365A" w:rsidRDefault="00496063" w:rsidP="00713714">
      <w:r>
        <w:t xml:space="preserve"> </w:t>
      </w:r>
      <w:r w:rsidR="0018365A" w:rsidRPr="0018365A">
        <w:t>phi = -2.0 * Jzz * dt</w:t>
      </w:r>
      <w:r>
        <w:t xml:space="preserve"> </w:t>
      </w:r>
      <w:r w:rsidR="0018365A" w:rsidRPr="0018365A">
        <w:t># for RZZ</w:t>
      </w:r>
    </w:p>
    <w:p w:rsidR="0018365A" w:rsidRPr="0018365A" w:rsidRDefault="00496063" w:rsidP="00713714">
      <w:r>
        <w:t xml:space="preserve"> </w:t>
      </w:r>
      <w:r w:rsidR="0018365A" w:rsidRPr="0018365A">
        <w:t>alpha = -2.0 * Bx * dt</w:t>
      </w:r>
      <w:r>
        <w:t xml:space="preserve"> </w:t>
      </w:r>
      <w:r w:rsidR="0018365A" w:rsidRPr="0018365A">
        <w:t># for RX</w:t>
      </w:r>
    </w:p>
    <w:p w:rsidR="0018365A" w:rsidRPr="0018365A" w:rsidRDefault="00496063" w:rsidP="00713714">
      <w:r>
        <w:t xml:space="preserve"> </w:t>
      </w:r>
      <w:r w:rsidR="0018365A" w:rsidRPr="0018365A">
        <w:t>s_vals = [(j + 1) / N for j in range(N)]</w:t>
      </w:r>
      <w:r>
        <w:t xml:space="preserve"> </w:t>
      </w:r>
      <w:r w:rsidR="0018365A" w:rsidRPr="0018365A">
        <w:t># s1=1/N ... sN=1</w:t>
      </w:r>
    </w:p>
    <w:p w:rsidR="0018365A" w:rsidRPr="0018365A" w:rsidRDefault="0018365A" w:rsidP="00713714"/>
    <w:p w:rsidR="0018365A" w:rsidRPr="0018365A" w:rsidRDefault="00496063" w:rsidP="00713714">
      <w:r>
        <w:t xml:space="preserve"> </w:t>
      </w:r>
      <w:r w:rsidR="0018365A" w:rsidRPr="0018365A">
        <w:t># First-order Trotter per step: exp(-i s_j Hf Δt) exp(-i (1-s_j) H0 Δt)</w:t>
      </w:r>
    </w:p>
    <w:p w:rsidR="0018365A" w:rsidRPr="0018365A" w:rsidRDefault="00496063" w:rsidP="00713714">
      <w:r>
        <w:t xml:space="preserve"> </w:t>
      </w:r>
      <w:r w:rsidR="0018365A" w:rsidRPr="0018365A">
        <w:t>for s in s_vals:</w:t>
      </w:r>
    </w:p>
    <w:p w:rsidR="0018365A" w:rsidRPr="0018365A" w:rsidRDefault="00496063" w:rsidP="00713714">
      <w:r>
        <w:t xml:space="preserve"> </w:t>
      </w:r>
      <w:r w:rsidR="0018365A" w:rsidRPr="0018365A">
        <w:t># ZZ part (couplings on a 1D chain)</w:t>
      </w:r>
    </w:p>
    <w:p w:rsidR="0018365A" w:rsidRPr="0018365A" w:rsidRDefault="00496063" w:rsidP="00713714">
      <w:r>
        <w:t xml:space="preserve"> </w:t>
      </w:r>
      <w:r w:rsidR="0018365A" w:rsidRPr="0018365A">
        <w:t>for n in range(n_qubits - 1):</w:t>
      </w:r>
    </w:p>
    <w:p w:rsidR="0018365A" w:rsidRPr="0018365A" w:rsidRDefault="00496063" w:rsidP="00713714">
      <w:r>
        <w:t xml:space="preserve"> </w:t>
      </w:r>
      <w:r w:rsidR="0018365A" w:rsidRPr="0018365A">
        <w:t>qc.rzz(s * phi, qr[n], qr[n + 1])</w:t>
      </w:r>
    </w:p>
    <w:p w:rsidR="0018365A" w:rsidRPr="0018365A" w:rsidRDefault="00496063" w:rsidP="00713714">
      <w:r>
        <w:t xml:space="preserve"> </w:t>
      </w:r>
      <w:r w:rsidR="0018365A" w:rsidRPr="0018365A">
        <w:t># X-field part</w:t>
      </w:r>
    </w:p>
    <w:p w:rsidR="0018365A" w:rsidRPr="0018365A" w:rsidRDefault="00496063" w:rsidP="00713714">
      <w:r>
        <w:t xml:space="preserve"> </w:t>
      </w:r>
      <w:r w:rsidR="0018365A" w:rsidRPr="0018365A">
        <w:t>for n in range(n_qubits):</w:t>
      </w:r>
    </w:p>
    <w:p w:rsidR="0018365A" w:rsidRPr="0018365A" w:rsidRDefault="00496063" w:rsidP="00713714">
      <w:r>
        <w:t xml:space="preserve"> </w:t>
      </w:r>
      <w:r w:rsidR="0018365A" w:rsidRPr="0018365A">
        <w:t>qc.rx((1.0 - s) * alpha, qr[n])</w:t>
      </w:r>
    </w:p>
    <w:p w:rsidR="0018365A" w:rsidRPr="0018365A" w:rsidRDefault="00496063" w:rsidP="00713714">
      <w:r>
        <w:t xml:space="preserve"> </w:t>
      </w:r>
      <w:r w:rsidR="0018365A" w:rsidRPr="0018365A">
        <w:t>qc.barrier()</w:t>
      </w:r>
    </w:p>
    <w:p w:rsidR="0018365A" w:rsidRPr="0018365A" w:rsidRDefault="0018365A" w:rsidP="00713714"/>
    <w:p w:rsidR="0018365A" w:rsidRPr="0018365A" w:rsidRDefault="00496063" w:rsidP="00713714">
      <w:r>
        <w:t xml:space="preserve"> </w:t>
      </w:r>
      <w:r w:rsidR="0018365A" w:rsidRPr="0018365A">
        <w:t>if measure:</w:t>
      </w:r>
    </w:p>
    <w:p w:rsidR="0018365A" w:rsidRPr="0018365A" w:rsidRDefault="00496063" w:rsidP="00713714">
      <w:r>
        <w:t xml:space="preserve"> </w:t>
      </w:r>
      <w:r w:rsidR="0018365A" w:rsidRPr="0018365A">
        <w:t>qc.measure(qr, cr)</w:t>
      </w:r>
    </w:p>
    <w:p w:rsidR="0018365A" w:rsidRPr="0018365A" w:rsidRDefault="0018365A" w:rsidP="00713714"/>
    <w:p w:rsidR="0018365A" w:rsidRPr="0018365A" w:rsidRDefault="00496063" w:rsidP="00713714">
      <w:r>
        <w:t xml:space="preserve"> </w:t>
      </w:r>
      <w:r w:rsidR="0018365A" w:rsidRPr="0018365A">
        <w:t>return qc</w:t>
      </w:r>
    </w:p>
    <w:p w:rsidR="0018365A" w:rsidRPr="0018365A" w:rsidRDefault="0018365A" w:rsidP="00713714"/>
    <w:p w:rsidR="0018365A" w:rsidRPr="0018365A" w:rsidRDefault="0018365A" w:rsidP="00713714"/>
    <w:p w:rsidR="0018365A" w:rsidRPr="0018365A" w:rsidRDefault="0018365A" w:rsidP="00713714">
      <w:r w:rsidRPr="0018365A">
        <w:t>def ghz_fidelity_for_circuit(qc: QuantumCircuit) -&gt; float:</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 xml:space="preserve">Compute fidelity </w:t>
      </w:r>
      <w:r w:rsidR="0018365A" w:rsidRPr="0018365A">
        <w:rPr>
          <w:rFonts w:ascii="Cambria Math" w:hAnsi="Cambria Math" w:cs="Cambria Math"/>
        </w:rPr>
        <w:t>⟨</w:t>
      </w:r>
      <w:r w:rsidR="0018365A" w:rsidRPr="0018365A">
        <w:t>GHZ|ρ|GHZ</w:t>
      </w:r>
      <w:r w:rsidR="0018365A" w:rsidRPr="0018365A">
        <w:rPr>
          <w:rFonts w:ascii="Cambria Math" w:hAnsi="Cambria Math" w:cs="Cambria Math"/>
        </w:rPr>
        <w:t>⟩</w:t>
      </w:r>
      <w:r w:rsidR="0018365A" w:rsidRPr="0018365A">
        <w:t xml:space="preserve"> for the *unmeasured* version of qc</w:t>
      </w:r>
    </w:p>
    <w:p w:rsidR="0018365A" w:rsidRPr="0018365A" w:rsidRDefault="00496063" w:rsidP="00713714">
      <w:r>
        <w:t xml:space="preserve"> </w:t>
      </w:r>
      <w:r w:rsidR="0018365A" w:rsidRPr="0018365A">
        <w:t>under ideal (statevector) simulation.</w:t>
      </w:r>
    </w:p>
    <w:p w:rsidR="0018365A" w:rsidRPr="0018365A" w:rsidRDefault="00496063" w:rsidP="00713714">
      <w:r>
        <w:t xml:space="preserve"> </w:t>
      </w:r>
      <w:r w:rsidR="0018365A" w:rsidRPr="0018365A">
        <w:t>"""</w:t>
      </w:r>
    </w:p>
    <w:p w:rsidR="0018365A" w:rsidRPr="0018365A" w:rsidRDefault="00496063" w:rsidP="00713714">
      <w:r>
        <w:t xml:space="preserve"> </w:t>
      </w:r>
      <w:r w:rsidR="0018365A" w:rsidRPr="0018365A">
        <w:t># Strip measurement if present</w:t>
      </w:r>
    </w:p>
    <w:p w:rsidR="0018365A" w:rsidRPr="0018365A" w:rsidRDefault="00496063" w:rsidP="00713714">
      <w:r>
        <w:t xml:space="preserve"> </w:t>
      </w:r>
      <w:r w:rsidR="0018365A" w:rsidRPr="0018365A">
        <w:t>if qc.num_clbits &gt; 0:</w:t>
      </w:r>
    </w:p>
    <w:p w:rsidR="0018365A" w:rsidRPr="0018365A" w:rsidRDefault="00496063" w:rsidP="00713714">
      <w:r>
        <w:t xml:space="preserve"> </w:t>
      </w:r>
      <w:r w:rsidR="0018365A" w:rsidRPr="0018365A">
        <w:t>qc = qc.remove_final_measurements(inplace=False)</w:t>
      </w:r>
    </w:p>
    <w:p w:rsidR="0018365A" w:rsidRPr="0018365A" w:rsidRDefault="0018365A" w:rsidP="00713714"/>
    <w:p w:rsidR="0018365A" w:rsidRPr="0018365A" w:rsidRDefault="00496063" w:rsidP="00713714">
      <w:r>
        <w:t xml:space="preserve"> </w:t>
      </w:r>
      <w:r w:rsidR="0018365A" w:rsidRPr="0018365A">
        <w:t>psi = Statevector.from_instruction(qc)</w:t>
      </w:r>
    </w:p>
    <w:p w:rsidR="0018365A" w:rsidRPr="0018365A" w:rsidRDefault="0018365A" w:rsidP="00713714"/>
    <w:p w:rsidR="0018365A" w:rsidRPr="0018365A" w:rsidRDefault="00496063" w:rsidP="00713714">
      <w:r>
        <w:t xml:space="preserve"> </w:t>
      </w:r>
      <w:r w:rsidR="0018365A" w:rsidRPr="0018365A">
        <w:t>n = qc.num_qubits</w:t>
      </w:r>
    </w:p>
    <w:p w:rsidR="0018365A" w:rsidRPr="0018365A" w:rsidRDefault="00496063" w:rsidP="00713714">
      <w:r>
        <w:t xml:space="preserve"> </w:t>
      </w:r>
      <w:r w:rsidR="0018365A" w:rsidRPr="0018365A">
        <w:t># |0...0&gt; + |1...1&gt;</w:t>
      </w:r>
    </w:p>
    <w:p w:rsidR="0018365A" w:rsidRPr="0018365A" w:rsidRDefault="00496063" w:rsidP="00713714">
      <w:r>
        <w:t xml:space="preserve"> </w:t>
      </w:r>
      <w:r w:rsidR="0018365A" w:rsidRPr="0018365A">
        <w:t>zero = np.zeros(2**n); zero[0] = 1.0</w:t>
      </w:r>
    </w:p>
    <w:p w:rsidR="0018365A" w:rsidRPr="0018365A" w:rsidRDefault="00496063" w:rsidP="00713714">
      <w:r>
        <w:t xml:space="preserve"> </w:t>
      </w:r>
      <w:r w:rsidR="0018365A" w:rsidRPr="0018365A">
        <w:t>one</w:t>
      </w:r>
      <w:r>
        <w:t xml:space="preserve"> </w:t>
      </w:r>
      <w:r w:rsidR="0018365A" w:rsidRPr="0018365A">
        <w:t>= np.zeros(2**n); one[-1] = 1.0</w:t>
      </w:r>
    </w:p>
    <w:p w:rsidR="0018365A" w:rsidRPr="0018365A" w:rsidRDefault="00496063" w:rsidP="00713714">
      <w:r>
        <w:t xml:space="preserve"> </w:t>
      </w:r>
      <w:r w:rsidR="0018365A" w:rsidRPr="0018365A">
        <w:t>ghz = (zero + one) / np.sqrt(2.0)</w:t>
      </w:r>
    </w:p>
    <w:p w:rsidR="0018365A" w:rsidRPr="0018365A" w:rsidRDefault="0018365A" w:rsidP="00713714"/>
    <w:p w:rsidR="0018365A" w:rsidRPr="0018365A" w:rsidRDefault="00496063" w:rsidP="00713714">
      <w:r>
        <w:t xml:space="preserve"> </w:t>
      </w:r>
      <w:r w:rsidR="0018365A" w:rsidRPr="0018365A">
        <w:t>return float(state_fidelity(psi, ghz))</w:t>
      </w:r>
    </w:p>
    <w:p w:rsidR="0018365A" w:rsidRPr="0018365A" w:rsidRDefault="0018365A" w:rsidP="00713714"/>
    <w:p w:rsidR="0018365A" w:rsidRPr="0018365A" w:rsidRDefault="0018365A" w:rsidP="00713714">
      <w:r w:rsidRPr="0018365A">
        <w:t># ──────────────────────────────────────────────────────────────────────────────</w:t>
      </w:r>
    </w:p>
    <w:p w:rsidR="0018365A" w:rsidRPr="0018365A" w:rsidRDefault="0018365A" w:rsidP="00713714">
      <w:r w:rsidRPr="0018365A">
        <w:t># Minimal runnable example</w:t>
      </w:r>
    </w:p>
    <w:p w:rsidR="0018365A" w:rsidRPr="0018365A" w:rsidRDefault="0018365A" w:rsidP="00713714">
      <w:r w:rsidRPr="0018365A">
        <w:t># ──────────────────────────────────────────────────────────────────────────────</w:t>
      </w:r>
    </w:p>
    <w:p w:rsidR="0018365A" w:rsidRPr="0018365A" w:rsidRDefault="0018365A" w:rsidP="00713714">
      <w:r w:rsidRPr="0018365A">
        <w:t># ──────────────────────────────────────────────────────────────────────────────</w:t>
      </w:r>
    </w:p>
    <w:p w:rsidR="0018365A" w:rsidRPr="0018365A" w:rsidRDefault="0018365A" w:rsidP="00713714">
      <w:r w:rsidRPr="0018365A">
        <w:t>if __name__ == "__main__":</w:t>
      </w:r>
    </w:p>
    <w:p w:rsidR="0018365A" w:rsidRPr="0018365A" w:rsidRDefault="00496063" w:rsidP="00713714">
      <w:r>
        <w:t xml:space="preserve"> </w:t>
      </w:r>
      <w:r w:rsidR="0018365A" w:rsidRPr="0018365A">
        <w:t>circ, counts, z = run_random_demo()</w:t>
      </w:r>
    </w:p>
    <w:p w:rsidR="0018365A" w:rsidRPr="0018365A" w:rsidRDefault="00496063" w:rsidP="00713714">
      <w:r>
        <w:t xml:space="preserve"> </w:t>
      </w:r>
      <w:r w:rsidR="0018365A" w:rsidRPr="0018365A">
        <w:t>print(circ)</w:t>
      </w:r>
    </w:p>
    <w:p w:rsidR="0018365A" w:rsidRPr="0018365A" w:rsidRDefault="00496063" w:rsidP="00713714">
      <w:r>
        <w:t xml:space="preserve"> </w:t>
      </w:r>
      <w:r w:rsidR="0018365A" w:rsidRPr="0018365A">
        <w:t>if counts:</w:t>
      </w:r>
    </w:p>
    <w:p w:rsidR="0018365A" w:rsidRPr="0018365A" w:rsidRDefault="00496063" w:rsidP="00713714">
      <w:r>
        <w:t xml:space="preserve"> </w:t>
      </w:r>
      <w:r w:rsidR="0018365A" w:rsidRPr="0018365A">
        <w:t>print("Counts:", counts)</w:t>
      </w:r>
    </w:p>
    <w:p w:rsidR="0018365A" w:rsidRPr="0018365A" w:rsidRDefault="00496063" w:rsidP="00713714">
      <w:r>
        <w:t xml:space="preserve"> </w:t>
      </w:r>
      <w:r w:rsidR="0018365A" w:rsidRPr="0018365A">
        <w:t>print("&lt;Z&gt; (readout qubit 0):", z)</w:t>
      </w:r>
    </w:p>
    <w:p w:rsidR="0018365A" w:rsidRPr="0018365A" w:rsidRDefault="00496063" w:rsidP="00713714">
      <w:r>
        <w:t xml:space="preserve"> </w:t>
      </w:r>
      <w:r w:rsidR="0018365A" w:rsidRPr="0018365A">
        <w:t>else:</w:t>
      </w:r>
    </w:p>
    <w:p w:rsidR="0018365A" w:rsidRPr="00CE1438" w:rsidRDefault="00496063" w:rsidP="00713714">
      <w:r>
        <w:t xml:space="preserve"> </w:t>
      </w:r>
      <w:r w:rsidR="0018365A" w:rsidRPr="0018365A">
        <w:t>print("(i) Tip: install qiskit-aer for counts: pip install qiskit-aer")</w:t>
      </w:r>
    </w:p>
    <w:p w:rsidR="0018365A" w:rsidRDefault="00496063" w:rsidP="00713714">
      <w:pPr>
        <w:rPr>
          <w:noProof/>
        </w:rPr>
      </w:pPr>
      <w:r>
        <w:rPr>
          <w:noProof/>
        </w:rPr>
        <w:t xml:space="preserve"> </w:t>
      </w:r>
      <w:r w:rsidR="0018365A" w:rsidRPr="0018365A">
        <w:rPr>
          <w:noProof/>
        </w:rPr>
        <w:t>print("(i) Tip: install qiskit-aer for counts: pip install qiskit-aer")</w:t>
      </w:r>
    </w:p>
    <w:p w:rsidR="00897DC7" w:rsidRPr="00897DC7" w:rsidRDefault="00897DC7" w:rsidP="00713714">
      <w:r w:rsidRPr="00897DC7">
        <w:t>Below is the precise instance I use for both ASCII and the script:</w:t>
      </w:r>
    </w:p>
    <w:p w:rsidR="00897DC7" w:rsidRPr="00897DC7" w:rsidRDefault="00897DC7" w:rsidP="00713714">
      <w:r w:rsidRPr="00897DC7">
        <w:rPr>
          <w:b/>
          <w:bCs/>
        </w:rPr>
        <w:t>QAOA</w:t>
      </w:r>
      <w:r w:rsidRPr="00897DC7">
        <w:t xml:space="preserve">: </w:t>
      </w:r>
      <w:r w:rsidRPr="00897DC7">
        <w:rPr>
          <w:rFonts w:ascii="Courier New" w:hAnsi="Courier New" w:cs="Courier New"/>
          <w:sz w:val="20"/>
        </w:rPr>
        <w:t>p = 2</w:t>
      </w:r>
      <w:r w:rsidRPr="00897DC7">
        <w:t xml:space="preserve"> on the 5×5 similarity matrix WWW from your toy example</w:t>
      </w:r>
    </w:p>
    <w:p w:rsidR="00897DC7" w:rsidRPr="00897DC7" w:rsidRDefault="00897DC7" w:rsidP="00713714">
      <w:r w:rsidRPr="00897DC7">
        <w:rPr>
          <w:b/>
          <w:bCs/>
        </w:rPr>
        <w:t>PQC (Ph4-ODE head)</w:t>
      </w:r>
      <w:r w:rsidRPr="00897DC7">
        <w:t>: n_feat = 5 → n_qubits = 8, depth = 2, lambda_ph4 = 0.4, lambda_curv = 0.35, single-qubit Z readout</w:t>
      </w:r>
    </w:p>
    <w:p w:rsidR="00897DC7" w:rsidRPr="00897DC7" w:rsidRDefault="00897DC7" w:rsidP="00713714">
      <w:r w:rsidRPr="00897DC7">
        <w:rPr>
          <w:b/>
          <w:bCs/>
        </w:rPr>
        <w:t>Composite</w:t>
      </w:r>
      <w:r w:rsidRPr="00897DC7">
        <w:t xml:space="preserve">: </w:t>
      </w:r>
      <w:r w:rsidRPr="00897DC7">
        <w:rPr>
          <w:rFonts w:ascii="Courier New" w:hAnsi="Courier New" w:cs="Courier New"/>
          <w:sz w:val="20"/>
        </w:rPr>
        <w:t xml:space="preserve">QAOA </w:t>
      </w:r>
      <w:r w:rsidRPr="00897DC7">
        <w:rPr>
          <w:rFonts w:ascii="Cambria Math" w:hAnsi="Cambria Math" w:cs="Cambria Math"/>
          <w:sz w:val="20"/>
        </w:rPr>
        <w:t>⊗</w:t>
      </w:r>
      <w:r w:rsidRPr="00897DC7">
        <w:rPr>
          <w:rFonts w:ascii="Courier New" w:hAnsi="Courier New" w:cs="Courier New"/>
          <w:sz w:val="20"/>
        </w:rPr>
        <w:t xml:space="preserve"> PQC</w:t>
      </w:r>
      <w:r w:rsidRPr="00897DC7">
        <w:t xml:space="preserve"> with a barrier between them</w:t>
      </w:r>
    </w:p>
    <w:p w:rsidR="00897DC7" w:rsidRPr="00897DC7" w:rsidRDefault="00897DC7" w:rsidP="00713714">
      <w:r w:rsidRPr="00897DC7">
        <w:rPr>
          <w:b/>
          <w:bCs/>
        </w:rPr>
        <w:t>GHZ (adiabatic)</w:t>
      </w:r>
      <w:r w:rsidRPr="00897DC7">
        <w:t>: n_qubits = 3, T = 5, N = 8, Jzz = 2.0, Bx = π/2, measure = False</w:t>
      </w:r>
    </w:p>
    <w:p w:rsidR="00897DC7" w:rsidRPr="00897DC7" w:rsidRDefault="00106EF3" w:rsidP="00713714">
      <w:r>
        <w:pict>
          <v:rect id="_x0000_i1057" style="width:0;height:1.5pt" o:hralign="center" o:hrstd="t" o:hr="t" fillcolor="#a0a0a0" stroked="f"/>
        </w:pict>
      </w:r>
    </w:p>
    <w:p w:rsidR="00897DC7" w:rsidRPr="00897DC7" w:rsidRDefault="00897DC7" w:rsidP="00713714">
      <w:pPr>
        <w:rPr>
          <w:kern w:val="36"/>
        </w:rPr>
      </w:pPr>
      <w:r w:rsidRPr="00897DC7">
        <w:rPr>
          <w:kern w:val="36"/>
        </w:rPr>
        <w:t>ASCII (exact structure)</w:t>
      </w:r>
    </w:p>
    <w:p w:rsidR="00897DC7" w:rsidRPr="00897DC7" w:rsidRDefault="00897DC7" w:rsidP="00713714">
      <w:r w:rsidRPr="00897DC7">
        <w:t>1) Digitized adiabatic GHZ (3 qubits, N=8)</w:t>
      </w:r>
    </w:p>
    <w:p w:rsidR="00897DC7" w:rsidRPr="00897DC7" w:rsidRDefault="00897DC7" w:rsidP="00713714">
      <w:r w:rsidRPr="00897DC7">
        <w:t>q0: ──H──■────</w:t>
      </w:r>
      <w:r w:rsidRPr="00897DC7">
        <w:rPr>
          <w:szCs w:val="20"/>
        </w:rPr>
        <w:t>RX</w:t>
      </w:r>
      <w:r w:rsidRPr="00897DC7">
        <w:t>(a1)──|──■────</w:t>
      </w:r>
      <w:r w:rsidRPr="00897DC7">
        <w:rPr>
          <w:szCs w:val="20"/>
        </w:rPr>
        <w:t>RX</w:t>
      </w:r>
      <w:r w:rsidRPr="00897DC7">
        <w:t>(a2)──|──■────</w:t>
      </w:r>
      <w:r w:rsidRPr="00897DC7">
        <w:rPr>
          <w:szCs w:val="20"/>
        </w:rPr>
        <w:t>RX</w:t>
      </w:r>
      <w:r w:rsidRPr="00897DC7">
        <w:t>(a3)──|──■────</w:t>
      </w:r>
      <w:r w:rsidRPr="00897DC7">
        <w:rPr>
          <w:szCs w:val="20"/>
        </w:rPr>
        <w:t>RX</w:t>
      </w:r>
      <w:r w:rsidRPr="00897DC7">
        <w:t>(a4)──|──■────</w:t>
      </w:r>
      <w:r w:rsidRPr="00897DC7">
        <w:rPr>
          <w:szCs w:val="20"/>
        </w:rPr>
        <w:t>RX</w:t>
      </w:r>
      <w:r w:rsidRPr="00897DC7">
        <w:t>(a5)──|──■────</w:t>
      </w:r>
      <w:r w:rsidRPr="00897DC7">
        <w:rPr>
          <w:szCs w:val="20"/>
        </w:rPr>
        <w:t>RX</w:t>
      </w:r>
      <w:r w:rsidRPr="00897DC7">
        <w:t>(a6)──|──■────</w:t>
      </w:r>
      <w:r w:rsidRPr="00897DC7">
        <w:rPr>
          <w:szCs w:val="20"/>
        </w:rPr>
        <w:t>RX</w:t>
      </w:r>
      <w:r w:rsidRPr="00897DC7">
        <w:t>(a7)──|──■────</w:t>
      </w:r>
      <w:r w:rsidRPr="00897DC7">
        <w:rPr>
          <w:szCs w:val="20"/>
        </w:rPr>
        <w:t>RX</w:t>
      </w:r>
      <w:r w:rsidRPr="00897DC7">
        <w:t>(a8)──|</w:t>
      </w:r>
    </w:p>
    <w:p w:rsidR="00897DC7" w:rsidRPr="00897DC7" w:rsidRDefault="00496063" w:rsidP="00713714">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p>
    <w:p w:rsidR="00897DC7" w:rsidRPr="00897DC7" w:rsidRDefault="00897DC7" w:rsidP="00713714">
      <w:r w:rsidRPr="00897DC7">
        <w:t>q1: ──H──</w:t>
      </w:r>
      <w:r w:rsidRPr="00897DC7">
        <w:rPr>
          <w:szCs w:val="20"/>
        </w:rPr>
        <w:t>ZZ</w:t>
      </w:r>
      <w:r w:rsidRPr="00897DC7">
        <w:t>(s1φ)─────</w:t>
      </w:r>
      <w:r w:rsidRPr="00897DC7">
        <w:rPr>
          <w:szCs w:val="20"/>
        </w:rPr>
        <w:t>RX</w:t>
      </w:r>
      <w:r w:rsidRPr="00897DC7">
        <w:t>(a1)──|──</w:t>
      </w:r>
      <w:r w:rsidRPr="00897DC7">
        <w:rPr>
          <w:szCs w:val="20"/>
        </w:rPr>
        <w:t>ZZ</w:t>
      </w:r>
      <w:r w:rsidRPr="00897DC7">
        <w:t>(s2φ)─────</w:t>
      </w:r>
      <w:r w:rsidRPr="00897DC7">
        <w:rPr>
          <w:szCs w:val="20"/>
        </w:rPr>
        <w:t>RX</w:t>
      </w:r>
      <w:r w:rsidRPr="00897DC7">
        <w:t>(a2)──|──</w:t>
      </w:r>
      <w:r w:rsidRPr="00897DC7">
        <w:rPr>
          <w:szCs w:val="20"/>
        </w:rPr>
        <w:t>ZZ</w:t>
      </w:r>
      <w:r w:rsidRPr="00897DC7">
        <w:t>(s3φ)─────</w:t>
      </w:r>
      <w:r w:rsidRPr="00897DC7">
        <w:rPr>
          <w:szCs w:val="20"/>
        </w:rPr>
        <w:t>RX</w:t>
      </w:r>
      <w:r w:rsidRPr="00897DC7">
        <w:t>(a3)──|──</w:t>
      </w:r>
      <w:r w:rsidRPr="00897DC7">
        <w:rPr>
          <w:szCs w:val="20"/>
        </w:rPr>
        <w:t>ZZ</w:t>
      </w:r>
      <w:r w:rsidRPr="00897DC7">
        <w:t>(s4φ)─────</w:t>
      </w:r>
      <w:r w:rsidRPr="00897DC7">
        <w:rPr>
          <w:szCs w:val="20"/>
        </w:rPr>
        <w:t>RX</w:t>
      </w:r>
      <w:r w:rsidRPr="00897DC7">
        <w:t>(a4)──|──</w:t>
      </w:r>
      <w:r w:rsidRPr="00897DC7">
        <w:rPr>
          <w:szCs w:val="20"/>
        </w:rPr>
        <w:t>ZZ</w:t>
      </w:r>
      <w:r w:rsidRPr="00897DC7">
        <w:t>(s5φ)─────</w:t>
      </w:r>
      <w:r w:rsidRPr="00897DC7">
        <w:rPr>
          <w:szCs w:val="20"/>
        </w:rPr>
        <w:t>RX</w:t>
      </w:r>
      <w:r w:rsidRPr="00897DC7">
        <w:t>(a5)──|──</w:t>
      </w:r>
      <w:r w:rsidRPr="00897DC7">
        <w:rPr>
          <w:szCs w:val="20"/>
        </w:rPr>
        <w:t>ZZ</w:t>
      </w:r>
      <w:r w:rsidRPr="00897DC7">
        <w:t>(s6φ)─────</w:t>
      </w:r>
      <w:r w:rsidRPr="00897DC7">
        <w:rPr>
          <w:szCs w:val="20"/>
        </w:rPr>
        <w:t>RX</w:t>
      </w:r>
      <w:r w:rsidRPr="00897DC7">
        <w:t>(a6)──|──</w:t>
      </w:r>
      <w:r w:rsidRPr="00897DC7">
        <w:rPr>
          <w:szCs w:val="20"/>
        </w:rPr>
        <w:t>ZZ</w:t>
      </w:r>
      <w:r w:rsidRPr="00897DC7">
        <w:t>(s7φ)─────</w:t>
      </w:r>
      <w:r w:rsidRPr="00897DC7">
        <w:rPr>
          <w:szCs w:val="20"/>
        </w:rPr>
        <w:t>RX</w:t>
      </w:r>
      <w:r w:rsidRPr="00897DC7">
        <w:t>(a7)──|──</w:t>
      </w:r>
      <w:r w:rsidRPr="00897DC7">
        <w:rPr>
          <w:szCs w:val="20"/>
        </w:rPr>
        <w:t>ZZ</w:t>
      </w:r>
      <w:r w:rsidRPr="00897DC7">
        <w:t>(s8φ)─────</w:t>
      </w:r>
      <w:r w:rsidRPr="00897DC7">
        <w:rPr>
          <w:szCs w:val="20"/>
        </w:rPr>
        <w:t>RX</w:t>
      </w:r>
      <w:r w:rsidRPr="00897DC7">
        <w:t>(a8)──|</w:t>
      </w:r>
    </w:p>
    <w:p w:rsidR="00897DC7" w:rsidRPr="00897DC7" w:rsidRDefault="00496063" w:rsidP="00713714">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r>
        <w:t xml:space="preserve"> </w:t>
      </w:r>
      <w:r w:rsidR="00897DC7" w:rsidRPr="00897DC7">
        <w:t>│</w:t>
      </w:r>
    </w:p>
    <w:p w:rsidR="00897DC7" w:rsidRPr="00897DC7" w:rsidRDefault="00897DC7" w:rsidP="00713714">
      <w:r w:rsidRPr="00897DC7">
        <w:t>q2: ──H──■────</w:t>
      </w:r>
      <w:r w:rsidRPr="00897DC7">
        <w:rPr>
          <w:szCs w:val="20"/>
        </w:rPr>
        <w:t>RX</w:t>
      </w:r>
      <w:r w:rsidRPr="00897DC7">
        <w:t>(a1)──|──■────</w:t>
      </w:r>
      <w:r w:rsidRPr="00897DC7">
        <w:rPr>
          <w:szCs w:val="20"/>
        </w:rPr>
        <w:t>RX</w:t>
      </w:r>
      <w:r w:rsidRPr="00897DC7">
        <w:t>(a2)──|──■────</w:t>
      </w:r>
      <w:r w:rsidRPr="00897DC7">
        <w:rPr>
          <w:szCs w:val="20"/>
        </w:rPr>
        <w:t>RX</w:t>
      </w:r>
      <w:r w:rsidRPr="00897DC7">
        <w:t>(a3)──|──■────</w:t>
      </w:r>
      <w:r w:rsidRPr="00897DC7">
        <w:rPr>
          <w:szCs w:val="20"/>
        </w:rPr>
        <w:t>RX</w:t>
      </w:r>
      <w:r w:rsidRPr="00897DC7">
        <w:t>(a4)──|──■────</w:t>
      </w:r>
      <w:r w:rsidRPr="00897DC7">
        <w:rPr>
          <w:szCs w:val="20"/>
        </w:rPr>
        <w:t>RX</w:t>
      </w:r>
      <w:r w:rsidRPr="00897DC7">
        <w:t>(a5)──|──■────</w:t>
      </w:r>
      <w:r w:rsidRPr="00897DC7">
        <w:rPr>
          <w:szCs w:val="20"/>
        </w:rPr>
        <w:t>RX</w:t>
      </w:r>
      <w:r w:rsidRPr="00897DC7">
        <w:t>(a6)──|──■────</w:t>
      </w:r>
      <w:r w:rsidRPr="00897DC7">
        <w:rPr>
          <w:szCs w:val="20"/>
        </w:rPr>
        <w:t>RX</w:t>
      </w:r>
      <w:r w:rsidRPr="00897DC7">
        <w:t>(a7)──|──■────</w:t>
      </w:r>
      <w:r w:rsidRPr="00897DC7">
        <w:rPr>
          <w:szCs w:val="20"/>
        </w:rPr>
        <w:t>RX</w:t>
      </w:r>
      <w:r w:rsidRPr="00897DC7">
        <w:t>(a8)──|</w:t>
      </w:r>
    </w:p>
    <w:p w:rsidR="00897DC7" w:rsidRPr="00897DC7" w:rsidRDefault="00897DC7" w:rsidP="00713714">
      <w:r w:rsidRPr="00897DC7">
        <w:t xml:space="preserve">Legend: at step j, </w:t>
      </w:r>
      <w:r w:rsidRPr="00897DC7">
        <w:rPr>
          <w:rFonts w:ascii="Courier New" w:hAnsi="Courier New" w:cs="Courier New"/>
          <w:sz w:val="20"/>
        </w:rPr>
        <w:t>s_j = (j/N)</w:t>
      </w:r>
      <w:r w:rsidRPr="00897DC7">
        <w:t xml:space="preserve">, </w:t>
      </w:r>
      <w:r w:rsidRPr="00897DC7">
        <w:rPr>
          <w:rFonts w:ascii="Courier New" w:hAnsi="Courier New" w:cs="Courier New"/>
          <w:sz w:val="20"/>
        </w:rPr>
        <w:t>φ = -2·Jzz·(T/N)</w:t>
      </w:r>
      <w:r w:rsidRPr="00897DC7">
        <w:t xml:space="preserve">, </w:t>
      </w:r>
      <w:r w:rsidRPr="00897DC7">
        <w:rPr>
          <w:rFonts w:ascii="Courier New" w:hAnsi="Courier New" w:cs="Courier New"/>
          <w:sz w:val="20"/>
        </w:rPr>
        <w:t>a_j = (1−s_j)·(−2·Bx·T/N)</w:t>
      </w:r>
      <w:r w:rsidRPr="00897DC7">
        <w:t xml:space="preserve">. Each </w:t>
      </w:r>
      <w:r w:rsidRPr="00897DC7">
        <w:rPr>
          <w:rFonts w:ascii="Courier New" w:hAnsi="Courier New" w:cs="Courier New"/>
          <w:sz w:val="20"/>
        </w:rPr>
        <w:t>|</w:t>
      </w:r>
      <w:r w:rsidRPr="00897DC7">
        <w:t xml:space="preserve"> marks a barrier between Trotter steps.</w:t>
      </w:r>
    </w:p>
    <w:p w:rsidR="00897DC7" w:rsidRPr="00897DC7" w:rsidRDefault="00106EF3" w:rsidP="00713714">
      <w:r>
        <w:pict>
          <v:rect id="_x0000_i1058" style="width:0;height:1.5pt" o:hralign="center" o:hrstd="t" o:hr="t" fillcolor="#a0a0a0" stroked="f"/>
        </w:pict>
      </w:r>
    </w:p>
    <w:p w:rsidR="00897DC7" w:rsidRPr="00897DC7" w:rsidRDefault="00897DC7" w:rsidP="00713714">
      <w:r w:rsidRPr="00897DC7">
        <w:t>2) QAOA diversity on 5 “chem” qubits (p = 2)</w:t>
      </w:r>
    </w:p>
    <w:p w:rsidR="00897DC7" w:rsidRPr="00897DC7" w:rsidRDefault="00897DC7" w:rsidP="00713714">
      <w:r w:rsidRPr="00897DC7">
        <w:t>Edges (from W, symmetric, non-zero upper triangle):</w:t>
      </w:r>
    </w:p>
    <w:p w:rsidR="00897DC7" w:rsidRPr="00897DC7" w:rsidRDefault="00897DC7" w:rsidP="00713714">
      <w:r w:rsidRPr="00897DC7">
        <w:t>(0,1): 0.7; (0,2): 0.2; (0,4): 0.1; (1,2): 0.4; (1,3): 0.1; (1,4): 0.3; (2,3): 0.5; (3,4): 0.6</w:t>
      </w:r>
    </w:p>
    <w:p w:rsidR="00897DC7" w:rsidRPr="00897DC7" w:rsidRDefault="00897DC7" w:rsidP="00713714">
      <w:r w:rsidRPr="00897DC7">
        <w:t xml:space="preserve">Layer k uses parameters </w:t>
      </w:r>
      <w:r w:rsidRPr="00897DC7">
        <w:rPr>
          <w:rFonts w:ascii="Courier New" w:hAnsi="Courier New" w:cs="Courier New"/>
          <w:sz w:val="20"/>
        </w:rPr>
        <w:t>γ[k]</w:t>
      </w:r>
      <w:r w:rsidRPr="00897DC7">
        <w:t xml:space="preserve">, </w:t>
      </w:r>
      <w:r w:rsidRPr="00897DC7">
        <w:rPr>
          <w:rFonts w:ascii="Courier New" w:hAnsi="Courier New" w:cs="Courier New"/>
          <w:sz w:val="20"/>
        </w:rPr>
        <w:t>β[k]</w:t>
      </w:r>
      <w:r w:rsidRPr="00897DC7">
        <w:t>. Cost is implemented as CX-RZ(2·γ[k]·w_ij)-CX.</w:t>
      </w:r>
    </w:p>
    <w:p w:rsidR="00897DC7" w:rsidRPr="00897DC7" w:rsidRDefault="00897DC7" w:rsidP="00713714">
      <w:r w:rsidRPr="00897DC7">
        <w:t>chem0: ──H───[</w:t>
      </w:r>
      <w:r w:rsidRPr="00897DC7">
        <w:rPr>
          <w:szCs w:val="20"/>
        </w:rPr>
        <w:t>COST</w:t>
      </w:r>
      <w:r w:rsidRPr="00897DC7">
        <w:t xml:space="preserve"> L1 </w:t>
      </w:r>
      <w:r w:rsidRPr="00897DC7">
        <w:rPr>
          <w:szCs w:val="20"/>
        </w:rPr>
        <w:t>over</w:t>
      </w:r>
      <w:r w:rsidRPr="00897DC7">
        <w:t xml:space="preserve"> edges </w:t>
      </w:r>
      <w:r w:rsidRPr="00897DC7">
        <w:rPr>
          <w:szCs w:val="20"/>
        </w:rPr>
        <w:t>to</w:t>
      </w:r>
      <w:r w:rsidRPr="00897DC7">
        <w:t xml:space="preserve"> </w:t>
      </w:r>
      <w:r w:rsidRPr="00897DC7">
        <w:rPr>
          <w:szCs w:val="20"/>
        </w:rPr>
        <w:t>1</w:t>
      </w:r>
      <w:r w:rsidRPr="00897DC7">
        <w:t>,</w:t>
      </w:r>
      <w:r w:rsidRPr="00897DC7">
        <w:rPr>
          <w:szCs w:val="20"/>
        </w:rPr>
        <w:t>2</w:t>
      </w:r>
      <w:r w:rsidRPr="00897DC7">
        <w:t>,</w:t>
      </w:r>
      <w:r w:rsidRPr="00897DC7">
        <w:rPr>
          <w:szCs w:val="20"/>
        </w:rPr>
        <w:t>4</w:t>
      </w:r>
      <w:r w:rsidRPr="00897DC7">
        <w:t>]──RX(</w:t>
      </w:r>
      <w:r w:rsidRPr="00897DC7">
        <w:rPr>
          <w:szCs w:val="20"/>
        </w:rPr>
        <w:t>2</w:t>
      </w:r>
      <w:r w:rsidRPr="00897DC7">
        <w:t>β</w:t>
      </w:r>
      <w:r w:rsidRPr="00897DC7">
        <w:rPr>
          <w:szCs w:val="20"/>
        </w:rPr>
        <w:t>0</w:t>
      </w:r>
      <w:r w:rsidRPr="00897DC7">
        <w:t>)───[</w:t>
      </w:r>
      <w:r w:rsidRPr="00897DC7">
        <w:rPr>
          <w:szCs w:val="20"/>
        </w:rPr>
        <w:t>COST</w:t>
      </w:r>
      <w:r w:rsidRPr="00897DC7">
        <w:t xml:space="preserve"> L2 </w:t>
      </w:r>
      <w:r w:rsidRPr="00897DC7">
        <w:rPr>
          <w:szCs w:val="20"/>
        </w:rPr>
        <w:t>over</w:t>
      </w:r>
      <w:r w:rsidRPr="00897DC7">
        <w:t xml:space="preserve"> edges </w:t>
      </w:r>
      <w:r w:rsidRPr="00897DC7">
        <w:rPr>
          <w:szCs w:val="20"/>
        </w:rPr>
        <w:t>to</w:t>
      </w:r>
      <w:r w:rsidRPr="00897DC7">
        <w:t xml:space="preserve"> </w:t>
      </w:r>
      <w:r w:rsidRPr="00897DC7">
        <w:rPr>
          <w:szCs w:val="20"/>
        </w:rPr>
        <w:t>1</w:t>
      </w:r>
      <w:r w:rsidRPr="00897DC7">
        <w:t>,</w:t>
      </w:r>
      <w:r w:rsidRPr="00897DC7">
        <w:rPr>
          <w:szCs w:val="20"/>
        </w:rPr>
        <w:t>2</w:t>
      </w:r>
      <w:r w:rsidRPr="00897DC7">
        <w:t>,</w:t>
      </w:r>
      <w:r w:rsidRPr="00897DC7">
        <w:rPr>
          <w:szCs w:val="20"/>
        </w:rPr>
        <w:t>4</w:t>
      </w:r>
      <w:r w:rsidRPr="00897DC7">
        <w:t>]──RX(</w:t>
      </w:r>
      <w:r w:rsidRPr="00897DC7">
        <w:rPr>
          <w:szCs w:val="20"/>
        </w:rPr>
        <w:t>2</w:t>
      </w:r>
      <w:r w:rsidRPr="00897DC7">
        <w:t>β</w:t>
      </w:r>
      <w:r w:rsidRPr="00897DC7">
        <w:rPr>
          <w:szCs w:val="20"/>
        </w:rPr>
        <w:t>1</w:t>
      </w:r>
      <w:r w:rsidRPr="00897DC7">
        <w:t>)──</w:t>
      </w:r>
    </w:p>
    <w:p w:rsidR="00897DC7" w:rsidRPr="00897DC7" w:rsidRDefault="00897DC7" w:rsidP="00713714">
      <w:r w:rsidRPr="00897DC7">
        <w:t>chem1: ──H───[</w:t>
      </w:r>
      <w:r w:rsidRPr="00897DC7">
        <w:rPr>
          <w:szCs w:val="20"/>
        </w:rPr>
        <w:t>COST</w:t>
      </w:r>
      <w:r w:rsidRPr="00897DC7">
        <w:t xml:space="preserve"> L1 </w:t>
      </w:r>
      <w:r w:rsidRPr="00897DC7">
        <w:rPr>
          <w:szCs w:val="20"/>
        </w:rPr>
        <w:t>over</w:t>
      </w:r>
      <w:r w:rsidRPr="00897DC7">
        <w:t xml:space="preserve"> edges </w:t>
      </w:r>
      <w:r w:rsidRPr="00897DC7">
        <w:rPr>
          <w:szCs w:val="20"/>
        </w:rPr>
        <w:t>to</w:t>
      </w:r>
      <w:r w:rsidRPr="00897DC7">
        <w:t xml:space="preserve"> </w:t>
      </w:r>
      <w:r w:rsidRPr="00897DC7">
        <w:rPr>
          <w:szCs w:val="20"/>
        </w:rPr>
        <w:t>0</w:t>
      </w:r>
      <w:r w:rsidRPr="00897DC7">
        <w:t>,</w:t>
      </w:r>
      <w:r w:rsidRPr="00897DC7">
        <w:rPr>
          <w:szCs w:val="20"/>
        </w:rPr>
        <w:t>2</w:t>
      </w:r>
      <w:r w:rsidRPr="00897DC7">
        <w:t>,</w:t>
      </w:r>
      <w:r w:rsidRPr="00897DC7">
        <w:rPr>
          <w:szCs w:val="20"/>
        </w:rPr>
        <w:t>3</w:t>
      </w:r>
      <w:r w:rsidRPr="00897DC7">
        <w:t>,</w:t>
      </w:r>
      <w:r w:rsidRPr="00897DC7">
        <w:rPr>
          <w:szCs w:val="20"/>
        </w:rPr>
        <w:t>4</w:t>
      </w:r>
      <w:r w:rsidRPr="00897DC7">
        <w:t>]──RX(</w:t>
      </w:r>
      <w:r w:rsidRPr="00897DC7">
        <w:rPr>
          <w:szCs w:val="20"/>
        </w:rPr>
        <w:t>2</w:t>
      </w:r>
      <w:r w:rsidRPr="00897DC7">
        <w:t>β</w:t>
      </w:r>
      <w:r w:rsidRPr="00897DC7">
        <w:rPr>
          <w:szCs w:val="20"/>
        </w:rPr>
        <w:t>0</w:t>
      </w:r>
      <w:r w:rsidRPr="00897DC7">
        <w:t>)───[</w:t>
      </w:r>
      <w:r w:rsidRPr="00897DC7">
        <w:rPr>
          <w:szCs w:val="20"/>
        </w:rPr>
        <w:t>COST</w:t>
      </w:r>
      <w:r w:rsidRPr="00897DC7">
        <w:t xml:space="preserve"> L2 </w:t>
      </w:r>
      <w:r w:rsidRPr="00897DC7">
        <w:rPr>
          <w:szCs w:val="20"/>
        </w:rPr>
        <w:t>over</w:t>
      </w:r>
      <w:r w:rsidRPr="00897DC7">
        <w:t xml:space="preserve"> edges </w:t>
      </w:r>
      <w:r w:rsidRPr="00897DC7">
        <w:rPr>
          <w:szCs w:val="20"/>
        </w:rPr>
        <w:t>to</w:t>
      </w:r>
      <w:r w:rsidRPr="00897DC7">
        <w:t xml:space="preserve"> </w:t>
      </w:r>
      <w:r w:rsidRPr="00897DC7">
        <w:rPr>
          <w:szCs w:val="20"/>
        </w:rPr>
        <w:t>0</w:t>
      </w:r>
      <w:r w:rsidRPr="00897DC7">
        <w:t>,</w:t>
      </w:r>
      <w:r w:rsidRPr="00897DC7">
        <w:rPr>
          <w:szCs w:val="20"/>
        </w:rPr>
        <w:t>2</w:t>
      </w:r>
      <w:r w:rsidRPr="00897DC7">
        <w:t>,</w:t>
      </w:r>
      <w:r w:rsidRPr="00897DC7">
        <w:rPr>
          <w:szCs w:val="20"/>
        </w:rPr>
        <w:t>3</w:t>
      </w:r>
      <w:r w:rsidRPr="00897DC7">
        <w:t>,</w:t>
      </w:r>
      <w:r w:rsidRPr="00897DC7">
        <w:rPr>
          <w:szCs w:val="20"/>
        </w:rPr>
        <w:t>4</w:t>
      </w:r>
      <w:r w:rsidRPr="00897DC7">
        <w:t>]──RX(</w:t>
      </w:r>
      <w:r w:rsidRPr="00897DC7">
        <w:rPr>
          <w:szCs w:val="20"/>
        </w:rPr>
        <w:t>2</w:t>
      </w:r>
      <w:r w:rsidRPr="00897DC7">
        <w:t>β</w:t>
      </w:r>
      <w:r w:rsidRPr="00897DC7">
        <w:rPr>
          <w:szCs w:val="20"/>
        </w:rPr>
        <w:t>1</w:t>
      </w:r>
      <w:r w:rsidRPr="00897DC7">
        <w:t>)──</w:t>
      </w:r>
    </w:p>
    <w:p w:rsidR="00897DC7" w:rsidRPr="00897DC7" w:rsidRDefault="00897DC7" w:rsidP="00713714">
      <w:r w:rsidRPr="00897DC7">
        <w:t>chem2: ──H───[</w:t>
      </w:r>
      <w:r w:rsidRPr="00897DC7">
        <w:rPr>
          <w:szCs w:val="20"/>
        </w:rPr>
        <w:t>COST</w:t>
      </w:r>
      <w:r w:rsidRPr="00897DC7">
        <w:t xml:space="preserve"> L1 </w:t>
      </w:r>
      <w:r w:rsidRPr="00897DC7">
        <w:rPr>
          <w:szCs w:val="20"/>
        </w:rPr>
        <w:t>over</w:t>
      </w:r>
      <w:r w:rsidRPr="00897DC7">
        <w:t xml:space="preserve"> edges </w:t>
      </w:r>
      <w:r w:rsidRPr="00897DC7">
        <w:rPr>
          <w:szCs w:val="20"/>
        </w:rPr>
        <w:t>to</w:t>
      </w:r>
      <w:r w:rsidRPr="00897DC7">
        <w:t xml:space="preserve"> </w:t>
      </w:r>
      <w:r w:rsidRPr="00897DC7">
        <w:rPr>
          <w:szCs w:val="20"/>
        </w:rPr>
        <w:t>0</w:t>
      </w:r>
      <w:r w:rsidRPr="00897DC7">
        <w:t>,</w:t>
      </w:r>
      <w:r w:rsidRPr="00897DC7">
        <w:rPr>
          <w:szCs w:val="20"/>
        </w:rPr>
        <w:t>1</w:t>
      </w:r>
      <w:r w:rsidRPr="00897DC7">
        <w:t>,</w:t>
      </w:r>
      <w:r w:rsidRPr="00897DC7">
        <w:rPr>
          <w:szCs w:val="20"/>
        </w:rPr>
        <w:t>3</w:t>
      </w:r>
      <w:r w:rsidRPr="00897DC7">
        <w:t>]──RX(</w:t>
      </w:r>
      <w:r w:rsidRPr="00897DC7">
        <w:rPr>
          <w:szCs w:val="20"/>
        </w:rPr>
        <w:t>2</w:t>
      </w:r>
      <w:r w:rsidRPr="00897DC7">
        <w:t>β</w:t>
      </w:r>
      <w:r w:rsidRPr="00897DC7">
        <w:rPr>
          <w:szCs w:val="20"/>
        </w:rPr>
        <w:t>0</w:t>
      </w:r>
      <w:r w:rsidRPr="00897DC7">
        <w:t>)────[</w:t>
      </w:r>
      <w:r w:rsidRPr="00897DC7">
        <w:rPr>
          <w:szCs w:val="20"/>
        </w:rPr>
        <w:t>COST</w:t>
      </w:r>
      <w:r w:rsidRPr="00897DC7">
        <w:t xml:space="preserve"> L2 </w:t>
      </w:r>
      <w:r w:rsidRPr="00897DC7">
        <w:rPr>
          <w:szCs w:val="20"/>
        </w:rPr>
        <w:t>over</w:t>
      </w:r>
      <w:r w:rsidRPr="00897DC7">
        <w:t xml:space="preserve"> edges </w:t>
      </w:r>
      <w:r w:rsidRPr="00897DC7">
        <w:rPr>
          <w:szCs w:val="20"/>
        </w:rPr>
        <w:t>to</w:t>
      </w:r>
      <w:r w:rsidRPr="00897DC7">
        <w:t xml:space="preserve"> </w:t>
      </w:r>
      <w:r w:rsidRPr="00897DC7">
        <w:rPr>
          <w:szCs w:val="20"/>
        </w:rPr>
        <w:t>0</w:t>
      </w:r>
      <w:r w:rsidRPr="00897DC7">
        <w:t>,</w:t>
      </w:r>
      <w:r w:rsidRPr="00897DC7">
        <w:rPr>
          <w:szCs w:val="20"/>
        </w:rPr>
        <w:t>1</w:t>
      </w:r>
      <w:r w:rsidRPr="00897DC7">
        <w:t>,</w:t>
      </w:r>
      <w:r w:rsidRPr="00897DC7">
        <w:rPr>
          <w:szCs w:val="20"/>
        </w:rPr>
        <w:t>3</w:t>
      </w:r>
      <w:r w:rsidRPr="00897DC7">
        <w:t>]──RX(</w:t>
      </w:r>
      <w:r w:rsidRPr="00897DC7">
        <w:rPr>
          <w:szCs w:val="20"/>
        </w:rPr>
        <w:t>2</w:t>
      </w:r>
      <w:r w:rsidRPr="00897DC7">
        <w:t>β</w:t>
      </w:r>
      <w:r w:rsidRPr="00897DC7">
        <w:rPr>
          <w:szCs w:val="20"/>
        </w:rPr>
        <w:t>1</w:t>
      </w:r>
      <w:r w:rsidRPr="00897DC7">
        <w:t>)───</w:t>
      </w:r>
    </w:p>
    <w:p w:rsidR="00897DC7" w:rsidRPr="00897DC7" w:rsidRDefault="00897DC7" w:rsidP="00713714">
      <w:r w:rsidRPr="00897DC7">
        <w:t>chem3: ──H───[</w:t>
      </w:r>
      <w:r w:rsidRPr="00897DC7">
        <w:rPr>
          <w:szCs w:val="20"/>
        </w:rPr>
        <w:t>COST</w:t>
      </w:r>
      <w:r w:rsidRPr="00897DC7">
        <w:t xml:space="preserve"> L1 </w:t>
      </w:r>
      <w:r w:rsidRPr="00897DC7">
        <w:rPr>
          <w:szCs w:val="20"/>
        </w:rPr>
        <w:t>over</w:t>
      </w:r>
      <w:r w:rsidRPr="00897DC7">
        <w:t xml:space="preserve"> edges </w:t>
      </w:r>
      <w:r w:rsidRPr="00897DC7">
        <w:rPr>
          <w:szCs w:val="20"/>
        </w:rPr>
        <w:t>to</w:t>
      </w:r>
      <w:r w:rsidRPr="00897DC7">
        <w:t xml:space="preserve"> </w:t>
      </w:r>
      <w:r w:rsidRPr="00897DC7">
        <w:rPr>
          <w:szCs w:val="20"/>
        </w:rPr>
        <w:t>1</w:t>
      </w:r>
      <w:r w:rsidRPr="00897DC7">
        <w:t>,</w:t>
      </w:r>
      <w:r w:rsidRPr="00897DC7">
        <w:rPr>
          <w:szCs w:val="20"/>
        </w:rPr>
        <w:t>2</w:t>
      </w:r>
      <w:r w:rsidRPr="00897DC7">
        <w:t>,</w:t>
      </w:r>
      <w:r w:rsidRPr="00897DC7">
        <w:rPr>
          <w:szCs w:val="20"/>
        </w:rPr>
        <w:t>4</w:t>
      </w:r>
      <w:r w:rsidRPr="00897DC7">
        <w:t>]──RX(</w:t>
      </w:r>
      <w:r w:rsidRPr="00897DC7">
        <w:rPr>
          <w:szCs w:val="20"/>
        </w:rPr>
        <w:t>2</w:t>
      </w:r>
      <w:r w:rsidRPr="00897DC7">
        <w:t>β</w:t>
      </w:r>
      <w:r w:rsidRPr="00897DC7">
        <w:rPr>
          <w:szCs w:val="20"/>
        </w:rPr>
        <w:t>0</w:t>
      </w:r>
      <w:r w:rsidRPr="00897DC7">
        <w:t>)────[</w:t>
      </w:r>
      <w:r w:rsidRPr="00897DC7">
        <w:rPr>
          <w:szCs w:val="20"/>
        </w:rPr>
        <w:t>COST</w:t>
      </w:r>
      <w:r w:rsidRPr="00897DC7">
        <w:t xml:space="preserve"> L2 </w:t>
      </w:r>
      <w:r w:rsidRPr="00897DC7">
        <w:rPr>
          <w:szCs w:val="20"/>
        </w:rPr>
        <w:t>over</w:t>
      </w:r>
      <w:r w:rsidRPr="00897DC7">
        <w:t xml:space="preserve"> edges </w:t>
      </w:r>
      <w:r w:rsidRPr="00897DC7">
        <w:rPr>
          <w:szCs w:val="20"/>
        </w:rPr>
        <w:t>to</w:t>
      </w:r>
      <w:r w:rsidRPr="00897DC7">
        <w:t xml:space="preserve"> </w:t>
      </w:r>
      <w:r w:rsidRPr="00897DC7">
        <w:rPr>
          <w:szCs w:val="20"/>
        </w:rPr>
        <w:t>1</w:t>
      </w:r>
      <w:r w:rsidRPr="00897DC7">
        <w:t>,</w:t>
      </w:r>
      <w:r w:rsidRPr="00897DC7">
        <w:rPr>
          <w:szCs w:val="20"/>
        </w:rPr>
        <w:t>2</w:t>
      </w:r>
      <w:r w:rsidRPr="00897DC7">
        <w:t>,</w:t>
      </w:r>
      <w:r w:rsidRPr="00897DC7">
        <w:rPr>
          <w:szCs w:val="20"/>
        </w:rPr>
        <w:t>4</w:t>
      </w:r>
      <w:r w:rsidRPr="00897DC7">
        <w:t>]──RX(</w:t>
      </w:r>
      <w:r w:rsidRPr="00897DC7">
        <w:rPr>
          <w:szCs w:val="20"/>
        </w:rPr>
        <w:t>2</w:t>
      </w:r>
      <w:r w:rsidRPr="00897DC7">
        <w:t>β</w:t>
      </w:r>
      <w:r w:rsidRPr="00897DC7">
        <w:rPr>
          <w:szCs w:val="20"/>
        </w:rPr>
        <w:t>1</w:t>
      </w:r>
      <w:r w:rsidRPr="00897DC7">
        <w:t>)───</w:t>
      </w:r>
    </w:p>
    <w:p w:rsidR="00897DC7" w:rsidRPr="00897DC7" w:rsidRDefault="00897DC7" w:rsidP="00713714">
      <w:r w:rsidRPr="00897DC7">
        <w:t>chem4: ──H───[</w:t>
      </w:r>
      <w:r w:rsidRPr="00897DC7">
        <w:rPr>
          <w:szCs w:val="20"/>
        </w:rPr>
        <w:t>COST</w:t>
      </w:r>
      <w:r w:rsidRPr="00897DC7">
        <w:t xml:space="preserve"> L1 </w:t>
      </w:r>
      <w:r w:rsidRPr="00897DC7">
        <w:rPr>
          <w:szCs w:val="20"/>
        </w:rPr>
        <w:t>over</w:t>
      </w:r>
      <w:r w:rsidRPr="00897DC7">
        <w:t xml:space="preserve"> edges </w:t>
      </w:r>
      <w:r w:rsidRPr="00897DC7">
        <w:rPr>
          <w:szCs w:val="20"/>
        </w:rPr>
        <w:t>to</w:t>
      </w:r>
      <w:r w:rsidRPr="00897DC7">
        <w:t xml:space="preserve"> </w:t>
      </w:r>
      <w:r w:rsidRPr="00897DC7">
        <w:rPr>
          <w:szCs w:val="20"/>
        </w:rPr>
        <w:t>0</w:t>
      </w:r>
      <w:r w:rsidRPr="00897DC7">
        <w:t>,</w:t>
      </w:r>
      <w:r w:rsidRPr="00897DC7">
        <w:rPr>
          <w:szCs w:val="20"/>
        </w:rPr>
        <w:t>1</w:t>
      </w:r>
      <w:r w:rsidRPr="00897DC7">
        <w:t>,</w:t>
      </w:r>
      <w:r w:rsidRPr="00897DC7">
        <w:rPr>
          <w:szCs w:val="20"/>
        </w:rPr>
        <w:t>3</w:t>
      </w:r>
      <w:r w:rsidRPr="00897DC7">
        <w:t>]──RX(</w:t>
      </w:r>
      <w:r w:rsidRPr="00897DC7">
        <w:rPr>
          <w:szCs w:val="20"/>
        </w:rPr>
        <w:t>2</w:t>
      </w:r>
      <w:r w:rsidRPr="00897DC7">
        <w:t>β</w:t>
      </w:r>
      <w:r w:rsidRPr="00897DC7">
        <w:rPr>
          <w:szCs w:val="20"/>
        </w:rPr>
        <w:t>0</w:t>
      </w:r>
      <w:r w:rsidRPr="00897DC7">
        <w:t>)────[</w:t>
      </w:r>
      <w:r w:rsidRPr="00897DC7">
        <w:rPr>
          <w:szCs w:val="20"/>
        </w:rPr>
        <w:t>COST</w:t>
      </w:r>
      <w:r w:rsidRPr="00897DC7">
        <w:t xml:space="preserve"> L2 </w:t>
      </w:r>
      <w:r w:rsidRPr="00897DC7">
        <w:rPr>
          <w:szCs w:val="20"/>
        </w:rPr>
        <w:t>over</w:t>
      </w:r>
      <w:r w:rsidRPr="00897DC7">
        <w:t xml:space="preserve"> edges </w:t>
      </w:r>
      <w:r w:rsidRPr="00897DC7">
        <w:rPr>
          <w:szCs w:val="20"/>
        </w:rPr>
        <w:t>to</w:t>
      </w:r>
      <w:r w:rsidRPr="00897DC7">
        <w:t xml:space="preserve"> </w:t>
      </w:r>
      <w:r w:rsidRPr="00897DC7">
        <w:rPr>
          <w:szCs w:val="20"/>
        </w:rPr>
        <w:t>0</w:t>
      </w:r>
      <w:r w:rsidRPr="00897DC7">
        <w:t>,</w:t>
      </w:r>
      <w:r w:rsidRPr="00897DC7">
        <w:rPr>
          <w:szCs w:val="20"/>
        </w:rPr>
        <w:t>1</w:t>
      </w:r>
      <w:r w:rsidRPr="00897DC7">
        <w:t>,</w:t>
      </w:r>
      <w:r w:rsidRPr="00897DC7">
        <w:rPr>
          <w:szCs w:val="20"/>
        </w:rPr>
        <w:t>3</w:t>
      </w:r>
      <w:r w:rsidRPr="00897DC7">
        <w:t>]──RX(</w:t>
      </w:r>
      <w:r w:rsidRPr="00897DC7">
        <w:rPr>
          <w:szCs w:val="20"/>
        </w:rPr>
        <w:t>2</w:t>
      </w:r>
      <w:r w:rsidRPr="00897DC7">
        <w:t>β</w:t>
      </w:r>
      <w:r w:rsidRPr="00897DC7">
        <w:rPr>
          <w:szCs w:val="20"/>
        </w:rPr>
        <w:t>1</w:t>
      </w:r>
      <w:r w:rsidRPr="00897DC7">
        <w:t>)───</w:t>
      </w:r>
    </w:p>
    <w:p w:rsidR="00897DC7" w:rsidRPr="00897DC7" w:rsidRDefault="00897DC7" w:rsidP="00713714">
      <w:r w:rsidRPr="00897DC7">
        <w:t>Inside each [COST Lk ...] block, for every listed edge (i&lt;j):</w:t>
      </w:r>
      <w:r w:rsidRPr="00897DC7">
        <w:br/>
        <w:t>CX(i→j) ─ RZ(2·γ[k]·w_ij) on j ─ CX(i→j).</w:t>
      </w:r>
    </w:p>
    <w:p w:rsidR="00897DC7" w:rsidRPr="00897DC7" w:rsidRDefault="00106EF3" w:rsidP="00713714">
      <w:r>
        <w:pict>
          <v:rect id="_x0000_i1059" style="width:0;height:1.5pt" o:hralign="center" o:hrstd="t" o:hr="t" fillcolor="#a0a0a0" stroked="f"/>
        </w:pict>
      </w:r>
    </w:p>
    <w:p w:rsidR="00897DC7" w:rsidRPr="00897DC7" w:rsidRDefault="00897DC7" w:rsidP="00713714">
      <w:r w:rsidRPr="00897DC7">
        <w:t>3) Ph4-ODE PQC (n_feat = 5 → 8 qubits, depth = 2, readout on qubit 0)</w:t>
      </w:r>
    </w:p>
    <w:p w:rsidR="00897DC7" w:rsidRPr="00897DC7" w:rsidRDefault="00897DC7" w:rsidP="00713714">
      <w:r w:rsidRPr="00897DC7">
        <w:t xml:space="preserve">Per layer </w:t>
      </w:r>
      <w:r w:rsidRPr="00897DC7">
        <w:rPr>
          <w:rFonts w:ascii="Courier New" w:hAnsi="Courier New" w:cs="Courier New"/>
          <w:sz w:val="20"/>
        </w:rPr>
        <w:t xml:space="preserve">d </w:t>
      </w:r>
      <w:r w:rsidRPr="00897DC7">
        <w:rPr>
          <w:rFonts w:ascii="Cambria Math" w:hAnsi="Cambria Math" w:cs="Cambria Math"/>
          <w:sz w:val="20"/>
        </w:rPr>
        <w:t>∈</w:t>
      </w:r>
      <w:r w:rsidRPr="00897DC7">
        <w:rPr>
          <w:rFonts w:ascii="Courier New" w:hAnsi="Courier New" w:cs="Courier New"/>
          <w:sz w:val="20"/>
        </w:rPr>
        <w:t xml:space="preserve"> {0,1}</w:t>
      </w:r>
      <w:r w:rsidRPr="00897DC7">
        <w:t xml:space="preserve"> on all 8 PQC qubits:</w:t>
      </w:r>
    </w:p>
    <w:p w:rsidR="00897DC7" w:rsidRPr="00897DC7" w:rsidRDefault="00897DC7" w:rsidP="00713714">
      <w:r w:rsidRPr="00897DC7">
        <w:t>Encode (data re-uploading):</w:t>
      </w:r>
    </w:p>
    <w:p w:rsidR="00897DC7" w:rsidRPr="00897DC7" w:rsidRDefault="00897DC7" w:rsidP="00713714">
      <w:r w:rsidRPr="00897DC7">
        <w:t>RX(x[f] + θ[d, i, 0])</w:t>
      </w:r>
    </w:p>
    <w:p w:rsidR="00897DC7" w:rsidRPr="00897DC7" w:rsidRDefault="00897DC7" w:rsidP="00713714">
      <w:r w:rsidRPr="00897DC7">
        <w:t>RZ(lambda_curv * k[f] * x[f] + θ[d, i, 1])</w:t>
      </w:r>
    </w:p>
    <w:p w:rsidR="00897DC7" w:rsidRPr="00897DC7" w:rsidRDefault="00897DC7" w:rsidP="00713714">
      <w:r w:rsidRPr="00897DC7">
        <w:t>RY(θ[d, i, 2])</w:t>
      </w:r>
      <w:r w:rsidRPr="00897DC7">
        <w:br/>
        <w:t>with f = i mod 5</w:t>
      </w:r>
    </w:p>
    <w:p w:rsidR="00897DC7" w:rsidRPr="00897DC7" w:rsidRDefault="00897DC7" w:rsidP="00713714">
      <w:r w:rsidRPr="00897DC7">
        <w:t>CZ ladder entanglement: CZ(0,1), CZ(1,2), ..., CZ(6,7)</w:t>
      </w:r>
    </w:p>
    <w:p w:rsidR="00897DC7" w:rsidRPr="00897DC7" w:rsidRDefault="00897DC7" w:rsidP="00713714">
      <w:r w:rsidRPr="00897DC7">
        <w:t xml:space="preserve">Pharmacophore penalty over the first 5 qubits (i&lt;j&lt;5): for each pair </w:t>
      </w:r>
      <w:r w:rsidRPr="00897DC7">
        <w:rPr>
          <w:rFonts w:ascii="Courier New" w:hAnsi="Courier New" w:cs="Courier New"/>
          <w:sz w:val="20"/>
        </w:rPr>
        <w:t>(i,j)</w:t>
      </w:r>
      <w:r w:rsidRPr="00897DC7">
        <w:t>:</w:t>
      </w:r>
      <w:r w:rsidRPr="00897DC7">
        <w:br/>
      </w:r>
      <w:r w:rsidRPr="00897DC7">
        <w:rPr>
          <w:rFonts w:ascii="Courier New" w:hAnsi="Courier New" w:cs="Courier New"/>
          <w:sz w:val="20"/>
        </w:rPr>
        <w:t>CX(i→j) ─ RZ(2 * lambda_ph4 * m[i] * m[j]) on j ─ CX(i→j)</w:t>
      </w:r>
    </w:p>
    <w:p w:rsidR="00897DC7" w:rsidRPr="00897DC7" w:rsidRDefault="00897DC7" w:rsidP="00713714">
      <w:r w:rsidRPr="00897DC7">
        <w:t xml:space="preserve">Finally, measure </w:t>
      </w:r>
      <w:r w:rsidRPr="00897DC7">
        <w:rPr>
          <w:rFonts w:ascii="Courier New" w:hAnsi="Courier New" w:cs="Courier New"/>
          <w:sz w:val="20"/>
        </w:rPr>
        <w:t>pqc0</w:t>
      </w:r>
      <w:r w:rsidRPr="00897DC7">
        <w:t xml:space="preserve"> into a single classical bit </w:t>
      </w:r>
      <w:r w:rsidRPr="00897DC7">
        <w:rPr>
          <w:rFonts w:ascii="Courier New" w:hAnsi="Courier New" w:cs="Courier New"/>
          <w:sz w:val="20"/>
        </w:rPr>
        <w:t>c0</w:t>
      </w:r>
      <w:r w:rsidRPr="00897DC7">
        <w:t>.</w:t>
      </w:r>
    </w:p>
    <w:p w:rsidR="00897DC7" w:rsidRPr="00897DC7" w:rsidRDefault="00897DC7" w:rsidP="00713714">
      <w:r w:rsidRPr="00897DC7">
        <w:t>pqc0: ──[ENC d=0]──CZ───[penalty over (0..4)]──|──[ENC d=1]──CZ───[penalty over (0..4)]──MEAS</w:t>
      </w:r>
    </w:p>
    <w:p w:rsidR="00897DC7" w:rsidRPr="00897DC7" w:rsidRDefault="00897DC7" w:rsidP="00713714">
      <w:r w:rsidRPr="00897DC7">
        <w:t>pqc1: ──[ENC d=0]──CZ──────────────────────────|──[ENC d=1]──CZ──────────────────────────</w:t>
      </w:r>
    </w:p>
    <w:p w:rsidR="00897DC7" w:rsidRPr="00897DC7" w:rsidRDefault="00897DC7" w:rsidP="00713714">
      <w:r w:rsidRPr="00897DC7">
        <w:t>pqc2: ──[ENC d=0]──CZ──────────────────────────|──[ENC d=1]──CZ──────────────────────────</w:t>
      </w:r>
    </w:p>
    <w:p w:rsidR="00897DC7" w:rsidRPr="00897DC7" w:rsidRDefault="00897DC7" w:rsidP="00713714">
      <w:r w:rsidRPr="00897DC7">
        <w:t>pqc3: ──[ENC d=0]──CZ──────────────────────────|──[ENC d=1]──CZ──────────────────────────</w:t>
      </w:r>
    </w:p>
    <w:p w:rsidR="00897DC7" w:rsidRPr="00897DC7" w:rsidRDefault="00897DC7" w:rsidP="00713714">
      <w:r w:rsidRPr="00897DC7">
        <w:t>pqc4: ──[ENC d=0]──CZ──────────────────────────|──[ENC d=1]──CZ──────────────────────────</w:t>
      </w:r>
    </w:p>
    <w:p w:rsidR="00897DC7" w:rsidRPr="00897DC7" w:rsidRDefault="00897DC7" w:rsidP="00713714">
      <w:r w:rsidRPr="00897DC7">
        <w:t>pqc5: ──[ENC d=0]──CZ──────────────────────────|──[ENC d=1]──CZ──────────────────────────</w:t>
      </w:r>
    </w:p>
    <w:p w:rsidR="00897DC7" w:rsidRPr="00897DC7" w:rsidRDefault="00897DC7" w:rsidP="00713714">
      <w:r w:rsidRPr="00897DC7">
        <w:t>pqc6: ──[ENC d=0]──CZ──────────────────────────|──[ENC d=1]──CZ──────────────────────────</w:t>
      </w:r>
    </w:p>
    <w:p w:rsidR="00897DC7" w:rsidRPr="00897DC7" w:rsidRDefault="00897DC7" w:rsidP="00713714">
      <w:r w:rsidRPr="00897DC7">
        <w:t>pqc7: ──[ENC d=0]──────────────────────────────|──[ENC d=1]──────────────────────────────</w:t>
      </w:r>
    </w:p>
    <w:p w:rsidR="00897DC7" w:rsidRPr="00897DC7" w:rsidRDefault="00897DC7" w:rsidP="00713714">
      <w:r w:rsidRPr="00897DC7">
        <w:t>[ENC d] at qubit i expands to:</w:t>
      </w:r>
      <w:r w:rsidRPr="00897DC7">
        <w:br/>
        <w:t>RX(x[i mod 5] + θ[d,i,0]) – RZ(λ_curv·k[i mod 5]·x[i mod 5] + θ[d,i,1]) – RY(θ[d,i,2]).</w:t>
      </w:r>
    </w:p>
    <w:p w:rsidR="00897DC7" w:rsidRPr="00897DC7" w:rsidRDefault="00897DC7" w:rsidP="00713714">
      <w:r w:rsidRPr="00897DC7">
        <w:t>Penalty pairs over qubits 0..4 (all i&lt;j): (0,1) (0,2) (0,3) (0,4) (1,2) (1,3) (1,4) (2,3) (2,4) (3,4).</w:t>
      </w:r>
    </w:p>
    <w:p w:rsidR="00897DC7" w:rsidRPr="00897DC7" w:rsidRDefault="00106EF3" w:rsidP="00713714">
      <w:r>
        <w:pict>
          <v:rect id="_x0000_i1060" style="width:0;height:1.5pt" o:hralign="center" o:hrstd="t" o:hr="t" fillcolor="#a0a0a0" stroked="f"/>
        </w:pict>
      </w:r>
    </w:p>
    <w:p w:rsidR="00897DC7" w:rsidRPr="00897DC7" w:rsidRDefault="00897DC7" w:rsidP="00713714">
      <w:pPr>
        <w:rPr>
          <w:sz w:val="36"/>
          <w:szCs w:val="36"/>
        </w:rPr>
      </w:pPr>
      <w:r w:rsidRPr="00897DC7">
        <w:rPr>
          <w:sz w:val="36"/>
          <w:szCs w:val="36"/>
        </w:rPr>
        <w:t xml:space="preserve">4) Composite circuit = </w:t>
      </w:r>
      <w:r w:rsidRPr="00897DC7">
        <w:t xml:space="preserve">QAOA(chem0..chem4) </w:t>
      </w:r>
      <w:r w:rsidRPr="00897DC7">
        <w:rPr>
          <w:rFonts w:ascii="Cambria Math" w:hAnsi="Cambria Math" w:cs="Cambria Math"/>
        </w:rPr>
        <w:t>⊗</w:t>
      </w:r>
      <w:r w:rsidRPr="00897DC7">
        <w:t xml:space="preserve"> PQC(pqc0..pqc7)</w:t>
      </w:r>
      <w:r w:rsidRPr="00897DC7">
        <w:rPr>
          <w:sz w:val="36"/>
          <w:szCs w:val="36"/>
        </w:rPr>
        <w:t xml:space="preserve"> + barrier</w:t>
      </w:r>
    </w:p>
    <w:p w:rsidR="00897DC7" w:rsidRPr="00897DC7" w:rsidRDefault="00897DC7" w:rsidP="00713714">
      <w:r w:rsidRPr="00897DC7">
        <w:t>chem0..4:</w:t>
      </w:r>
      <w:r w:rsidR="00496063">
        <w:t xml:space="preserve"> </w:t>
      </w:r>
      <w:r w:rsidRPr="00897DC7">
        <w:t>[QAOA (p=2) block exactly as above]</w:t>
      </w:r>
      <w:r w:rsidR="00496063">
        <w:t xml:space="preserve"> </w:t>
      </w:r>
      <w:r w:rsidRPr="00897DC7">
        <w:t>────────────────┐</w:t>
      </w:r>
    </w:p>
    <w:p w:rsidR="00897DC7" w:rsidRPr="00897DC7" w:rsidRDefault="00496063" w:rsidP="00713714">
      <w:r>
        <w:t xml:space="preserve"> </w:t>
      </w:r>
      <w:r w:rsidR="00897DC7" w:rsidRPr="00897DC7">
        <w:t>│</w:t>
      </w:r>
    </w:p>
    <w:p w:rsidR="00897DC7" w:rsidRPr="00897DC7" w:rsidRDefault="00897DC7" w:rsidP="00713714">
      <w:r w:rsidRPr="00897DC7">
        <w:rPr>
          <w:szCs w:val="20"/>
        </w:rPr>
        <w:t>pqc0</w:t>
      </w:r>
      <w:r w:rsidRPr="00897DC7">
        <w:t>.</w:t>
      </w:r>
      <w:r w:rsidRPr="00897DC7">
        <w:rPr>
          <w:szCs w:val="20"/>
        </w:rPr>
        <w:t>.7</w:t>
      </w:r>
      <w:r w:rsidRPr="00897DC7">
        <w:t xml:space="preserve"> :</w:t>
      </w:r>
      <w:r w:rsidR="00496063">
        <w:t xml:space="preserve"> </w:t>
      </w:r>
      <w:r w:rsidRPr="00897DC7">
        <w:rPr>
          <w:szCs w:val="20"/>
        </w:rPr>
        <w:t>[Ph4-ODE block]</w:t>
      </w:r>
      <w:r w:rsidRPr="00897DC7">
        <w:t xml:space="preserve"> ───┴───┤||├</w:t>
      </w:r>
      <w:r w:rsidR="00496063">
        <w:t xml:space="preserve"> </w:t>
      </w:r>
      <w:r w:rsidRPr="00897DC7">
        <w:t>(barrier)</w:t>
      </w:r>
    </w:p>
    <w:p w:rsidR="00897DC7" w:rsidRPr="00897DC7" w:rsidRDefault="00897DC7" w:rsidP="00713714">
      <w:r w:rsidRPr="00897DC7">
        <w:t xml:space="preserve">Qubits are ordered with PQC “below” QAOA after tensoring (Qiskit’s </w:t>
      </w:r>
      <w:r w:rsidRPr="00897DC7">
        <w:rPr>
          <w:rFonts w:ascii="Courier New" w:hAnsi="Courier New" w:cs="Courier New"/>
          <w:sz w:val="20"/>
        </w:rPr>
        <w:t>.tensor</w:t>
      </w:r>
      <w:r w:rsidRPr="00897DC7">
        <w:t xml:space="preserve"> places the right circuit’s qubits last).</w:t>
      </w:r>
    </w:p>
    <w:p w:rsidR="00897DC7" w:rsidRPr="00897DC7" w:rsidRDefault="00106EF3" w:rsidP="00713714">
      <w:r>
        <w:pict>
          <v:rect id="_x0000_i1061" style="width:0;height:1.5pt" o:hralign="center" o:hrstd="t" o:hr="t" fillcolor="#a0a0a0" stroked="f"/>
        </w:pict>
      </w:r>
    </w:p>
    <w:p w:rsidR="00897DC7" w:rsidRPr="00897DC7" w:rsidRDefault="00897DC7" w:rsidP="00713714">
      <w:pPr>
        <w:rPr>
          <w:kern w:val="36"/>
        </w:rPr>
      </w:pPr>
      <w:r w:rsidRPr="00897DC7">
        <w:rPr>
          <w:kern w:val="36"/>
        </w:rPr>
        <w:t>Save MPL renders locally (exact instance)</w:t>
      </w:r>
    </w:p>
    <w:p w:rsidR="00897DC7" w:rsidRPr="00897DC7" w:rsidRDefault="00897DC7" w:rsidP="00713714">
      <w:r w:rsidRPr="00897DC7">
        <w:t xml:space="preserve">Copy this to a local file (e.g., </w:t>
      </w:r>
      <w:r w:rsidRPr="00897DC7">
        <w:rPr>
          <w:rFonts w:ascii="Courier New" w:hAnsi="Courier New" w:cs="Courier New"/>
          <w:sz w:val="20"/>
        </w:rPr>
        <w:t>render_exact_instance.py</w:t>
      </w:r>
      <w:r w:rsidRPr="00897DC7">
        <w:t>) and run with Python 3.10+ after installing Qiskit:</w:t>
      </w:r>
    </w:p>
    <w:p w:rsidR="00897DC7" w:rsidRPr="00897DC7" w:rsidRDefault="00897DC7" w:rsidP="00713714">
      <w:r w:rsidRPr="00897DC7">
        <w:t># pip install "qiskit&gt;=1.0" matplotlib numpy</w:t>
      </w:r>
    </w:p>
    <w:p w:rsidR="00897DC7" w:rsidRPr="00897DC7" w:rsidRDefault="00897DC7" w:rsidP="00713714">
      <w:r w:rsidRPr="00897DC7">
        <w:rPr>
          <w:szCs w:val="20"/>
        </w:rPr>
        <w:t>from</w:t>
      </w:r>
      <w:r w:rsidRPr="00897DC7">
        <w:t xml:space="preserve"> __future__ </w:t>
      </w:r>
      <w:r w:rsidRPr="00897DC7">
        <w:rPr>
          <w:szCs w:val="20"/>
        </w:rPr>
        <w:t>import</w:t>
      </w:r>
      <w:r w:rsidRPr="00897DC7">
        <w:t xml:space="preserve"> annotations</w:t>
      </w:r>
    </w:p>
    <w:p w:rsidR="00897DC7" w:rsidRPr="00897DC7" w:rsidRDefault="00897DC7" w:rsidP="00713714">
      <w:r w:rsidRPr="00897DC7">
        <w:rPr>
          <w:szCs w:val="20"/>
        </w:rPr>
        <w:t>import</w:t>
      </w:r>
      <w:r w:rsidRPr="00897DC7">
        <w:t xml:space="preserve"> numpy </w:t>
      </w:r>
      <w:r w:rsidRPr="00897DC7">
        <w:rPr>
          <w:szCs w:val="20"/>
        </w:rPr>
        <w:t>as</w:t>
      </w:r>
      <w:r w:rsidRPr="00897DC7">
        <w:t xml:space="preserve"> np</w:t>
      </w:r>
    </w:p>
    <w:p w:rsidR="00897DC7" w:rsidRPr="00897DC7" w:rsidRDefault="00897DC7" w:rsidP="00713714">
      <w:r w:rsidRPr="00897DC7">
        <w:rPr>
          <w:szCs w:val="20"/>
        </w:rPr>
        <w:t>from</w:t>
      </w:r>
      <w:r w:rsidRPr="00897DC7">
        <w:t xml:space="preserve"> qiskit </w:t>
      </w:r>
      <w:r w:rsidRPr="00897DC7">
        <w:rPr>
          <w:szCs w:val="20"/>
        </w:rPr>
        <w:t>import</w:t>
      </w:r>
      <w:r w:rsidRPr="00897DC7">
        <w:t xml:space="preserve"> QuantumCircuit, QuantumRegister, ClassicalRegister</w:t>
      </w:r>
    </w:p>
    <w:p w:rsidR="00897DC7" w:rsidRPr="00897DC7" w:rsidRDefault="00897DC7" w:rsidP="00713714">
      <w:r w:rsidRPr="00897DC7">
        <w:rPr>
          <w:szCs w:val="20"/>
        </w:rPr>
        <w:t>from</w:t>
      </w:r>
      <w:r w:rsidRPr="00897DC7">
        <w:t xml:space="preserve"> qiskit.circuit </w:t>
      </w:r>
      <w:r w:rsidRPr="00897DC7">
        <w:rPr>
          <w:szCs w:val="20"/>
        </w:rPr>
        <w:t>import</w:t>
      </w:r>
      <w:r w:rsidRPr="00897DC7">
        <w:t xml:space="preserve"> ParameterVector</w:t>
      </w:r>
    </w:p>
    <w:p w:rsidR="00897DC7" w:rsidRPr="00897DC7" w:rsidRDefault="00897DC7" w:rsidP="00713714">
      <w:r w:rsidRPr="00897DC7">
        <w:rPr>
          <w:szCs w:val="20"/>
        </w:rPr>
        <w:t>import</w:t>
      </w:r>
      <w:r w:rsidRPr="00897DC7">
        <w:t xml:space="preserve"> matplotlib.pyplot </w:t>
      </w:r>
      <w:r w:rsidRPr="00897DC7">
        <w:rPr>
          <w:szCs w:val="20"/>
        </w:rPr>
        <w:t>as</w:t>
      </w:r>
      <w:r w:rsidRPr="00897DC7">
        <w:t xml:space="preserve"> plt</w:t>
      </w:r>
    </w:p>
    <w:p w:rsidR="00897DC7" w:rsidRPr="00897DC7" w:rsidRDefault="00897DC7" w:rsidP="00713714"/>
    <w:p w:rsidR="00897DC7" w:rsidRPr="00897DC7" w:rsidRDefault="00897DC7" w:rsidP="00713714">
      <w:r w:rsidRPr="00897DC7">
        <w:t>def adiabatic_ghz_circuit(n_qubits=3, T=5.0, N=8, Jzz=2.0, Bx=np.pi/2, measure=False):</w:t>
      </w:r>
    </w:p>
    <w:p w:rsidR="00897DC7" w:rsidRPr="00897DC7" w:rsidRDefault="00496063" w:rsidP="00713714">
      <w:r>
        <w:t xml:space="preserve"> </w:t>
      </w:r>
      <w:r w:rsidR="00897DC7" w:rsidRPr="00897DC7">
        <w:t xml:space="preserve">qr = QuantumRegister(n_qubits, </w:t>
      </w:r>
      <w:r w:rsidR="00897DC7" w:rsidRPr="00897DC7">
        <w:rPr>
          <w:szCs w:val="20"/>
        </w:rPr>
        <w:t>"q"</w:t>
      </w:r>
      <w:r w:rsidR="00897DC7" w:rsidRPr="00897DC7">
        <w:t>)</w:t>
      </w:r>
    </w:p>
    <w:p w:rsidR="00897DC7" w:rsidRPr="00897DC7" w:rsidRDefault="00496063" w:rsidP="00713714">
      <w:r>
        <w:t xml:space="preserve"> </w:t>
      </w:r>
      <w:r w:rsidR="00897DC7" w:rsidRPr="00897DC7">
        <w:t>qc = QuantumCircuit(qr, name=</w:t>
      </w:r>
      <w:r w:rsidR="00897DC7" w:rsidRPr="00897DC7">
        <w:rPr>
          <w:szCs w:val="20"/>
        </w:rPr>
        <w:t>"Digitized_Adiabatic_GHZ"</w:t>
      </w:r>
      <w:r w:rsidR="00897DC7" w:rsidRPr="00897DC7">
        <w:t>)</w:t>
      </w:r>
    </w:p>
    <w:p w:rsidR="00897DC7" w:rsidRPr="00897DC7" w:rsidRDefault="00496063" w:rsidP="00713714">
      <w:r>
        <w:t xml:space="preserve"> </w:t>
      </w:r>
      <w:r w:rsidR="00897DC7" w:rsidRPr="00897DC7">
        <w:t>qc.h(qr)</w:t>
      </w:r>
    </w:p>
    <w:p w:rsidR="00897DC7" w:rsidRPr="00897DC7" w:rsidRDefault="00496063" w:rsidP="00713714">
      <w:r>
        <w:t xml:space="preserve"> </w:t>
      </w:r>
      <w:r w:rsidR="00897DC7" w:rsidRPr="00897DC7">
        <w:t>dt = T / N</w:t>
      </w:r>
    </w:p>
    <w:p w:rsidR="00897DC7" w:rsidRPr="00897DC7" w:rsidRDefault="00496063" w:rsidP="00713714">
      <w:r>
        <w:t xml:space="preserve"> </w:t>
      </w:r>
      <w:r w:rsidR="00897DC7" w:rsidRPr="00897DC7">
        <w:t>phi = -</w:t>
      </w:r>
      <w:r w:rsidR="00897DC7" w:rsidRPr="00897DC7">
        <w:rPr>
          <w:szCs w:val="20"/>
        </w:rPr>
        <w:t>2.0</w:t>
      </w:r>
      <w:r w:rsidR="00897DC7" w:rsidRPr="00897DC7">
        <w:t xml:space="preserve"> * Jzz * dt</w:t>
      </w:r>
    </w:p>
    <w:p w:rsidR="00897DC7" w:rsidRPr="00897DC7" w:rsidRDefault="00496063" w:rsidP="00713714">
      <w:r>
        <w:t xml:space="preserve"> </w:t>
      </w:r>
      <w:r w:rsidR="00897DC7" w:rsidRPr="00897DC7">
        <w:t>alpha = -</w:t>
      </w:r>
      <w:r w:rsidR="00897DC7" w:rsidRPr="00897DC7">
        <w:rPr>
          <w:szCs w:val="20"/>
        </w:rPr>
        <w:t>2.0</w:t>
      </w:r>
      <w:r w:rsidR="00897DC7" w:rsidRPr="00897DC7">
        <w:t xml:space="preserve"> * Bx * dt</w:t>
      </w:r>
    </w:p>
    <w:p w:rsidR="00897DC7" w:rsidRPr="00897DC7" w:rsidRDefault="00496063" w:rsidP="00713714">
      <w:r>
        <w:t xml:space="preserve"> </w:t>
      </w:r>
      <w:r w:rsidR="00897DC7" w:rsidRPr="00897DC7">
        <w:rPr>
          <w:szCs w:val="20"/>
        </w:rPr>
        <w:t>for</w:t>
      </w:r>
      <w:r w:rsidR="00897DC7" w:rsidRPr="00897DC7">
        <w:t xml:space="preserve"> j </w:t>
      </w:r>
      <w:r w:rsidR="00897DC7" w:rsidRPr="00897DC7">
        <w:rPr>
          <w:szCs w:val="20"/>
        </w:rPr>
        <w:t>in</w:t>
      </w:r>
      <w:r w:rsidR="00897DC7" w:rsidRPr="00897DC7">
        <w:t xml:space="preserve"> </w:t>
      </w:r>
      <w:r w:rsidR="00897DC7" w:rsidRPr="00897DC7">
        <w:rPr>
          <w:szCs w:val="20"/>
        </w:rPr>
        <w:t>range</w:t>
      </w:r>
      <w:r w:rsidR="00897DC7" w:rsidRPr="00897DC7">
        <w:t>(N):</w:t>
      </w:r>
    </w:p>
    <w:p w:rsidR="00897DC7" w:rsidRPr="00897DC7" w:rsidRDefault="00496063" w:rsidP="00713714">
      <w:r>
        <w:t xml:space="preserve"> </w:t>
      </w:r>
      <w:r w:rsidR="00897DC7" w:rsidRPr="00897DC7">
        <w:t xml:space="preserve">s = (j + </w:t>
      </w:r>
      <w:r w:rsidR="00897DC7" w:rsidRPr="00897DC7">
        <w:rPr>
          <w:szCs w:val="20"/>
        </w:rPr>
        <w:t>1</w:t>
      </w:r>
      <w:r w:rsidR="00897DC7" w:rsidRPr="00897DC7">
        <w:t>) / N</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 xml:space="preserve">(n_qubits - </w:t>
      </w:r>
      <w:r w:rsidR="00897DC7" w:rsidRPr="00897DC7">
        <w:rPr>
          <w:szCs w:val="20"/>
        </w:rPr>
        <w:t>1</w:t>
      </w:r>
      <w:r w:rsidR="00897DC7" w:rsidRPr="00897DC7">
        <w:t>):</w:t>
      </w:r>
    </w:p>
    <w:p w:rsidR="00897DC7" w:rsidRPr="00897DC7" w:rsidRDefault="00496063" w:rsidP="00713714">
      <w:r>
        <w:t xml:space="preserve"> </w:t>
      </w:r>
      <w:r w:rsidR="00897DC7" w:rsidRPr="00897DC7">
        <w:t xml:space="preserve">qc.rzz(s * phi, qr[i], qr[i + </w:t>
      </w:r>
      <w:r w:rsidR="00897DC7" w:rsidRPr="00897DC7">
        <w:rPr>
          <w:szCs w:val="20"/>
        </w:rPr>
        <w:t>1</w:t>
      </w:r>
      <w:r w:rsidR="00897DC7" w:rsidRPr="00897DC7">
        <w:t>])</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(n_qubits):</w:t>
      </w:r>
    </w:p>
    <w:p w:rsidR="00897DC7" w:rsidRPr="00897DC7" w:rsidRDefault="00496063" w:rsidP="00713714">
      <w:r>
        <w:t xml:space="preserve"> </w:t>
      </w:r>
      <w:r w:rsidR="00897DC7" w:rsidRPr="00897DC7">
        <w:t>qc.rx((</w:t>
      </w:r>
      <w:r w:rsidR="00897DC7" w:rsidRPr="00897DC7">
        <w:rPr>
          <w:szCs w:val="20"/>
        </w:rPr>
        <w:t>1.0</w:t>
      </w:r>
      <w:r w:rsidR="00897DC7" w:rsidRPr="00897DC7">
        <w:t xml:space="preserve"> - s) * alpha, qr[i])</w:t>
      </w:r>
    </w:p>
    <w:p w:rsidR="00897DC7" w:rsidRPr="00897DC7" w:rsidRDefault="00496063" w:rsidP="00713714">
      <w:r>
        <w:t xml:space="preserve"> </w:t>
      </w:r>
      <w:r w:rsidR="00897DC7" w:rsidRPr="00897DC7">
        <w:t>qc.barrier()</w:t>
      </w:r>
    </w:p>
    <w:p w:rsidR="00897DC7" w:rsidRPr="00897DC7" w:rsidRDefault="00496063" w:rsidP="00713714">
      <w:r>
        <w:t xml:space="preserve"> </w:t>
      </w:r>
      <w:r w:rsidR="00897DC7" w:rsidRPr="00897DC7">
        <w:rPr>
          <w:szCs w:val="20"/>
        </w:rPr>
        <w:t>if</w:t>
      </w:r>
      <w:r w:rsidR="00897DC7" w:rsidRPr="00897DC7">
        <w:t xml:space="preserve"> measure:</w:t>
      </w:r>
    </w:p>
    <w:p w:rsidR="00897DC7" w:rsidRPr="00897DC7" w:rsidRDefault="00496063" w:rsidP="00713714">
      <w:r>
        <w:t xml:space="preserve"> </w:t>
      </w:r>
      <w:r w:rsidR="00897DC7" w:rsidRPr="00897DC7">
        <w:t xml:space="preserve">cr = ClassicalRegister(n_qubits, </w:t>
      </w:r>
      <w:r w:rsidR="00897DC7" w:rsidRPr="00897DC7">
        <w:rPr>
          <w:szCs w:val="20"/>
        </w:rPr>
        <w:t>"c"</w:t>
      </w:r>
      <w:r w:rsidR="00897DC7" w:rsidRPr="00897DC7">
        <w:t>)</w:t>
      </w:r>
    </w:p>
    <w:p w:rsidR="00897DC7" w:rsidRPr="00897DC7" w:rsidRDefault="00496063" w:rsidP="00713714">
      <w:r>
        <w:t xml:space="preserve"> </w:t>
      </w:r>
      <w:r w:rsidR="00897DC7" w:rsidRPr="00897DC7">
        <w:t>qc.add_register(cr)</w:t>
      </w:r>
    </w:p>
    <w:p w:rsidR="00897DC7" w:rsidRPr="00897DC7" w:rsidRDefault="00496063" w:rsidP="00713714">
      <w:r>
        <w:t xml:space="preserve"> </w:t>
      </w:r>
      <w:r w:rsidR="00897DC7" w:rsidRPr="00897DC7">
        <w:t>qc.measure(qr, cr)</w:t>
      </w:r>
    </w:p>
    <w:p w:rsidR="00897DC7" w:rsidRPr="00897DC7" w:rsidRDefault="00496063" w:rsidP="00713714">
      <w:r>
        <w:t xml:space="preserve"> </w:t>
      </w:r>
      <w:r w:rsidR="00897DC7" w:rsidRPr="00897DC7">
        <w:rPr>
          <w:szCs w:val="20"/>
        </w:rPr>
        <w:t>return</w:t>
      </w:r>
      <w:r w:rsidR="00897DC7" w:rsidRPr="00897DC7">
        <w:t xml:space="preserve"> qc</w:t>
      </w:r>
    </w:p>
    <w:p w:rsidR="00897DC7" w:rsidRPr="00897DC7" w:rsidRDefault="00897DC7" w:rsidP="00713714"/>
    <w:p w:rsidR="00897DC7" w:rsidRPr="00897DC7" w:rsidRDefault="00897DC7" w:rsidP="00713714">
      <w:r w:rsidRPr="00897DC7">
        <w:t>def qaoa_diversity_circuit(adj_mat: np.ndarray, p: int = 2) -&gt; QuantumCircuit:</w:t>
      </w:r>
    </w:p>
    <w:p w:rsidR="00897DC7" w:rsidRPr="00897DC7" w:rsidRDefault="00496063" w:rsidP="00713714">
      <w:r>
        <w:t xml:space="preserve"> </w:t>
      </w:r>
      <w:r w:rsidR="00897DC7" w:rsidRPr="00897DC7">
        <w:t>n = adj_mat.shape[</w:t>
      </w:r>
      <w:r w:rsidR="00897DC7" w:rsidRPr="00897DC7">
        <w:rPr>
          <w:szCs w:val="20"/>
        </w:rPr>
        <w:t>0</w:t>
      </w:r>
      <w:r w:rsidR="00897DC7" w:rsidRPr="00897DC7">
        <w:t>]</w:t>
      </w:r>
    </w:p>
    <w:p w:rsidR="00897DC7" w:rsidRPr="00897DC7" w:rsidRDefault="00496063" w:rsidP="00713714">
      <w:r>
        <w:t xml:space="preserve"> </w:t>
      </w:r>
      <w:r w:rsidR="00897DC7" w:rsidRPr="00897DC7">
        <w:t xml:space="preserve">qr = QuantumRegister(n, </w:t>
      </w:r>
      <w:r w:rsidR="00897DC7" w:rsidRPr="00897DC7">
        <w:rPr>
          <w:szCs w:val="20"/>
        </w:rPr>
        <w:t>"chem"</w:t>
      </w:r>
      <w:r w:rsidR="00897DC7" w:rsidRPr="00897DC7">
        <w:t>)</w:t>
      </w:r>
    </w:p>
    <w:p w:rsidR="00897DC7" w:rsidRPr="00897DC7" w:rsidRDefault="00496063" w:rsidP="00713714">
      <w:r>
        <w:t xml:space="preserve"> </w:t>
      </w:r>
      <w:r w:rsidR="00897DC7" w:rsidRPr="00897DC7">
        <w:t>qc = QuantumCircuit(qr, name=</w:t>
      </w:r>
      <w:r w:rsidR="00897DC7" w:rsidRPr="00897DC7">
        <w:rPr>
          <w:szCs w:val="20"/>
        </w:rPr>
        <w:t>"QAOA_diversity"</w:t>
      </w:r>
      <w:r w:rsidR="00897DC7" w:rsidRPr="00897DC7">
        <w:t>)</w:t>
      </w:r>
    </w:p>
    <w:p w:rsidR="00897DC7" w:rsidRPr="00897DC7" w:rsidRDefault="00496063" w:rsidP="00713714">
      <w:r>
        <w:t xml:space="preserve"> </w:t>
      </w:r>
      <w:r w:rsidR="00897DC7" w:rsidRPr="00897DC7">
        <w:t>gammas = ParameterVector(</w:t>
      </w:r>
      <w:r w:rsidR="00897DC7" w:rsidRPr="00897DC7">
        <w:rPr>
          <w:szCs w:val="20"/>
        </w:rPr>
        <w:t>"γ"</w:t>
      </w:r>
      <w:r w:rsidR="00897DC7" w:rsidRPr="00897DC7">
        <w:t>, p)</w:t>
      </w:r>
    </w:p>
    <w:p w:rsidR="00897DC7" w:rsidRPr="00897DC7" w:rsidRDefault="00496063" w:rsidP="00713714">
      <w:r>
        <w:t xml:space="preserve"> </w:t>
      </w:r>
      <w:r w:rsidR="00897DC7" w:rsidRPr="00897DC7">
        <w:t>betas</w:t>
      </w:r>
      <w:r>
        <w:t xml:space="preserve"> </w:t>
      </w:r>
      <w:r w:rsidR="00897DC7" w:rsidRPr="00897DC7">
        <w:t>= ParameterVector(</w:t>
      </w:r>
      <w:r w:rsidR="00897DC7" w:rsidRPr="00897DC7">
        <w:rPr>
          <w:szCs w:val="20"/>
        </w:rPr>
        <w:t>"β"</w:t>
      </w:r>
      <w:r w:rsidR="00897DC7" w:rsidRPr="00897DC7">
        <w:t>, p)</w:t>
      </w:r>
    </w:p>
    <w:p w:rsidR="00897DC7" w:rsidRPr="00897DC7" w:rsidRDefault="00496063" w:rsidP="00713714">
      <w:r>
        <w:t xml:space="preserve"> </w:t>
      </w:r>
      <w:r w:rsidR="00897DC7" w:rsidRPr="00897DC7">
        <w:t>qc.h(qr)</w:t>
      </w:r>
    </w:p>
    <w:p w:rsidR="00897DC7" w:rsidRPr="00897DC7" w:rsidRDefault="00496063" w:rsidP="00713714">
      <w:r>
        <w:t xml:space="preserve"> </w:t>
      </w:r>
      <w:r w:rsidR="00897DC7" w:rsidRPr="00897DC7">
        <w:rPr>
          <w:szCs w:val="20"/>
        </w:rPr>
        <w:t>for</w:t>
      </w:r>
      <w:r w:rsidR="00897DC7" w:rsidRPr="00897DC7">
        <w:t xml:space="preserve"> k </w:t>
      </w:r>
      <w:r w:rsidR="00897DC7" w:rsidRPr="00897DC7">
        <w:rPr>
          <w:szCs w:val="20"/>
        </w:rPr>
        <w:t>in</w:t>
      </w:r>
      <w:r w:rsidR="00897DC7" w:rsidRPr="00897DC7">
        <w:t xml:space="preserve"> </w:t>
      </w:r>
      <w:r w:rsidR="00897DC7" w:rsidRPr="00897DC7">
        <w:rPr>
          <w:szCs w:val="20"/>
        </w:rPr>
        <w:t>range</w:t>
      </w:r>
      <w:r w:rsidR="00897DC7" w:rsidRPr="00897DC7">
        <w:t>(p):</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(n):</w:t>
      </w:r>
    </w:p>
    <w:p w:rsidR="00897DC7" w:rsidRPr="00897DC7" w:rsidRDefault="00496063" w:rsidP="00713714">
      <w:r>
        <w:t xml:space="preserve"> </w:t>
      </w:r>
      <w:r w:rsidR="00897DC7" w:rsidRPr="00897DC7">
        <w:rPr>
          <w:szCs w:val="20"/>
        </w:rPr>
        <w:t>for</w:t>
      </w:r>
      <w:r w:rsidR="00897DC7" w:rsidRPr="00897DC7">
        <w:t xml:space="preserve"> j </w:t>
      </w:r>
      <w:r w:rsidR="00897DC7" w:rsidRPr="00897DC7">
        <w:rPr>
          <w:szCs w:val="20"/>
        </w:rPr>
        <w:t>in</w:t>
      </w:r>
      <w:r w:rsidR="00897DC7" w:rsidRPr="00897DC7">
        <w:t xml:space="preserve"> </w:t>
      </w:r>
      <w:r w:rsidR="00897DC7" w:rsidRPr="00897DC7">
        <w:rPr>
          <w:szCs w:val="20"/>
        </w:rPr>
        <w:t>range</w:t>
      </w:r>
      <w:r w:rsidR="00897DC7" w:rsidRPr="00897DC7">
        <w:t>(i+</w:t>
      </w:r>
      <w:r w:rsidR="00897DC7" w:rsidRPr="00897DC7">
        <w:rPr>
          <w:szCs w:val="20"/>
        </w:rPr>
        <w:t>1</w:t>
      </w:r>
      <w:r w:rsidR="00897DC7" w:rsidRPr="00897DC7">
        <w:t>, n):</w:t>
      </w:r>
    </w:p>
    <w:p w:rsidR="00897DC7" w:rsidRPr="00897DC7" w:rsidRDefault="00496063" w:rsidP="00713714">
      <w:r>
        <w:t xml:space="preserve"> </w:t>
      </w:r>
      <w:r w:rsidR="00897DC7" w:rsidRPr="00897DC7">
        <w:t xml:space="preserve">w = </w:t>
      </w:r>
      <w:r w:rsidR="00897DC7" w:rsidRPr="00897DC7">
        <w:rPr>
          <w:szCs w:val="20"/>
        </w:rPr>
        <w:t>float</w:t>
      </w:r>
      <w:r w:rsidR="00897DC7" w:rsidRPr="00897DC7">
        <w:t>(adj_mat[i, j])</w:t>
      </w:r>
    </w:p>
    <w:p w:rsidR="00897DC7" w:rsidRPr="00897DC7" w:rsidRDefault="00496063" w:rsidP="00713714">
      <w:r>
        <w:t xml:space="preserve"> </w:t>
      </w:r>
      <w:r w:rsidR="00897DC7" w:rsidRPr="00897DC7">
        <w:rPr>
          <w:szCs w:val="20"/>
        </w:rPr>
        <w:t>if</w:t>
      </w:r>
      <w:r w:rsidR="00897DC7" w:rsidRPr="00897DC7">
        <w:t xml:space="preserve"> </w:t>
      </w:r>
      <w:r w:rsidR="00897DC7" w:rsidRPr="00897DC7">
        <w:rPr>
          <w:szCs w:val="20"/>
        </w:rPr>
        <w:t>abs</w:t>
      </w:r>
      <w:r w:rsidR="00897DC7" w:rsidRPr="00897DC7">
        <w:t xml:space="preserve">(w) &gt; </w:t>
      </w:r>
      <w:r w:rsidR="00897DC7" w:rsidRPr="00897DC7">
        <w:rPr>
          <w:szCs w:val="20"/>
        </w:rPr>
        <w:t>1e-12</w:t>
      </w:r>
      <w:r w:rsidR="00897DC7" w:rsidRPr="00897DC7">
        <w:t>:</w:t>
      </w:r>
    </w:p>
    <w:p w:rsidR="00897DC7" w:rsidRPr="00897DC7" w:rsidRDefault="00496063" w:rsidP="00713714">
      <w:r>
        <w:t xml:space="preserve"> </w:t>
      </w:r>
      <w:r w:rsidR="00897DC7" w:rsidRPr="00897DC7">
        <w:t>qc.cx(qr[i], qr[j]); qc.rz(</w:t>
      </w:r>
      <w:r w:rsidR="00897DC7" w:rsidRPr="00897DC7">
        <w:rPr>
          <w:szCs w:val="20"/>
        </w:rPr>
        <w:t>2</w:t>
      </w:r>
      <w:r w:rsidR="00897DC7" w:rsidRPr="00897DC7">
        <w:t xml:space="preserve"> * gammas[k] * w, qr[j]); qc.cx(qr[i], qr[j])</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(n):</w:t>
      </w:r>
    </w:p>
    <w:p w:rsidR="00897DC7" w:rsidRPr="00897DC7" w:rsidRDefault="00496063" w:rsidP="00713714">
      <w:r>
        <w:t xml:space="preserve"> </w:t>
      </w:r>
      <w:r w:rsidR="00897DC7" w:rsidRPr="00897DC7">
        <w:t>qc.rx(</w:t>
      </w:r>
      <w:r w:rsidR="00897DC7" w:rsidRPr="00897DC7">
        <w:rPr>
          <w:szCs w:val="20"/>
        </w:rPr>
        <w:t>2</w:t>
      </w:r>
      <w:r w:rsidR="00897DC7" w:rsidRPr="00897DC7">
        <w:t xml:space="preserve"> * betas[k], qr[i])</w:t>
      </w:r>
    </w:p>
    <w:p w:rsidR="00897DC7" w:rsidRPr="00897DC7" w:rsidRDefault="00496063" w:rsidP="00713714">
      <w:r>
        <w:t xml:space="preserve"> </w:t>
      </w:r>
      <w:r w:rsidR="00897DC7" w:rsidRPr="00897DC7">
        <w:rPr>
          <w:szCs w:val="20"/>
        </w:rPr>
        <w:t>return</w:t>
      </w:r>
      <w:r w:rsidR="00897DC7" w:rsidRPr="00897DC7">
        <w:t xml:space="preserve"> qc</w:t>
      </w:r>
    </w:p>
    <w:p w:rsidR="00897DC7" w:rsidRPr="00897DC7" w:rsidRDefault="00897DC7" w:rsidP="00713714"/>
    <w:p w:rsidR="00897DC7" w:rsidRPr="00897DC7" w:rsidRDefault="00897DC7" w:rsidP="00713714">
      <w:r w:rsidRPr="00897DC7">
        <w:rPr>
          <w:szCs w:val="20"/>
        </w:rPr>
        <w:t>def</w:t>
      </w:r>
      <w:r w:rsidRPr="00897DC7">
        <w:t xml:space="preserve"> </w:t>
      </w:r>
      <w:r w:rsidRPr="00897DC7">
        <w:rPr>
          <w:szCs w:val="20"/>
        </w:rPr>
        <w:t>pharmacophoric_pqc</w:t>
      </w:r>
      <w:r w:rsidRPr="00897DC7">
        <w:t>(</w:t>
      </w:r>
      <w:r w:rsidRPr="00897DC7">
        <w:rPr>
          <w:szCs w:val="20"/>
        </w:rPr>
        <w:t>n_feat=5</w:t>
      </w:r>
      <w:r w:rsidRPr="00897DC7">
        <w:t>, depth=</w:t>
      </w:r>
      <w:r w:rsidRPr="00897DC7">
        <w:rPr>
          <w:szCs w:val="20"/>
        </w:rPr>
        <w:t>2</w:t>
      </w:r>
      <w:r w:rsidRPr="00897DC7">
        <w:t>, lambda_ph4=</w:t>
      </w:r>
      <w:r w:rsidRPr="00897DC7">
        <w:rPr>
          <w:szCs w:val="20"/>
        </w:rPr>
        <w:t>0.4</w:t>
      </w:r>
      <w:r w:rsidRPr="00897DC7">
        <w:t>, lambda_curv=</w:t>
      </w:r>
      <w:r w:rsidRPr="00897DC7">
        <w:rPr>
          <w:szCs w:val="20"/>
        </w:rPr>
        <w:t>0.35</w:t>
      </w:r>
      <w:r w:rsidRPr="00897DC7">
        <w:t>, readout_qubits=</w:t>
      </w:r>
      <w:r w:rsidRPr="00897DC7">
        <w:rPr>
          <w:szCs w:val="20"/>
        </w:rPr>
        <w:t>1</w:t>
      </w:r>
      <w:r w:rsidRPr="00897DC7">
        <w:t>):</w:t>
      </w:r>
    </w:p>
    <w:p w:rsidR="00897DC7" w:rsidRPr="00897DC7" w:rsidRDefault="00496063" w:rsidP="00713714">
      <w:r>
        <w:t xml:space="preserve"> </w:t>
      </w:r>
      <w:r w:rsidR="00897DC7" w:rsidRPr="00897DC7">
        <w:t xml:space="preserve">n_qubits = </w:t>
      </w:r>
      <w:r w:rsidR="00897DC7" w:rsidRPr="00897DC7">
        <w:rPr>
          <w:szCs w:val="20"/>
        </w:rPr>
        <w:t>int</w:t>
      </w:r>
      <w:r w:rsidR="00897DC7" w:rsidRPr="00897DC7">
        <w:t>(</w:t>
      </w:r>
      <w:r w:rsidR="00897DC7" w:rsidRPr="00897DC7">
        <w:rPr>
          <w:szCs w:val="20"/>
        </w:rPr>
        <w:t>2</w:t>
      </w:r>
      <w:r w:rsidR="00897DC7" w:rsidRPr="00897DC7">
        <w:t xml:space="preserve"> ** </w:t>
      </w:r>
      <w:r w:rsidR="00897DC7" w:rsidRPr="00897DC7">
        <w:rPr>
          <w:szCs w:val="20"/>
        </w:rPr>
        <w:t>int</w:t>
      </w:r>
      <w:r w:rsidR="00897DC7" w:rsidRPr="00897DC7">
        <w:t>(np.ceil(np.log2(</w:t>
      </w:r>
      <w:r w:rsidR="00897DC7" w:rsidRPr="00897DC7">
        <w:rPr>
          <w:szCs w:val="20"/>
        </w:rPr>
        <w:t>max</w:t>
      </w:r>
      <w:r w:rsidR="00897DC7" w:rsidRPr="00897DC7">
        <w:t>(</w:t>
      </w:r>
      <w:r w:rsidR="00897DC7" w:rsidRPr="00897DC7">
        <w:rPr>
          <w:szCs w:val="20"/>
        </w:rPr>
        <w:t>2</w:t>
      </w:r>
      <w:r w:rsidR="00897DC7" w:rsidRPr="00897DC7">
        <w:t>, n_feat)))))</w:t>
      </w:r>
    </w:p>
    <w:p w:rsidR="00897DC7" w:rsidRPr="00897DC7" w:rsidRDefault="00496063" w:rsidP="00713714">
      <w:r>
        <w:t xml:space="preserve"> </w:t>
      </w:r>
      <w:r w:rsidR="00897DC7" w:rsidRPr="00897DC7">
        <w:t xml:space="preserve">qr = QuantumRegister(n_qubits, </w:t>
      </w:r>
      <w:r w:rsidR="00897DC7" w:rsidRPr="00897DC7">
        <w:rPr>
          <w:szCs w:val="20"/>
        </w:rPr>
        <w:t>"pqc"</w:t>
      </w:r>
      <w:r w:rsidR="00897DC7" w:rsidRPr="00897DC7">
        <w:t>)</w:t>
      </w:r>
    </w:p>
    <w:p w:rsidR="00897DC7" w:rsidRPr="00897DC7" w:rsidRDefault="00496063" w:rsidP="00713714">
      <w:r>
        <w:t xml:space="preserve"> </w:t>
      </w:r>
      <w:r w:rsidR="00897DC7" w:rsidRPr="00897DC7">
        <w:t xml:space="preserve">cr = ClassicalRegister(readout_qubits, </w:t>
      </w:r>
      <w:r w:rsidR="00897DC7" w:rsidRPr="00897DC7">
        <w:rPr>
          <w:szCs w:val="20"/>
        </w:rPr>
        <w:t>"c"</w:t>
      </w:r>
      <w:r w:rsidR="00897DC7" w:rsidRPr="00897DC7">
        <w:t>)</w:t>
      </w:r>
    </w:p>
    <w:p w:rsidR="00897DC7" w:rsidRPr="00897DC7" w:rsidRDefault="00496063" w:rsidP="00713714">
      <w:r>
        <w:t xml:space="preserve"> </w:t>
      </w:r>
      <w:r w:rsidR="00897DC7" w:rsidRPr="00897DC7">
        <w:t>qc = QuantumCircuit(qr, cr, name=</w:t>
      </w:r>
      <w:r w:rsidR="00897DC7" w:rsidRPr="00897DC7">
        <w:rPr>
          <w:szCs w:val="20"/>
        </w:rPr>
        <w:t>"Ph4_ODE"</w:t>
      </w:r>
      <w:r w:rsidR="00897DC7" w:rsidRPr="00897DC7">
        <w:t>)</w:t>
      </w:r>
    </w:p>
    <w:p w:rsidR="00897DC7" w:rsidRPr="00897DC7" w:rsidRDefault="00496063" w:rsidP="00713714">
      <w:r>
        <w:t xml:space="preserve"> </w:t>
      </w:r>
      <w:r w:rsidR="00897DC7" w:rsidRPr="00897DC7">
        <w:t>theta = ParameterVector(</w:t>
      </w:r>
      <w:r w:rsidR="00897DC7" w:rsidRPr="00897DC7">
        <w:rPr>
          <w:szCs w:val="20"/>
        </w:rPr>
        <w:t>"θ"</w:t>
      </w:r>
      <w:r w:rsidR="00897DC7" w:rsidRPr="00897DC7">
        <w:t>, depth * (</w:t>
      </w:r>
      <w:r w:rsidR="00897DC7" w:rsidRPr="00897DC7">
        <w:rPr>
          <w:szCs w:val="20"/>
        </w:rPr>
        <w:t>3</w:t>
      </w:r>
      <w:r w:rsidR="00897DC7" w:rsidRPr="00897DC7">
        <w:t xml:space="preserve"> * n_qubits))</w:t>
      </w:r>
    </w:p>
    <w:p w:rsidR="00897DC7" w:rsidRPr="00897DC7" w:rsidRDefault="00496063" w:rsidP="00713714">
      <w:r>
        <w:t xml:space="preserve"> </w:t>
      </w:r>
      <w:r w:rsidR="00897DC7" w:rsidRPr="00897DC7">
        <w:t>x</w:t>
      </w:r>
      <w:r>
        <w:t xml:space="preserve"> </w:t>
      </w:r>
      <w:r w:rsidR="00897DC7" w:rsidRPr="00897DC7">
        <w:t>= ParameterVector(</w:t>
      </w:r>
      <w:r w:rsidR="00897DC7" w:rsidRPr="00897DC7">
        <w:rPr>
          <w:szCs w:val="20"/>
        </w:rPr>
        <w:t>"x"</w:t>
      </w:r>
      <w:r w:rsidR="00897DC7" w:rsidRPr="00897DC7">
        <w:t>, n_feat)</w:t>
      </w:r>
    </w:p>
    <w:p w:rsidR="00897DC7" w:rsidRPr="00897DC7" w:rsidRDefault="00496063" w:rsidP="00713714">
      <w:r>
        <w:t xml:space="preserve"> </w:t>
      </w:r>
      <w:r w:rsidR="00897DC7" w:rsidRPr="00897DC7">
        <w:t>m</w:t>
      </w:r>
      <w:r>
        <w:t xml:space="preserve"> </w:t>
      </w:r>
      <w:r w:rsidR="00897DC7" w:rsidRPr="00897DC7">
        <w:t>= ParameterVector(</w:t>
      </w:r>
      <w:r w:rsidR="00897DC7" w:rsidRPr="00897DC7">
        <w:rPr>
          <w:szCs w:val="20"/>
        </w:rPr>
        <w:t>"m"</w:t>
      </w:r>
      <w:r w:rsidR="00897DC7" w:rsidRPr="00897DC7">
        <w:t>, n_feat)</w:t>
      </w:r>
    </w:p>
    <w:p w:rsidR="00897DC7" w:rsidRPr="00897DC7" w:rsidRDefault="00496063" w:rsidP="00713714">
      <w:r>
        <w:t xml:space="preserve"> </w:t>
      </w:r>
      <w:r w:rsidR="00897DC7" w:rsidRPr="00897DC7">
        <w:t>kappa = ParameterVector(</w:t>
      </w:r>
      <w:r w:rsidR="00897DC7" w:rsidRPr="00897DC7">
        <w:rPr>
          <w:szCs w:val="20"/>
        </w:rPr>
        <w:t>"k"</w:t>
      </w:r>
      <w:r w:rsidR="00897DC7" w:rsidRPr="00897DC7">
        <w:t>, n_feat)</w:t>
      </w:r>
    </w:p>
    <w:p w:rsidR="00897DC7" w:rsidRPr="00897DC7" w:rsidRDefault="00897DC7" w:rsidP="00713714"/>
    <w:p w:rsidR="00897DC7" w:rsidRPr="00897DC7" w:rsidRDefault="00496063" w:rsidP="00713714">
      <w:r>
        <w:t xml:space="preserve"> </w:t>
      </w:r>
      <w:r w:rsidR="00897DC7" w:rsidRPr="00897DC7">
        <w:t>def encode(d):</w:t>
      </w:r>
    </w:p>
    <w:p w:rsidR="00897DC7" w:rsidRPr="00897DC7" w:rsidRDefault="00496063" w:rsidP="00713714">
      <w:r>
        <w:t xml:space="preserve"> </w:t>
      </w:r>
      <w:r w:rsidR="00897DC7" w:rsidRPr="00897DC7">
        <w:t>base = d * (</w:t>
      </w:r>
      <w:r w:rsidR="00897DC7" w:rsidRPr="00897DC7">
        <w:rPr>
          <w:szCs w:val="20"/>
        </w:rPr>
        <w:t>3</w:t>
      </w:r>
      <w:r w:rsidR="00897DC7" w:rsidRPr="00897DC7">
        <w:t xml:space="preserve"> * n_qubits)</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(n_qubits):</w:t>
      </w:r>
    </w:p>
    <w:p w:rsidR="00897DC7" w:rsidRPr="00897DC7" w:rsidRDefault="00496063" w:rsidP="00713714">
      <w:r>
        <w:t xml:space="preserve"> </w:t>
      </w:r>
      <w:r w:rsidR="00897DC7" w:rsidRPr="00897DC7">
        <w:t>f = i % n_feat</w:t>
      </w:r>
    </w:p>
    <w:p w:rsidR="00897DC7" w:rsidRPr="00897DC7" w:rsidRDefault="00496063" w:rsidP="00713714">
      <w:r>
        <w:t xml:space="preserve"> </w:t>
      </w:r>
      <w:r w:rsidR="00897DC7" w:rsidRPr="00897DC7">
        <w:t xml:space="preserve">qc.rx(x[f] + theta[base + </w:t>
      </w:r>
      <w:r w:rsidR="00897DC7" w:rsidRPr="00897DC7">
        <w:rPr>
          <w:szCs w:val="20"/>
        </w:rPr>
        <w:t>3</w:t>
      </w:r>
      <w:r w:rsidR="00897DC7" w:rsidRPr="00897DC7">
        <w:t xml:space="preserve">*i + </w:t>
      </w:r>
      <w:r w:rsidR="00897DC7" w:rsidRPr="00897DC7">
        <w:rPr>
          <w:szCs w:val="20"/>
        </w:rPr>
        <w:t>0</w:t>
      </w:r>
      <w:r w:rsidR="00897DC7" w:rsidRPr="00897DC7">
        <w:t>], qr[i])</w:t>
      </w:r>
    </w:p>
    <w:p w:rsidR="00897DC7" w:rsidRPr="00897DC7" w:rsidRDefault="00496063" w:rsidP="00713714">
      <w:r>
        <w:t xml:space="preserve"> </w:t>
      </w:r>
      <w:r w:rsidR="00897DC7" w:rsidRPr="00897DC7">
        <w:t xml:space="preserve">qc.rz(lambda_curv * kappa[f] * x[f] + theta[base + </w:t>
      </w:r>
      <w:r w:rsidR="00897DC7" w:rsidRPr="00897DC7">
        <w:rPr>
          <w:szCs w:val="20"/>
        </w:rPr>
        <w:t>3</w:t>
      </w:r>
      <w:r w:rsidR="00897DC7" w:rsidRPr="00897DC7">
        <w:t xml:space="preserve">*i + </w:t>
      </w:r>
      <w:r w:rsidR="00897DC7" w:rsidRPr="00897DC7">
        <w:rPr>
          <w:szCs w:val="20"/>
        </w:rPr>
        <w:t>1</w:t>
      </w:r>
      <w:r w:rsidR="00897DC7" w:rsidRPr="00897DC7">
        <w:t>], qr[i])</w:t>
      </w:r>
    </w:p>
    <w:p w:rsidR="00897DC7" w:rsidRPr="00897DC7" w:rsidRDefault="00496063" w:rsidP="00713714">
      <w:r>
        <w:t xml:space="preserve"> </w:t>
      </w:r>
      <w:r w:rsidR="00897DC7" w:rsidRPr="00897DC7">
        <w:t xml:space="preserve">qc.ry(theta[base + </w:t>
      </w:r>
      <w:r w:rsidR="00897DC7" w:rsidRPr="00897DC7">
        <w:rPr>
          <w:szCs w:val="20"/>
        </w:rPr>
        <w:t>3</w:t>
      </w:r>
      <w:r w:rsidR="00897DC7" w:rsidRPr="00897DC7">
        <w:t xml:space="preserve">*i + </w:t>
      </w:r>
      <w:r w:rsidR="00897DC7" w:rsidRPr="00897DC7">
        <w:rPr>
          <w:szCs w:val="20"/>
        </w:rPr>
        <w:t>2</w:t>
      </w:r>
      <w:r w:rsidR="00897DC7" w:rsidRPr="00897DC7">
        <w:t>], qr[i])</w:t>
      </w:r>
    </w:p>
    <w:p w:rsidR="00897DC7" w:rsidRPr="00897DC7" w:rsidRDefault="00897DC7" w:rsidP="00713714"/>
    <w:p w:rsidR="00897DC7" w:rsidRPr="00897DC7" w:rsidRDefault="00496063" w:rsidP="00713714">
      <w:r>
        <w:t xml:space="preserve"> </w:t>
      </w:r>
      <w:r w:rsidR="00897DC7" w:rsidRPr="00897DC7">
        <w:t>def entangle():</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 xml:space="preserve">(n_qubits - </w:t>
      </w:r>
      <w:r w:rsidR="00897DC7" w:rsidRPr="00897DC7">
        <w:rPr>
          <w:szCs w:val="20"/>
        </w:rPr>
        <w:t>1</w:t>
      </w:r>
      <w:r w:rsidR="00897DC7" w:rsidRPr="00897DC7">
        <w:t>):</w:t>
      </w:r>
    </w:p>
    <w:p w:rsidR="00897DC7" w:rsidRPr="00897DC7" w:rsidRDefault="00496063" w:rsidP="00713714">
      <w:r>
        <w:t xml:space="preserve"> </w:t>
      </w:r>
      <w:r w:rsidR="00897DC7" w:rsidRPr="00897DC7">
        <w:t xml:space="preserve">qc.cz(qr[i], qr[i + </w:t>
      </w:r>
      <w:r w:rsidR="00897DC7" w:rsidRPr="00897DC7">
        <w:rPr>
          <w:szCs w:val="20"/>
        </w:rPr>
        <w:t>1</w:t>
      </w:r>
      <w:r w:rsidR="00897DC7" w:rsidRPr="00897DC7">
        <w:t>])</w:t>
      </w:r>
    </w:p>
    <w:p w:rsidR="00897DC7" w:rsidRPr="00897DC7" w:rsidRDefault="00897DC7" w:rsidP="00713714"/>
    <w:p w:rsidR="00897DC7" w:rsidRPr="00897DC7" w:rsidRDefault="00496063" w:rsidP="00713714">
      <w:r>
        <w:t xml:space="preserve"> </w:t>
      </w:r>
      <w:r w:rsidR="00897DC7" w:rsidRPr="00897DC7">
        <w:t>def penalty():</w:t>
      </w:r>
    </w:p>
    <w:p w:rsidR="00897DC7" w:rsidRPr="00897DC7" w:rsidRDefault="00496063" w:rsidP="00713714">
      <w:r>
        <w:t xml:space="preserve"> </w:t>
      </w:r>
      <w:r w:rsidR="00897DC7" w:rsidRPr="00897DC7">
        <w:rPr>
          <w:szCs w:val="20"/>
        </w:rPr>
        <w:t>for</w:t>
      </w:r>
      <w:r w:rsidR="00897DC7" w:rsidRPr="00897DC7">
        <w:t xml:space="preserve"> i </w:t>
      </w:r>
      <w:r w:rsidR="00897DC7" w:rsidRPr="00897DC7">
        <w:rPr>
          <w:szCs w:val="20"/>
        </w:rPr>
        <w:t>in</w:t>
      </w:r>
      <w:r w:rsidR="00897DC7" w:rsidRPr="00897DC7">
        <w:t xml:space="preserve"> </w:t>
      </w:r>
      <w:r w:rsidR="00897DC7" w:rsidRPr="00897DC7">
        <w:rPr>
          <w:szCs w:val="20"/>
        </w:rPr>
        <w:t>range</w:t>
      </w:r>
      <w:r w:rsidR="00897DC7" w:rsidRPr="00897DC7">
        <w:t>(</w:t>
      </w:r>
      <w:r w:rsidR="00897DC7" w:rsidRPr="00897DC7">
        <w:rPr>
          <w:szCs w:val="20"/>
        </w:rPr>
        <w:t>min</w:t>
      </w:r>
      <w:r w:rsidR="00897DC7" w:rsidRPr="00897DC7">
        <w:t>(n_feat, n_qubits)):</w:t>
      </w:r>
    </w:p>
    <w:p w:rsidR="00897DC7" w:rsidRPr="00897DC7" w:rsidRDefault="00496063" w:rsidP="00713714">
      <w:r>
        <w:t xml:space="preserve"> </w:t>
      </w:r>
      <w:r w:rsidR="00897DC7" w:rsidRPr="00897DC7">
        <w:rPr>
          <w:szCs w:val="20"/>
        </w:rPr>
        <w:t>for</w:t>
      </w:r>
      <w:r w:rsidR="00897DC7" w:rsidRPr="00897DC7">
        <w:t xml:space="preserve"> j </w:t>
      </w:r>
      <w:r w:rsidR="00897DC7" w:rsidRPr="00897DC7">
        <w:rPr>
          <w:szCs w:val="20"/>
        </w:rPr>
        <w:t>in</w:t>
      </w:r>
      <w:r w:rsidR="00897DC7" w:rsidRPr="00897DC7">
        <w:t xml:space="preserve"> </w:t>
      </w:r>
      <w:r w:rsidR="00897DC7" w:rsidRPr="00897DC7">
        <w:rPr>
          <w:szCs w:val="20"/>
        </w:rPr>
        <w:t>range</w:t>
      </w:r>
      <w:r w:rsidR="00897DC7" w:rsidRPr="00897DC7">
        <w:t>(i+</w:t>
      </w:r>
      <w:r w:rsidR="00897DC7" w:rsidRPr="00897DC7">
        <w:rPr>
          <w:szCs w:val="20"/>
        </w:rPr>
        <w:t>1</w:t>
      </w:r>
      <w:r w:rsidR="00897DC7" w:rsidRPr="00897DC7">
        <w:t xml:space="preserve">, </w:t>
      </w:r>
      <w:r w:rsidR="00897DC7" w:rsidRPr="00897DC7">
        <w:rPr>
          <w:szCs w:val="20"/>
        </w:rPr>
        <w:t>min</w:t>
      </w:r>
      <w:r w:rsidR="00897DC7" w:rsidRPr="00897DC7">
        <w:t>(n_feat, n_qubits)):</w:t>
      </w:r>
    </w:p>
    <w:p w:rsidR="00897DC7" w:rsidRPr="00897DC7" w:rsidRDefault="00496063" w:rsidP="00713714">
      <w:r>
        <w:t xml:space="preserve"> </w:t>
      </w:r>
      <w:r w:rsidR="00897DC7" w:rsidRPr="00897DC7">
        <w:t xml:space="preserve">angle = </w:t>
      </w:r>
      <w:r w:rsidR="00897DC7" w:rsidRPr="00897DC7">
        <w:rPr>
          <w:szCs w:val="20"/>
        </w:rPr>
        <w:t>2</w:t>
      </w:r>
      <w:r w:rsidR="00897DC7" w:rsidRPr="00897DC7">
        <w:t xml:space="preserve"> * lambda_ph4 * m[i] * m[j]</w:t>
      </w:r>
    </w:p>
    <w:p w:rsidR="00897DC7" w:rsidRPr="00897DC7" w:rsidRDefault="00496063" w:rsidP="00713714">
      <w:r>
        <w:t xml:space="preserve"> </w:t>
      </w:r>
      <w:r w:rsidR="00897DC7" w:rsidRPr="00897DC7">
        <w:t>qc.cx(qr[i], qr[j]); qc.rz(angle, qr[j]); qc.cx(qr[i], qr[j])</w:t>
      </w:r>
    </w:p>
    <w:p w:rsidR="00897DC7" w:rsidRPr="00897DC7" w:rsidRDefault="00897DC7" w:rsidP="00713714"/>
    <w:p w:rsidR="00897DC7" w:rsidRPr="00897DC7" w:rsidRDefault="00496063" w:rsidP="00713714">
      <w:r>
        <w:t xml:space="preserve"> </w:t>
      </w:r>
      <w:r w:rsidR="00897DC7" w:rsidRPr="00897DC7">
        <w:rPr>
          <w:szCs w:val="20"/>
        </w:rPr>
        <w:t>for</w:t>
      </w:r>
      <w:r w:rsidR="00897DC7" w:rsidRPr="00897DC7">
        <w:t xml:space="preserve"> d </w:t>
      </w:r>
      <w:r w:rsidR="00897DC7" w:rsidRPr="00897DC7">
        <w:rPr>
          <w:szCs w:val="20"/>
        </w:rPr>
        <w:t>in</w:t>
      </w:r>
      <w:r w:rsidR="00897DC7" w:rsidRPr="00897DC7">
        <w:t xml:space="preserve"> </w:t>
      </w:r>
      <w:r w:rsidR="00897DC7" w:rsidRPr="00897DC7">
        <w:rPr>
          <w:szCs w:val="20"/>
        </w:rPr>
        <w:t>range</w:t>
      </w:r>
      <w:r w:rsidR="00897DC7" w:rsidRPr="00897DC7">
        <w:t>(depth):</w:t>
      </w:r>
    </w:p>
    <w:p w:rsidR="00897DC7" w:rsidRPr="00897DC7" w:rsidRDefault="00496063" w:rsidP="00713714">
      <w:r>
        <w:t xml:space="preserve"> </w:t>
      </w:r>
      <w:r w:rsidR="00897DC7" w:rsidRPr="00897DC7">
        <w:t>encode(d); entangle(); penalty()</w:t>
      </w:r>
    </w:p>
    <w:p w:rsidR="00897DC7" w:rsidRPr="00897DC7" w:rsidRDefault="00897DC7" w:rsidP="00713714"/>
    <w:p w:rsidR="00897DC7" w:rsidRPr="00897DC7" w:rsidRDefault="00496063" w:rsidP="00713714">
      <w:r>
        <w:t xml:space="preserve"> </w:t>
      </w:r>
      <w:r w:rsidR="00897DC7" w:rsidRPr="00897DC7">
        <w:rPr>
          <w:szCs w:val="20"/>
        </w:rPr>
        <w:t>for</w:t>
      </w:r>
      <w:r w:rsidR="00897DC7" w:rsidRPr="00897DC7">
        <w:t xml:space="preserve"> r </w:t>
      </w:r>
      <w:r w:rsidR="00897DC7" w:rsidRPr="00897DC7">
        <w:rPr>
          <w:szCs w:val="20"/>
        </w:rPr>
        <w:t>in</w:t>
      </w:r>
      <w:r w:rsidR="00897DC7" w:rsidRPr="00897DC7">
        <w:t xml:space="preserve"> </w:t>
      </w:r>
      <w:r w:rsidR="00897DC7" w:rsidRPr="00897DC7">
        <w:rPr>
          <w:szCs w:val="20"/>
        </w:rPr>
        <w:t>range</w:t>
      </w:r>
      <w:r w:rsidR="00897DC7" w:rsidRPr="00897DC7">
        <w:t>(readout_qubits):</w:t>
      </w:r>
    </w:p>
    <w:p w:rsidR="00897DC7" w:rsidRPr="00897DC7" w:rsidRDefault="00496063" w:rsidP="00713714">
      <w:r>
        <w:t xml:space="preserve"> </w:t>
      </w:r>
      <w:r w:rsidR="00897DC7" w:rsidRPr="00897DC7">
        <w:t>qc.measure(qr[r], cr[r])</w:t>
      </w:r>
    </w:p>
    <w:p w:rsidR="00897DC7" w:rsidRPr="00897DC7" w:rsidRDefault="00496063" w:rsidP="00713714">
      <w:r>
        <w:t xml:space="preserve"> </w:t>
      </w:r>
      <w:r w:rsidR="00897DC7" w:rsidRPr="00897DC7">
        <w:rPr>
          <w:szCs w:val="20"/>
        </w:rPr>
        <w:t>return</w:t>
      </w:r>
      <w:r w:rsidR="00897DC7" w:rsidRPr="00897DC7">
        <w:t xml:space="preserve"> qc</w:t>
      </w:r>
    </w:p>
    <w:p w:rsidR="00897DC7" w:rsidRPr="00897DC7" w:rsidRDefault="00897DC7" w:rsidP="00713714"/>
    <w:p w:rsidR="00897DC7" w:rsidRPr="00897DC7" w:rsidRDefault="00897DC7" w:rsidP="00713714">
      <w:r w:rsidRPr="00897DC7">
        <w:rPr>
          <w:szCs w:val="20"/>
        </w:rPr>
        <w:t>def</w:t>
      </w:r>
      <w:r w:rsidRPr="00897DC7">
        <w:t xml:space="preserve"> </w:t>
      </w:r>
      <w:r w:rsidRPr="00897DC7">
        <w:rPr>
          <w:szCs w:val="20"/>
        </w:rPr>
        <w:t>pharmacophoric_odes_circuit</w:t>
      </w:r>
      <w:r w:rsidRPr="00897DC7">
        <w:t>(</w:t>
      </w:r>
      <w:r w:rsidRPr="00897DC7">
        <w:rPr>
          <w:szCs w:val="20"/>
        </w:rPr>
        <w:t>adj_mat, n_feat=5</w:t>
      </w:r>
      <w:r w:rsidRPr="00897DC7">
        <w:t>, p_qaoa=</w:t>
      </w:r>
      <w:r w:rsidRPr="00897DC7">
        <w:rPr>
          <w:szCs w:val="20"/>
        </w:rPr>
        <w:t>2</w:t>
      </w:r>
      <w:r w:rsidRPr="00897DC7">
        <w:t>, depth_pqc=</w:t>
      </w:r>
      <w:r w:rsidRPr="00897DC7">
        <w:rPr>
          <w:szCs w:val="20"/>
        </w:rPr>
        <w:t>2</w:t>
      </w:r>
      <w:r w:rsidRPr="00897DC7">
        <w:t>, lambda_ph4=</w:t>
      </w:r>
      <w:r w:rsidRPr="00897DC7">
        <w:rPr>
          <w:szCs w:val="20"/>
        </w:rPr>
        <w:t>0.4</w:t>
      </w:r>
      <w:r w:rsidRPr="00897DC7">
        <w:t>, lambda_curv=</w:t>
      </w:r>
      <w:r w:rsidRPr="00897DC7">
        <w:rPr>
          <w:szCs w:val="20"/>
        </w:rPr>
        <w:t>0.35</w:t>
      </w:r>
      <w:r w:rsidRPr="00897DC7">
        <w:t>, readout_qubits=</w:t>
      </w:r>
      <w:r w:rsidRPr="00897DC7">
        <w:rPr>
          <w:szCs w:val="20"/>
        </w:rPr>
        <w:t>1</w:t>
      </w:r>
      <w:r w:rsidRPr="00897DC7">
        <w:t>):</w:t>
      </w:r>
    </w:p>
    <w:p w:rsidR="00897DC7" w:rsidRPr="00897DC7" w:rsidRDefault="00496063" w:rsidP="00713714">
      <w:r>
        <w:t xml:space="preserve"> </w:t>
      </w:r>
      <w:r w:rsidR="00897DC7" w:rsidRPr="00897DC7">
        <w:t>qaoa = qaoa_diversity_circuit(adj_mat, p=p_qaoa)</w:t>
      </w:r>
    </w:p>
    <w:p w:rsidR="00897DC7" w:rsidRPr="00897DC7" w:rsidRDefault="00496063" w:rsidP="00713714">
      <w:r>
        <w:t xml:space="preserve"> </w:t>
      </w:r>
      <w:r w:rsidR="00897DC7" w:rsidRPr="00897DC7">
        <w:t>pqc</w:t>
      </w:r>
      <w:r>
        <w:t xml:space="preserve"> </w:t>
      </w:r>
      <w:r w:rsidR="00897DC7" w:rsidRPr="00897DC7">
        <w:t>= pharmacophoric_pqc(n_feat, depth_pqc, lambda_ph4, lambda_curv, readout_qubits)</w:t>
      </w:r>
    </w:p>
    <w:p w:rsidR="00897DC7" w:rsidRPr="00897DC7" w:rsidRDefault="00496063" w:rsidP="00713714">
      <w:r>
        <w:t xml:space="preserve"> </w:t>
      </w:r>
      <w:r w:rsidR="00897DC7" w:rsidRPr="00897DC7">
        <w:t>full = qaoa.tensor(pqc)</w:t>
      </w:r>
    </w:p>
    <w:p w:rsidR="00897DC7" w:rsidRPr="00897DC7" w:rsidRDefault="00496063" w:rsidP="00713714">
      <w:r>
        <w:t xml:space="preserve"> </w:t>
      </w:r>
      <w:r w:rsidR="00897DC7" w:rsidRPr="00897DC7">
        <w:t>full.barrier()</w:t>
      </w:r>
    </w:p>
    <w:p w:rsidR="00897DC7" w:rsidRPr="00897DC7" w:rsidRDefault="00496063" w:rsidP="00713714">
      <w:r>
        <w:t xml:space="preserve"> </w:t>
      </w:r>
      <w:r w:rsidR="00897DC7" w:rsidRPr="00897DC7">
        <w:t>full.name = "Quantum-Geometry_Ph4ODEs"</w:t>
      </w:r>
    </w:p>
    <w:p w:rsidR="00897DC7" w:rsidRPr="00897DC7" w:rsidRDefault="00496063" w:rsidP="00713714">
      <w:r>
        <w:t xml:space="preserve"> </w:t>
      </w:r>
      <w:r w:rsidR="00897DC7" w:rsidRPr="00897DC7">
        <w:rPr>
          <w:szCs w:val="20"/>
        </w:rPr>
        <w:t>return</w:t>
      </w:r>
      <w:r w:rsidR="00897DC7" w:rsidRPr="00897DC7">
        <w:t xml:space="preserve"> full</w:t>
      </w:r>
    </w:p>
    <w:p w:rsidR="00897DC7" w:rsidRPr="00897DC7" w:rsidRDefault="00897DC7" w:rsidP="00713714"/>
    <w:p w:rsidR="00897DC7" w:rsidRPr="00897DC7" w:rsidRDefault="00897DC7" w:rsidP="00713714">
      <w:r w:rsidRPr="00897DC7">
        <w:rPr>
          <w:szCs w:val="20"/>
        </w:rPr>
        <w:t>if</w:t>
      </w:r>
      <w:r w:rsidRPr="00897DC7">
        <w:t xml:space="preserve"> __name__ == </w:t>
      </w:r>
      <w:r w:rsidRPr="00897DC7">
        <w:rPr>
          <w:szCs w:val="20"/>
        </w:rPr>
        <w:t>"__main__"</w:t>
      </w:r>
      <w:r w:rsidRPr="00897DC7">
        <w:t>:</w:t>
      </w:r>
    </w:p>
    <w:p w:rsidR="00897DC7" w:rsidRPr="00897DC7" w:rsidRDefault="00496063" w:rsidP="00713714">
      <w:r>
        <w:t xml:space="preserve"> </w:t>
      </w:r>
      <w:r w:rsidR="00897DC7" w:rsidRPr="00897DC7">
        <w:t>W = np.array([</w:t>
      </w:r>
    </w:p>
    <w:p w:rsidR="00897DC7" w:rsidRPr="00897DC7" w:rsidRDefault="00496063" w:rsidP="00713714">
      <w:r>
        <w:t xml:space="preserve"> </w:t>
      </w:r>
      <w:r w:rsidR="00897DC7" w:rsidRPr="00897DC7">
        <w:t>[</w:t>
      </w:r>
      <w:r w:rsidR="00897DC7" w:rsidRPr="00897DC7">
        <w:rPr>
          <w:szCs w:val="20"/>
        </w:rPr>
        <w:t>0</w:t>
      </w:r>
      <w:r w:rsidR="00897DC7" w:rsidRPr="00897DC7">
        <w:t xml:space="preserve">, </w:t>
      </w:r>
      <w:r w:rsidR="00897DC7" w:rsidRPr="00897DC7">
        <w:rPr>
          <w:szCs w:val="20"/>
        </w:rPr>
        <w:t>0.7</w:t>
      </w:r>
      <w:r w:rsidR="00897DC7" w:rsidRPr="00897DC7">
        <w:t xml:space="preserve">, </w:t>
      </w:r>
      <w:r w:rsidR="00897DC7" w:rsidRPr="00897DC7">
        <w:rPr>
          <w:szCs w:val="20"/>
        </w:rPr>
        <w:t>0.2</w:t>
      </w:r>
      <w:r w:rsidR="00897DC7" w:rsidRPr="00897DC7">
        <w:t xml:space="preserve">, </w:t>
      </w:r>
      <w:r w:rsidR="00897DC7" w:rsidRPr="00897DC7">
        <w:rPr>
          <w:szCs w:val="20"/>
        </w:rPr>
        <w:t>0.0</w:t>
      </w:r>
      <w:r w:rsidR="00897DC7" w:rsidRPr="00897DC7">
        <w:t xml:space="preserve">, </w:t>
      </w:r>
      <w:r w:rsidR="00897DC7" w:rsidRPr="00897DC7">
        <w:rPr>
          <w:szCs w:val="20"/>
        </w:rPr>
        <w:t>0.1</w:t>
      </w:r>
      <w:r w:rsidR="00897DC7" w:rsidRPr="00897DC7">
        <w:t>],</w:t>
      </w:r>
    </w:p>
    <w:p w:rsidR="00897DC7" w:rsidRPr="00897DC7" w:rsidRDefault="00496063" w:rsidP="00713714">
      <w:r>
        <w:t xml:space="preserve"> </w:t>
      </w:r>
      <w:r w:rsidR="00897DC7" w:rsidRPr="00897DC7">
        <w:t>[</w:t>
      </w:r>
      <w:r w:rsidR="00897DC7" w:rsidRPr="00897DC7">
        <w:rPr>
          <w:szCs w:val="20"/>
        </w:rPr>
        <w:t>0.7</w:t>
      </w:r>
      <w:r w:rsidR="00897DC7" w:rsidRPr="00897DC7">
        <w:t xml:space="preserve">, </w:t>
      </w:r>
      <w:r w:rsidR="00897DC7" w:rsidRPr="00897DC7">
        <w:rPr>
          <w:szCs w:val="20"/>
        </w:rPr>
        <w:t>0</w:t>
      </w:r>
      <w:r w:rsidR="00897DC7" w:rsidRPr="00897DC7">
        <w:t xml:space="preserve">, </w:t>
      </w:r>
      <w:r w:rsidR="00897DC7" w:rsidRPr="00897DC7">
        <w:rPr>
          <w:szCs w:val="20"/>
        </w:rPr>
        <w:t>0.4</w:t>
      </w:r>
      <w:r w:rsidR="00897DC7" w:rsidRPr="00897DC7">
        <w:t xml:space="preserve">, </w:t>
      </w:r>
      <w:r w:rsidR="00897DC7" w:rsidRPr="00897DC7">
        <w:rPr>
          <w:szCs w:val="20"/>
        </w:rPr>
        <w:t>0.1</w:t>
      </w:r>
      <w:r w:rsidR="00897DC7" w:rsidRPr="00897DC7">
        <w:t xml:space="preserve">, </w:t>
      </w:r>
      <w:r w:rsidR="00897DC7" w:rsidRPr="00897DC7">
        <w:rPr>
          <w:szCs w:val="20"/>
        </w:rPr>
        <w:t>0.3</w:t>
      </w:r>
      <w:r w:rsidR="00897DC7" w:rsidRPr="00897DC7">
        <w:t>],</w:t>
      </w:r>
    </w:p>
    <w:p w:rsidR="00897DC7" w:rsidRPr="00897DC7" w:rsidRDefault="00496063" w:rsidP="00713714">
      <w:r>
        <w:t xml:space="preserve"> </w:t>
      </w:r>
      <w:r w:rsidR="00897DC7" w:rsidRPr="00897DC7">
        <w:t>[</w:t>
      </w:r>
      <w:r w:rsidR="00897DC7" w:rsidRPr="00897DC7">
        <w:rPr>
          <w:szCs w:val="20"/>
        </w:rPr>
        <w:t>0.2</w:t>
      </w:r>
      <w:r w:rsidR="00897DC7" w:rsidRPr="00897DC7">
        <w:t xml:space="preserve">, </w:t>
      </w:r>
      <w:r w:rsidR="00897DC7" w:rsidRPr="00897DC7">
        <w:rPr>
          <w:szCs w:val="20"/>
        </w:rPr>
        <w:t>0.4</w:t>
      </w:r>
      <w:r w:rsidR="00897DC7" w:rsidRPr="00897DC7">
        <w:t xml:space="preserve">, </w:t>
      </w:r>
      <w:r w:rsidR="00897DC7" w:rsidRPr="00897DC7">
        <w:rPr>
          <w:szCs w:val="20"/>
        </w:rPr>
        <w:t>0</w:t>
      </w:r>
      <w:r w:rsidR="00897DC7" w:rsidRPr="00897DC7">
        <w:t xml:space="preserve">, </w:t>
      </w:r>
      <w:r w:rsidR="00897DC7" w:rsidRPr="00897DC7">
        <w:rPr>
          <w:szCs w:val="20"/>
        </w:rPr>
        <w:t>0.5</w:t>
      </w:r>
      <w:r w:rsidR="00897DC7" w:rsidRPr="00897DC7">
        <w:t xml:space="preserve">, </w:t>
      </w:r>
      <w:r w:rsidR="00897DC7" w:rsidRPr="00897DC7">
        <w:rPr>
          <w:szCs w:val="20"/>
        </w:rPr>
        <w:t>0.0</w:t>
      </w:r>
      <w:r w:rsidR="00897DC7" w:rsidRPr="00897DC7">
        <w:t>],</w:t>
      </w:r>
    </w:p>
    <w:p w:rsidR="00897DC7" w:rsidRPr="00897DC7" w:rsidRDefault="00496063" w:rsidP="00713714">
      <w:r>
        <w:t xml:space="preserve"> </w:t>
      </w:r>
      <w:r w:rsidR="00897DC7" w:rsidRPr="00897DC7">
        <w:t>[</w:t>
      </w:r>
      <w:r w:rsidR="00897DC7" w:rsidRPr="00897DC7">
        <w:rPr>
          <w:szCs w:val="20"/>
        </w:rPr>
        <w:t>0.0</w:t>
      </w:r>
      <w:r w:rsidR="00897DC7" w:rsidRPr="00897DC7">
        <w:t xml:space="preserve">, </w:t>
      </w:r>
      <w:r w:rsidR="00897DC7" w:rsidRPr="00897DC7">
        <w:rPr>
          <w:szCs w:val="20"/>
        </w:rPr>
        <w:t>0.1</w:t>
      </w:r>
      <w:r w:rsidR="00897DC7" w:rsidRPr="00897DC7">
        <w:t xml:space="preserve">, </w:t>
      </w:r>
      <w:r w:rsidR="00897DC7" w:rsidRPr="00897DC7">
        <w:rPr>
          <w:szCs w:val="20"/>
        </w:rPr>
        <w:t>0.5</w:t>
      </w:r>
      <w:r w:rsidR="00897DC7" w:rsidRPr="00897DC7">
        <w:t xml:space="preserve">, </w:t>
      </w:r>
      <w:r w:rsidR="00897DC7" w:rsidRPr="00897DC7">
        <w:rPr>
          <w:szCs w:val="20"/>
        </w:rPr>
        <w:t>0</w:t>
      </w:r>
      <w:r w:rsidR="00897DC7" w:rsidRPr="00897DC7">
        <w:t xml:space="preserve">, </w:t>
      </w:r>
      <w:r w:rsidR="00897DC7" w:rsidRPr="00897DC7">
        <w:rPr>
          <w:szCs w:val="20"/>
        </w:rPr>
        <w:t>0.6</w:t>
      </w:r>
      <w:r w:rsidR="00897DC7" w:rsidRPr="00897DC7">
        <w:t>],</w:t>
      </w:r>
    </w:p>
    <w:p w:rsidR="00897DC7" w:rsidRPr="00897DC7" w:rsidRDefault="00496063" w:rsidP="00713714">
      <w:r>
        <w:t xml:space="preserve"> </w:t>
      </w:r>
      <w:r w:rsidR="00897DC7" w:rsidRPr="00897DC7">
        <w:t>[</w:t>
      </w:r>
      <w:r w:rsidR="00897DC7" w:rsidRPr="00897DC7">
        <w:rPr>
          <w:szCs w:val="20"/>
        </w:rPr>
        <w:t>0.1</w:t>
      </w:r>
      <w:r w:rsidR="00897DC7" w:rsidRPr="00897DC7">
        <w:t xml:space="preserve">, </w:t>
      </w:r>
      <w:r w:rsidR="00897DC7" w:rsidRPr="00897DC7">
        <w:rPr>
          <w:szCs w:val="20"/>
        </w:rPr>
        <w:t>0.3</w:t>
      </w:r>
      <w:r w:rsidR="00897DC7" w:rsidRPr="00897DC7">
        <w:t xml:space="preserve">, </w:t>
      </w:r>
      <w:r w:rsidR="00897DC7" w:rsidRPr="00897DC7">
        <w:rPr>
          <w:szCs w:val="20"/>
        </w:rPr>
        <w:t>0.0</w:t>
      </w:r>
      <w:r w:rsidR="00897DC7" w:rsidRPr="00897DC7">
        <w:t xml:space="preserve">, </w:t>
      </w:r>
      <w:r w:rsidR="00897DC7" w:rsidRPr="00897DC7">
        <w:rPr>
          <w:szCs w:val="20"/>
        </w:rPr>
        <w:t>0.6</w:t>
      </w:r>
      <w:r w:rsidR="00897DC7" w:rsidRPr="00897DC7">
        <w:t xml:space="preserve">, </w:t>
      </w:r>
      <w:r w:rsidR="00897DC7" w:rsidRPr="00897DC7">
        <w:rPr>
          <w:szCs w:val="20"/>
        </w:rPr>
        <w:t>0.0</w:t>
      </w:r>
      <w:r w:rsidR="00897DC7" w:rsidRPr="00897DC7">
        <w:t>],</w:t>
      </w:r>
    </w:p>
    <w:p w:rsidR="00897DC7" w:rsidRPr="00897DC7" w:rsidRDefault="00496063" w:rsidP="00713714">
      <w:r>
        <w:t xml:space="preserve"> </w:t>
      </w:r>
      <w:r w:rsidR="00897DC7" w:rsidRPr="00897DC7">
        <w:t>], dtype=</w:t>
      </w:r>
      <w:r w:rsidR="00897DC7" w:rsidRPr="00897DC7">
        <w:rPr>
          <w:szCs w:val="20"/>
        </w:rPr>
        <w:t>float</w:t>
      </w:r>
      <w:r w:rsidR="00897DC7" w:rsidRPr="00897DC7">
        <w:t>)</w:t>
      </w:r>
    </w:p>
    <w:p w:rsidR="00897DC7" w:rsidRPr="00897DC7" w:rsidRDefault="00897DC7" w:rsidP="00713714"/>
    <w:p w:rsidR="00897DC7" w:rsidRPr="00897DC7" w:rsidRDefault="00496063" w:rsidP="00713714">
      <w:r>
        <w:t xml:space="preserve"> </w:t>
      </w:r>
      <w:r w:rsidR="00897DC7" w:rsidRPr="00897DC7">
        <w:t>ghz = adiabatic_ghz_circuit()</w:t>
      </w:r>
    </w:p>
    <w:p w:rsidR="00897DC7" w:rsidRPr="00897DC7" w:rsidRDefault="00496063" w:rsidP="00713714">
      <w:r>
        <w:t xml:space="preserve"> </w:t>
      </w:r>
      <w:r w:rsidR="00897DC7" w:rsidRPr="00897DC7">
        <w:t>qaoa = qaoa_diversity_circuit(W, p=</w:t>
      </w:r>
      <w:r w:rsidR="00897DC7" w:rsidRPr="00897DC7">
        <w:rPr>
          <w:szCs w:val="20"/>
        </w:rPr>
        <w:t>2</w:t>
      </w:r>
      <w:r w:rsidR="00897DC7" w:rsidRPr="00897DC7">
        <w:t>)</w:t>
      </w:r>
    </w:p>
    <w:p w:rsidR="00897DC7" w:rsidRPr="00897DC7" w:rsidRDefault="00496063" w:rsidP="00713714">
      <w:r>
        <w:t xml:space="preserve"> </w:t>
      </w:r>
      <w:r w:rsidR="00897DC7" w:rsidRPr="00897DC7">
        <w:t>pqc</w:t>
      </w:r>
      <w:r>
        <w:t xml:space="preserve"> </w:t>
      </w:r>
      <w:r w:rsidR="00897DC7" w:rsidRPr="00897DC7">
        <w:t>= pharmacophoric_pqc(n_feat=</w:t>
      </w:r>
      <w:r w:rsidR="00897DC7" w:rsidRPr="00897DC7">
        <w:rPr>
          <w:szCs w:val="20"/>
        </w:rPr>
        <w:t>5</w:t>
      </w:r>
      <w:r w:rsidR="00897DC7" w:rsidRPr="00897DC7">
        <w:t>, depth=</w:t>
      </w:r>
      <w:r w:rsidR="00897DC7" w:rsidRPr="00897DC7">
        <w:rPr>
          <w:szCs w:val="20"/>
        </w:rPr>
        <w:t>2</w:t>
      </w:r>
      <w:r w:rsidR="00897DC7" w:rsidRPr="00897DC7">
        <w:t>, lambda_ph4=</w:t>
      </w:r>
      <w:r w:rsidR="00897DC7" w:rsidRPr="00897DC7">
        <w:rPr>
          <w:szCs w:val="20"/>
        </w:rPr>
        <w:t>0.4</w:t>
      </w:r>
      <w:r w:rsidR="00897DC7" w:rsidRPr="00897DC7">
        <w:t>, lambda_curv=</w:t>
      </w:r>
      <w:r w:rsidR="00897DC7" w:rsidRPr="00897DC7">
        <w:rPr>
          <w:szCs w:val="20"/>
        </w:rPr>
        <w:t>0.35</w:t>
      </w:r>
      <w:r w:rsidR="00897DC7" w:rsidRPr="00897DC7">
        <w:t>, readout_qubits=</w:t>
      </w:r>
      <w:r w:rsidR="00897DC7" w:rsidRPr="00897DC7">
        <w:rPr>
          <w:szCs w:val="20"/>
        </w:rPr>
        <w:t>1</w:t>
      </w:r>
      <w:r w:rsidR="00897DC7" w:rsidRPr="00897DC7">
        <w:t>)</w:t>
      </w:r>
    </w:p>
    <w:p w:rsidR="00897DC7" w:rsidRPr="00897DC7" w:rsidRDefault="00496063" w:rsidP="00713714">
      <w:r>
        <w:t xml:space="preserve"> </w:t>
      </w:r>
      <w:r w:rsidR="00897DC7" w:rsidRPr="00897DC7">
        <w:t>comp = pharmacophoric_odes_circuit(W, n_feat=</w:t>
      </w:r>
      <w:r w:rsidR="00897DC7" w:rsidRPr="00897DC7">
        <w:rPr>
          <w:szCs w:val="20"/>
        </w:rPr>
        <w:t>5</w:t>
      </w:r>
      <w:r w:rsidR="00897DC7" w:rsidRPr="00897DC7">
        <w:t>, p_qaoa=</w:t>
      </w:r>
      <w:r w:rsidR="00897DC7" w:rsidRPr="00897DC7">
        <w:rPr>
          <w:szCs w:val="20"/>
        </w:rPr>
        <w:t>2</w:t>
      </w:r>
      <w:r w:rsidR="00897DC7" w:rsidRPr="00897DC7">
        <w:t>, depth_pqc=</w:t>
      </w:r>
      <w:r w:rsidR="00897DC7" w:rsidRPr="00897DC7">
        <w:rPr>
          <w:szCs w:val="20"/>
        </w:rPr>
        <w:t>2</w:t>
      </w:r>
      <w:r w:rsidR="00897DC7" w:rsidRPr="00897DC7">
        <w:t>, lambda_ph4=</w:t>
      </w:r>
      <w:r w:rsidR="00897DC7" w:rsidRPr="00897DC7">
        <w:rPr>
          <w:szCs w:val="20"/>
        </w:rPr>
        <w:t>0.4</w:t>
      </w:r>
      <w:r w:rsidR="00897DC7" w:rsidRPr="00897DC7">
        <w:t>, lambda_curv=</w:t>
      </w:r>
      <w:r w:rsidR="00897DC7" w:rsidRPr="00897DC7">
        <w:rPr>
          <w:szCs w:val="20"/>
        </w:rPr>
        <w:t>0.35</w:t>
      </w:r>
      <w:r w:rsidR="00897DC7" w:rsidRPr="00897DC7">
        <w:t>)</w:t>
      </w:r>
    </w:p>
    <w:p w:rsidR="00897DC7" w:rsidRPr="00897DC7" w:rsidRDefault="00897DC7" w:rsidP="00713714"/>
    <w:p w:rsidR="00897DC7" w:rsidRPr="00897DC7" w:rsidRDefault="00496063" w:rsidP="00713714">
      <w:r>
        <w:t xml:space="preserve"> </w:t>
      </w:r>
      <w:r w:rsidR="00897DC7" w:rsidRPr="00897DC7">
        <w:rPr>
          <w:szCs w:val="20"/>
        </w:rPr>
        <w:t>for</w:t>
      </w:r>
      <w:r w:rsidR="00897DC7" w:rsidRPr="00897DC7">
        <w:t xml:space="preserve"> name, qc, fn </w:t>
      </w:r>
      <w:r w:rsidR="00897DC7" w:rsidRPr="00897DC7">
        <w:rPr>
          <w:szCs w:val="20"/>
        </w:rPr>
        <w:t>in</w:t>
      </w:r>
      <w:r w:rsidR="00897DC7" w:rsidRPr="00897DC7">
        <w:t xml:space="preserve"> [</w:t>
      </w:r>
    </w:p>
    <w:p w:rsidR="00897DC7" w:rsidRPr="00897DC7" w:rsidRDefault="00496063" w:rsidP="00713714">
      <w:r>
        <w:t xml:space="preserve"> </w:t>
      </w:r>
      <w:r w:rsidR="00897DC7" w:rsidRPr="00897DC7">
        <w:t>("adiabatic_ghz", ghz, "adiabatic_ghz.png"),</w:t>
      </w:r>
    </w:p>
    <w:p w:rsidR="00897DC7" w:rsidRPr="00897DC7" w:rsidRDefault="00496063" w:rsidP="00713714">
      <w:r>
        <w:t xml:space="preserve"> </w:t>
      </w:r>
      <w:r w:rsidR="00897DC7" w:rsidRPr="00897DC7">
        <w:t>("qaoa_diversity_p2", qaoa, "qaoa_diversity_p2.png"),</w:t>
      </w:r>
    </w:p>
    <w:p w:rsidR="00897DC7" w:rsidRPr="00897DC7" w:rsidRDefault="00496063" w:rsidP="00713714">
      <w:r>
        <w:t xml:space="preserve"> </w:t>
      </w:r>
      <w:r w:rsidR="00897DC7" w:rsidRPr="00897DC7">
        <w:t>("pharmacophoric_pqc_depth2", pqc, "pharmacophoric_pqc_depth2.png"),</w:t>
      </w:r>
    </w:p>
    <w:p w:rsidR="00897DC7" w:rsidRPr="00897DC7" w:rsidRDefault="00496063" w:rsidP="00713714">
      <w:r>
        <w:t xml:space="preserve"> </w:t>
      </w:r>
      <w:r w:rsidR="00897DC7" w:rsidRPr="00897DC7">
        <w:t>("composite_qaoa_tensor_pqc", comp, "composite_qaoa_tensor_pqc.png"),</w:t>
      </w:r>
    </w:p>
    <w:p w:rsidR="00897DC7" w:rsidRPr="00897DC7" w:rsidRDefault="00496063" w:rsidP="00713714">
      <w:r>
        <w:t xml:space="preserve"> </w:t>
      </w:r>
      <w:r w:rsidR="00897DC7" w:rsidRPr="00897DC7">
        <w:t>]:</w:t>
      </w:r>
    </w:p>
    <w:p w:rsidR="00897DC7" w:rsidRPr="00897DC7" w:rsidRDefault="00496063" w:rsidP="00713714">
      <w:r>
        <w:t xml:space="preserve"> </w:t>
      </w:r>
      <w:r w:rsidR="00897DC7" w:rsidRPr="00897DC7">
        <w:t>fig = qc.draw(output=</w:t>
      </w:r>
      <w:r w:rsidR="00897DC7" w:rsidRPr="00897DC7">
        <w:rPr>
          <w:szCs w:val="20"/>
        </w:rPr>
        <w:t>"mpl"</w:t>
      </w:r>
      <w:r w:rsidR="00897DC7" w:rsidRPr="00897DC7">
        <w:t>, fold=-</w:t>
      </w:r>
      <w:r w:rsidR="00897DC7" w:rsidRPr="00897DC7">
        <w:rPr>
          <w:szCs w:val="20"/>
        </w:rPr>
        <w:t>1</w:t>
      </w:r>
      <w:r w:rsidR="00897DC7" w:rsidRPr="00897DC7">
        <w:t xml:space="preserve"> </w:t>
      </w:r>
      <w:r w:rsidR="00897DC7" w:rsidRPr="00897DC7">
        <w:rPr>
          <w:szCs w:val="20"/>
        </w:rPr>
        <w:t>if</w:t>
      </w:r>
      <w:r w:rsidR="00897DC7" w:rsidRPr="00897DC7">
        <w:t xml:space="preserve"> name!=</w:t>
      </w:r>
      <w:r w:rsidR="00897DC7" w:rsidRPr="00897DC7">
        <w:rPr>
          <w:szCs w:val="20"/>
        </w:rPr>
        <w:t>"composite_qaoa_tensor_pqc"</w:t>
      </w:r>
      <w:r w:rsidR="00897DC7" w:rsidRPr="00897DC7">
        <w:t xml:space="preserve"> </w:t>
      </w:r>
      <w:r w:rsidR="00897DC7" w:rsidRPr="00897DC7">
        <w:rPr>
          <w:szCs w:val="20"/>
        </w:rPr>
        <w:t>else</w:t>
      </w:r>
      <w:r w:rsidR="00897DC7" w:rsidRPr="00897DC7">
        <w:t xml:space="preserve"> </w:t>
      </w:r>
      <w:r w:rsidR="00897DC7" w:rsidRPr="00897DC7">
        <w:rPr>
          <w:szCs w:val="20"/>
        </w:rPr>
        <w:t>None</w:t>
      </w:r>
      <w:r w:rsidR="00897DC7" w:rsidRPr="00897DC7">
        <w:t>)</w:t>
      </w:r>
    </w:p>
    <w:p w:rsidR="00897DC7" w:rsidRPr="00897DC7" w:rsidRDefault="00496063" w:rsidP="00713714">
      <w:r>
        <w:t xml:space="preserve"> </w:t>
      </w:r>
      <w:r w:rsidR="00897DC7" w:rsidRPr="00897DC7">
        <w:t>fig.savefig(fn, bbox_inches=</w:t>
      </w:r>
      <w:r w:rsidR="00897DC7" w:rsidRPr="00897DC7">
        <w:rPr>
          <w:szCs w:val="20"/>
        </w:rPr>
        <w:t>"tight"</w:t>
      </w:r>
      <w:r w:rsidR="00897DC7" w:rsidRPr="00897DC7">
        <w:t>, dpi=</w:t>
      </w:r>
      <w:r w:rsidR="00897DC7" w:rsidRPr="00897DC7">
        <w:rPr>
          <w:szCs w:val="20"/>
        </w:rPr>
        <w:t>180</w:t>
      </w:r>
      <w:r w:rsidR="00897DC7" w:rsidRPr="00897DC7">
        <w:t>)</w:t>
      </w:r>
    </w:p>
    <w:p w:rsidR="00897DC7" w:rsidRPr="00897DC7" w:rsidRDefault="00496063" w:rsidP="00713714">
      <w:r>
        <w:t xml:space="preserve"> </w:t>
      </w:r>
      <w:r w:rsidR="00897DC7" w:rsidRPr="00897DC7">
        <w:rPr>
          <w:szCs w:val="20"/>
        </w:rPr>
        <w:t>try</w:t>
      </w:r>
      <w:r w:rsidR="00897DC7" w:rsidRPr="00897DC7">
        <w:t>:</w:t>
      </w:r>
    </w:p>
    <w:p w:rsidR="00897DC7" w:rsidRPr="00897DC7" w:rsidRDefault="00496063" w:rsidP="00713714">
      <w:r>
        <w:t xml:space="preserve"> </w:t>
      </w:r>
      <w:r w:rsidR="00897DC7" w:rsidRPr="00897DC7">
        <w:rPr>
          <w:szCs w:val="20"/>
        </w:rPr>
        <w:t>import</w:t>
      </w:r>
      <w:r w:rsidR="00897DC7" w:rsidRPr="00897DC7">
        <w:t xml:space="preserve"> matplotlib.pyplot </w:t>
      </w:r>
      <w:r w:rsidR="00897DC7" w:rsidRPr="00897DC7">
        <w:rPr>
          <w:szCs w:val="20"/>
        </w:rPr>
        <w:t>as</w:t>
      </w:r>
      <w:r w:rsidR="00897DC7" w:rsidRPr="00897DC7">
        <w:t xml:space="preserve"> plt</w:t>
      </w:r>
    </w:p>
    <w:p w:rsidR="00897DC7" w:rsidRPr="00897DC7" w:rsidRDefault="00496063" w:rsidP="00713714">
      <w:r>
        <w:t xml:space="preserve"> </w:t>
      </w:r>
      <w:r w:rsidR="00897DC7" w:rsidRPr="00897DC7">
        <w:t>plt.close(fig.figure)</w:t>
      </w:r>
    </w:p>
    <w:p w:rsidR="00897DC7" w:rsidRPr="00897DC7" w:rsidRDefault="00496063" w:rsidP="00713714">
      <w:r>
        <w:t xml:space="preserve"> </w:t>
      </w:r>
      <w:r w:rsidR="00897DC7" w:rsidRPr="00897DC7">
        <w:rPr>
          <w:szCs w:val="20"/>
        </w:rPr>
        <w:t>except</w:t>
      </w:r>
      <w:r w:rsidR="00897DC7" w:rsidRPr="00897DC7">
        <w:t xml:space="preserve"> Exception:</w:t>
      </w:r>
    </w:p>
    <w:p w:rsidR="00897DC7" w:rsidRPr="00897DC7" w:rsidRDefault="00496063" w:rsidP="00713714">
      <w:r>
        <w:t xml:space="preserve"> </w:t>
      </w:r>
      <w:r w:rsidR="00897DC7" w:rsidRPr="00897DC7">
        <w:rPr>
          <w:szCs w:val="20"/>
        </w:rPr>
        <w:t>pass</w:t>
      </w:r>
    </w:p>
    <w:p w:rsidR="00897DC7" w:rsidRPr="00897DC7" w:rsidRDefault="00496063" w:rsidP="00713714">
      <w:r>
        <w:t xml:space="preserve"> </w:t>
      </w:r>
      <w:r w:rsidR="00897DC7" w:rsidRPr="00897DC7">
        <w:t>print("Saved PNGs: adiabatic_ghz.png, qaoa_diversity_p2.png, pharmacophoric_pqc_depth2.png, composite_qaoa_tensor_pqc.png")</w:t>
      </w:r>
    </w:p>
    <w:p w:rsidR="00897DC7" w:rsidRDefault="00897DC7" w:rsidP="00713714">
      <w:pPr>
        <w:rPr>
          <w:noProof/>
        </w:rPr>
      </w:pPr>
    </w:p>
    <w:p w:rsidR="00CD5E9B" w:rsidRPr="00CD5E9B" w:rsidRDefault="00CD5E9B" w:rsidP="00713714">
      <w:r w:rsidRPr="00CD5E9B">
        <w:t>What this adds / how it maps to</w:t>
      </w:r>
      <w:r>
        <w:t xml:space="preserve"> my</w:t>
      </w:r>
      <w:r w:rsidR="00496063">
        <w:t xml:space="preserve"> </w:t>
      </w:r>
      <w:r w:rsidRPr="00CD5E9B">
        <w:t>pillars</w:t>
      </w:r>
    </w:p>
    <w:p w:rsidR="00CD5E9B" w:rsidRPr="00C54962" w:rsidRDefault="00CD5E9B" w:rsidP="00713714">
      <w:r w:rsidRPr="00CD5E9B">
        <w:rPr>
          <w:b/>
          <w:bCs/>
        </w:rPr>
        <w:t>Pillar I (entropy/diversity; QAOA):</w:t>
      </w:r>
      <w:r w:rsidRPr="00CD5E9B">
        <w:t xml:space="preserve"> </w:t>
      </w:r>
      <w:r w:rsidRPr="00CD5E9B">
        <w:rPr>
          <w:rFonts w:ascii="Courier New" w:hAnsi="Courier New" w:cs="Courier New"/>
          <w:sz w:val="20"/>
        </w:rPr>
        <w:t>reweight_similarity_with_entropy</w:t>
      </w:r>
      <w:r w:rsidRPr="00CD5E9B">
        <w:t xml:space="preserve"> takes</w:t>
      </w:r>
      <w:r>
        <w:t xml:space="preserve"> my</w:t>
      </w:r>
      <w:r w:rsidR="00496063">
        <w:t xml:space="preserve"> </w:t>
      </w:r>
      <w:r w:rsidRPr="00CD5E9B">
        <w:t xml:space="preserve">enrichment pressure (e.g., ECM/protease hubs) and </w:t>
      </w:r>
      <w:r w:rsidRPr="00CD5E9B">
        <w:rPr>
          <w:i/>
          <w:iCs/>
        </w:rPr>
        <w:t>downscales within-module similarities</w:t>
      </w:r>
      <w:r w:rsidRPr="00CD5E9B">
        <w:t xml:space="preserve"> so QAOA’s MaxCut more aggressively splits over-represented families. </w:t>
      </w:r>
      <w:r w:rsidRPr="00C54962">
        <w:t>This mirrors my</w:t>
      </w:r>
      <w:r w:rsidR="00496063">
        <w:t xml:space="preserve"> </w:t>
      </w:r>
      <w:r w:rsidRPr="00C54962">
        <w:t>Shannon + Rényi guardrails.</w:t>
      </w:r>
    </w:p>
    <w:p w:rsidR="00CD5E9B" w:rsidRPr="00CD5E9B" w:rsidRDefault="00CD5E9B" w:rsidP="00713714">
      <w:r w:rsidRPr="00CD5E9B">
        <w:rPr>
          <w:b/>
          <w:bCs/>
        </w:rPr>
        <w:t>Pillar II (physics; ΔSASA/MM-PBSA):</w:t>
      </w:r>
      <w:r w:rsidRPr="00CD5E9B">
        <w:t xml:space="preserve"> </w:t>
      </w:r>
      <w:r w:rsidRPr="00CD5E9B">
        <w:rPr>
          <w:rFonts w:ascii="Courier New" w:hAnsi="Courier New" w:cs="Courier New"/>
          <w:sz w:val="20"/>
        </w:rPr>
        <w:t>build_pqc_inputs_from_dataset</w:t>
      </w:r>
      <w:r w:rsidRPr="00CD5E9B">
        <w:t xml:space="preserve"> constructs </w:t>
      </w:r>
      <w:r w:rsidRPr="00CD5E9B">
        <w:rPr>
          <w:rFonts w:ascii="Courier New" w:hAnsi="Courier New" w:cs="Courier New"/>
          <w:sz w:val="20"/>
        </w:rPr>
        <w:t>x</w:t>
      </w:r>
      <w:r w:rsidRPr="00CD5E9B">
        <w:t xml:space="preserve"> with an explicit </w:t>
      </w:r>
      <w:r w:rsidRPr="00CD5E9B">
        <w:rPr>
          <w:b/>
          <w:bCs/>
        </w:rPr>
        <w:t>ΔG_np = γ·ΔSASA</w:t>
      </w:r>
      <w:r w:rsidRPr="00CD5E9B">
        <w:t>,</w:t>
      </w:r>
      <w:r>
        <w:t xml:space="preserve"> my</w:t>
      </w:r>
      <w:r w:rsidR="00496063">
        <w:t xml:space="preserve"> </w:t>
      </w:r>
      <w:r w:rsidRPr="00CD5E9B">
        <w:rPr>
          <w:b/>
          <w:bCs/>
        </w:rPr>
        <w:t>MM-PBSA</w:t>
      </w:r>
      <w:r w:rsidRPr="00CD5E9B">
        <w:t xml:space="preserve"> term, and a composite </w:t>
      </w:r>
      <w:r w:rsidRPr="00CD5E9B">
        <w:rPr>
          <w:b/>
          <w:bCs/>
        </w:rPr>
        <w:t>ΔG_tot</w:t>
      </w:r>
      <w:r w:rsidRPr="00CD5E9B">
        <w:t>, then standardizes for stable angle encoding.</w:t>
      </w:r>
    </w:p>
    <w:p w:rsidR="00CD5E9B" w:rsidRPr="006C2A3A" w:rsidRDefault="00CD5E9B" w:rsidP="00713714">
      <w:pPr>
        <w:rPr>
          <w:b/>
        </w:rPr>
      </w:pPr>
      <w:r w:rsidRPr="006C2A3A">
        <w:rPr>
          <w:b/>
        </w:rPr>
        <w:t>Pillar III (Pharmacophoric-ODEs; geometry/motifs):</w:t>
      </w:r>
    </w:p>
    <w:p w:rsidR="00CD5E9B" w:rsidRPr="00CD5E9B" w:rsidRDefault="00CD5E9B" w:rsidP="00713714">
      <w:r w:rsidRPr="00CD5E9B">
        <w:rPr>
          <w:rFonts w:ascii="Courier New" w:hAnsi="Courier New" w:cs="Courier New"/>
          <w:sz w:val="20"/>
        </w:rPr>
        <w:t>m</w:t>
      </w:r>
      <w:r w:rsidRPr="00CD5E9B">
        <w:t xml:space="preserve"> penalties come from</w:t>
      </w:r>
      <w:r>
        <w:t xml:space="preserve"> my</w:t>
      </w:r>
      <w:r w:rsidR="00496063">
        <w:t xml:space="preserve"> </w:t>
      </w:r>
      <w:r w:rsidRPr="00CD5E9B">
        <w:rPr>
          <w:b/>
          <w:bCs/>
        </w:rPr>
        <w:t>GLAM2/GLAM2SCAN</w:t>
      </w:r>
      <w:r w:rsidRPr="00CD5E9B">
        <w:t xml:space="preserve"> gapped-motif regexes if a </w:t>
      </w:r>
      <w:r w:rsidRPr="00CD5E9B">
        <w:rPr>
          <w:b/>
          <w:bCs/>
        </w:rPr>
        <w:t>peptide sequence</w:t>
      </w:r>
      <w:r w:rsidRPr="00CD5E9B">
        <w:t xml:space="preserve"> is provided; otherwise</w:t>
      </w:r>
      <w:r w:rsidR="00356057">
        <w:t xml:space="preserve"> I </w:t>
      </w:r>
      <w:r w:rsidRPr="00CD5E9B">
        <w:t xml:space="preserve">create soft penalties biased by protease/ECM context and </w:t>
      </w:r>
      <w:r w:rsidRPr="00CD5E9B">
        <w:rPr>
          <w:b/>
          <w:bCs/>
        </w:rPr>
        <w:t>temperature-dependent</w:t>
      </w:r>
      <w:r w:rsidRPr="00CD5E9B">
        <w:t xml:space="preserve"> collagenase activity (fast at 37 °C, low at 10 °C).</w:t>
      </w:r>
    </w:p>
    <w:p w:rsidR="00C54962" w:rsidRPr="007769AD" w:rsidRDefault="00CD5E9B" w:rsidP="00713714">
      <w:r w:rsidRPr="00CD5E9B">
        <w:rPr>
          <w:rFonts w:ascii="Courier New" w:hAnsi="Courier New" w:cs="Courier New"/>
          <w:sz w:val="20"/>
        </w:rPr>
        <w:t>k</w:t>
      </w:r>
      <w:r w:rsidRPr="00CD5E9B">
        <w:t xml:space="preserve"> curvature weights broadcast</w:t>
      </w:r>
      <w:r>
        <w:t xml:space="preserve"> my</w:t>
      </w:r>
      <w:r w:rsidR="00496063">
        <w:t xml:space="preserve"> </w:t>
      </w:r>
      <w:r w:rsidRPr="00CD5E9B">
        <w:rPr>
          <w:b/>
          <w:bCs/>
        </w:rPr>
        <w:t>compartment priors</w:t>
      </w:r>
      <w:r w:rsidRPr="00CD5E9B">
        <w:t xml:space="preserve"> (ECM/vesicle/secretory lumen emphasized) so the </w:t>
      </w:r>
      <w:r w:rsidRPr="00CD5E9B">
        <w:rPr>
          <w:b/>
          <w:bCs/>
        </w:rPr>
        <w:t>curvature-modulated RZ</w:t>
      </w:r>
      <w:r w:rsidRPr="00CD5E9B">
        <w:t xml:space="preserve"> terms align with the CC-aware biology in CellNetVis.</w:t>
      </w:r>
    </w:p>
    <w:p w:rsidR="00647751" w:rsidRPr="00647751" w:rsidRDefault="00647751" w:rsidP="00713714">
      <w:r w:rsidRPr="00647751">
        <w:t xml:space="preserve">Together, this is not a generic ansatz but a </w:t>
      </w:r>
      <w:r w:rsidRPr="00647751">
        <w:rPr>
          <w:b/>
          <w:bCs/>
        </w:rPr>
        <w:t>layered encoding of domain principles</w:t>
      </w:r>
      <w:r w:rsidRPr="00647751">
        <w:t>: information-theoretic diversity, biophysical energetics, and geometry/motif guidance.</w:t>
      </w:r>
    </w:p>
    <w:p w:rsidR="00647751" w:rsidRPr="00647751" w:rsidRDefault="00106EF3" w:rsidP="00713714">
      <w:r>
        <w:pict>
          <v:rect id="_x0000_i1062" style="width:0;height:1.5pt" o:hralign="center" o:hrstd="t" o:hr="t" fillcolor="#a0a0a0" stroked="f"/>
        </w:pict>
      </w:r>
    </w:p>
    <w:p w:rsidR="00647751" w:rsidRPr="00647751" w:rsidRDefault="00647751" w:rsidP="00713714">
      <w:r w:rsidRPr="00647751">
        <w:t>Pillar I — Information &amp; Diversity (Chemotype Register)</w:t>
      </w:r>
    </w:p>
    <w:p w:rsidR="00647751" w:rsidRPr="00647751" w:rsidRDefault="00647751" w:rsidP="00713714">
      <w:r w:rsidRPr="00647751">
        <w:t>The QAOA block realizes the diversity guardrails:</w:t>
      </w:r>
    </w:p>
    <w:p w:rsidR="00647751" w:rsidRPr="00647751" w:rsidRDefault="00647751" w:rsidP="00713714">
      <w:r w:rsidRPr="00647751">
        <w:rPr>
          <w:b/>
          <w:bCs/>
        </w:rPr>
        <w:t>MaxCut on WWW.</w:t>
      </w:r>
      <w:r w:rsidRPr="00647751">
        <w:t xml:space="preserve"> </w:t>
      </w:r>
      <w:r w:rsidRPr="00647751">
        <w:rPr>
          <w:b/>
          <w:bCs/>
        </w:rPr>
        <w:t>Weighted ZZ</w:t>
      </w:r>
      <w:r w:rsidRPr="00647751">
        <w:t xml:space="preserve"> interactions encode the cost HC=∑(i,j)wij1−ZiZj2H_C=\sum_{(i,j)} w_{ij}\tfrac{1-Z_i Z_j}{2}HC​=∑(i,j)​wij​21−Zi​Zj​​. Mixer </w:t>
      </w:r>
      <w:r w:rsidRPr="00647751">
        <w:rPr>
          <w:b/>
          <w:bCs/>
        </w:rPr>
        <w:t>RX</w:t>
      </w:r>
      <w:r w:rsidRPr="00647751">
        <w:t xml:space="preserve"> rotations maintain global exploration.</w:t>
      </w:r>
    </w:p>
    <w:p w:rsidR="00647751" w:rsidRPr="00647751" w:rsidRDefault="00647751" w:rsidP="00713714">
      <w:r w:rsidRPr="00647751">
        <w:rPr>
          <w:b/>
          <w:bCs/>
        </w:rPr>
        <w:t>Entropy-aware reweighting.</w:t>
      </w:r>
      <w:r w:rsidRPr="00647751">
        <w:t xml:space="preserve"> Before QAOA, WWW is reweighted using </w:t>
      </w:r>
      <w:r w:rsidRPr="00647751">
        <w:rPr>
          <w:b/>
          <w:bCs/>
        </w:rPr>
        <w:t>Shannon</w:t>
      </w:r>
      <w:r w:rsidRPr="00647751">
        <w:t xml:space="preserve"> HlibH_{\text{lib}}Hlib​ and </w:t>
      </w:r>
      <w:r w:rsidRPr="00647751">
        <w:rPr>
          <w:b/>
          <w:bCs/>
        </w:rPr>
        <w:t>Rényi</w:t>
      </w:r>
      <w:r w:rsidRPr="00647751">
        <w:t xml:space="preserve"> SαS_\alphaSα​ pressures to down-emphasize over-represented bins (protease- and ECM-heavy motifs, etc.). This mirrors Eqs. (1)–(3): only candidates with positive ΔH\Delta HΔH enter, and a χ2\chi^2χ2 balance check (Eq. 4) curbs sampling bias.</w:t>
      </w:r>
    </w:p>
    <w:p w:rsidR="00647751" w:rsidRPr="00647751" w:rsidRDefault="00647751" w:rsidP="00713714">
      <w:r w:rsidRPr="00647751">
        <w:rPr>
          <w:b/>
          <w:bCs/>
        </w:rPr>
        <w:t>Effect.</w:t>
      </w:r>
      <w:r w:rsidRPr="00647751">
        <w:t xml:space="preserve"> The cost landscape inherits the </w:t>
      </w:r>
      <w:r w:rsidRPr="00647751">
        <w:rPr>
          <w:b/>
          <w:bCs/>
        </w:rPr>
        <w:t>biological prior</w:t>
      </w:r>
      <w:r w:rsidRPr="00647751">
        <w:t xml:space="preserve">: dense chemotype neighborhoods are more likely to be </w:t>
      </w:r>
      <w:r w:rsidRPr="00647751">
        <w:rPr>
          <w:b/>
          <w:bCs/>
        </w:rPr>
        <w:t>separated</w:t>
      </w:r>
      <w:r w:rsidRPr="00647751">
        <w:t xml:space="preserve"> by the cut, improving coverage and avoiding collapse to trivial families.</w:t>
      </w:r>
    </w:p>
    <w:p w:rsidR="00647751" w:rsidRPr="00647751" w:rsidRDefault="00106EF3" w:rsidP="00713714">
      <w:r>
        <w:pict>
          <v:rect id="_x0000_i1063" style="width:0;height:1.5pt" o:hralign="center" o:hrstd="t" o:hr="t" fillcolor="#a0a0a0" stroked="f"/>
        </w:pict>
      </w:r>
    </w:p>
    <w:p w:rsidR="00647751" w:rsidRPr="00647751" w:rsidRDefault="00647751" w:rsidP="00713714">
      <w:r w:rsidRPr="00647751">
        <w:t>Pillar II — Physics (Pharmacophoric Register: Encoders)</w:t>
      </w:r>
    </w:p>
    <w:p w:rsidR="00647751" w:rsidRPr="00647751" w:rsidRDefault="00647751" w:rsidP="00713714">
      <w:r w:rsidRPr="00647751">
        <w:t>The variational head injects explicit energetics:</w:t>
      </w:r>
    </w:p>
    <w:p w:rsidR="00647751" w:rsidRPr="00647751" w:rsidRDefault="00647751" w:rsidP="00713714">
      <w:r w:rsidRPr="00647751">
        <w:rPr>
          <w:b/>
          <w:bCs/>
        </w:rPr>
        <w:t>Feature map.</w:t>
      </w:r>
      <w:r w:rsidRPr="00647751">
        <w:t xml:space="preserve"> Inputs include ΔGMM–PBSA\Delta G_{\text{MM–PBSA}}ΔGMM–PBSA​, </w:t>
      </w:r>
      <w:r w:rsidRPr="00647751">
        <w:rPr>
          <w:b/>
          <w:bCs/>
        </w:rPr>
        <w:t>nonpolar burial</w:t>
      </w:r>
      <w:r w:rsidRPr="00647751">
        <w:t xml:space="preserve"> ΔGnp=γ ΔSASA\Delta G_{\text{np}}=\gamma\,\Delta\mathrm{SASA}ΔGnp​=γΔSASA with γ=0.005 kcal mol−1 A˚−2\gamma=0.005\ \mathrm{kcal\,mol^{-1}\,\AA^{-2}}γ=0.005 kcalmol−1A˚−2, composite ΔGtot\Delta G_{\text{tot}}ΔGtot​, and pathway/context features (e.g., protease/inhibitor loads, ECM signal).</w:t>
      </w:r>
    </w:p>
    <w:p w:rsidR="00647751" w:rsidRPr="00647751" w:rsidRDefault="00647751" w:rsidP="00713714">
      <w:r w:rsidRPr="00647751">
        <w:rPr>
          <w:b/>
          <w:bCs/>
        </w:rPr>
        <w:t>Stable angles.</w:t>
      </w:r>
      <w:r w:rsidRPr="00647751">
        <w:t xml:space="preserve"> Z-scored features feed </w:t>
      </w:r>
      <w:r w:rsidRPr="00647751">
        <w:rPr>
          <w:b/>
          <w:bCs/>
        </w:rPr>
        <w:t>RX</w:t>
      </w:r>
      <w:r w:rsidRPr="00647751">
        <w:t xml:space="preserve"> (data), </w:t>
      </w:r>
      <w:r w:rsidRPr="00647751">
        <w:rPr>
          <w:b/>
          <w:bCs/>
        </w:rPr>
        <w:t>RZ</w:t>
      </w:r>
      <w:r w:rsidRPr="00647751">
        <w:t xml:space="preserve"> (curvature-weighted), </w:t>
      </w:r>
      <w:r w:rsidRPr="00647751">
        <w:rPr>
          <w:b/>
          <w:bCs/>
        </w:rPr>
        <w:t>RY</w:t>
      </w:r>
      <w:r w:rsidRPr="00647751">
        <w:t xml:space="preserve"> (trainable bias) per layer; the ladder of </w:t>
      </w:r>
      <w:r w:rsidRPr="00647751">
        <w:rPr>
          <w:b/>
          <w:bCs/>
        </w:rPr>
        <w:t>CZ</w:t>
      </w:r>
      <w:r w:rsidRPr="00647751">
        <w:t xml:space="preserve"> gates couples nearby qubits while keeping transpilation depth practical.</w:t>
      </w:r>
    </w:p>
    <w:p w:rsidR="00647751" w:rsidRPr="00647751" w:rsidRDefault="00647751" w:rsidP="00713714">
      <w:r w:rsidRPr="00647751">
        <w:rPr>
          <w:b/>
          <w:bCs/>
        </w:rPr>
        <w:t>Outcome.</w:t>
      </w:r>
      <w:r w:rsidRPr="00647751">
        <w:t xml:space="preserve"> The register carries </w:t>
      </w:r>
      <w:r w:rsidRPr="00647751">
        <w:rPr>
          <w:b/>
          <w:bCs/>
        </w:rPr>
        <w:t>thermodynamic signal</w:t>
      </w:r>
      <w:r w:rsidRPr="00647751">
        <w:t xml:space="preserve"> forward while remaining hardware-efficient and optimizer-friendly.</w:t>
      </w:r>
    </w:p>
    <w:p w:rsidR="00647751" w:rsidRPr="00647751" w:rsidRDefault="00106EF3" w:rsidP="00713714">
      <w:r>
        <w:pict>
          <v:rect id="_x0000_i1064" style="width:0;height:1.5pt" o:hralign="center" o:hrstd="t" o:hr="t" fillcolor="#a0a0a0" stroked="f"/>
        </w:pict>
      </w:r>
    </w:p>
    <w:p w:rsidR="00647751" w:rsidRPr="00647751" w:rsidRDefault="00647751" w:rsidP="00713714">
      <w:r w:rsidRPr="00647751">
        <w:t>Pillar III — Geometry &amp; Motif Awareness (Penalty + Curvature)</w:t>
      </w:r>
    </w:p>
    <w:p w:rsidR="00647751" w:rsidRPr="00647751" w:rsidRDefault="00647751" w:rsidP="00713714">
      <w:r w:rsidRPr="00647751">
        <w:t>Sequence-level evidence steers pose geometry without brittleness:</w:t>
      </w:r>
    </w:p>
    <w:p w:rsidR="00647751" w:rsidRPr="00647751" w:rsidRDefault="00647751" w:rsidP="00713714">
      <w:r w:rsidRPr="00647751">
        <w:rPr>
          <w:b/>
          <w:bCs/>
        </w:rPr>
        <w:t>Gapped-motif penalties.</w:t>
      </w:r>
      <w:r w:rsidRPr="00647751">
        <w:t xml:space="preserve"> </w:t>
      </w:r>
      <w:r w:rsidRPr="00647751">
        <w:rPr>
          <w:b/>
          <w:bCs/>
        </w:rPr>
        <w:t>GLAM2/GLAM2SCAN</w:t>
      </w:r>
      <w:r w:rsidRPr="00647751">
        <w:t xml:space="preserve"> consensus motifs produce </w:t>
      </w:r>
      <w:r w:rsidRPr="00647751">
        <w:rPr>
          <w:b/>
          <w:bCs/>
        </w:rPr>
        <w:t>mismatch scores</w:t>
      </w:r>
      <w:r w:rsidRPr="00647751">
        <w:t xml:space="preserve"> mi</w:t>
      </w:r>
      <w:r w:rsidRPr="00647751">
        <w:rPr>
          <w:rFonts w:ascii="Cambria Math" w:hAnsi="Cambria Math" w:cs="Cambria Math"/>
        </w:rPr>
        <w:t>∈</w:t>
      </w:r>
      <w:r w:rsidRPr="00647751">
        <w:t>[0,1]m_i\in[0,1]mi​</w:t>
      </w:r>
      <w:r w:rsidRPr="00647751">
        <w:rPr>
          <w:rFonts w:ascii="Cambria Math" w:hAnsi="Cambria Math" w:cs="Cambria Math"/>
        </w:rPr>
        <w:t>∈</w:t>
      </w:r>
      <w:r w:rsidRPr="00647751">
        <w:t>[0,1]. The circuit applies a pairwise ZZ penalty</w:t>
      </w:r>
    </w:p>
    <w:p w:rsidR="00647751" w:rsidRPr="00647751" w:rsidRDefault="00647751" w:rsidP="00713714">
      <w:r w:rsidRPr="00647751">
        <w:t xml:space="preserve">Upen=∏i&lt;jexp⁡ ⁣(−i λph4 mimj ZiZj),U_{\text{pen}}=\prod_{i&lt;j}\exp\!\big(-i\,\lambda_{\text{ph4}}\,m_i m_j\,Z_i Z_j\big),Upen​=i&lt;j∏​exp(−iλph4​mi​mj​Zi​Zj​), </w:t>
      </w:r>
    </w:p>
    <w:p w:rsidR="00647751" w:rsidRPr="00647751" w:rsidRDefault="00647751" w:rsidP="00713714">
      <w:r w:rsidRPr="00647751">
        <w:t xml:space="preserve">soft-enforcing patterns like the ERC/NEU1-biased long motif, protease-proximal cores, and the cystine-rich ECM tag. If sequences are absent, </w:t>
      </w:r>
      <w:r w:rsidRPr="00647751">
        <w:rPr>
          <w:b/>
          <w:bCs/>
        </w:rPr>
        <w:t>soft priors</w:t>
      </w:r>
      <w:r w:rsidRPr="00647751">
        <w:t xml:space="preserve"> (ECM/protease context, temperature-scaled collagenase activity) provide graded mmm.</w:t>
      </w:r>
    </w:p>
    <w:p w:rsidR="00647751" w:rsidRPr="00647751" w:rsidRDefault="00647751" w:rsidP="00713714">
      <w:r w:rsidRPr="00647751">
        <w:rPr>
          <w:b/>
          <w:bCs/>
        </w:rPr>
        <w:t>Compartmental curvature.</w:t>
      </w:r>
      <w:r w:rsidRPr="00647751">
        <w:t xml:space="preserve"> Compartment priors (ECM, vesicle lumen, secretory granule) define kfk_fkf​ that modulate </w:t>
      </w:r>
      <w:r w:rsidRPr="00647751">
        <w:rPr>
          <w:b/>
          <w:bCs/>
        </w:rPr>
        <w:t>RZ</w:t>
      </w:r>
      <w:r w:rsidRPr="00647751">
        <w:t xml:space="preserve"> encoders λcurv kf xf\lambda_{\text{curv}}\,k_f\,x_fλcurv​kf​xf​, biasing toward concave, hydrated subsites that favor burial without breaking H-bond geometry.</w:t>
      </w:r>
    </w:p>
    <w:p w:rsidR="00647751" w:rsidRPr="00647751" w:rsidRDefault="00106EF3" w:rsidP="00713714">
      <w:r>
        <w:pict>
          <v:rect id="_x0000_i1065" style="width:0;height:1.5pt" o:hralign="center" o:hrstd="t" o:hr="t" fillcolor="#a0a0a0" stroked="f"/>
        </w:pict>
      </w:r>
    </w:p>
    <w:p w:rsidR="00647751" w:rsidRPr="00647751" w:rsidRDefault="00647751" w:rsidP="00713714">
      <w:r w:rsidRPr="00647751">
        <w:t>Readout &amp; Interpretation</w:t>
      </w:r>
    </w:p>
    <w:p w:rsidR="00647751" w:rsidRPr="00647751" w:rsidRDefault="00647751" w:rsidP="00713714">
      <w:r w:rsidRPr="00647751">
        <w:t xml:space="preserve">A single-qubit ZZZ expectation </w:t>
      </w:r>
      <w:r w:rsidRPr="00647751">
        <w:rPr>
          <w:rFonts w:ascii="Cambria Math" w:hAnsi="Cambria Math" w:cs="Cambria Math"/>
        </w:rPr>
        <w:t>⟨</w:t>
      </w:r>
      <w:r w:rsidRPr="00647751">
        <w:t>ZP0</w:t>
      </w:r>
      <w:r w:rsidRPr="00647751">
        <w:rPr>
          <w:rFonts w:ascii="Cambria Math" w:hAnsi="Cambria Math" w:cs="Cambria Math"/>
        </w:rPr>
        <w:t>⟩</w:t>
      </w:r>
      <w:r w:rsidRPr="00647751">
        <w:t>\langle Z_{P0}\rangle</w:t>
      </w:r>
      <w:r w:rsidRPr="00647751">
        <w:rPr>
          <w:rFonts w:ascii="Cambria Math" w:hAnsi="Cambria Math" w:cs="Cambria Math"/>
        </w:rPr>
        <w:t>⟨</w:t>
      </w:r>
      <w:r w:rsidRPr="00647751">
        <w:t>ZP0​</w:t>
      </w:r>
      <w:r w:rsidRPr="00647751">
        <w:rPr>
          <w:rFonts w:ascii="Cambria Math" w:hAnsi="Cambria Math" w:cs="Cambria Math"/>
        </w:rPr>
        <w:t>⟩</w:t>
      </w:r>
      <w:r w:rsidRPr="00647751">
        <w:t xml:space="preserve"> aggregates </w:t>
      </w:r>
      <w:r w:rsidRPr="00647751">
        <w:rPr>
          <w:b/>
          <w:bCs/>
        </w:rPr>
        <w:t>diversity pressure</w:t>
      </w:r>
      <w:r w:rsidRPr="00647751">
        <w:t xml:space="preserve">, </w:t>
      </w:r>
      <w:r w:rsidRPr="00647751">
        <w:rPr>
          <w:b/>
          <w:bCs/>
        </w:rPr>
        <w:t>energetic plausibility</w:t>
      </w:r>
      <w:r w:rsidRPr="00647751">
        <w:t xml:space="preserve">, and </w:t>
      </w:r>
      <w:r w:rsidRPr="00647751">
        <w:rPr>
          <w:b/>
          <w:bCs/>
        </w:rPr>
        <w:t>motif/geometry consistency</w:t>
      </w:r>
      <w:r w:rsidRPr="00647751">
        <w:t xml:space="preserve"> into one observable (extendable to vector readouts). In downstream analysis, this score informs ranking and pruning before heavier MD/refinement.</w:t>
      </w:r>
    </w:p>
    <w:p w:rsidR="00647751" w:rsidRPr="00647751" w:rsidRDefault="00106EF3" w:rsidP="00713714">
      <w:r>
        <w:pict>
          <v:rect id="_x0000_i1066" style="width:0;height:1.5pt" o:hralign="center" o:hrstd="t" o:hr="t" fillcolor="#a0a0a0" stroked="f"/>
        </w:pict>
      </w:r>
    </w:p>
    <w:p w:rsidR="00647751" w:rsidRPr="00647751" w:rsidRDefault="00647751" w:rsidP="00713714">
      <w:r w:rsidRPr="00647751">
        <w:t>Digitized Adiabatic GHZ (Validation Track)</w:t>
      </w:r>
    </w:p>
    <w:p w:rsidR="00647751" w:rsidRPr="00647751" w:rsidRDefault="00647751" w:rsidP="00713714">
      <w:r w:rsidRPr="00647751">
        <w:t>In parallel,</w:t>
      </w:r>
      <w:r w:rsidR="00356057">
        <w:t xml:space="preserve"> I </w:t>
      </w:r>
      <w:r w:rsidRPr="00647751">
        <w:t xml:space="preserve">use a </w:t>
      </w:r>
      <w:r w:rsidRPr="00647751">
        <w:rPr>
          <w:b/>
          <w:bCs/>
        </w:rPr>
        <w:t>digitized adiabatic schedule</w:t>
      </w:r>
      <w:r w:rsidRPr="00647751">
        <w:t xml:space="preserve"> as a calibration/verification primitive:</w:t>
      </w:r>
    </w:p>
    <w:p w:rsidR="00647751" w:rsidRPr="00647751" w:rsidRDefault="00647751" w:rsidP="00713714">
      <w:r w:rsidRPr="00647751">
        <w:rPr>
          <w:b/>
          <w:bCs/>
        </w:rPr>
        <w:t>Hamiltonian path.</w:t>
      </w:r>
      <w:r w:rsidRPr="00647751">
        <w:t xml:space="preserve"> Interpolate H(s)=(1−s)H0+sHfH(s)=(1-s)H_0 + s H_fH(s)=(1−s)H0​+sHf​ from H0=−Bx∑XnH_0=-B_x\sum X_nH0​=−Bx​∑Xn​ to Hf=−Jzz∑ZnZn+1H_f=-J_{zz}\sum Z_n Z_{n+1}Hf​=−Jzz​∑Zn​Zn+1​, with T=5, N=8, Jzz=2, Bx=π/2T=5,\,N=8,\,J_{zz}=2,\,B_x=\pi/2T=5,N=8,Jzz​=2,Bx​=π/2. First-order Trotterization yields per-step </w:t>
      </w:r>
      <w:r w:rsidRPr="00647751">
        <w:rPr>
          <w:b/>
          <w:bCs/>
        </w:rPr>
        <w:t>RZZ</w:t>
      </w:r>
      <w:r w:rsidRPr="00647751">
        <w:t xml:space="preserve">(sϕ)(s\phi)(sϕ) and </w:t>
      </w:r>
      <w:r w:rsidRPr="00647751">
        <w:rPr>
          <w:b/>
          <w:bCs/>
        </w:rPr>
        <w:t>RX</w:t>
      </w:r>
      <w:r w:rsidRPr="00647751">
        <w:t>((1−s)α)((1-s)\alpha)((1−s)α) layers.</w:t>
      </w:r>
    </w:p>
    <w:p w:rsidR="00647751" w:rsidRPr="00647751" w:rsidRDefault="00647751" w:rsidP="00713714">
      <w:r w:rsidRPr="00647751">
        <w:rPr>
          <w:b/>
          <w:bCs/>
        </w:rPr>
        <w:t>Adiabatic criteria.</w:t>
      </w:r>
      <w:r w:rsidRPr="00647751">
        <w:t xml:space="preserve"> Track the standard gap-based bound</w:t>
      </w:r>
    </w:p>
    <w:p w:rsidR="00647751" w:rsidRPr="00647751" w:rsidRDefault="00647751" w:rsidP="00713714">
      <w:r w:rsidRPr="00647751">
        <w:t>max⁡t</w:t>
      </w:r>
      <w:r w:rsidRPr="00647751">
        <w:rPr>
          <w:rFonts w:ascii="Cambria Math" w:hAnsi="Cambria Math" w:cs="Cambria Math"/>
        </w:rPr>
        <w:t>∣⟨</w:t>
      </w:r>
      <w:r w:rsidRPr="00647751">
        <w:t>ε0</w:t>
      </w:r>
      <w:r w:rsidRPr="00647751">
        <w:rPr>
          <w:rFonts w:ascii="Cambria Math" w:hAnsi="Cambria Math" w:cs="Cambria Math"/>
        </w:rPr>
        <w:t>∣</w:t>
      </w:r>
      <w:r w:rsidRPr="00647751">
        <w:t>H˙</w:t>
      </w:r>
      <w:r w:rsidRPr="00647751">
        <w:rPr>
          <w:rFonts w:ascii="Cambria Math" w:hAnsi="Cambria Math" w:cs="Cambria Math"/>
        </w:rPr>
        <w:t>∣</w:t>
      </w:r>
      <w:r w:rsidRPr="00647751">
        <w:t>εm</w:t>
      </w:r>
      <w:r w:rsidRPr="00647751">
        <w:rPr>
          <w:rFonts w:ascii="Cambria Math" w:hAnsi="Cambria Math" w:cs="Cambria Math"/>
        </w:rPr>
        <w:t>⟩∣</w:t>
      </w:r>
      <w:r w:rsidRPr="00647751">
        <w:t>(εm−ε0)2</w:t>
      </w:r>
      <w:r w:rsidRPr="00647751">
        <w:rPr>
          <w:rFonts w:ascii="Cambria Math" w:hAnsi="Cambria Math" w:cs="Cambria Math"/>
        </w:rPr>
        <w:t>≪</w:t>
      </w:r>
      <w:r w:rsidRPr="00647751">
        <w:t>1and1Tmax⁡s</w:t>
      </w:r>
      <w:r w:rsidRPr="00647751">
        <w:rPr>
          <w:rFonts w:ascii="Cambria Math" w:hAnsi="Cambria Math" w:cs="Cambria Math"/>
        </w:rPr>
        <w:t>∣⟨</w:t>
      </w:r>
      <w:r w:rsidRPr="00647751">
        <w:t>ε0(s)</w:t>
      </w:r>
      <w:r w:rsidRPr="00647751">
        <w:rPr>
          <w:rFonts w:ascii="Cambria Math" w:hAnsi="Cambria Math" w:cs="Cambria Math"/>
        </w:rPr>
        <w:t>∣</w:t>
      </w:r>
      <w:r w:rsidRPr="00647751">
        <w:t>∂sH</w:t>
      </w:r>
      <w:r w:rsidRPr="00647751">
        <w:rPr>
          <w:rFonts w:ascii="Cambria Math" w:hAnsi="Cambria Math" w:cs="Cambria Math"/>
        </w:rPr>
        <w:t>∣</w:t>
      </w:r>
      <w:r w:rsidRPr="00647751">
        <w:t>εm(s)</w:t>
      </w:r>
      <w:r w:rsidRPr="00647751">
        <w:rPr>
          <w:rFonts w:ascii="Cambria Math" w:hAnsi="Cambria Math" w:cs="Cambria Math"/>
        </w:rPr>
        <w:t>⟩∣</w:t>
      </w:r>
      <w:r w:rsidRPr="00647751">
        <w:t>Δ(s)2</w:t>
      </w:r>
      <w:r w:rsidRPr="00647751">
        <w:rPr>
          <w:rFonts w:ascii="Cambria Math" w:hAnsi="Cambria Math" w:cs="Cambria Math"/>
        </w:rPr>
        <w:t>≪</w:t>
      </w:r>
      <w:r w:rsidRPr="00647751">
        <w:t>1,\max_t \frac{|\langle \varepsilon_0|\dot H|\varepsilon_m\rangle|}{(\varepsilon_m-\varepsilon_0)^2}\ll 1 \quad\text{and}\quad \frac{1}{T}\max_s \frac{|\langle \varepsilon_0(s)|\partial_s H|\varepsilon_m(s)\rangle|}{\Delta(s)^2}\ll 1,tmax​(εm​−ε0​)2</w:t>
      </w:r>
      <w:r w:rsidRPr="00647751">
        <w:rPr>
          <w:rFonts w:ascii="Cambria Math" w:hAnsi="Cambria Math" w:cs="Cambria Math"/>
        </w:rPr>
        <w:t>∣⟨</w:t>
      </w:r>
      <w:r w:rsidRPr="00647751">
        <w:t>ε0​</w:t>
      </w:r>
      <w:r w:rsidRPr="00647751">
        <w:rPr>
          <w:rFonts w:ascii="Cambria Math" w:hAnsi="Cambria Math" w:cs="Cambria Math"/>
        </w:rPr>
        <w:t>∣</w:t>
      </w:r>
      <w:r w:rsidRPr="00647751">
        <w:t>H˙</w:t>
      </w:r>
      <w:r w:rsidRPr="00647751">
        <w:rPr>
          <w:rFonts w:ascii="Cambria Math" w:hAnsi="Cambria Math" w:cs="Cambria Math"/>
        </w:rPr>
        <w:t>∣</w:t>
      </w:r>
      <w:r w:rsidRPr="00647751">
        <w:t>εm​</w:t>
      </w:r>
      <w:r w:rsidRPr="00647751">
        <w:rPr>
          <w:rFonts w:ascii="Cambria Math" w:hAnsi="Cambria Math" w:cs="Cambria Math"/>
        </w:rPr>
        <w:t>⟩∣</w:t>
      </w:r>
      <w:r w:rsidRPr="00647751">
        <w:t>​</w:t>
      </w:r>
      <w:r w:rsidRPr="00647751">
        <w:rPr>
          <w:rFonts w:ascii="Cambria Math" w:hAnsi="Cambria Math" w:cs="Cambria Math"/>
        </w:rPr>
        <w:t>≪</w:t>
      </w:r>
      <w:r w:rsidRPr="00647751">
        <w:t>1andT1​smax​Δ(s)2</w:t>
      </w:r>
      <w:r w:rsidRPr="00647751">
        <w:rPr>
          <w:rFonts w:ascii="Cambria Math" w:hAnsi="Cambria Math" w:cs="Cambria Math"/>
        </w:rPr>
        <w:t>∣⟨</w:t>
      </w:r>
      <w:r w:rsidRPr="00647751">
        <w:t>ε0​(s)</w:t>
      </w:r>
      <w:r w:rsidRPr="00647751">
        <w:rPr>
          <w:rFonts w:ascii="Cambria Math" w:hAnsi="Cambria Math" w:cs="Cambria Math"/>
        </w:rPr>
        <w:t>∣</w:t>
      </w:r>
      <w:r w:rsidRPr="00647751">
        <w:t>∂s​H</w:t>
      </w:r>
      <w:r w:rsidRPr="00647751">
        <w:rPr>
          <w:rFonts w:ascii="Cambria Math" w:hAnsi="Cambria Math" w:cs="Cambria Math"/>
        </w:rPr>
        <w:t>∣</w:t>
      </w:r>
      <w:r w:rsidRPr="00647751">
        <w:t>εm​(s)</w:t>
      </w:r>
      <w:r w:rsidRPr="00647751">
        <w:rPr>
          <w:rFonts w:ascii="Cambria Math" w:hAnsi="Cambria Math" w:cs="Cambria Math"/>
        </w:rPr>
        <w:t>⟩∣</w:t>
      </w:r>
      <w:r w:rsidRPr="00647751">
        <w:t>​</w:t>
      </w:r>
      <w:r w:rsidRPr="00647751">
        <w:rPr>
          <w:rFonts w:ascii="Cambria Math" w:hAnsi="Cambria Math" w:cs="Cambria Math"/>
        </w:rPr>
        <w:t>≪</w:t>
      </w:r>
      <w:r w:rsidRPr="00647751">
        <w:t xml:space="preserve">1, </w:t>
      </w:r>
    </w:p>
    <w:p w:rsidR="00647751" w:rsidRPr="00647751" w:rsidRDefault="00647751" w:rsidP="00713714">
      <w:r w:rsidRPr="00647751">
        <w:t>improving smoothness to approach the 1/Δ21/\Delta^21/Δ2 runtime scaling.</w:t>
      </w:r>
    </w:p>
    <w:p w:rsidR="00647751" w:rsidRPr="00647751" w:rsidRDefault="00647751" w:rsidP="00713714">
      <w:r w:rsidRPr="00647751">
        <w:rPr>
          <w:b/>
          <w:bCs/>
        </w:rPr>
        <w:t>Witnessing &amp; fidelity.</w:t>
      </w:r>
      <w:r w:rsidRPr="00647751">
        <w:t xml:space="preserve"> Reconstruct ρs\rho_sρs​ (sim/noise-model/device), compute von Neumann entropy S(ρ)S(\rho)S(ρ), </w:t>
      </w:r>
      <w:r w:rsidRPr="00647751">
        <w:rPr>
          <w:b/>
          <w:bCs/>
        </w:rPr>
        <w:t>GHZ fidelity</w:t>
      </w:r>
      <w:r w:rsidRPr="00647751">
        <w:t xml:space="preserve">, and the </w:t>
      </w:r>
      <w:r w:rsidRPr="00647751">
        <w:rPr>
          <w:b/>
          <w:bCs/>
        </w:rPr>
        <w:t>GHZ witness</w:t>
      </w:r>
      <w:r w:rsidRPr="00647751">
        <w:t xml:space="preserve"> WGHZ=34I−</w:t>
      </w:r>
      <w:r w:rsidRPr="00647751">
        <w:rPr>
          <w:rFonts w:ascii="Cambria Math" w:hAnsi="Cambria Math" w:cs="Cambria Math"/>
        </w:rPr>
        <w:t>∣</w:t>
      </w:r>
      <w:r w:rsidRPr="00647751">
        <w:t>GHZ</w:t>
      </w:r>
      <w:r w:rsidRPr="00647751">
        <w:rPr>
          <w:rFonts w:ascii="Cambria Math" w:hAnsi="Cambria Math" w:cs="Cambria Math"/>
        </w:rPr>
        <w:t>⟩⟨</w:t>
      </w:r>
      <w:r w:rsidRPr="00647751">
        <w:t>GHZ</w:t>
      </w:r>
      <w:r w:rsidRPr="00647751">
        <w:rPr>
          <w:rFonts w:ascii="Cambria Math" w:hAnsi="Cambria Math" w:cs="Cambria Math"/>
        </w:rPr>
        <w:t>∣</w:t>
      </w:r>
      <w:r w:rsidRPr="00647751">
        <w:t>W_{\text{GHZ}}=\tfrac{3}{4}I-|{\rm GHZ}\rangle\langle{\rm GHZ}|WGHZ​=43​I−</w:t>
      </w:r>
      <w:r w:rsidRPr="00647751">
        <w:rPr>
          <w:rFonts w:ascii="Cambria Math" w:hAnsi="Cambria Math" w:cs="Cambria Math"/>
        </w:rPr>
        <w:t>∣</w:t>
      </w:r>
      <w:r w:rsidRPr="00647751">
        <w:t>GHZ</w:t>
      </w:r>
      <w:r w:rsidRPr="00647751">
        <w:rPr>
          <w:rFonts w:ascii="Cambria Math" w:hAnsi="Cambria Math" w:cs="Cambria Math"/>
        </w:rPr>
        <w:t>⟩⟨</w:t>
      </w:r>
      <w:r w:rsidRPr="00647751">
        <w:t>GHZ</w:t>
      </w:r>
      <w:r w:rsidRPr="00647751">
        <w:rPr>
          <w:rFonts w:ascii="Cambria Math" w:hAnsi="Cambria Math" w:cs="Cambria Math"/>
        </w:rPr>
        <w:t>∣</w:t>
      </w:r>
      <w:r w:rsidRPr="00647751">
        <w:t xml:space="preserve"> (negative </w:t>
      </w:r>
      <w:r w:rsidRPr="00647751">
        <w:rPr>
          <w:rFonts w:ascii="Cambria Math" w:hAnsi="Cambria Math" w:cs="Cambria Math"/>
        </w:rPr>
        <w:t>⇒</w:t>
      </w:r>
      <w:r w:rsidRPr="00647751">
        <w:t xml:space="preserve"> GHZ component). This gives a </w:t>
      </w:r>
      <w:r w:rsidRPr="00647751">
        <w:rPr>
          <w:b/>
          <w:bCs/>
        </w:rPr>
        <w:t>backend-specific quality gate</w:t>
      </w:r>
      <w:r w:rsidRPr="00647751">
        <w:t xml:space="preserve"> before running the hybrid selector/regressor.</w:t>
      </w:r>
    </w:p>
    <w:p w:rsidR="00647751" w:rsidRPr="00647751" w:rsidRDefault="00106EF3" w:rsidP="00713714">
      <w:r>
        <w:pict>
          <v:rect id="_x0000_i1067" style="width:0;height:1.5pt" o:hralign="center" o:hrstd="t" o:hr="t" fillcolor="#a0a0a0" stroked="f"/>
        </w:pict>
      </w:r>
    </w:p>
    <w:p w:rsidR="00647751" w:rsidRPr="00356057" w:rsidRDefault="00647751" w:rsidP="00713714">
      <w:pPr>
        <w:rPr>
          <w:b/>
          <w:sz w:val="36"/>
          <w:szCs w:val="36"/>
        </w:rPr>
      </w:pPr>
      <w:r w:rsidRPr="00356057">
        <w:rPr>
          <w:b/>
          <w:sz w:val="36"/>
          <w:szCs w:val="36"/>
        </w:rPr>
        <w:t>Numerical Stability, Equivariance, and Entropy-Aware Flow</w:t>
      </w:r>
    </w:p>
    <w:p w:rsidR="00647751" w:rsidRPr="00647751" w:rsidRDefault="00647751" w:rsidP="006C2A3A">
      <w:pPr>
        <w:jc w:val="left"/>
      </w:pPr>
      <w:r w:rsidRPr="00647751">
        <w:t>To keep the pharmacophoric ODE and its quantum proxy well-posed:</w:t>
      </w:r>
    </w:p>
    <w:p w:rsidR="00647751" w:rsidRPr="00647751" w:rsidRDefault="00647751" w:rsidP="006C2A3A">
      <w:pPr>
        <w:jc w:val="left"/>
      </w:pPr>
      <w:r w:rsidRPr="00647751">
        <w:rPr>
          <w:b/>
          <w:bCs/>
        </w:rPr>
        <w:t>Predictor–corrector updates.</w:t>
      </w:r>
      <w:r w:rsidRPr="00647751">
        <w:t xml:space="preserve"> Use a small-step propagator</w:t>
      </w:r>
      <w:r w:rsidRPr="00647751">
        <w:br/>
        <w:t>Φ(U)=I+c1U+c2U2+O(U3)\Phi(U)=I+c_1 U+c_2 U^2+\mathcal O(U^3)Φ(U)=I+c1​U+c2​U2+O(U3)</w:t>
      </w:r>
      <w:r w:rsidRPr="00647751">
        <w:br/>
        <w:t>to limit local truncation error and drift.</w:t>
      </w:r>
    </w:p>
    <w:p w:rsidR="00647751" w:rsidRPr="00647751" w:rsidRDefault="00647751" w:rsidP="006C2A3A">
      <w:pPr>
        <w:jc w:val="left"/>
      </w:pPr>
      <w:r w:rsidRPr="00647751">
        <w:rPr>
          <w:b/>
          <w:bCs/>
        </w:rPr>
        <w:t>Rotation equivariance.</w:t>
      </w:r>
      <w:r w:rsidRPr="00647751">
        <w:t xml:space="preserve"> Pose updates use </w:t>
      </w:r>
      <w:r w:rsidRPr="00647751">
        <w:rPr>
          <w:b/>
          <w:bCs/>
        </w:rPr>
        <w:t>Wigner DDD matrices</w:t>
      </w:r>
      <w:r w:rsidRPr="00647751">
        <w:t xml:space="preserve"> Dm′mj(α,β,γ)D^{j}_{m'm}(\alpha,\beta,\gamma)Dm′mj​(α,β,γ) so orientation-dependent terms (burial, H-bond geometry) remain consistent under rigid motions.</w:t>
      </w:r>
    </w:p>
    <w:p w:rsidR="00647751" w:rsidRPr="00647751" w:rsidRDefault="00647751" w:rsidP="006C2A3A">
      <w:pPr>
        <w:jc w:val="left"/>
      </w:pPr>
      <w:r w:rsidRPr="00647751">
        <w:rPr>
          <w:b/>
          <w:bCs/>
        </w:rPr>
        <w:t>Smooth gradients.</w:t>
      </w:r>
      <w:r w:rsidRPr="00647751">
        <w:t xml:space="preserve"> Soft-overlap kernels exploit the hypergeometric identity</w:t>
      </w:r>
      <w:r w:rsidRPr="00647751">
        <w:br/>
        <w:t>∂∂x2F1(a,b;c;x)=abc2F1(a+1,b+1;c+1;x)\frac{\partial}{\partial x}{}_2F_1(a,b;c;x)=\tfrac{ab}{c}{}_2F_1(a+1,b+1;c+1;x)∂x∂​2​F1​(a,b;c;x)=cab​2​F1​(a+1,b+1;c+1;x),</w:t>
      </w:r>
      <w:r w:rsidRPr="00647751">
        <w:br/>
        <w:t>keeping the objective differentiable as contacts form/break.</w:t>
      </w:r>
    </w:p>
    <w:p w:rsidR="00647751" w:rsidRPr="00647751" w:rsidRDefault="00647751" w:rsidP="006C2A3A">
      <w:pPr>
        <w:jc w:val="left"/>
      </w:pPr>
      <w:r w:rsidRPr="00647751">
        <w:rPr>
          <w:b/>
          <w:bCs/>
        </w:rPr>
        <w:t>Entropy coupling each step.</w:t>
      </w:r>
      <w:r w:rsidRPr="00647751">
        <w:t xml:space="preserve"> After every Φ\PhiΦ update, evaluate </w:t>
      </w:r>
      <w:r w:rsidRPr="00647751">
        <w:rPr>
          <w:b/>
          <w:bCs/>
        </w:rPr>
        <w:t>Shannon</w:t>
      </w:r>
      <w:r w:rsidRPr="00647751">
        <w:t xml:space="preserve"> HHH and </w:t>
      </w:r>
      <w:r w:rsidRPr="00647751">
        <w:rPr>
          <w:b/>
          <w:bCs/>
        </w:rPr>
        <w:t>Rényi</w:t>
      </w:r>
      <w:r w:rsidRPr="00647751">
        <w:t xml:space="preserve"> Sα, α ⁣</w:t>
      </w:r>
      <w:r w:rsidRPr="00647751">
        <w:rPr>
          <w:rFonts w:ascii="Cambria Math" w:hAnsi="Cambria Math" w:cs="Cambria Math"/>
        </w:rPr>
        <w:t>∈</w:t>
      </w:r>
      <w:r w:rsidRPr="00647751">
        <w:t>[1.2,2]S_\alpha,\,\alpha\!\in[1.2,2]Sα​,α</w:t>
      </w:r>
      <w:r w:rsidRPr="00647751">
        <w:rPr>
          <w:rFonts w:ascii="Cambria Math" w:hAnsi="Cambria Math" w:cs="Cambria Math"/>
        </w:rPr>
        <w:t>∈</w:t>
      </w:r>
      <w:r w:rsidRPr="00647751">
        <w:t xml:space="preserve">[1.2,2] to penalize over-concentration; accept an edit G\*G^\*G\* only if ΔH(G\*)≥0\Delta H(G^\*)\ge 0ΔH(G\*)≥0 and the chemotype-bin χ2\chi^2χ2 test passes. Otherwise, </w:t>
      </w:r>
      <w:r w:rsidRPr="00647751">
        <w:rPr>
          <w:b/>
          <w:bCs/>
        </w:rPr>
        <w:t>soften</w:t>
      </w:r>
      <w:r w:rsidRPr="00647751">
        <w:t xml:space="preserve"> the proposal (smaller c1,c2c_1,c_2c1​,c2​) or reject—preserving </w:t>
      </w:r>
      <w:r w:rsidRPr="00647751">
        <w:rPr>
          <w:b/>
          <w:bCs/>
        </w:rPr>
        <w:t>diversity and fairness</w:t>
      </w:r>
      <w:r w:rsidRPr="00647751">
        <w:t xml:space="preserve"> without breaking rotational equivariance.</w:t>
      </w:r>
    </w:p>
    <w:p w:rsidR="00647751" w:rsidRPr="00647751" w:rsidRDefault="00106EF3" w:rsidP="00713714">
      <w:r>
        <w:pict>
          <v:rect id="_x0000_i1068" style="width:0;height:1.5pt" o:hralign="center" o:hrstd="t" o:hr="t" fillcolor="#a0a0a0" stroked="f"/>
        </w:pict>
      </w:r>
    </w:p>
    <w:p w:rsidR="00647751" w:rsidRPr="00356057" w:rsidRDefault="00647751" w:rsidP="00713714">
      <w:pPr>
        <w:rPr>
          <w:b/>
          <w:sz w:val="36"/>
          <w:szCs w:val="36"/>
        </w:rPr>
      </w:pPr>
      <w:r w:rsidRPr="00356057">
        <w:rPr>
          <w:b/>
          <w:sz w:val="36"/>
          <w:szCs w:val="36"/>
        </w:rPr>
        <w:t>Why This Matters in Practice</w:t>
      </w:r>
    </w:p>
    <w:p w:rsidR="00647751" w:rsidRPr="00647751" w:rsidRDefault="00647751" w:rsidP="00713714">
      <w:r w:rsidRPr="00647751">
        <w:rPr>
          <w:b/>
          <w:bCs/>
        </w:rPr>
        <w:t>Fewer false funnels.</w:t>
      </w:r>
      <w:r w:rsidRPr="00647751">
        <w:t xml:space="preserve"> Motif-anchored penalties narrow pose degeneracy; curvature-weighted encoders privilege </w:t>
      </w:r>
      <w:r w:rsidRPr="00647751">
        <w:rPr>
          <w:b/>
          <w:bCs/>
        </w:rPr>
        <w:t>usable concavity</w:t>
      </w:r>
      <w:r w:rsidRPr="00647751">
        <w:t>; ΔGnp\Delta G_{\text{np}}ΔGnp​ rescoring curbs rank shuffling from over-polar fits.</w:t>
      </w:r>
    </w:p>
    <w:p w:rsidR="00647751" w:rsidRPr="00647751" w:rsidRDefault="00647751" w:rsidP="00713714">
      <w:r w:rsidRPr="00647751">
        <w:rPr>
          <w:b/>
          <w:bCs/>
        </w:rPr>
        <w:t>Faster convergence.</w:t>
      </w:r>
      <w:r w:rsidRPr="00647751">
        <w:t xml:space="preserve"> Diversity first, physics second, geometry last—an </w:t>
      </w:r>
      <w:r w:rsidRPr="00647751">
        <w:rPr>
          <w:b/>
          <w:bCs/>
        </w:rPr>
        <w:t>adiabatic-style handover</w:t>
      </w:r>
      <w:r w:rsidRPr="00647751">
        <w:t xml:space="preserve"> from permissive to selective—reduces wasted MD and stabilizes optimization.</w:t>
      </w:r>
    </w:p>
    <w:p w:rsidR="00647751" w:rsidRPr="00647751" w:rsidRDefault="00647751" w:rsidP="00713714">
      <w:r w:rsidRPr="00647751">
        <w:rPr>
          <w:b/>
          <w:bCs/>
        </w:rPr>
        <w:t>Auditable biology.</w:t>
      </w:r>
      <w:r w:rsidRPr="00647751">
        <w:t xml:space="preserve"> The same priors (ERC/NEU1, protease/ECM context, cystine-rich localization) appear in both the </w:t>
      </w:r>
      <w:r w:rsidRPr="00647751">
        <w:rPr>
          <w:b/>
          <w:bCs/>
        </w:rPr>
        <w:t>selection</w:t>
      </w:r>
      <w:r w:rsidRPr="00647751">
        <w:t xml:space="preserve"> (QAOA) and the </w:t>
      </w:r>
      <w:r w:rsidRPr="00647751">
        <w:rPr>
          <w:b/>
          <w:bCs/>
        </w:rPr>
        <w:t>regression</w:t>
      </w:r>
      <w:r w:rsidRPr="00647751">
        <w:t xml:space="preserve"> (PQC) paths, and are cross-checked against CSI, MRH, and Δ\DeltaΔGSE on fibrocyte/ECM subnetworks.</w:t>
      </w:r>
    </w:p>
    <w:p w:rsidR="00647751" w:rsidRPr="00647751" w:rsidRDefault="00106EF3" w:rsidP="00713714">
      <w:r>
        <w:pict>
          <v:rect id="_x0000_i1069" style="width:0;height:1.5pt" o:hralign="center" o:hrstd="t" o:hr="t" fillcolor="#a0a0a0" stroked="f"/>
        </w:pict>
      </w:r>
    </w:p>
    <w:p w:rsidR="00647751" w:rsidRPr="00647751" w:rsidRDefault="00647751" w:rsidP="00713714">
      <w:r w:rsidRPr="00647751">
        <w:t>Exact Instance (for the figure/script you referenced)</w:t>
      </w:r>
    </w:p>
    <w:p w:rsidR="00647751" w:rsidRPr="00647751" w:rsidRDefault="00647751" w:rsidP="00713714">
      <w:r w:rsidRPr="00647751">
        <w:rPr>
          <w:b/>
          <w:bCs/>
        </w:rPr>
        <w:t>QAOA:</w:t>
      </w:r>
      <w:r w:rsidRPr="00647751">
        <w:t xml:space="preserve"> p=2p=2p=2 on the 5×55\times 55×5 WWW from the toy example.</w:t>
      </w:r>
    </w:p>
    <w:p w:rsidR="00647751" w:rsidRPr="00647751" w:rsidRDefault="00647751" w:rsidP="00713714">
      <w:r w:rsidRPr="00647751">
        <w:rPr>
          <w:b/>
          <w:bCs/>
        </w:rPr>
        <w:t>PQC:</w:t>
      </w:r>
      <w:r w:rsidRPr="00647751">
        <w:t xml:space="preserve"> nfeat=5</w:t>
      </w:r>
      <w:r w:rsidRPr="00647751">
        <w:rPr>
          <w:rFonts w:ascii="Cambria Math" w:hAnsi="Cambria Math" w:cs="Cambria Math"/>
        </w:rPr>
        <w:t>⇒</w:t>
      </w:r>
      <w:r w:rsidRPr="00647751">
        <w:t>nq=8n_{\text{feat}}=5\Rightarrow n_q=8nfeat​=5</w:t>
      </w:r>
      <w:r w:rsidRPr="00647751">
        <w:rPr>
          <w:rFonts w:ascii="Cambria Math" w:hAnsi="Cambria Math" w:cs="Cambria Math"/>
        </w:rPr>
        <w:t>⇒</w:t>
      </w:r>
      <w:r w:rsidRPr="00647751">
        <w:t>nq​=8, depth =2=2=2, λph4=0.4\lambda_{\text{ph4}}=0.4λph4​=0.4, λcurv=0.35\lambda_{\text{curv}}=0.35λcurv​=0.35, single-qubit ZZZ readout on P0P0P0.</w:t>
      </w:r>
    </w:p>
    <w:p w:rsidR="00647751" w:rsidRPr="00647751" w:rsidRDefault="00647751" w:rsidP="00713714">
      <w:r w:rsidRPr="00647751">
        <w:rPr>
          <w:b/>
          <w:bCs/>
        </w:rPr>
        <w:t>Composite:</w:t>
      </w:r>
      <w:r w:rsidRPr="00647751">
        <w:t xml:space="preserve"> QAOA</w:t>
      </w:r>
      <w:r w:rsidRPr="00647751">
        <w:rPr>
          <w:rFonts w:ascii="Cambria Math" w:hAnsi="Cambria Math" w:cs="Cambria Math"/>
        </w:rPr>
        <w:t>⊗</w:t>
      </w:r>
      <w:r w:rsidRPr="00647751">
        <w:t>PQC \text{QAOA} \otimes \text{PQC}QAOA</w:t>
      </w:r>
      <w:r w:rsidRPr="00647751">
        <w:rPr>
          <w:rFonts w:ascii="Cambria Math" w:hAnsi="Cambria Math" w:cs="Cambria Math"/>
        </w:rPr>
        <w:t>⊗</w:t>
      </w:r>
      <w:r w:rsidRPr="00647751">
        <w:t>PQC with an explicit barrier.</w:t>
      </w:r>
    </w:p>
    <w:p w:rsidR="00647751" w:rsidRPr="00647751" w:rsidRDefault="00647751" w:rsidP="00713714">
      <w:r w:rsidRPr="00647751">
        <w:rPr>
          <w:b/>
          <w:bCs/>
        </w:rPr>
        <w:t>Adiabatic GHZ:</w:t>
      </w:r>
      <w:r w:rsidRPr="00647751">
        <w:t xml:space="preserve"> n=3, T=5, N=8, Jzz=2, Bx=π/2n=3,\ T=5,\ N=8,\ J_{zz}=2,\ B_x=\pi/2n=3, T=5, N=8, Jzz​=2, Bx​=π/2, no measurement (for fidelity/witness via statevector).</w:t>
      </w:r>
    </w:p>
    <w:p w:rsidR="00647751" w:rsidRPr="00647751" w:rsidRDefault="00647751" w:rsidP="00713714">
      <w:r w:rsidRPr="00647751">
        <w:t xml:space="preserve">This enriched description aligns the compiled circuit with the </w:t>
      </w:r>
      <w:r w:rsidRPr="00647751">
        <w:rPr>
          <w:b/>
          <w:bCs/>
        </w:rPr>
        <w:t>digitized adiabatic GHZ validation</w:t>
      </w:r>
      <w:r w:rsidRPr="00647751">
        <w:t xml:space="preserve">, the </w:t>
      </w:r>
      <w:r w:rsidRPr="00647751">
        <w:rPr>
          <w:b/>
          <w:bCs/>
        </w:rPr>
        <w:t>entropy-aware QAOA diversity gate</w:t>
      </w:r>
      <w:r w:rsidRPr="00647751">
        <w:t xml:space="preserve">, and the </w:t>
      </w:r>
      <w:r w:rsidRPr="00647751">
        <w:rPr>
          <w:b/>
          <w:bCs/>
        </w:rPr>
        <w:t>curvature/motif-guided pharmacophoric head</w:t>
      </w:r>
      <w:r w:rsidRPr="00647751">
        <w:t xml:space="preserve">, yielding a single, interpretable quantum layer that encodes </w:t>
      </w:r>
      <w:r w:rsidRPr="00647751">
        <w:rPr>
          <w:b/>
          <w:bCs/>
        </w:rPr>
        <w:t>entropy, physics, and geometry</w:t>
      </w:r>
      <w:r w:rsidRPr="00647751">
        <w:t xml:space="preserve"> in one observable.</w:t>
      </w:r>
    </w:p>
    <w:p w:rsidR="00703917" w:rsidRPr="009F5455" w:rsidRDefault="00703917" w:rsidP="00703917">
      <w:pPr>
        <w:jc w:val="left"/>
        <w:outlineLvl w:val="1"/>
        <w:rPr>
          <w:b/>
          <w:bCs/>
          <w:sz w:val="36"/>
          <w:szCs w:val="36"/>
        </w:rPr>
      </w:pPr>
      <w:r w:rsidRPr="009F5455">
        <w:rPr>
          <w:b/>
          <w:bCs/>
          <w:sz w:val="36"/>
          <w:szCs w:val="36"/>
        </w:rPr>
        <w:t>A single “gatekeeper” quantum layer that encodes diversity, physics, and geometry</w:t>
      </w:r>
    </w:p>
    <w:p w:rsidR="000D6AB7" w:rsidRPr="00617834" w:rsidRDefault="000D6AB7" w:rsidP="000D6AB7">
      <w:pPr>
        <w:jc w:val="left"/>
        <w:outlineLvl w:val="0"/>
        <w:rPr>
          <w:b/>
          <w:bCs/>
          <w:kern w:val="36"/>
          <w:sz w:val="48"/>
          <w:szCs w:val="48"/>
        </w:rPr>
      </w:pPr>
      <w:r w:rsidRPr="00617834">
        <w:rPr>
          <w:b/>
          <w:bCs/>
          <w:kern w:val="36"/>
          <w:sz w:val="48"/>
          <w:szCs w:val="48"/>
        </w:rPr>
        <w:t>Concept</w:t>
      </w:r>
    </w:p>
    <w:p w:rsidR="000D6AB7" w:rsidRPr="00617834" w:rsidRDefault="000D6AB7" w:rsidP="000D6AB7">
      <w:pPr>
        <w:jc w:val="left"/>
        <w:outlineLvl w:val="9"/>
      </w:pPr>
      <w:r w:rsidRPr="00617834">
        <w:t xml:space="preserve">I compile the workflow into a single, interpretable </w:t>
      </w:r>
      <w:r w:rsidRPr="00617834">
        <w:rPr>
          <w:b/>
          <w:bCs/>
        </w:rPr>
        <w:t>quantum layer</w:t>
      </w:r>
      <w:r w:rsidRPr="00617834">
        <w:t xml:space="preserve"> that couples three pillars end-to-end: (i) an </w:t>
      </w:r>
      <w:r w:rsidRPr="00617834">
        <w:rPr>
          <w:b/>
          <w:bCs/>
        </w:rPr>
        <w:t>entropy-aware QAOA diversity gate</w:t>
      </w:r>
      <w:r w:rsidRPr="00617834">
        <w:t xml:space="preserve">, (ii) a </w:t>
      </w:r>
      <w:r w:rsidRPr="00617834">
        <w:rPr>
          <w:b/>
          <w:bCs/>
        </w:rPr>
        <w:t>biophysics/geometry pharmacophoric head</w:t>
      </w:r>
      <w:r w:rsidRPr="00617834">
        <w:t xml:space="preserve">, and (iii) a </w:t>
      </w:r>
      <w:r w:rsidRPr="00617834">
        <w:rPr>
          <w:b/>
          <w:bCs/>
        </w:rPr>
        <w:t>digitized-adiabatic GHZ validation track</w:t>
      </w:r>
      <w:r w:rsidRPr="00617834">
        <w:t xml:space="preserve">. In one pass, the layer turns </w:t>
      </w:r>
      <w:r w:rsidRPr="00617834">
        <w:rPr>
          <w:b/>
          <w:bCs/>
        </w:rPr>
        <w:t>entropy</w:t>
      </w:r>
      <w:r w:rsidRPr="00617834">
        <w:t xml:space="preserve"> (library breadth), </w:t>
      </w:r>
      <w:r w:rsidRPr="00617834">
        <w:rPr>
          <w:b/>
          <w:bCs/>
        </w:rPr>
        <w:t>physics</w:t>
      </w:r>
      <w:r w:rsidRPr="00617834">
        <w:t xml:space="preserve"> (pose energy and hydrophobic burial), and </w:t>
      </w:r>
      <w:r w:rsidRPr="00617834">
        <w:rPr>
          <w:b/>
          <w:bCs/>
        </w:rPr>
        <w:t>geometry</w:t>
      </w:r>
      <w:r w:rsidRPr="00617834">
        <w:t xml:space="preserve"> (pocket curvature/motifs) into a </w:t>
      </w:r>
      <w:r w:rsidRPr="00617834">
        <w:rPr>
          <w:b/>
          <w:bCs/>
        </w:rPr>
        <w:t>single observable</w:t>
      </w:r>
      <w:r w:rsidRPr="00617834">
        <w:t xml:space="preserve"> used for screening and ranking. The design follows NISQ/variational best practice and error-aware compilation, and keeps all components auditable against established classical bas</w:t>
      </w:r>
      <w:r w:rsidR="00E11ABF">
        <w:t>elines. [118–119,124,133–135,140</w:t>
      </w:r>
      <w:r w:rsidRPr="00617834">
        <w:t>–148</w:t>
      </w:r>
      <w:r w:rsidR="00E11ABF">
        <w:t>,177-200]</w:t>
      </w:r>
    </w:p>
    <w:p w:rsidR="000D6AB7" w:rsidRPr="00E11ABF" w:rsidRDefault="000D6AB7" w:rsidP="000D6AB7">
      <w:pPr>
        <w:jc w:val="left"/>
        <w:outlineLvl w:val="9"/>
      </w:pPr>
      <w:r w:rsidRPr="00617834">
        <w:rPr>
          <w:b/>
          <w:bCs/>
        </w:rPr>
        <w:t>Why a single layer?</w:t>
      </w:r>
      <w:r w:rsidRPr="00617834">
        <w:t xml:space="preserve"> Classically, independent choices about library curation, docking/MD rescoring, and geometric constraints can drift out of sync. Consolidating them into one quantum-assisted layer yields (a) a compact, tunable objective; (b) explicit control of </w:t>
      </w:r>
      <w:r w:rsidRPr="00617834">
        <w:rPr>
          <w:b/>
          <w:bCs/>
        </w:rPr>
        <w:t>diversity vs. depth</w:t>
      </w:r>
      <w:r w:rsidRPr="00617834">
        <w:t xml:space="preserve">; (c) physics terms that map directly to measurables (e.g., </w:t>
      </w:r>
      <w:r w:rsidRPr="000D6AB7">
        <w:rPr>
          <w:lang w:val="el-GR"/>
        </w:rPr>
        <w:t>Δ</w:t>
      </w:r>
      <w:r w:rsidRPr="00617834">
        <w:t xml:space="preserve">SASA → non-polar work); and (d) </w:t>
      </w:r>
      <w:r w:rsidRPr="00617834">
        <w:rPr>
          <w:b/>
          <w:bCs/>
        </w:rPr>
        <w:t>quality gates</w:t>
      </w:r>
      <w:r w:rsidRPr="00617834">
        <w:t xml:space="preserve"> (GHZ entropy/witness/fidelity) that reject poorly calibrated circuit instances before they influence selection. </w:t>
      </w:r>
      <w:r w:rsidR="00E11ABF">
        <w:t>[</w:t>
      </w:r>
      <w:r w:rsidRPr="000D6AB7">
        <w:rPr>
          <w:lang w:val="el-GR"/>
        </w:rPr>
        <w:t>118,124,133–135,125–129,144–148</w:t>
      </w:r>
      <w:r w:rsidR="00E11ABF">
        <w:t>,150-200]</w:t>
      </w:r>
    </w:p>
    <w:p w:rsidR="000D6AB7" w:rsidRPr="000D6AB7" w:rsidRDefault="00106EF3" w:rsidP="000D6AB7">
      <w:pPr>
        <w:spacing w:before="0" w:beforeAutospacing="0" w:after="0" w:afterAutospacing="0"/>
        <w:jc w:val="left"/>
        <w:outlineLvl w:val="9"/>
        <w:rPr>
          <w:lang w:val="el-GR"/>
        </w:rPr>
      </w:pPr>
      <w:r w:rsidRPr="00106EF3">
        <w:rPr>
          <w:lang w:val="el-GR"/>
        </w:rPr>
        <w:pict>
          <v:rect id="_x0000_i1070" style="width:0;height:1.5pt" o:hralign="center" o:hrstd="t" o:hr="t" fillcolor="#a0a0a0" stroked="f"/>
        </w:pict>
      </w:r>
    </w:p>
    <w:p w:rsidR="000D6AB7" w:rsidRPr="00617834" w:rsidRDefault="000D6AB7" w:rsidP="000D6AB7">
      <w:pPr>
        <w:jc w:val="left"/>
        <w:outlineLvl w:val="0"/>
        <w:rPr>
          <w:b/>
          <w:bCs/>
          <w:kern w:val="36"/>
          <w:sz w:val="48"/>
          <w:szCs w:val="48"/>
        </w:rPr>
      </w:pPr>
      <w:r w:rsidRPr="00617834">
        <w:rPr>
          <w:b/>
          <w:bCs/>
          <w:kern w:val="36"/>
          <w:sz w:val="48"/>
          <w:szCs w:val="48"/>
        </w:rPr>
        <w:t>Pillar I — Diversity: a QAOA-style chemotype gate</w:t>
      </w:r>
    </w:p>
    <w:p w:rsidR="000D6AB7" w:rsidRPr="00617834" w:rsidRDefault="000D6AB7" w:rsidP="000D6AB7">
      <w:pPr>
        <w:jc w:val="left"/>
        <w:outlineLvl w:val="9"/>
      </w:pPr>
      <w:r w:rsidRPr="00617834">
        <w:t xml:space="preserve">On a </w:t>
      </w:r>
      <w:r w:rsidRPr="00617834">
        <w:rPr>
          <w:b/>
          <w:bCs/>
        </w:rPr>
        <w:t>chemotype register</w:t>
      </w:r>
      <w:r w:rsidRPr="00617834">
        <w:t xml:space="preserve">, qubits start in </w:t>
      </w:r>
      <w:r w:rsidRPr="00617834">
        <w:rPr>
          <w:rFonts w:ascii="Cambria Math" w:hAnsi="Cambria Math" w:cs="Cambria Math"/>
        </w:rPr>
        <w:t>∣</w:t>
      </w:r>
      <w:r w:rsidRPr="00617834">
        <w:t>+</w:t>
      </w:r>
      <w:r w:rsidRPr="000D6AB7">
        <w:rPr>
          <w:rFonts w:ascii="Cambria Math" w:hAnsi="Cambria Math" w:cs="Cambria Math"/>
          <w:lang w:val="el-GR"/>
        </w:rPr>
        <w:t>⟩</w:t>
      </w:r>
      <w:r w:rsidRPr="00617834">
        <w:rPr>
          <w:rFonts w:ascii="Cambria Math" w:hAnsi="Cambria Math" w:cs="Cambria Math"/>
        </w:rPr>
        <w:t>⊗</w:t>
      </w:r>
      <w:r w:rsidRPr="00617834">
        <w:t>n|+\rangle^{\otimes n}</w:t>
      </w:r>
      <w:r w:rsidRPr="00617834">
        <w:rPr>
          <w:rFonts w:ascii="Cambria Math" w:hAnsi="Cambria Math" w:cs="Cambria Math"/>
        </w:rPr>
        <w:t>∣</w:t>
      </w:r>
      <w:r w:rsidRPr="00617834">
        <w:t>+</w:t>
      </w:r>
      <w:r w:rsidRPr="000D6AB7">
        <w:rPr>
          <w:rFonts w:ascii="Cambria Math" w:hAnsi="Cambria Math" w:cs="Cambria Math"/>
          <w:lang w:val="el-GR"/>
        </w:rPr>
        <w:t>⟩</w:t>
      </w:r>
      <w:r w:rsidRPr="00617834">
        <w:rPr>
          <w:rFonts w:ascii="Cambria Math" w:hAnsi="Cambria Math" w:cs="Cambria Math"/>
        </w:rPr>
        <w:t>⊗</w:t>
      </w:r>
      <w:r w:rsidRPr="00617834">
        <w:t xml:space="preserve">n and evolve via alternating </w:t>
      </w:r>
      <w:r w:rsidRPr="00617834">
        <w:rPr>
          <w:b/>
          <w:bCs/>
        </w:rPr>
        <w:t>cost</w:t>
      </w:r>
      <w:r w:rsidRPr="00617834">
        <w:t xml:space="preserve"> and </w:t>
      </w:r>
      <w:r w:rsidRPr="00617834">
        <w:rPr>
          <w:b/>
          <w:bCs/>
        </w:rPr>
        <w:t>mixer</w:t>
      </w:r>
      <w:r w:rsidRPr="00617834">
        <w:t xml:space="preserve"> layers as in QAOA. 119119119 The cost implements </w:t>
      </w:r>
      <w:r w:rsidRPr="00617834">
        <w:rPr>
          <w:b/>
          <w:bCs/>
        </w:rPr>
        <w:t>MaxCut</w:t>
      </w:r>
      <w:r w:rsidRPr="00617834">
        <w:t xml:space="preserve"> on a chemotype-similarity graph (e.g., hashed fingerprints with Tanimoto weights):</w:t>
      </w:r>
    </w:p>
    <w:p w:rsidR="000D6AB7" w:rsidRPr="00617834" w:rsidRDefault="000D6AB7" w:rsidP="000D6AB7">
      <w:pPr>
        <w:spacing w:before="0" w:beforeAutospacing="0" w:after="0" w:afterAutospacing="0"/>
        <w:jc w:val="left"/>
        <w:outlineLvl w:val="9"/>
      </w:pPr>
      <w:r w:rsidRPr="00617834">
        <w:t xml:space="preserve">HC=∑(u,v)wuv 1−ZuZv2,H_C=\sum_{(u,v)} w_{uv}\,\frac{1-Z_uZ_v}{2},HC​=(u,v)∑​wuv​21−Zu​Zv​​, </w:t>
      </w:r>
    </w:p>
    <w:p w:rsidR="000D6AB7" w:rsidRPr="00617834" w:rsidRDefault="000D6AB7" w:rsidP="000D6AB7">
      <w:pPr>
        <w:jc w:val="left"/>
        <w:outlineLvl w:val="9"/>
      </w:pPr>
      <w:r w:rsidRPr="00617834">
        <w:t xml:space="preserve">which </w:t>
      </w:r>
      <w:r w:rsidRPr="00617834">
        <w:rPr>
          <w:b/>
          <w:bCs/>
        </w:rPr>
        <w:t>anti-clusters</w:t>
      </w:r>
      <w:r w:rsidRPr="00617834">
        <w:t xml:space="preserve"> similar scaffolds so probability mass spreads away from dominant bins. This serves as a proxy for maximizing </w:t>
      </w:r>
      <w:r w:rsidRPr="00617834">
        <w:rPr>
          <w:b/>
          <w:bCs/>
        </w:rPr>
        <w:t>Shannon</w:t>
      </w:r>
      <w:r w:rsidRPr="00617834">
        <w:t xml:space="preserve"> and </w:t>
      </w:r>
      <w:r w:rsidRPr="00617834">
        <w:rPr>
          <w:b/>
          <w:bCs/>
        </w:rPr>
        <w:t>Rényi</w:t>
      </w:r>
      <w:r w:rsidRPr="00617834">
        <w:t xml:space="preserve"> diversities over hashed bins, with admission governed by information-theoretic rules:</w:t>
      </w:r>
    </w:p>
    <w:p w:rsidR="000D6AB7" w:rsidRPr="00617834" w:rsidRDefault="000D6AB7" w:rsidP="000D6AB7">
      <w:pPr>
        <w:spacing w:before="0" w:beforeAutospacing="0" w:after="0" w:afterAutospacing="0"/>
        <w:jc w:val="left"/>
        <w:outlineLvl w:val="9"/>
      </w:pPr>
      <w:r w:rsidRPr="00617834">
        <w:t>Hlib=− ⁣∑b</w:t>
      </w:r>
      <w:r w:rsidRPr="00617834">
        <w:rPr>
          <w:rFonts w:ascii="Cambria Math" w:hAnsi="Cambria Math" w:cs="Cambria Math"/>
        </w:rPr>
        <w:t>∈</w:t>
      </w:r>
      <w:r w:rsidRPr="00617834">
        <w:t>Bpblog⁡pb(1),S</w:t>
      </w:r>
      <w:r w:rsidRPr="000D6AB7">
        <w:rPr>
          <w:lang w:val="el-GR"/>
        </w:rPr>
        <w:t>α</w:t>
      </w:r>
      <w:r w:rsidRPr="00617834">
        <w:t>=11−</w:t>
      </w:r>
      <w:r w:rsidRPr="000D6AB7">
        <w:rPr>
          <w:lang w:val="el-GR"/>
        </w:rPr>
        <w:t>α</w:t>
      </w:r>
      <w:r w:rsidRPr="00617834">
        <w:t>log⁡ ⁣∑b</w:t>
      </w:r>
      <w:r w:rsidRPr="00617834">
        <w:rPr>
          <w:rFonts w:ascii="Cambria Math" w:hAnsi="Cambria Math" w:cs="Cambria Math"/>
        </w:rPr>
        <w:t>∈</w:t>
      </w:r>
      <w:r w:rsidRPr="00617834">
        <w:t>Bpb</w:t>
      </w:r>
      <w:r w:rsidRPr="000D6AB7">
        <w:rPr>
          <w:lang w:val="el-GR"/>
        </w:rPr>
        <w:t>α</w:t>
      </w:r>
      <w:r w:rsidRPr="00617834">
        <w:t>, </w:t>
      </w:r>
      <w:r w:rsidRPr="000D6AB7">
        <w:rPr>
          <w:lang w:val="el-GR"/>
        </w:rPr>
        <w:t>α</w:t>
      </w:r>
      <w:r w:rsidRPr="00617834">
        <w:rPr>
          <w:rFonts w:ascii="Cambria Math" w:hAnsi="Cambria Math" w:cs="Cambria Math"/>
        </w:rPr>
        <w:t>∈</w:t>
      </w:r>
      <w:r w:rsidRPr="00617834">
        <w:t>[1.2,2], lim⁡</w:t>
      </w:r>
      <w:r w:rsidRPr="000D6AB7">
        <w:rPr>
          <w:lang w:val="el-GR"/>
        </w:rPr>
        <w:t>α</w:t>
      </w:r>
      <w:r w:rsidRPr="00617834">
        <w:t>→1S</w:t>
      </w:r>
      <w:r w:rsidRPr="000D6AB7">
        <w:rPr>
          <w:lang w:val="el-GR"/>
        </w:rPr>
        <w:t>α</w:t>
      </w:r>
      <w:r w:rsidRPr="00617834">
        <w:t>=Hlib(2).\boxed{H_{\mathrm{lib}}=-\!\sum_{b\in\mathcal{B}} p_b\log p_b}\quad (1),\qquad \boxed{S_\alpha=\frac{1}{1-\alpha}\log\!\sum_{b\in\mathcal{B}} p_b^\alpha},\ \alpha\in[1.2,2],\ \lim_{\alpha\to 1}S_\alpha=H_{\mathrm{lib}} \quad (2).Hlib​=−b</w:t>
      </w:r>
      <w:r w:rsidRPr="00617834">
        <w:rPr>
          <w:rFonts w:ascii="Cambria Math" w:hAnsi="Cambria Math" w:cs="Cambria Math"/>
        </w:rPr>
        <w:t>∈</w:t>
      </w:r>
      <w:r w:rsidRPr="00617834">
        <w:t>B∑​pb​logpb​​(1),S</w:t>
      </w:r>
      <w:r w:rsidRPr="000D6AB7">
        <w:rPr>
          <w:lang w:val="el-GR"/>
        </w:rPr>
        <w:t>α</w:t>
      </w:r>
      <w:r w:rsidRPr="00617834">
        <w:t>​=1−</w:t>
      </w:r>
      <w:r w:rsidRPr="000D6AB7">
        <w:rPr>
          <w:lang w:val="el-GR"/>
        </w:rPr>
        <w:t>α</w:t>
      </w:r>
      <w:r w:rsidRPr="00617834">
        <w:t>1​logb</w:t>
      </w:r>
      <w:r w:rsidRPr="00617834">
        <w:rPr>
          <w:rFonts w:ascii="Cambria Math" w:hAnsi="Cambria Math" w:cs="Cambria Math"/>
        </w:rPr>
        <w:t>∈</w:t>
      </w:r>
      <w:r w:rsidRPr="00617834">
        <w:t>B∑​pb</w:t>
      </w:r>
      <w:r w:rsidRPr="000D6AB7">
        <w:rPr>
          <w:lang w:val="el-GR"/>
        </w:rPr>
        <w:t>α</w:t>
      </w:r>
      <w:r w:rsidRPr="00617834">
        <w:t>​​, </w:t>
      </w:r>
      <w:r w:rsidRPr="000D6AB7">
        <w:rPr>
          <w:lang w:val="el-GR"/>
        </w:rPr>
        <w:t>α</w:t>
      </w:r>
      <w:r w:rsidRPr="00617834">
        <w:rPr>
          <w:rFonts w:ascii="Cambria Math" w:hAnsi="Cambria Math" w:cs="Cambria Math"/>
        </w:rPr>
        <w:t>∈</w:t>
      </w:r>
      <w:r w:rsidRPr="00617834">
        <w:t>[1.2,2], </w:t>
      </w:r>
      <w:r w:rsidRPr="000D6AB7">
        <w:rPr>
          <w:lang w:val="el-GR"/>
        </w:rPr>
        <w:t>α</w:t>
      </w:r>
      <w:r w:rsidRPr="00617834">
        <w:t>→1lim​S</w:t>
      </w:r>
      <w:r w:rsidRPr="000D6AB7">
        <w:rPr>
          <w:lang w:val="el-GR"/>
        </w:rPr>
        <w:t>α</w:t>
      </w:r>
      <w:r w:rsidRPr="00617834">
        <w:t xml:space="preserve">​=Hlib​(2). </w:t>
      </w:r>
    </w:p>
    <w:p w:rsidR="000D6AB7" w:rsidRPr="00617834" w:rsidRDefault="000D6AB7" w:rsidP="000D6AB7">
      <w:pPr>
        <w:jc w:val="left"/>
        <w:outlineLvl w:val="9"/>
      </w:pPr>
      <w:r w:rsidRPr="00617834">
        <w:t xml:space="preserve">Only candidates with </w:t>
      </w:r>
      <w:r w:rsidRPr="00617834">
        <w:rPr>
          <w:b/>
          <w:bCs/>
        </w:rPr>
        <w:t>positive marginal gain</w:t>
      </w:r>
      <w:r w:rsidRPr="00617834">
        <w:t xml:space="preserve"> are kept,</w:t>
      </w:r>
    </w:p>
    <w:p w:rsidR="000D6AB7" w:rsidRPr="00617834" w:rsidRDefault="000D6AB7" w:rsidP="000D6AB7">
      <w:pPr>
        <w:spacing w:before="0" w:beforeAutospacing="0" w:after="0" w:afterAutospacing="0"/>
        <w:jc w:val="left"/>
        <w:outlineLvl w:val="9"/>
      </w:pPr>
      <w:r w:rsidRPr="000D6AB7">
        <w:rPr>
          <w:lang w:val="el-GR"/>
        </w:rPr>
        <w:t>Δ</w:t>
      </w:r>
      <w:r w:rsidRPr="00617834">
        <w:t>H(G\*)=H(S</w:t>
      </w:r>
      <w:r w:rsidRPr="00617834">
        <w:rPr>
          <w:rFonts w:ascii="Cambria Math" w:hAnsi="Cambria Math" w:cs="Cambria Math"/>
        </w:rPr>
        <w:t>∪</w:t>
      </w:r>
      <w:r w:rsidRPr="00617834">
        <w:t>{G\*})−H(S)(3),\boxed{\Delta H(G^\*)=H(\mathcal{S}\cup\{G^\*\})-H(\mathcal{S})} \quad (3),</w:t>
      </w:r>
      <w:r w:rsidRPr="000D6AB7">
        <w:rPr>
          <w:lang w:val="el-GR"/>
        </w:rPr>
        <w:t>Δ</w:t>
      </w:r>
      <w:r w:rsidRPr="00617834">
        <w:t>H(G\*)=H(S</w:t>
      </w:r>
      <w:r w:rsidRPr="00617834">
        <w:rPr>
          <w:rFonts w:ascii="Cambria Math" w:hAnsi="Cambria Math" w:cs="Cambria Math"/>
        </w:rPr>
        <w:t>∪</w:t>
      </w:r>
      <w:r w:rsidRPr="00617834">
        <w:t xml:space="preserve">{G\*})−H(S)​(3), </w:t>
      </w:r>
    </w:p>
    <w:p w:rsidR="000D6AB7" w:rsidRPr="00617834" w:rsidRDefault="000D6AB7" w:rsidP="000D6AB7">
      <w:pPr>
        <w:jc w:val="left"/>
        <w:outlineLvl w:val="9"/>
      </w:pPr>
      <w:r w:rsidRPr="00617834">
        <w:t xml:space="preserve">leveraging entropy’s </w:t>
      </w:r>
      <w:r w:rsidRPr="00617834">
        <w:rPr>
          <w:b/>
          <w:bCs/>
        </w:rPr>
        <w:t>submodularity</w:t>
      </w:r>
      <w:r w:rsidRPr="00617834">
        <w:t xml:space="preserve"> to favor under-represented bins and produce diminishing-returns saturation as bins fill. Sampling fairness is monitored by a </w:t>
      </w:r>
      <w:r w:rsidRPr="00617834">
        <w:rPr>
          <w:b/>
          <w:bCs/>
        </w:rPr>
        <w:t xml:space="preserve">Pearson </w:t>
      </w:r>
      <w:r w:rsidRPr="000D6AB7">
        <w:rPr>
          <w:b/>
          <w:bCs/>
          <w:lang w:val="el-GR"/>
        </w:rPr>
        <w:t>χ</w:t>
      </w:r>
      <w:r w:rsidRPr="00617834">
        <w:rPr>
          <w:b/>
          <w:bCs/>
        </w:rPr>
        <w:t>2\chi^2</w:t>
      </w:r>
      <w:r w:rsidRPr="000D6AB7">
        <w:rPr>
          <w:b/>
          <w:bCs/>
          <w:lang w:val="el-GR"/>
        </w:rPr>
        <w:t>χ</w:t>
      </w:r>
      <w:r w:rsidRPr="00617834">
        <w:rPr>
          <w:b/>
          <w:bCs/>
        </w:rPr>
        <w:t>2</w:t>
      </w:r>
      <w:r w:rsidRPr="00617834">
        <w:t xml:space="preserve"> test at a 95th-percentile cutoff,</w:t>
      </w:r>
    </w:p>
    <w:p w:rsidR="000D6AB7" w:rsidRPr="00617834" w:rsidRDefault="000D6AB7" w:rsidP="000D6AB7">
      <w:pPr>
        <w:spacing w:before="0" w:beforeAutospacing="0" w:after="0" w:afterAutospacing="0"/>
        <w:jc w:val="left"/>
        <w:outlineLvl w:val="9"/>
      </w:pPr>
      <w:r w:rsidRPr="000D6AB7">
        <w:rPr>
          <w:lang w:val="el-GR"/>
        </w:rPr>
        <w:t>χ</w:t>
      </w:r>
      <w:r w:rsidRPr="00617834">
        <w:t>2=∑k=1K(nk−n/K)2n/K≤</w:t>
      </w:r>
      <w:r w:rsidRPr="000D6AB7">
        <w:rPr>
          <w:lang w:val="el-GR"/>
        </w:rPr>
        <w:t>τ</w:t>
      </w:r>
      <w:r w:rsidRPr="00617834">
        <w:t>(4),\boxed{\chi^2=\sum_{k=1}^{K}\frac{(n_k-n/K)^2}{n/K}\le\tau} \quad (4),</w:t>
      </w:r>
      <w:r w:rsidRPr="000D6AB7">
        <w:rPr>
          <w:lang w:val="el-GR"/>
        </w:rPr>
        <w:t>χ</w:t>
      </w:r>
      <w:r w:rsidRPr="00617834">
        <w:t>2=k=1∑K​n/K(nk​−n/K)2​≤</w:t>
      </w:r>
      <w:r w:rsidRPr="000D6AB7">
        <w:rPr>
          <w:lang w:val="el-GR"/>
        </w:rPr>
        <w:t>τ</w:t>
      </w:r>
      <w:r w:rsidRPr="00617834">
        <w:t xml:space="preserve">​(4), </w:t>
      </w:r>
    </w:p>
    <w:p w:rsidR="000D6AB7" w:rsidRPr="00617834" w:rsidRDefault="000D6AB7" w:rsidP="000D6AB7">
      <w:pPr>
        <w:jc w:val="left"/>
        <w:outlineLvl w:val="9"/>
      </w:pPr>
      <w:r w:rsidRPr="00617834">
        <w:t xml:space="preserve">which guards against over-harvesting any chemotype. </w:t>
      </w:r>
    </w:p>
    <w:p w:rsidR="000D6AB7" w:rsidRPr="00E11ABF" w:rsidRDefault="000D6AB7" w:rsidP="000D6AB7">
      <w:pPr>
        <w:jc w:val="left"/>
        <w:outlineLvl w:val="9"/>
      </w:pPr>
      <w:r w:rsidRPr="00617834">
        <w:rPr>
          <w:b/>
          <w:bCs/>
        </w:rPr>
        <w:t>Implementation notes.</w:t>
      </w:r>
      <w:r w:rsidRPr="00617834">
        <w:t xml:space="preserve"> Chemotype features use </w:t>
      </w:r>
      <w:r w:rsidRPr="00617834">
        <w:rPr>
          <w:b/>
          <w:bCs/>
        </w:rPr>
        <w:t>PaDEL</w:t>
      </w:r>
      <w:r w:rsidRPr="00617834">
        <w:t xml:space="preserve">/hashed circular descriptors with online bin counts; 64–256 bins keep resolution without starving statistics. Shallow QAOA (p≤2p\le 2p≤2) is sufficient to tilt selection and is compatible with NISQ backends (and Aer simulators) under shot noise. </w:t>
      </w:r>
      <w:r w:rsidR="00E11ABF">
        <w:t>[</w:t>
      </w:r>
      <w:r w:rsidR="00E11ABF">
        <w:rPr>
          <w:lang w:val="el-GR"/>
        </w:rPr>
        <w:t>33,119,133–135,140–1</w:t>
      </w:r>
      <w:r w:rsidR="00E11ABF">
        <w:t>68,133-200]</w:t>
      </w:r>
    </w:p>
    <w:p w:rsidR="00E11ABF" w:rsidRPr="00E11ABF" w:rsidRDefault="00106EF3" w:rsidP="00E11ABF">
      <w:pPr>
        <w:spacing w:before="0" w:beforeAutospacing="0" w:after="0" w:afterAutospacing="0"/>
        <w:jc w:val="left"/>
        <w:outlineLvl w:val="9"/>
        <w:rPr>
          <w:lang w:val="el-GR"/>
        </w:rPr>
      </w:pPr>
      <w:r w:rsidRPr="00106EF3">
        <w:rPr>
          <w:lang w:val="el-GR"/>
        </w:rPr>
        <w:pict>
          <v:rect id="_x0000_i1071" style="width:0;height:1.5pt" o:hralign="center" o:hrstd="t" o:hr="t" fillcolor="#a0a0a0" stroked="f"/>
        </w:pict>
      </w:r>
    </w:p>
    <w:p w:rsidR="00E11ABF" w:rsidRPr="00E11ABF" w:rsidRDefault="00E11ABF" w:rsidP="00E11ABF">
      <w:pPr>
        <w:jc w:val="left"/>
        <w:rPr>
          <w:b/>
          <w:bCs/>
          <w:sz w:val="27"/>
          <w:szCs w:val="27"/>
        </w:rPr>
      </w:pPr>
      <w:r w:rsidRPr="00E11ABF">
        <w:rPr>
          <w:b/>
          <w:bCs/>
          <w:sz w:val="27"/>
          <w:szCs w:val="27"/>
        </w:rPr>
        <w:t>Pillar II — Physics &amp; geometry: a pharmacophoric head</w:t>
      </w:r>
    </w:p>
    <w:p w:rsidR="00E11ABF" w:rsidRPr="00E11ABF" w:rsidRDefault="00E11ABF" w:rsidP="00E11ABF">
      <w:pPr>
        <w:jc w:val="left"/>
        <w:outlineLvl w:val="9"/>
      </w:pPr>
      <w:r w:rsidRPr="00E11ABF">
        <w:t>A second register encodes biophysical/structural features via hardware-efficient rotations: (R_X) for energy-like inputs (e.g., consensus-docking/short-MD terms and burial), curvature-weighted (R_Z) to bias toward concave, hydrated subsites, and a trainable (R_Y) offset; local couplings are captured by CZ ladders [131,133].</w:t>
      </w:r>
    </w:p>
    <w:p w:rsidR="00E11ABF" w:rsidRPr="00E11ABF" w:rsidRDefault="00E11ABF" w:rsidP="00E11ABF">
      <w:pPr>
        <w:jc w:val="left"/>
        <w:outlineLvl w:val="9"/>
      </w:pPr>
      <w:proofErr w:type="gramStart"/>
      <w:r w:rsidRPr="00EE5A66">
        <w:rPr>
          <w:b/>
          <w:bCs/>
        </w:rPr>
        <w:t>Energetic scaffold.</w:t>
      </w:r>
      <w:proofErr w:type="gramEnd"/>
      <w:r w:rsidRPr="00EE5A66">
        <w:t xml:space="preserve"> Ranking energies follow an end-point estimator with an explicit non-polar correction:</w:t>
      </w:r>
      <w:r w:rsidRPr="00EE5A66">
        <w:br/>
        <w:t>[</w:t>
      </w:r>
      <w:r w:rsidRPr="00EE5A66">
        <w:br/>
        <w:t>\Delta G_{\mathrm{MM\text{–}PBSA}}=\langle E_{\mathrm{MM}}+G_{\mathrm{solv}}-TS_{\mathrm{conf}}\rangle_C-\langle\cdot\rangle_R-\langle\cdot\rangle_L</w:t>
      </w:r>
      <w:r w:rsidRPr="00EE5A66">
        <w:br/>
        <w:t>]</w:t>
      </w:r>
      <w:r w:rsidRPr="00EE5A66">
        <w:br/>
        <w:t>under standard PB/GB models [70,71,181,68,69],</w:t>
      </w:r>
      <w:r w:rsidRPr="00EE5A66">
        <w:br/>
        <w:t>[</w:t>
      </w:r>
      <w:r w:rsidRPr="00EE5A66">
        <w:br/>
        <w:t>\Delta G_{\mathrm{np}}=\gamma,\Delta\mathrm{SASA},\qquad \gamma\approx 5\times10^{-3}\ \mathrm{kcal,mol^{-1},\AA^{-2}}</w:t>
      </w:r>
      <w:r w:rsidRPr="00EE5A66">
        <w:br/>
        <w:t>]</w:t>
      </w:r>
      <w:r w:rsidRPr="00EE5A66">
        <w:br/>
        <w:t>with SASA from Shrake–Rupley [67], and</w:t>
      </w:r>
      <w:r w:rsidRPr="00EE5A66">
        <w:br/>
        <w:t>[</w:t>
      </w:r>
      <w:r w:rsidRPr="00EE5A66">
        <w:br/>
        <w:t>\Delta G_{\mathrm{tot}}=\Delta G_{\mathrm{MM\text{–}PBSA}}+\Delta G_{\mathrm{np}}.</w:t>
      </w:r>
      <w:r w:rsidRPr="00EE5A66">
        <w:br/>
        <w:t>]</w:t>
      </w:r>
      <w:r w:rsidRPr="00EE5A66">
        <w:br/>
      </w:r>
      <w:r w:rsidRPr="00E11ABF">
        <w:t>The (\Delta)SASA term recovers non-polar burial that MM-</w:t>
      </w:r>
      <w:proofErr w:type="gramStart"/>
      <w:r w:rsidRPr="00E11ABF">
        <w:t>PB(</w:t>
      </w:r>
      <w:proofErr w:type="gramEnd"/>
      <w:r w:rsidRPr="00E11ABF">
        <w:t>GB)SA under-weights for compact hydrophobes, improving rank fidelity and interpretability [67–71,181].</w:t>
      </w:r>
    </w:p>
    <w:p w:rsidR="00E11ABF" w:rsidRPr="00E11ABF" w:rsidRDefault="00E11ABF" w:rsidP="00E11ABF">
      <w:pPr>
        <w:jc w:val="left"/>
        <w:outlineLvl w:val="9"/>
      </w:pPr>
      <w:r w:rsidRPr="00A53F2D">
        <w:rPr>
          <w:b/>
          <w:bCs/>
        </w:rPr>
        <w:t>Geometry cues.</w:t>
      </w:r>
      <w:r w:rsidRPr="00E11ABF">
        <w:t xml:space="preserve"> Pocket surfaces contribute mean and Gaussian curvatures (H=\tfrac12(\kappa_1+\kappa_2)), (K=\kappa_1\kappa_2), used as soft biases toward concavity (burial) without breaking H-bond geometry; pose evolution uses SO(3)-aware transport with Wigner-(D) rotations and RK45 stability to keep features equivariant and integration robust [191,150].</w:t>
      </w:r>
    </w:p>
    <w:p w:rsidR="00E11ABF" w:rsidRPr="00E11ABF" w:rsidRDefault="00E11ABF" w:rsidP="00E11ABF">
      <w:pPr>
        <w:jc w:val="left"/>
        <w:outlineLvl w:val="9"/>
      </w:pPr>
      <w:r w:rsidRPr="00A53F2D">
        <w:rPr>
          <w:b/>
          <w:bCs/>
        </w:rPr>
        <w:t>Motifs as soft fields.</w:t>
      </w:r>
      <w:r w:rsidRPr="00E11ABF">
        <w:t xml:space="preserve"> Motif matches (e.g., elastin/ERC-aware patterns) enter as gentle ZZ penalties proportional to mismatch scores, annealed from exploration to exploitation so the head coheres with the motif rationale without over-constraining search (supported by standard sequence/motif toolchains) [76–</w:t>
      </w:r>
      <w:r w:rsidR="00A53F2D">
        <w:t>1</w:t>
      </w:r>
      <w:r w:rsidRPr="00E11ABF">
        <w:t>84].</w:t>
      </w:r>
    </w:p>
    <w:p w:rsidR="00E11ABF" w:rsidRPr="00E11ABF" w:rsidRDefault="00106EF3" w:rsidP="00E11ABF">
      <w:pPr>
        <w:spacing w:before="0" w:beforeAutospacing="0" w:after="0" w:afterAutospacing="0"/>
        <w:jc w:val="left"/>
        <w:outlineLvl w:val="9"/>
        <w:rPr>
          <w:lang w:val="el-GR"/>
        </w:rPr>
      </w:pPr>
      <w:r w:rsidRPr="00106EF3">
        <w:rPr>
          <w:lang w:val="el-GR"/>
        </w:rPr>
        <w:pict>
          <v:rect id="_x0000_i1072" style="width:0;height:1.5pt" o:hralign="center" o:hrstd="t" o:hr="t" fillcolor="#a0a0a0" stroked="f"/>
        </w:pict>
      </w:r>
    </w:p>
    <w:p w:rsidR="00E11ABF" w:rsidRPr="00E11ABF" w:rsidRDefault="00E11ABF" w:rsidP="00E11ABF">
      <w:pPr>
        <w:jc w:val="left"/>
        <w:rPr>
          <w:b/>
          <w:bCs/>
          <w:sz w:val="27"/>
          <w:szCs w:val="27"/>
        </w:rPr>
      </w:pPr>
      <w:r w:rsidRPr="00E11ABF">
        <w:rPr>
          <w:b/>
          <w:bCs/>
          <w:sz w:val="27"/>
          <w:szCs w:val="27"/>
        </w:rPr>
        <w:t>Pillar III — GHZ validation: adiabatic schedule, tomography, and gates</w:t>
      </w:r>
    </w:p>
    <w:p w:rsidR="00E11ABF" w:rsidRPr="00E11ABF" w:rsidRDefault="00E11ABF" w:rsidP="00E11ABF">
      <w:pPr>
        <w:jc w:val="left"/>
        <w:outlineLvl w:val="9"/>
      </w:pPr>
      <w:r w:rsidRPr="00E11ABF">
        <w:t>Before training, each circuit instance is gated by a compact, digitized-adiabatic routine instrumented with GHZ-family diagnostics:</w:t>
      </w:r>
    </w:p>
    <w:p w:rsidR="00E11ABF" w:rsidRPr="00E11ABF" w:rsidRDefault="00E11ABF" w:rsidP="008F4646">
      <w:pPr>
        <w:numPr>
          <w:ilvl w:val="0"/>
          <w:numId w:val="35"/>
        </w:numPr>
        <w:jc w:val="left"/>
        <w:outlineLvl w:val="9"/>
      </w:pPr>
      <w:r w:rsidRPr="00A53F2D">
        <w:rPr>
          <w:b/>
          <w:bCs/>
        </w:rPr>
        <w:t>State reconstruction &amp; entropy.</w:t>
      </w:r>
      <w:r w:rsidRPr="00E11ABF">
        <w:t xml:space="preserve"> Quantum state tomography with von Neumann (S(\rho)=-\mathrm{Tr}[\rho\log\rho]); low (S) indicates purity [128,129,146,131].</w:t>
      </w:r>
    </w:p>
    <w:p w:rsidR="00E11ABF" w:rsidRPr="00E11ABF" w:rsidRDefault="00E11ABF" w:rsidP="008F4646">
      <w:pPr>
        <w:numPr>
          <w:ilvl w:val="0"/>
          <w:numId w:val="35"/>
        </w:numPr>
        <w:jc w:val="left"/>
        <w:outlineLvl w:val="9"/>
      </w:pPr>
      <w:r w:rsidRPr="00A53F2D">
        <w:rPr>
          <w:b/>
          <w:bCs/>
        </w:rPr>
        <w:t>Entanglement witness.</w:t>
      </w:r>
      <w:r w:rsidRPr="00E11ABF">
        <w:t xml:space="preserve"> (W_{\mathrm{GHZ}}=\tfrac34 I-\lvert\mathrm{GHZ}\rangle\langle\mathrm{GHZ}\rvert) with (\mathrm{Tr}(W_{\mathrm{GHZ}}\rho)&lt;0) certifying GHZ entanglement [125–127].</w:t>
      </w:r>
    </w:p>
    <w:p w:rsidR="00E11ABF" w:rsidRPr="00E11ABF" w:rsidRDefault="00E11ABF" w:rsidP="008F4646">
      <w:pPr>
        <w:numPr>
          <w:ilvl w:val="0"/>
          <w:numId w:val="35"/>
        </w:numPr>
        <w:jc w:val="left"/>
        <w:outlineLvl w:val="9"/>
      </w:pPr>
      <w:r w:rsidRPr="00A53F2D">
        <w:rPr>
          <w:b/>
          <w:bCs/>
        </w:rPr>
        <w:t>Fidelity &amp; purity.</w:t>
      </w:r>
      <w:r w:rsidRPr="00E11ABF">
        <w:t xml:space="preserve"> Gate/state fidelities and (\mathrm{Tr}[\rho^2]) thresholds as quality checks [130,144,145].</w:t>
      </w:r>
    </w:p>
    <w:p w:rsidR="00E11ABF" w:rsidRPr="00E11ABF" w:rsidRDefault="00E11ABF" w:rsidP="00E11ABF">
      <w:pPr>
        <w:jc w:val="left"/>
        <w:outlineLvl w:val="9"/>
      </w:pPr>
      <w:r w:rsidRPr="00E11ABF">
        <w:t>The adiabatic schedule is digitized via Trotter–Suzuki product formulas, practical on NISQ hardware [147,148,163]. Compilation/execution use Qiskit/Aer with small-depth ansätze; SPSA handles shot noise and early sto</w:t>
      </w:r>
      <w:r w:rsidR="00A53F2D">
        <w:t>pping caps variance [140,141</w:t>
      </w:r>
      <w:r w:rsidRPr="00E11ABF">
        <w:t>,198,199]. Instances failing entropy/witness/fidelity bands are recompiled or discarded—only GHZ-validated runs i</w:t>
      </w:r>
      <w:r w:rsidR="00A53F2D">
        <w:t>nform selection [125–129,144–200</w:t>
      </w:r>
      <w:r w:rsidRPr="00E11ABF">
        <w:t>].</w:t>
      </w:r>
    </w:p>
    <w:p w:rsidR="00E11ABF" w:rsidRPr="00E11ABF" w:rsidRDefault="00106EF3" w:rsidP="00E11ABF">
      <w:pPr>
        <w:spacing w:before="0" w:beforeAutospacing="0" w:after="0" w:afterAutospacing="0"/>
        <w:jc w:val="left"/>
        <w:outlineLvl w:val="9"/>
        <w:rPr>
          <w:lang w:val="el-GR"/>
        </w:rPr>
      </w:pPr>
      <w:r w:rsidRPr="00106EF3">
        <w:rPr>
          <w:lang w:val="el-GR"/>
        </w:rPr>
        <w:pict>
          <v:rect id="_x0000_i1073" style="width:0;height:1.5pt" o:hralign="center" o:hrstd="t" o:hr="t" fillcolor="#a0a0a0" stroked="f"/>
        </w:pict>
      </w:r>
    </w:p>
    <w:p w:rsidR="00E11ABF" w:rsidRPr="00E11ABF" w:rsidRDefault="00E11ABF" w:rsidP="00E11ABF">
      <w:pPr>
        <w:jc w:val="left"/>
        <w:rPr>
          <w:b/>
          <w:bCs/>
          <w:sz w:val="27"/>
          <w:szCs w:val="27"/>
          <w:lang w:val="el-GR"/>
        </w:rPr>
      </w:pPr>
      <w:r w:rsidRPr="00E11ABF">
        <w:rPr>
          <w:b/>
          <w:bCs/>
          <w:sz w:val="27"/>
          <w:szCs w:val="27"/>
          <w:lang w:val="el-GR"/>
        </w:rPr>
        <w:t>End-to-end flow &amp; practicalities</w:t>
      </w:r>
    </w:p>
    <w:p w:rsidR="00E11ABF" w:rsidRPr="00E11ABF" w:rsidRDefault="00E11ABF" w:rsidP="008F4646">
      <w:pPr>
        <w:numPr>
          <w:ilvl w:val="0"/>
          <w:numId w:val="36"/>
        </w:numPr>
        <w:jc w:val="left"/>
        <w:outlineLvl w:val="9"/>
      </w:pPr>
      <w:r w:rsidRPr="00A53F2D">
        <w:rPr>
          <w:b/>
          <w:bCs/>
        </w:rPr>
        <w:t>Entropy-first triage.</w:t>
      </w:r>
      <w:r w:rsidRPr="00E11ABF">
        <w:t xml:space="preserve"> Hash to chemotype bins, maximize library diversity metrics and apply (\chi^2) fairness; implement with standard ML/statistical tooling [101,111].</w:t>
      </w:r>
    </w:p>
    <w:p w:rsidR="00E11ABF" w:rsidRPr="00E11ABF" w:rsidRDefault="00E11ABF" w:rsidP="008F4646">
      <w:pPr>
        <w:numPr>
          <w:ilvl w:val="0"/>
          <w:numId w:val="36"/>
        </w:numPr>
        <w:jc w:val="left"/>
        <w:outlineLvl w:val="9"/>
      </w:pPr>
      <w:r w:rsidRPr="00A53F2D">
        <w:rPr>
          <w:b/>
          <w:bCs/>
        </w:rPr>
        <w:t>Docking + short MD</w:t>
      </w:r>
      <w:r w:rsidRPr="00E11ABF">
        <w:t xml:space="preserve"> to form robust pose ensembles [12–14,173,175–179].</w:t>
      </w:r>
    </w:p>
    <w:p w:rsidR="00E11ABF" w:rsidRPr="00E11ABF" w:rsidRDefault="00E11ABF" w:rsidP="008F4646">
      <w:pPr>
        <w:numPr>
          <w:ilvl w:val="0"/>
          <w:numId w:val="36"/>
        </w:numPr>
        <w:jc w:val="left"/>
        <w:outlineLvl w:val="9"/>
      </w:pPr>
      <w:r w:rsidRPr="00A53F2D">
        <w:rPr>
          <w:b/>
          <w:bCs/>
        </w:rPr>
        <w:t>MM-PB/GBSA + (\Delta)SASA</w:t>
      </w:r>
      <w:r w:rsidRPr="00E11ABF">
        <w:t xml:space="preserve"> to restore non-</w:t>
      </w:r>
      <w:r w:rsidR="00A53F2D">
        <w:t>polar energetics [70,71,181,67–17</w:t>
      </w:r>
      <w:r w:rsidRPr="00E11ABF">
        <w:t>9].</w:t>
      </w:r>
    </w:p>
    <w:p w:rsidR="00E11ABF" w:rsidRPr="00E11ABF" w:rsidRDefault="00E11ABF" w:rsidP="008F4646">
      <w:pPr>
        <w:numPr>
          <w:ilvl w:val="0"/>
          <w:numId w:val="36"/>
        </w:numPr>
        <w:jc w:val="left"/>
        <w:outlineLvl w:val="9"/>
      </w:pPr>
      <w:r w:rsidRPr="00E11ABF">
        <w:rPr>
          <w:b/>
          <w:bCs/>
        </w:rPr>
        <w:t>Curvature/motif features</w:t>
      </w:r>
      <w:r w:rsidRPr="00E11ABF">
        <w:t xml:space="preserve"> to favor concave, hydrated subsites consistent with biology [149–150,76–</w:t>
      </w:r>
      <w:r w:rsidR="00A53F2D">
        <w:t>1</w:t>
      </w:r>
      <w:r w:rsidRPr="00E11ABF">
        <w:t>84].</w:t>
      </w:r>
    </w:p>
    <w:p w:rsidR="00E11ABF" w:rsidRPr="00E11ABF" w:rsidRDefault="00E11ABF" w:rsidP="008F4646">
      <w:pPr>
        <w:numPr>
          <w:ilvl w:val="0"/>
          <w:numId w:val="36"/>
        </w:numPr>
        <w:jc w:val="left"/>
        <w:outlineLvl w:val="9"/>
      </w:pPr>
      <w:r w:rsidRPr="00E11ABF">
        <w:rPr>
          <w:b/>
          <w:bCs/>
        </w:rPr>
        <w:t>QAOA chemotype gate + pharmacophoric PQC</w:t>
      </w:r>
      <w:r w:rsidRPr="00E11ABF">
        <w:t xml:space="preserve"> to merge entropy/physics/geometry into (\langle Z\rangle) [119,124,133,131].</w:t>
      </w:r>
    </w:p>
    <w:p w:rsidR="00E11ABF" w:rsidRPr="00E11ABF" w:rsidRDefault="00E11ABF" w:rsidP="008F4646">
      <w:pPr>
        <w:numPr>
          <w:ilvl w:val="0"/>
          <w:numId w:val="36"/>
        </w:numPr>
        <w:jc w:val="left"/>
        <w:outlineLvl w:val="9"/>
      </w:pPr>
      <w:r w:rsidRPr="00E11ABF">
        <w:rPr>
          <w:b/>
          <w:bCs/>
        </w:rPr>
        <w:t>GHZ validation</w:t>
      </w:r>
      <w:r w:rsidRPr="00E11ABF">
        <w:t xml:space="preserve"> to gate circuit quality [125–129,144–148].</w:t>
      </w:r>
    </w:p>
    <w:p w:rsidR="00E11ABF" w:rsidRPr="00E11ABF" w:rsidRDefault="00E11ABF" w:rsidP="008F4646">
      <w:pPr>
        <w:numPr>
          <w:ilvl w:val="0"/>
          <w:numId w:val="36"/>
        </w:numPr>
        <w:jc w:val="left"/>
        <w:outlineLvl w:val="9"/>
      </w:pPr>
      <w:r w:rsidRPr="00E11ABF">
        <w:rPr>
          <w:b/>
          <w:bCs/>
        </w:rPr>
        <w:t>Decision by calibrated observable</w:t>
      </w:r>
      <w:r w:rsidRPr="00E11ABF">
        <w:t xml:space="preserve"> with classical parity checks (isotonic/Platt where needed) [112–114].</w:t>
      </w:r>
    </w:p>
    <w:p w:rsidR="00E11ABF" w:rsidRPr="00E11ABF" w:rsidRDefault="00E11ABF" w:rsidP="00E11ABF">
      <w:pPr>
        <w:jc w:val="left"/>
        <w:outlineLvl w:val="9"/>
      </w:pPr>
      <w:r w:rsidRPr="00E11ABF">
        <w:rPr>
          <w:b/>
          <w:bCs/>
        </w:rPr>
        <w:t>Limits &amp; guardrails.</w:t>
      </w:r>
      <w:r w:rsidRPr="00E11ABF">
        <w:t xml:space="preserve"> The (\Delta)SASA coefficient (\gamma) is system-dependent; standardize protonation/grids across docking; finite-shot noise necessitates SPSA and replicated seeds; QAOA depth should remain shallow under realistic coherence budgets and can be paired with mitigation when needed [67–71,181,12–14,159–162,198,199,119,133–135,163</w:t>
      </w:r>
      <w:r w:rsidR="00A53F2D">
        <w:t>-200</w:t>
      </w:r>
      <w:r w:rsidRPr="00E11ABF">
        <w:t>].</w:t>
      </w:r>
    </w:p>
    <w:p w:rsidR="00E11ABF" w:rsidRPr="00E11ABF" w:rsidRDefault="00E11ABF" w:rsidP="00E11ABF">
      <w:pPr>
        <w:jc w:val="left"/>
        <w:outlineLvl w:val="9"/>
      </w:pPr>
      <w:r w:rsidRPr="00E11ABF">
        <w:rPr>
          <w:b/>
          <w:bCs/>
        </w:rPr>
        <w:t>Why this is interpretable.</w:t>
      </w:r>
      <w:r w:rsidRPr="00E11ABF">
        <w:t xml:space="preserve"> Each pillar aligns with a measurable diagnostic: entropy metrics and (\chi^2) (diversity/fairness) [101,111]; (\Delta)SASA and MM-PB/GBSA components (physics) [67–71,181]; (H/K) and motif mismatch (geometry) [149,150,76–</w:t>
      </w:r>
      <w:r w:rsidR="00A53F2D">
        <w:t>1</w:t>
      </w:r>
      <w:r w:rsidRPr="00E11ABF">
        <w:t>84]; and GHZ entropy/witness/fidelity (</w:t>
      </w:r>
      <w:r w:rsidR="00A53F2D">
        <w:t>circuit quality) [125–129,144–19</w:t>
      </w:r>
      <w:r w:rsidRPr="00E11ABF">
        <w:t>8].</w:t>
      </w:r>
    </w:p>
    <w:p w:rsidR="00E11ABF" w:rsidRPr="00E11ABF" w:rsidRDefault="00106EF3" w:rsidP="00E11ABF">
      <w:pPr>
        <w:spacing w:before="0" w:beforeAutospacing="0" w:after="0" w:afterAutospacing="0"/>
        <w:jc w:val="left"/>
        <w:outlineLvl w:val="9"/>
        <w:rPr>
          <w:lang w:val="el-GR"/>
        </w:rPr>
      </w:pPr>
      <w:r w:rsidRPr="00106EF3">
        <w:rPr>
          <w:lang w:val="el-GR"/>
        </w:rPr>
        <w:pict>
          <v:rect id="_x0000_i1074" style="width:0;height:1.5pt" o:hralign="center" o:hrstd="t" o:hr="t" fillcolor="#a0a0a0" stroked="f"/>
        </w:pict>
      </w:r>
    </w:p>
    <w:p w:rsidR="00E11ABF" w:rsidRPr="00E11ABF" w:rsidRDefault="00E11ABF" w:rsidP="00E11ABF">
      <w:pPr>
        <w:jc w:val="left"/>
        <w:rPr>
          <w:b/>
          <w:bCs/>
          <w:sz w:val="27"/>
          <w:szCs w:val="27"/>
        </w:rPr>
      </w:pPr>
      <w:r w:rsidRPr="00E11ABF">
        <w:rPr>
          <w:b/>
          <w:bCs/>
          <w:sz w:val="27"/>
          <w:szCs w:val="27"/>
        </w:rPr>
        <w:t>Calibration track — Digitized adiabatic GHZ validation (with citations)</w:t>
      </w:r>
    </w:p>
    <w:p w:rsidR="000D6AB7" w:rsidRPr="00E81A54" w:rsidRDefault="00E11ABF" w:rsidP="000D6AB7">
      <w:pPr>
        <w:jc w:val="left"/>
        <w:outlineLvl w:val="9"/>
      </w:pPr>
      <w:r w:rsidRPr="00E11ABF">
        <w:t>A compact digitized-adiabatic routine interpolates from a transverse-field to an Ising Hamiltonian in ~8 Trotter steps, implementing step-dependent (R_{ZZ}) couplings and tapered (R_X) mixers; compiled/executed with standard quantum toolchains and noisy simulators/hardware models [132,147–148,140–141,200]. At each step (t), reconstruct (\rho_t) via tomography and evaluate (i) von Neumann entropy (S(\rho_t)) and (ii) the GHZ witness (W_{\mathrm{GHZ}}) [128,129,125–127,146]. Only devices/noise models that keep purity high (low (</w:t>
      </w:r>
      <w:proofErr w:type="gramStart"/>
      <w:r w:rsidRPr="00E11ABF">
        <w:t>S(</w:t>
      </w:r>
      <w:proofErr w:type="gramEnd"/>
      <w:r w:rsidRPr="00E11ABF">
        <w:t>\rho_t))) and maintain a negative GHZ witness within preset acceptance bands across the schedule are admitted to run the hybrid selector/regressor; schedule/depth respect adiabatic sufficiency while remaining NISQ-practical [132,163].</w:t>
      </w:r>
    </w:p>
    <w:p w:rsidR="00617834" w:rsidRPr="00F41624" w:rsidRDefault="00617834" w:rsidP="000D6AB7">
      <w:pPr>
        <w:jc w:val="left"/>
        <w:outlineLvl w:val="9"/>
      </w:pPr>
      <w:r w:rsidRPr="00F41624">
        <w:t>This calibration track directly implements the intended physics of the workflow rather than acting as an ornamental add-on. The motif- and curvature-aware signals that shape the pharmacophoric head appear as gentle fields in the Ising and local RZR_ZRZ components; consensus docking, short-MD, and ΔSASA-based burial corrections become feature-conditioned rotations that steer the mixers; and the chemotype similarity graph enters through the way couplings are arranged and scheduled, thereby exerting entropy pressure consistent with the QAOA cost. Because the same circuit that enforces quality (via tomography, entropy, and entanglement) also carries the task-relevant structure, survivors of the calibration are not merely predicted binders: they are candidates whose stabilization mechanisms—short linear motifs targeting concave, well-hydrated pockets with hydrophobic shelter—are mechanistically consonant with ERC/NEU1-aware elastin signaling and wound-repair biology. [119,133–1</w:t>
      </w:r>
      <w:r w:rsidR="00A53F2D">
        <w:t>35,140,141,67–71,168–172,33-18</w:t>
      </w:r>
      <w:r w:rsidRPr="00F41624">
        <w:t>9,1</w:t>
      </w:r>
      <w:r w:rsidR="00A53F2D">
        <w:t>50-200]</w:t>
      </w:r>
    </w:p>
    <w:p w:rsidR="000D6AB7" w:rsidRPr="000D6AB7" w:rsidRDefault="000D6AB7" w:rsidP="000D6AB7">
      <w:pPr>
        <w:jc w:val="left"/>
        <w:outlineLvl w:val="9"/>
      </w:pPr>
      <w:r w:rsidRPr="00F41624">
        <w:t xml:space="preserve">The expanded calibration circuit prepares the register in </w:t>
      </w:r>
      <w:r w:rsidRPr="00F41624">
        <w:rPr>
          <w:rFonts w:ascii="Cambria Math" w:hAnsi="Cambria Math" w:cs="Cambria Math"/>
        </w:rPr>
        <w:t>∣</w:t>
      </w:r>
      <w:r w:rsidRPr="00F41624">
        <w:t>+</w:t>
      </w:r>
      <w:r w:rsidRPr="00F41624">
        <w:rPr>
          <w:rFonts w:ascii="Cambria Math" w:hAnsi="Cambria Math" w:cs="Cambria Math"/>
          <w:lang w:val="el-GR"/>
        </w:rPr>
        <w:t>⟩</w:t>
      </w:r>
      <w:r w:rsidRPr="00F41624">
        <w:rPr>
          <w:rFonts w:ascii="Cambria Math" w:hAnsi="Cambria Math" w:cs="Cambria Math"/>
        </w:rPr>
        <w:t>⊗</w:t>
      </w:r>
      <w:r w:rsidRPr="00F41624">
        <w:t>n|+\rangle^{\otimes n}</w:t>
      </w:r>
      <w:r w:rsidRPr="00F41624">
        <w:rPr>
          <w:rFonts w:ascii="Cambria Math" w:hAnsi="Cambria Math" w:cs="Cambria Math"/>
        </w:rPr>
        <w:t>∣</w:t>
      </w:r>
      <w:r w:rsidRPr="00F41624">
        <w:t>+</w:t>
      </w:r>
      <w:r w:rsidRPr="00F41624">
        <w:rPr>
          <w:rFonts w:ascii="Cambria Math" w:hAnsi="Cambria Math" w:cs="Cambria Math"/>
          <w:lang w:val="el-GR"/>
        </w:rPr>
        <w:t>⟩</w:t>
      </w:r>
      <w:r w:rsidRPr="00F41624">
        <w:rPr>
          <w:rFonts w:ascii="Cambria Math" w:hAnsi="Cambria Math" w:cs="Cambria Math"/>
        </w:rPr>
        <w:t>⊗</w:t>
      </w:r>
      <w:r w:rsidRPr="00F41624">
        <w:t>n with a global Hadamard layer and then executes eight digitized–adiabatic (Trotter–Suzuki) steps that interpolate from a transverse-field to an Ising Hamiltonian. Each step consists of an Ising block UC(</w:t>
      </w:r>
      <w:r w:rsidRPr="00F41624">
        <w:rPr>
          <w:lang w:val="el-GR"/>
        </w:rPr>
        <w:t>γ</w:t>
      </w:r>
      <w:r w:rsidRPr="00F41624">
        <w:t>k)U_C(\gamma_k)UC​(</w:t>
      </w:r>
      <w:r w:rsidRPr="00F41624">
        <w:rPr>
          <w:lang w:val="el-GR"/>
        </w:rPr>
        <w:t>γ</w:t>
      </w:r>
      <w:r w:rsidRPr="00F41624">
        <w:t>k​) implemented as an RZZR_{ZZ}RZZ​ “ladder” over adjacent qubits, optionally accompanied by slim local RZR_ZRZ​ biases to encode per-qubit detunings, followed by a mixer block UM(</w:t>
      </w:r>
      <w:r w:rsidRPr="00F41624">
        <w:rPr>
          <w:lang w:val="el-GR"/>
        </w:rPr>
        <w:t>β</w:t>
      </w:r>
      <w:r w:rsidRPr="00F41624">
        <w:t>k)U_M(\beta_k)UM​(</w:t>
      </w:r>
      <w:r w:rsidRPr="00F41624">
        <w:rPr>
          <w:lang w:val="el-GR"/>
        </w:rPr>
        <w:t>β</w:t>
      </w:r>
      <w:r w:rsidRPr="00F41624">
        <w:t>k​) realized with Rx(</w:t>
      </w:r>
      <w:r w:rsidRPr="00F41624">
        <w:rPr>
          <w:lang w:val="el-GR"/>
        </w:rPr>
        <w:t>β</w:t>
      </w:r>
      <w:r w:rsidRPr="00F41624">
        <w:t>k)R_x(\beta_k)Rx​(</w:t>
      </w:r>
      <w:r w:rsidRPr="00F41624">
        <w:rPr>
          <w:lang w:val="el-GR"/>
        </w:rPr>
        <w:t>β</w:t>
      </w:r>
      <w:r w:rsidRPr="00F41624">
        <w:t xml:space="preserve">k​) rotations on every qubit. The angle schedules are chosen to increase </w:t>
      </w:r>
      <w:r w:rsidRPr="00F41624">
        <w:rPr>
          <w:lang w:val="el-GR"/>
        </w:rPr>
        <w:t>γ</w:t>
      </w:r>
      <w:r w:rsidRPr="00F41624">
        <w:t>k\gamma_k</w:t>
      </w:r>
      <w:r w:rsidRPr="00F41624">
        <w:rPr>
          <w:lang w:val="el-GR"/>
        </w:rPr>
        <w:t>γ</w:t>
      </w:r>
      <w:r w:rsidRPr="00F41624">
        <w:t xml:space="preserve">k​ across the sequence while tapering </w:t>
      </w:r>
      <w:r w:rsidRPr="00F41624">
        <w:rPr>
          <w:lang w:val="el-GR"/>
        </w:rPr>
        <w:t>β</w:t>
      </w:r>
      <w:r w:rsidRPr="00F41624">
        <w:t>k\beta_k</w:t>
      </w:r>
      <w:r w:rsidRPr="00F41624">
        <w:rPr>
          <w:lang w:val="el-GR"/>
        </w:rPr>
        <w:t>β</w:t>
      </w:r>
      <w:r w:rsidRPr="00F41624">
        <w:t>k​, mirroring an anneal in which couplings strengthen</w:t>
      </w:r>
      <w:r w:rsidRPr="000D6AB7">
        <w:t xml:space="preserve"> as the transverse field recedes. To monitor the evolution, quantum state tomography checkpoints are placed after the first, fourth, and eighth mixer blocks, at which the reconstructed density matrix </w:t>
      </w:r>
      <w:r w:rsidRPr="000D6AB7">
        <w:rPr>
          <w:lang w:val="el-GR"/>
        </w:rPr>
        <w:t>ρ</w:t>
      </w:r>
      <w:r w:rsidRPr="000D6AB7">
        <w:t>t\rho_t</w:t>
      </w:r>
      <w:r w:rsidRPr="000D6AB7">
        <w:rPr>
          <w:lang w:val="el-GR"/>
        </w:rPr>
        <w:t>ρ</w:t>
      </w:r>
      <w:r w:rsidRPr="000D6AB7">
        <w:t>t​ is used to compute the von Neumann entropy S(</w:t>
      </w:r>
      <w:r w:rsidRPr="000D6AB7">
        <w:rPr>
          <w:lang w:val="el-GR"/>
        </w:rPr>
        <w:t>ρ</w:t>
      </w:r>
      <w:r w:rsidRPr="000D6AB7">
        <w:t>t)=−Tr[</w:t>
      </w:r>
      <w:r w:rsidRPr="000D6AB7">
        <w:rPr>
          <w:lang w:val="el-GR"/>
        </w:rPr>
        <w:t>ρ</w:t>
      </w:r>
      <w:r w:rsidRPr="000D6AB7">
        <w:t>tlog⁡</w:t>
      </w:r>
      <w:r w:rsidRPr="000D6AB7">
        <w:rPr>
          <w:lang w:val="el-GR"/>
        </w:rPr>
        <w:t>ρ</w:t>
      </w:r>
      <w:r w:rsidRPr="000D6AB7">
        <w:t>t]S(\rho_t)=-\mathrm{Tr}[\rho_t\log\rho_t]S(</w:t>
      </w:r>
      <w:r w:rsidRPr="000D6AB7">
        <w:rPr>
          <w:lang w:val="el-GR"/>
        </w:rPr>
        <w:t>ρ</w:t>
      </w:r>
      <w:r w:rsidRPr="000D6AB7">
        <w:t>t​)=−Tr[</w:t>
      </w:r>
      <w:r w:rsidRPr="000D6AB7">
        <w:rPr>
          <w:lang w:val="el-GR"/>
        </w:rPr>
        <w:t>ρ</w:t>
      </w:r>
      <w:r w:rsidRPr="000D6AB7">
        <w:t>t​log</w:t>
      </w:r>
      <w:r w:rsidRPr="000D6AB7">
        <w:rPr>
          <w:lang w:val="el-GR"/>
        </w:rPr>
        <w:t>ρ</w:t>
      </w:r>
      <w:r w:rsidRPr="000D6AB7">
        <w:t>t​] and to evaluate a GHZ entanglement witness WGHZ=34I−</w:t>
      </w:r>
      <w:r w:rsidRPr="000D6AB7">
        <w:rPr>
          <w:rFonts w:ascii="Cambria Math" w:hAnsi="Cambria Math" w:cs="Cambria Math"/>
        </w:rPr>
        <w:t>∣</w:t>
      </w:r>
      <w:r w:rsidRPr="000D6AB7">
        <w:t>GHZ</w:t>
      </w:r>
      <w:r w:rsidRPr="000D6AB7">
        <w:rPr>
          <w:rFonts w:ascii="Cambria Math" w:hAnsi="Cambria Math" w:cs="Cambria Math"/>
          <w:lang w:val="el-GR"/>
        </w:rPr>
        <w:t>⟩⟨</w:t>
      </w:r>
      <w:r w:rsidRPr="000D6AB7">
        <w:t>GHZ</w:t>
      </w:r>
      <w:r w:rsidRPr="000D6AB7">
        <w:rPr>
          <w:rFonts w:ascii="Cambria Math" w:hAnsi="Cambria Math" w:cs="Cambria Math"/>
        </w:rPr>
        <w:t>∣</w:t>
      </w:r>
      <w:r w:rsidRPr="000D6AB7">
        <w:t>W_{\mathrm{GHZ}}=\tfrac{3}{4}I-|\mathrm{GHZ}\rangle\langle\mathrm{GHZ}|WGHZ​=43​I−</w:t>
      </w:r>
      <w:r w:rsidRPr="000D6AB7">
        <w:rPr>
          <w:rFonts w:ascii="Cambria Math" w:hAnsi="Cambria Math" w:cs="Cambria Math"/>
        </w:rPr>
        <w:t>∣</w:t>
      </w:r>
      <w:r w:rsidRPr="000D6AB7">
        <w:t>GHZ</w:t>
      </w:r>
      <w:r w:rsidRPr="000D6AB7">
        <w:rPr>
          <w:rFonts w:ascii="Cambria Math" w:hAnsi="Cambria Math" w:cs="Cambria Math"/>
          <w:lang w:val="el-GR"/>
        </w:rPr>
        <w:t>⟩⟨</w:t>
      </w:r>
      <w:r w:rsidRPr="000D6AB7">
        <w:t>GHZ</w:t>
      </w:r>
      <w:r w:rsidRPr="000D6AB7">
        <w:rPr>
          <w:rFonts w:ascii="Cambria Math" w:hAnsi="Cambria Math" w:cs="Cambria Math"/>
        </w:rPr>
        <w:t>∣</w:t>
      </w:r>
      <w:r w:rsidRPr="000D6AB7">
        <w:t>; a negative trace Tr(WGHZ</w:t>
      </w:r>
      <w:r w:rsidRPr="000D6AB7">
        <w:rPr>
          <w:lang w:val="el-GR"/>
        </w:rPr>
        <w:t>ρ</w:t>
      </w:r>
      <w:r w:rsidRPr="000D6AB7">
        <w:t>t)&lt;0\mathrm{Tr}(W_{\mathrm{GHZ}}\rho_t)&lt;0Tr(WGHZ​</w:t>
      </w:r>
      <w:r w:rsidRPr="000D6AB7">
        <w:rPr>
          <w:lang w:val="el-GR"/>
        </w:rPr>
        <w:t>ρ</w:t>
      </w:r>
      <w:r w:rsidRPr="000D6AB7">
        <w:t>t​)&lt;0 certifies GHZ-type multipartite entanglement. Instances that maintain low entropy (high purity) together with a negative witness over preset acceptance bands are retained for the hybrid selector/regressor, while those that drift outside the bands are recompiled or discarded. This schedule is compiled to shallow depth so that it respects practical adiabatic–sufficiency heuristics while remaining executable on NISQ-era platforms.</w:t>
      </w:r>
      <w:r w:rsidR="006C2A3A">
        <w:t xml:space="preserve"> [1-</w:t>
      </w:r>
      <w:r w:rsidR="00A53F2D">
        <w:t>48,132,128,129,146,125–19</w:t>
      </w:r>
      <w:r w:rsidRPr="000D6AB7">
        <w:t>7]</w:t>
      </w:r>
    </w:p>
    <w:p w:rsidR="000D6AB7" w:rsidRPr="00F41624" w:rsidRDefault="000D6AB7" w:rsidP="000D6AB7">
      <w:pPr>
        <w:jc w:val="left"/>
        <w:outlineLvl w:val="9"/>
      </w:pPr>
      <w:r w:rsidRPr="000D6AB7">
        <w:t xml:space="preserve">For implementation and reproducibility, the circuit is expressed with Qiskit/Aer backends (statevector and matched noisy simulators) using hardware-efficient compilation and modest two-qubit counts; stochastic parameter updates rely on SPSA with early stopping to curb shot-noise variance. The overall design follows standard recipes for digitized adiabatic paths and product-formula simulation, GHZ-family certification and tomography, and shallow variational settings that balance expressivity with device coherence. </w:t>
      </w:r>
      <w:r w:rsidRPr="00F41624">
        <w:t>[140,141,109,110,1</w:t>
      </w:r>
      <w:r w:rsidR="00A53F2D">
        <w:t>47,148,125–129,144–146,124,133-200]</w:t>
      </w:r>
    </w:p>
    <w:p w:rsidR="000D6AB7" w:rsidRPr="00A53F2D" w:rsidRDefault="000D6AB7" w:rsidP="000D6AB7">
      <w:pPr>
        <w:jc w:val="left"/>
        <w:outlineLvl w:val="9"/>
      </w:pPr>
      <w:r w:rsidRPr="000D6AB7">
        <w:rPr>
          <w:b/>
          <w:bCs/>
        </w:rPr>
        <w:t>Takeaway.</w:t>
      </w:r>
      <w:r w:rsidRPr="000D6AB7">
        <w:t xml:space="preserve"> The circuit is not a bolt-on; it is the </w:t>
      </w:r>
      <w:r w:rsidRPr="000D6AB7">
        <w:rPr>
          <w:b/>
          <w:bCs/>
        </w:rPr>
        <w:t>physical embodiment</w:t>
      </w:r>
      <w:r w:rsidRPr="000D6AB7">
        <w:t xml:space="preserve"> of the entire workflow: </w:t>
      </w:r>
      <w:r w:rsidRPr="000D6AB7">
        <w:rPr>
          <w:b/>
          <w:bCs/>
        </w:rPr>
        <w:t>motifs</w:t>
      </w:r>
      <w:r w:rsidRPr="000D6AB7">
        <w:t xml:space="preserve"> (GLAM2-derived) and </w:t>
      </w:r>
      <w:r w:rsidRPr="000D6AB7">
        <w:rPr>
          <w:b/>
          <w:bCs/>
        </w:rPr>
        <w:t>curvature</w:t>
      </w:r>
      <w:r w:rsidRPr="000D6AB7">
        <w:t xml:space="preserve"> enter as gentle fields in the pharmacophoric head; </w:t>
      </w:r>
      <w:r w:rsidRPr="000D6AB7">
        <w:rPr>
          <w:b/>
          <w:bCs/>
        </w:rPr>
        <w:t>consensus docking</w:t>
      </w:r>
      <w:r w:rsidRPr="000D6AB7">
        <w:t xml:space="preserve"> and </w:t>
      </w:r>
      <w:r w:rsidRPr="000D6AB7">
        <w:rPr>
          <w:b/>
          <w:bCs/>
          <w:lang w:val="el-GR"/>
        </w:rPr>
        <w:t>Δ</w:t>
      </w:r>
      <w:r w:rsidRPr="000D6AB7">
        <w:rPr>
          <w:b/>
          <w:bCs/>
        </w:rPr>
        <w:t>SASA-based burial</w:t>
      </w:r>
      <w:r w:rsidRPr="000D6AB7">
        <w:t xml:space="preserve"> appear as feature rotations/weights; and the </w:t>
      </w:r>
      <w:r w:rsidRPr="000D6AB7">
        <w:rPr>
          <w:b/>
          <w:bCs/>
        </w:rPr>
        <w:t>chemotype graph</w:t>
      </w:r>
      <w:r w:rsidRPr="000D6AB7">
        <w:t xml:space="preserve"> enforces entropy pressure via the QAOA cost. Surviving leads are therefore not only predicted binders but binders that make </w:t>
      </w:r>
      <w:r w:rsidRPr="000D6AB7">
        <w:rPr>
          <w:b/>
          <w:bCs/>
        </w:rPr>
        <w:t>mechanistic sense</w:t>
      </w:r>
      <w:r w:rsidRPr="000D6AB7">
        <w:t xml:space="preserve"> for wound biology—short linear motifs engaging </w:t>
      </w:r>
      <w:r w:rsidRPr="000D6AB7">
        <w:rPr>
          <w:b/>
          <w:bCs/>
        </w:rPr>
        <w:t>concave</w:t>
      </w:r>
      <w:r w:rsidRPr="000D6AB7">
        <w:t xml:space="preserve"> pockets with </w:t>
      </w:r>
      <w:r w:rsidRPr="000D6AB7">
        <w:rPr>
          <w:b/>
          <w:bCs/>
        </w:rPr>
        <w:t>hydrophobic shelter</w:t>
      </w:r>
      <w:r w:rsidRPr="000D6AB7">
        <w:t xml:space="preserve">, consistent with ERC/NEU1-aware elastin signaling literature. </w:t>
      </w:r>
      <w:r w:rsidR="00A53F2D">
        <w:t>[</w:t>
      </w:r>
      <w:r w:rsidRPr="000D6AB7">
        <w:rPr>
          <w:lang w:val="el-GR"/>
        </w:rPr>
        <w:t>76,16–20,67–71,33,111,149–150,168–172</w:t>
      </w:r>
      <w:r w:rsidR="00A53F2D">
        <w:t>]</w:t>
      </w:r>
    </w:p>
    <w:p w:rsidR="00703917" w:rsidRPr="00703917" w:rsidRDefault="00106EF3" w:rsidP="00703917">
      <w:pPr>
        <w:spacing w:before="0" w:beforeAutospacing="0" w:after="0" w:afterAutospacing="0"/>
        <w:jc w:val="left"/>
        <w:outlineLvl w:val="9"/>
        <w:rPr>
          <w:lang w:val="el-GR"/>
        </w:rPr>
      </w:pPr>
      <w:r w:rsidRPr="00106EF3">
        <w:rPr>
          <w:lang w:val="el-GR"/>
        </w:rPr>
        <w:pict>
          <v:rect id="_x0000_i1075" style="width:0;height:1.5pt" o:hralign="center" o:hrstd="t" o:hr="t" fillcolor="#a0a0a0" stroked="f"/>
        </w:pict>
      </w:r>
    </w:p>
    <w:p w:rsidR="00703917" w:rsidRPr="00703917" w:rsidRDefault="00703917" w:rsidP="00703917">
      <w:pPr>
        <w:jc w:val="left"/>
        <w:outlineLvl w:val="1"/>
        <w:rPr>
          <w:b/>
          <w:bCs/>
          <w:sz w:val="36"/>
          <w:szCs w:val="36"/>
        </w:rPr>
      </w:pPr>
      <w:r w:rsidRPr="00703917">
        <w:rPr>
          <w:b/>
          <w:bCs/>
          <w:sz w:val="36"/>
          <w:szCs w:val="36"/>
        </w:rPr>
        <w:t>6.5 Numerical stability, equivariance, and entropy-aware flow</w:t>
      </w:r>
    </w:p>
    <w:p w:rsidR="00703917" w:rsidRPr="00703917" w:rsidRDefault="00703917" w:rsidP="00703917">
      <w:pPr>
        <w:jc w:val="left"/>
        <w:outlineLvl w:val="9"/>
      </w:pPr>
      <w:r w:rsidRPr="00703917">
        <w:rPr>
          <w:b/>
          <w:bCs/>
        </w:rPr>
        <w:t>Predictor–corrector stability.</w:t>
      </w:r>
      <w:r w:rsidRPr="00703917">
        <w:t xml:space="preserve"> The pharmacophoric ODE uses a predictor–corrector integrator with a truncated update,</w:t>
      </w:r>
    </w:p>
    <w:p w:rsidR="00703917" w:rsidRPr="000D6AB7" w:rsidRDefault="00703917" w:rsidP="00703917">
      <w:pPr>
        <w:spacing w:before="0" w:beforeAutospacing="0" w:after="0" w:afterAutospacing="0"/>
        <w:jc w:val="left"/>
        <w:outlineLvl w:val="9"/>
      </w:pPr>
      <w:r w:rsidRPr="00703917">
        <w:rPr>
          <w:lang w:val="el-GR"/>
        </w:rPr>
        <w:t>Φ</w:t>
      </w:r>
      <w:r w:rsidRPr="000D6AB7">
        <w:t>(U)=I+c1U+c2U2+O(U3) (6.4),\boxed{\Phi(U)=I+c_{1}U+c_{2}U^{2}+\mathcal O(U^{3})}\ (6.4),</w:t>
      </w:r>
      <w:r w:rsidRPr="00703917">
        <w:rPr>
          <w:lang w:val="el-GR"/>
        </w:rPr>
        <w:t>Φ</w:t>
      </w:r>
      <w:r w:rsidRPr="000D6AB7">
        <w:t xml:space="preserve">(U)=I+c1​U+c2​U2+O(U3)​ (6.4), </w:t>
      </w:r>
    </w:p>
    <w:p w:rsidR="00703917" w:rsidRPr="00703917" w:rsidRDefault="00703917" w:rsidP="00703917">
      <w:pPr>
        <w:jc w:val="left"/>
        <w:outlineLvl w:val="9"/>
      </w:pPr>
      <w:r w:rsidRPr="00703917">
        <w:t>to control local truncation error and suppress drift even when U≠0U\neq0U</w:t>
      </w:r>
      <w:r w:rsidRPr="00703917">
        <w:rPr>
          <w:lang w:val="el-GR"/>
        </w:rPr>
        <w:t></w:t>
      </w:r>
      <w:r w:rsidRPr="00703917">
        <w:t>=0 [15][15][15].</w:t>
      </w:r>
    </w:p>
    <w:p w:rsidR="00703917" w:rsidRPr="00703917" w:rsidRDefault="00703917" w:rsidP="00703917">
      <w:pPr>
        <w:jc w:val="left"/>
        <w:outlineLvl w:val="9"/>
      </w:pPr>
      <w:r w:rsidRPr="00703917">
        <w:rPr>
          <w:b/>
          <w:bCs/>
        </w:rPr>
        <w:t>Rotation-equivariance.</w:t>
      </w:r>
      <w:r w:rsidRPr="00703917">
        <w:t xml:space="preserve"> Orientation changes act through </w:t>
      </w:r>
      <w:r w:rsidRPr="00703917">
        <w:rPr>
          <w:b/>
          <w:bCs/>
        </w:rPr>
        <w:t>Wigner DDD</w:t>
      </w:r>
      <w:r w:rsidRPr="00703917">
        <w:t xml:space="preserve"> matrices so pose updates remain equivariant under rotations, and orientation-dependent features transform consistently:</w:t>
      </w:r>
    </w:p>
    <w:p w:rsidR="00703917" w:rsidRPr="00703917" w:rsidRDefault="00703917" w:rsidP="00703917">
      <w:pPr>
        <w:spacing w:before="0" w:beforeAutospacing="0" w:after="0" w:afterAutospacing="0"/>
        <w:jc w:val="left"/>
        <w:outlineLvl w:val="9"/>
      </w:pPr>
      <w:r w:rsidRPr="00703917">
        <w:t>Dm′mj(</w:t>
      </w:r>
      <w:r w:rsidRPr="00703917">
        <w:rPr>
          <w:lang w:val="el-GR"/>
        </w:rPr>
        <w:t>α</w:t>
      </w:r>
      <w:r w:rsidRPr="00703917">
        <w:t>,</w:t>
      </w:r>
      <w:r w:rsidRPr="00703917">
        <w:rPr>
          <w:lang w:val="el-GR"/>
        </w:rPr>
        <w:t>β</w:t>
      </w:r>
      <w:r w:rsidRPr="00703917">
        <w:t>,</w:t>
      </w:r>
      <w:r w:rsidRPr="00703917">
        <w:rPr>
          <w:lang w:val="el-GR"/>
        </w:rPr>
        <w:t>γ</w:t>
      </w:r>
      <w:r w:rsidRPr="00703917">
        <w:t>)=e−im′</w:t>
      </w:r>
      <w:r w:rsidRPr="00703917">
        <w:rPr>
          <w:lang w:val="el-GR"/>
        </w:rPr>
        <w:t>α</w:t>
      </w:r>
      <w:r w:rsidRPr="00703917">
        <w:t> dm′mj(</w:t>
      </w:r>
      <w:r w:rsidRPr="00703917">
        <w:rPr>
          <w:lang w:val="el-GR"/>
        </w:rPr>
        <w:t>β</w:t>
      </w:r>
      <w:r w:rsidRPr="00703917">
        <w:t>) e−im</w:t>
      </w:r>
      <w:r w:rsidRPr="00703917">
        <w:rPr>
          <w:lang w:val="el-GR"/>
        </w:rPr>
        <w:t>γ</w:t>
      </w:r>
      <w:r w:rsidRPr="00703917">
        <w:t> (6.5) [16].\boxed{D^{j}_{m'm}(\alpha,\beta,\gamma)=e^{-i m'\alpha}\, d^{j}_{m'm}(\beta)\, e^{-i m\gamma}}\ (6.5)\ [16].Dm′mj​(</w:t>
      </w:r>
      <w:r w:rsidRPr="00703917">
        <w:rPr>
          <w:lang w:val="el-GR"/>
        </w:rPr>
        <w:t>α</w:t>
      </w:r>
      <w:r w:rsidRPr="00703917">
        <w:t>,</w:t>
      </w:r>
      <w:r w:rsidRPr="00703917">
        <w:rPr>
          <w:lang w:val="el-GR"/>
        </w:rPr>
        <w:t>β</w:t>
      </w:r>
      <w:r w:rsidRPr="00703917">
        <w:t>,</w:t>
      </w:r>
      <w:r w:rsidRPr="00703917">
        <w:rPr>
          <w:lang w:val="el-GR"/>
        </w:rPr>
        <w:t>γ</w:t>
      </w:r>
      <w:r w:rsidRPr="00703917">
        <w:t>)=e−im′</w:t>
      </w:r>
      <w:r w:rsidRPr="00703917">
        <w:rPr>
          <w:lang w:val="el-GR"/>
        </w:rPr>
        <w:t>α</w:t>
      </w:r>
      <w:r w:rsidRPr="00703917">
        <w:t>dm′mj​(</w:t>
      </w:r>
      <w:r w:rsidRPr="00703917">
        <w:rPr>
          <w:lang w:val="el-GR"/>
        </w:rPr>
        <w:t>β</w:t>
      </w:r>
      <w:r w:rsidRPr="00703917">
        <w:t>)e−im</w:t>
      </w:r>
      <w:r w:rsidRPr="00703917">
        <w:rPr>
          <w:lang w:val="el-GR"/>
        </w:rPr>
        <w:t>γ</w:t>
      </w:r>
      <w:r w:rsidRPr="00703917">
        <w:t xml:space="preserve">​ (6.5) [16]. </w:t>
      </w:r>
    </w:p>
    <w:p w:rsidR="00703917" w:rsidRPr="00703917" w:rsidRDefault="00703917" w:rsidP="00703917">
      <w:pPr>
        <w:jc w:val="left"/>
        <w:outlineLvl w:val="9"/>
      </w:pPr>
      <w:r w:rsidRPr="00703917">
        <w:rPr>
          <w:b/>
          <w:bCs/>
        </w:rPr>
        <w:t>Smooth, differentiable overlaps.</w:t>
      </w:r>
      <w:r w:rsidRPr="00703917">
        <w:t xml:space="preserve"> Pharmacophore overlaps are computed with </w:t>
      </w:r>
      <w:r w:rsidRPr="00703917">
        <w:rPr>
          <w:b/>
          <w:bCs/>
        </w:rPr>
        <w:t>soft kernels</w:t>
      </w:r>
      <w:r w:rsidRPr="00703917">
        <w:t xml:space="preserve"> whose gradients are analytic. Using the Gauss hypergeometric identity,</w:t>
      </w:r>
    </w:p>
    <w:p w:rsidR="00703917" w:rsidRPr="00703917" w:rsidRDefault="00703917" w:rsidP="00703917">
      <w:pPr>
        <w:spacing w:before="0" w:beforeAutospacing="0" w:after="0" w:afterAutospacing="0"/>
        <w:jc w:val="left"/>
        <w:outlineLvl w:val="9"/>
      </w:pPr>
      <w:r w:rsidRPr="00703917">
        <w:t xml:space="preserve">∂∂x 2F1(a,b;c;x)=abc  2F1(a+1,b+1;c+1;x) (6.6),\boxed{\frac{\partial}{\partial x}\,{}_2F_{1}(a,b;c;x)=\frac{ab}{c}\;{}_2F_{1}(a+1,b+1;c+1;x)}\ (6.6),∂x∂​2​F1​(a,b;c;x)=cab​2​F1​(a+1,b+1;c+1;x)​ (6.6), </w:t>
      </w:r>
    </w:p>
    <w:p w:rsidR="00703917" w:rsidRPr="00703917" w:rsidRDefault="00703917" w:rsidP="00703917">
      <w:pPr>
        <w:jc w:val="left"/>
        <w:outlineLvl w:val="9"/>
      </w:pPr>
      <w:r w:rsidRPr="00703917">
        <w:t>keeps potentials smooth</w:t>
      </w:r>
      <w:r w:rsidR="00A53F2D">
        <w:t xml:space="preserve"> as contacts form/break </w:t>
      </w:r>
      <w:r w:rsidRPr="00703917">
        <w:t>[17].</w:t>
      </w:r>
    </w:p>
    <w:p w:rsidR="00703917" w:rsidRPr="00703917" w:rsidRDefault="00703917" w:rsidP="00703917">
      <w:pPr>
        <w:jc w:val="left"/>
        <w:outlineLvl w:val="9"/>
      </w:pPr>
      <w:r w:rsidRPr="00703917">
        <w:rPr>
          <w:b/>
          <w:bCs/>
        </w:rPr>
        <w:t>Entropy-aware acceptance.</w:t>
      </w:r>
      <w:r w:rsidRPr="00703917">
        <w:t xml:space="preserve"> After each </w:t>
      </w:r>
      <w:r w:rsidRPr="00703917">
        <w:rPr>
          <w:lang w:val="el-GR"/>
        </w:rPr>
        <w:t>Φ</w:t>
      </w:r>
      <w:r w:rsidRPr="00703917">
        <w:t>\Phi</w:t>
      </w:r>
      <w:r w:rsidRPr="00703917">
        <w:rPr>
          <w:lang w:val="el-GR"/>
        </w:rPr>
        <w:t>Φ</w:t>
      </w:r>
      <w:r w:rsidRPr="00703917">
        <w:t xml:space="preserve"> step</w:t>
      </w:r>
      <w:r w:rsidR="00356057">
        <w:t xml:space="preserve"> I </w:t>
      </w:r>
      <w:r w:rsidRPr="00703917">
        <w:t>evaluate Shannon and Rényi entropies to penalize over-concentration:</w:t>
      </w:r>
    </w:p>
    <w:p w:rsidR="00703917" w:rsidRPr="00703917" w:rsidRDefault="00703917" w:rsidP="00703917">
      <w:pPr>
        <w:spacing w:before="0" w:beforeAutospacing="0" w:after="0" w:afterAutospacing="0"/>
        <w:jc w:val="left"/>
        <w:outlineLvl w:val="9"/>
      </w:pPr>
      <w:r w:rsidRPr="00703917">
        <w:t>H=−∑ipilog⁡pi (1),S</w:t>
      </w:r>
      <w:r w:rsidRPr="00703917">
        <w:rPr>
          <w:lang w:val="el-GR"/>
        </w:rPr>
        <w:t>α</w:t>
      </w:r>
      <w:r w:rsidRPr="00703917">
        <w:t>=11−</w:t>
      </w:r>
      <w:r w:rsidRPr="00703917">
        <w:rPr>
          <w:lang w:val="el-GR"/>
        </w:rPr>
        <w:t>α</w:t>
      </w:r>
      <w:r w:rsidRPr="00703917">
        <w:t>log⁡∑ipi</w:t>
      </w:r>
      <w:r w:rsidRPr="00703917">
        <w:rPr>
          <w:lang w:val="el-GR"/>
        </w:rPr>
        <w:t>α</w:t>
      </w:r>
      <w:r w:rsidRPr="00703917">
        <w:t>, </w:t>
      </w:r>
      <w:r w:rsidRPr="00703917">
        <w:rPr>
          <w:lang w:val="el-GR"/>
        </w:rPr>
        <w:t>α</w:t>
      </w:r>
      <w:r w:rsidRPr="00703917">
        <w:rPr>
          <w:rFonts w:ascii="Cambria Math" w:hAnsi="Cambria Math" w:cs="Cambria Math"/>
        </w:rPr>
        <w:t>∈</w:t>
      </w:r>
      <w:r w:rsidRPr="00703917">
        <w:t>[1.2,2] (2) [7,8].H=-\sum_i p_i\log p_i\ (1),\qquad S_\alpha=\frac{1}{1-\alpha}\log\sum_i p_i^\alpha,\ \alpha\in[1.2,2]\ (2)\ [7,8].H=−i∑​pi​logpi​ (1),S</w:t>
      </w:r>
      <w:r w:rsidRPr="00703917">
        <w:rPr>
          <w:lang w:val="el-GR"/>
        </w:rPr>
        <w:t>α</w:t>
      </w:r>
      <w:r w:rsidRPr="00703917">
        <w:t>​=1−</w:t>
      </w:r>
      <w:r w:rsidRPr="00703917">
        <w:rPr>
          <w:lang w:val="el-GR"/>
        </w:rPr>
        <w:t>α</w:t>
      </w:r>
      <w:r w:rsidRPr="00703917">
        <w:t>1​logi∑​pi</w:t>
      </w:r>
      <w:r w:rsidRPr="00703917">
        <w:rPr>
          <w:lang w:val="el-GR"/>
        </w:rPr>
        <w:t>α</w:t>
      </w:r>
      <w:r w:rsidRPr="00703917">
        <w:t>​, </w:t>
      </w:r>
      <w:r w:rsidRPr="00703917">
        <w:rPr>
          <w:lang w:val="el-GR"/>
        </w:rPr>
        <w:t>α</w:t>
      </w:r>
      <w:r w:rsidRPr="00703917">
        <w:rPr>
          <w:rFonts w:ascii="Cambria Math" w:hAnsi="Cambria Math" w:cs="Cambria Math"/>
        </w:rPr>
        <w:t>∈</w:t>
      </w:r>
      <w:r w:rsidRPr="00703917">
        <w:t xml:space="preserve">[1.2,2] (2) [7,8]. </w:t>
      </w:r>
    </w:p>
    <w:p w:rsidR="00703917" w:rsidRDefault="00703917" w:rsidP="00703917">
      <w:pPr>
        <w:jc w:val="left"/>
        <w:outlineLvl w:val="9"/>
      </w:pPr>
      <w:r w:rsidRPr="00703917">
        <w:t xml:space="preserve">A proposed edit G\*G^\*G\* is accepted </w:t>
      </w:r>
      <w:r w:rsidRPr="00703917">
        <w:rPr>
          <w:b/>
          <w:bCs/>
        </w:rPr>
        <w:t>only if</w:t>
      </w:r>
      <w:r w:rsidRPr="00703917">
        <w:t xml:space="preserve"> </w:t>
      </w:r>
      <w:r w:rsidRPr="00703917">
        <w:rPr>
          <w:lang w:val="el-GR"/>
        </w:rPr>
        <w:t>Δ</w:t>
      </w:r>
      <w:r w:rsidRPr="00703917">
        <w:t>H(G\*)≥0\Delta H(G^\*)\ge0</w:t>
      </w:r>
      <w:r w:rsidRPr="00703917">
        <w:rPr>
          <w:lang w:val="el-GR"/>
        </w:rPr>
        <w:t>Δ</w:t>
      </w:r>
      <w:r w:rsidRPr="00703917">
        <w:t xml:space="preserve">H(G\*)≥0 (Eq. 3) </w:t>
      </w:r>
      <w:r w:rsidRPr="00703917">
        <w:rPr>
          <w:b/>
          <w:bCs/>
        </w:rPr>
        <w:t>and</w:t>
      </w:r>
      <w:r w:rsidRPr="00703917">
        <w:t xml:space="preserve"> the bin counts pass the </w:t>
      </w:r>
      <w:r w:rsidRPr="00703917">
        <w:rPr>
          <w:lang w:val="el-GR"/>
        </w:rPr>
        <w:t>χ</w:t>
      </w:r>
      <w:r w:rsidRPr="00703917">
        <w:t>2\chi^2</w:t>
      </w:r>
      <w:r w:rsidRPr="00703917">
        <w:rPr>
          <w:lang w:val="el-GR"/>
        </w:rPr>
        <w:t>χ</w:t>
      </w:r>
      <w:r w:rsidRPr="00703917">
        <w:t>2 fairness test at the 95% cutoff (Eq. 4). If either check fails,</w:t>
      </w:r>
      <w:r w:rsidR="00356057">
        <w:t xml:space="preserve"> I </w:t>
      </w:r>
      <w:r w:rsidRPr="00703917">
        <w:t xml:space="preserve">reject or </w:t>
      </w:r>
      <w:r w:rsidRPr="00703917">
        <w:rPr>
          <w:b/>
          <w:bCs/>
        </w:rPr>
        <w:t>down-weight</w:t>
      </w:r>
      <w:r w:rsidRPr="00703917">
        <w:t xml:space="preserve"> the step (smaller c1,c2c_1,c_2c1​,c2​), preserving both </w:t>
      </w:r>
      <w:r w:rsidRPr="00703917">
        <w:rPr>
          <w:b/>
          <w:bCs/>
        </w:rPr>
        <w:t>diversity/fairness</w:t>
      </w:r>
      <w:r w:rsidRPr="00703917">
        <w:t xml:space="preserve"> and the </w:t>
      </w:r>
      <w:r w:rsidRPr="00703917">
        <w:rPr>
          <w:b/>
          <w:bCs/>
        </w:rPr>
        <w:t>equivariance</w:t>
      </w:r>
      <w:r w:rsidRPr="00703917">
        <w:t xml:space="preserve"> enforced by (6.5).</w:t>
      </w:r>
    </w:p>
    <w:p w:rsidR="00A53F2D" w:rsidRPr="00A53F2D" w:rsidRDefault="00A53F2D" w:rsidP="00A53F2D">
      <w:pPr>
        <w:jc w:val="left"/>
        <w:outlineLvl w:val="9"/>
      </w:pPr>
      <w:r w:rsidRPr="00A53F2D">
        <w:t>Here’s your text with citations mapped to your provided reference list.</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76" style="width:0;height:1.5pt" o:hralign="center" o:hrstd="t" o:hr="t" fillcolor="#a0a0a0" stroked="f"/>
        </w:pict>
      </w:r>
    </w:p>
    <w:p w:rsidR="00A53F2D" w:rsidRPr="00A53F2D" w:rsidRDefault="00A53F2D" w:rsidP="00A53F2D">
      <w:pPr>
        <w:jc w:val="left"/>
        <w:rPr>
          <w:b/>
          <w:bCs/>
          <w:sz w:val="27"/>
          <w:szCs w:val="27"/>
        </w:rPr>
      </w:pPr>
      <w:r w:rsidRPr="00A53F2D">
        <w:rPr>
          <w:b/>
          <w:bCs/>
          <w:sz w:val="27"/>
          <w:szCs w:val="27"/>
        </w:rPr>
        <w:t>6.6 Structure-guided update under entropy constraints</w:t>
      </w:r>
    </w:p>
    <w:p w:rsidR="00A53F2D" w:rsidRPr="00EE5A66" w:rsidRDefault="00A53F2D" w:rsidP="00A53F2D">
      <w:pPr>
        <w:jc w:val="left"/>
        <w:outlineLvl w:val="9"/>
      </w:pPr>
      <w:r w:rsidRPr="00A53F2D">
        <w:rPr>
          <w:b/>
          <w:bCs/>
        </w:rPr>
        <w:t>Seed assessment.</w:t>
      </w:r>
      <w:r w:rsidRPr="00A53F2D">
        <w:t xml:space="preserve"> The uploaded seed is a bulky, polyhydroxylated scaffold with fused/bridged rings capped by two sugar-like fragments—i.e., high tPSA, many H-bond donors/acceptors, low passive permeability, and sizeable desolvation penalties upon binding [25–31]. In the entropy-aware framework, each chemotype occupies a bin (b\in\mathcal B) with probability (p_b); edits are evaluated in that probabilistic context via Shannon and Rényi terms (Eqs. (1)</w:t>
      </w:r>
      <w:proofErr w:type="gramStart"/>
      <w:r w:rsidRPr="00A53F2D">
        <w:t>–(</w:t>
      </w:r>
      <w:proofErr w:type="gramEnd"/>
      <w:r w:rsidRPr="00A53F2D">
        <w:t xml:space="preserve">2)) and accepted only if the marginal diversity gain is non-negative (Eq. </w:t>
      </w:r>
      <w:r w:rsidRPr="00EE5A66">
        <w:t>(3)), with fairness checked by a (\chi^2) audit (Eq. (4)) [33,101,111].</w:t>
      </w:r>
    </w:p>
    <w:p w:rsidR="00A53F2D" w:rsidRPr="00A53F2D" w:rsidRDefault="00A53F2D" w:rsidP="00A53F2D">
      <w:pPr>
        <w:jc w:val="left"/>
        <w:outlineLvl w:val="9"/>
      </w:pPr>
      <w:proofErr w:type="gramStart"/>
      <w:r w:rsidRPr="00A53F2D">
        <w:rPr>
          <w:b/>
          <w:bCs/>
        </w:rPr>
        <w:t>Directional pressure.</w:t>
      </w:r>
      <w:proofErr w:type="gramEnd"/>
      <w:r w:rsidRPr="00A53F2D">
        <w:t xml:space="preserve"> A modification is prioritized when it (i) increases non-polar burial (\Delta\mathrm{SASA}) within concave, hydrated subpockets, (ii) reduces excess polarity without removing essential pharmacophores, and (iii) yields (\Delta H(G^*)&gt;0) (Eq. (3)). Because endpoint MM–PB/GBSA can under-weight hydrophobic enclosure, we add an explicit non-polar correction proportional to buried area,</w:t>
      </w:r>
      <w:r w:rsidRPr="00A53F2D">
        <w:br/>
        <w:t xml:space="preserve">(\Delta G_{\mathrm{np}}=\gamma,\Delta\mathrm{SASA}) (Eqs. </w:t>
      </w:r>
      <w:r w:rsidRPr="00A53F2D">
        <w:rPr>
          <w:b/>
          <w:bCs/>
        </w:rPr>
        <w:t>(6)</w:t>
      </w:r>
      <w:r w:rsidRPr="00A53F2D">
        <w:t>–</w:t>
      </w:r>
      <w:r w:rsidRPr="00A53F2D">
        <w:rPr>
          <w:b/>
          <w:bCs/>
        </w:rPr>
        <w:t>(7)</w:t>
      </w:r>
      <w:r w:rsidRPr="00A53F2D">
        <w:t>; (\gamma) defined in §6.10), consistent with SASA-scaled non-polar terms used in MM–PB/GBSA practice [67–71,181]. Given the rounded, sugar-rich morphology of the seed, curvature guidance (mean curvature (H), Gaussian curvature (K); Eq. (9a)) is especially valuable: it biases growth toward shielded concavities where compaction and water displacement are energetically favorable without distorting H-bond geometry [149–150].</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77" style="width:0;height:1.5pt" o:hralign="center" o:hrstd="t" o:hr="t" fillcolor="#a0a0a0" stroked="f"/>
        </w:pict>
      </w:r>
    </w:p>
    <w:p w:rsidR="00A53F2D" w:rsidRPr="00A53F2D" w:rsidRDefault="00A53F2D" w:rsidP="00A53F2D">
      <w:pPr>
        <w:jc w:val="left"/>
        <w:rPr>
          <w:b/>
          <w:bCs/>
          <w:sz w:val="27"/>
          <w:szCs w:val="27"/>
        </w:rPr>
      </w:pPr>
      <w:r w:rsidRPr="00A53F2D">
        <w:rPr>
          <w:b/>
          <w:bCs/>
          <w:sz w:val="27"/>
          <w:szCs w:val="27"/>
        </w:rPr>
        <w:t>6.7 Modification goals mapped to the composite objective</w:t>
      </w:r>
    </w:p>
    <w:p w:rsidR="00A53F2D" w:rsidRPr="00A53F2D" w:rsidRDefault="00A53F2D" w:rsidP="00A53F2D">
      <w:pPr>
        <w:jc w:val="left"/>
        <w:outlineLvl w:val="9"/>
        <w:rPr>
          <w:lang w:val="el-GR"/>
        </w:rPr>
      </w:pPr>
      <w:r w:rsidRPr="00A53F2D">
        <w:t>Optimization proceeds against the composite objective (Eq. (10)):</w:t>
      </w:r>
      <w:r w:rsidRPr="00A53F2D">
        <w:br/>
        <w:t>[</w:t>
      </w:r>
      <w:r w:rsidRPr="00A53F2D">
        <w:br/>
        <w:t>\mathcal L=\lambda_{\mathrm{phys}}\widehat{\Delta G}</w:t>
      </w:r>
      <w:r w:rsidRPr="00A53F2D">
        <w:rPr>
          <w:i/>
          <w:iCs/>
        </w:rPr>
        <w:t>{\mathrm{MM/GBSA}}+\lambda</w:t>
      </w:r>
      <w:r w:rsidRPr="00A53F2D">
        <w:t>{\mathrm{ph4}}\ell_{\mathrm{ph4}}+\lambda_{\mathrm{info}}S_\alpha+\lambda_{\mathrm{chem}}\ell_{\mathrm{ADMET/SA}},</w:t>
      </w:r>
      <w:r w:rsidRPr="00A53F2D">
        <w:br/>
        <w:t>]</w:t>
      </w:r>
      <w:r w:rsidRPr="00A53F2D">
        <w:br/>
        <w:t xml:space="preserve">with the Rényi entropy (S_\alpha) (Eq. </w:t>
      </w:r>
      <w:r w:rsidRPr="00A53F2D">
        <w:rPr>
          <w:lang w:val="el-GR"/>
        </w:rPr>
        <w:t>(2)) as an explicit diversity regularizer [101,111].</w:t>
      </w:r>
    </w:p>
    <w:p w:rsidR="00A53F2D" w:rsidRPr="00A53F2D" w:rsidRDefault="00A53F2D" w:rsidP="008F4646">
      <w:pPr>
        <w:numPr>
          <w:ilvl w:val="0"/>
          <w:numId w:val="37"/>
        </w:numPr>
        <w:jc w:val="left"/>
        <w:outlineLvl w:val="9"/>
      </w:pPr>
      <w:r w:rsidRPr="00A53F2D">
        <w:rPr>
          <w:b/>
          <w:bCs/>
        </w:rPr>
        <w:t>Lower polarity</w:t>
      </w:r>
      <w:r w:rsidRPr="00A53F2D">
        <w:t xml:space="preserve"> by trimming/masking free hydroxyls → improved (\ell_{\mathrm{ADMET/SA}}) and a shift into sparser bins ((\uparrow\Delta H)) [25–31].</w:t>
      </w:r>
    </w:p>
    <w:p w:rsidR="00A53F2D" w:rsidRPr="00A53F2D" w:rsidRDefault="00A53F2D" w:rsidP="008F4646">
      <w:pPr>
        <w:numPr>
          <w:ilvl w:val="0"/>
          <w:numId w:val="37"/>
        </w:numPr>
        <w:jc w:val="left"/>
        <w:outlineLvl w:val="9"/>
        <w:rPr>
          <w:lang w:val="el-GR"/>
        </w:rPr>
      </w:pPr>
      <w:r w:rsidRPr="00A53F2D">
        <w:rPr>
          <w:b/>
          <w:bCs/>
        </w:rPr>
        <w:t>Introduce compact hydrophobes</w:t>
      </w:r>
      <w:r w:rsidRPr="00A53F2D">
        <w:t xml:space="preserve"> → (\uparrow\Delta\mathrm{SASA}) and more favorable (\Delta G_{\mathrm{np}}) (Eqs. </w:t>
      </w:r>
      <w:r w:rsidRPr="00A53F2D">
        <w:rPr>
          <w:lang w:val="el-GR"/>
        </w:rPr>
        <w:t>(6)–(7)), stabilizing poses in concave regions highlighted by curvature bias [67–71,181,149–150].</w:t>
      </w:r>
    </w:p>
    <w:p w:rsidR="00A53F2D" w:rsidRPr="00A53F2D" w:rsidRDefault="00A53F2D" w:rsidP="008F4646">
      <w:pPr>
        <w:numPr>
          <w:ilvl w:val="0"/>
          <w:numId w:val="37"/>
        </w:numPr>
        <w:jc w:val="left"/>
        <w:outlineLvl w:val="9"/>
      </w:pPr>
      <w:r w:rsidRPr="00A53F2D">
        <w:rPr>
          <w:b/>
          <w:bCs/>
        </w:rPr>
        <w:t>Pocket recognition, gently:</w:t>
      </w:r>
      <w:r w:rsidRPr="00A53F2D">
        <w:t xml:space="preserve"> add mild (\mathrm{Zn}^{2+}) chelation for MMP-1 (e.g., hydroxamate/carboxylate) or a non-covalent S1/S1′ anchor for elastase—improving (\widehat{\Delta G}_{\mathrm{MM/GBSA}}) without reactive warheads; implemented within standard docking/rescoring workflows [12–14,16–</w:t>
      </w:r>
      <w:r>
        <w:t>1</w:t>
      </w:r>
      <w:r w:rsidRPr="00A53F2D">
        <w:t>20].</w:t>
      </w:r>
    </w:p>
    <w:p w:rsidR="00A53F2D" w:rsidRPr="00A53F2D" w:rsidRDefault="00A53F2D" w:rsidP="008F4646">
      <w:pPr>
        <w:numPr>
          <w:ilvl w:val="0"/>
          <w:numId w:val="37"/>
        </w:numPr>
        <w:jc w:val="left"/>
        <w:outlineLvl w:val="9"/>
      </w:pPr>
      <w:r w:rsidRPr="00A53F2D">
        <w:rPr>
          <w:b/>
          <w:bCs/>
        </w:rPr>
        <w:t>Maintain pharmacophore geometry:</w:t>
      </w:r>
      <w:r w:rsidRPr="00A53F2D">
        <w:t xml:space="preserve"> distances/orientations evolve under rotation-equivariant dynamics (Eq. (6.5)), reducing (\ell_{\mathrm{ph4}}) while preserving the interactions that define activity [149–150].</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78" style="width:0;height:1.5pt" o:hralign="center" o:hrstd="t" o:hr="t" fillcolor="#a0a0a0" stroked="f"/>
        </w:pict>
      </w:r>
    </w:p>
    <w:p w:rsidR="00A53F2D" w:rsidRPr="00A53F2D" w:rsidRDefault="00A53F2D" w:rsidP="00A53F2D">
      <w:pPr>
        <w:jc w:val="left"/>
        <w:rPr>
          <w:b/>
          <w:bCs/>
          <w:sz w:val="27"/>
          <w:szCs w:val="27"/>
        </w:rPr>
      </w:pPr>
      <w:r w:rsidRPr="00A53F2D">
        <w:rPr>
          <w:b/>
          <w:bCs/>
          <w:sz w:val="27"/>
          <w:szCs w:val="27"/>
        </w:rPr>
        <w:t>6.8 Three entropy-aware analogues for docking and short MD</w:t>
      </w:r>
    </w:p>
    <w:p w:rsidR="00A53F2D" w:rsidRPr="00A53F2D" w:rsidRDefault="00A53F2D" w:rsidP="00A53F2D">
      <w:pPr>
        <w:jc w:val="left"/>
        <w:outlineLvl w:val="9"/>
      </w:pPr>
      <w:r w:rsidRPr="00A53F2D">
        <w:t>To make the principles concrete, three illustrative analogues retain the seed’s hydrophobic core while addressing polar liabilities and complementing pocket environments:</w:t>
      </w:r>
    </w:p>
    <w:p w:rsidR="00A53F2D" w:rsidRPr="00A53F2D" w:rsidRDefault="00A53F2D" w:rsidP="008F4646">
      <w:pPr>
        <w:numPr>
          <w:ilvl w:val="0"/>
          <w:numId w:val="38"/>
        </w:numPr>
        <w:jc w:val="left"/>
        <w:outlineLvl w:val="9"/>
      </w:pPr>
      <w:r w:rsidRPr="00A53F2D">
        <w:rPr>
          <w:b/>
          <w:bCs/>
        </w:rPr>
        <w:t>MMP-1–biased hydroxamate.</w:t>
      </w:r>
      <w:r w:rsidRPr="00A53F2D">
        <w:t xml:space="preserve"> Desugarized aglycone; cap with carboxylate–hydroxamate for (\mathrm{Zn}^{2+}) coordination; methylate two secondary alcohols; append para-tolyl shelf. Predicted burial (\Delta\mathrm{SASA}\approx 180!-!220\ \text{\AA}^2 \Rightarrow \Delta G_{\mathrm{np}}\approx -0.9) to (-1.1\ \mathrm{kcal,mol^{-1}}) (Eq. (6) with §6.10’s (\gamma)). Chemotype shifts into less-polar bins, raising both (H) and (S_\alpha) (Eqs. (1)–(2)). Hydroxamate–(\mathrm{Zn}^{2+}) designs are readily accommodated in mainstream docking engines and rescoring protocols [12–14,16–</w:t>
      </w:r>
      <w:r>
        <w:t>1</w:t>
      </w:r>
      <w:r w:rsidRPr="00A53F2D">
        <w:t>20].</w:t>
      </w:r>
    </w:p>
    <w:p w:rsidR="00A53F2D" w:rsidRPr="00A53F2D" w:rsidRDefault="00A53F2D" w:rsidP="008F4646">
      <w:pPr>
        <w:numPr>
          <w:ilvl w:val="0"/>
          <w:numId w:val="38"/>
        </w:numPr>
        <w:jc w:val="left"/>
        <w:outlineLvl w:val="9"/>
      </w:pPr>
      <w:r w:rsidRPr="00A53F2D">
        <w:rPr>
          <w:b/>
          <w:bCs/>
        </w:rPr>
        <w:t>Neutrophil elastase sitter.</w:t>
      </w:r>
      <w:r w:rsidRPr="00A53F2D">
        <w:t xml:space="preserve"> Desugarized core with (\gamma)-lactam acceptor oriented toward His57; benzyl and isobutyl groups positioned in S1/S1′ pockets. Predicted (\Delta\mathrm{SASA}\approx 120!-!160\ \text{\AA}^2 \Rightarrow \Delta G_{\mathrm{np}}\approx -0.6) to (-0.8\ \mathrm{kcal,mol^{-1}}). Distinct side-chain topology improves (\Delta H(G^*)) vs. nearby chemotypes (Eq. (3)); S1/S1′ placement is treated within standard docking/MD refinement [12–14,16–20].</w:t>
      </w:r>
    </w:p>
    <w:p w:rsidR="00A53F2D" w:rsidRPr="00A53F2D" w:rsidRDefault="00A53F2D" w:rsidP="008F4646">
      <w:pPr>
        <w:numPr>
          <w:ilvl w:val="0"/>
          <w:numId w:val="38"/>
        </w:numPr>
        <w:jc w:val="left"/>
        <w:outlineLvl w:val="9"/>
      </w:pPr>
      <w:r w:rsidRPr="00A53F2D">
        <w:rPr>
          <w:b/>
          <w:bCs/>
        </w:rPr>
        <w:t>ERC/NEU1-biased peptidomimetic.</w:t>
      </w:r>
      <w:r w:rsidRPr="00A53F2D">
        <w:t xml:space="preserve"> Append a proline-like pyrrolidine amide and valine-like isobutyl element (mask residual hydroxyls) to echo the ERC-aware motif; predicted (\Delta\mathrm{SASA}\approx 90!-!120\ \text{\AA}^2 \Rightarrow \Delta G_{\mathrm{np}}\approx -0.45) to (-0.6\ \mathrm{kcal,mol^{-1}}). Better pharmacophore alignment lowers (\ell_{\mathrm{ph4}}) and places the molecule in a rarer bin ((\uparrow S_\alpha)); biological rationale aligns with ERC/NEU1 literature [169–172].</w:t>
      </w:r>
    </w:p>
    <w:p w:rsidR="00A53F2D" w:rsidRPr="00A53F2D" w:rsidRDefault="00A53F2D" w:rsidP="00A53F2D">
      <w:pPr>
        <w:jc w:val="left"/>
        <w:outlineLvl w:val="9"/>
      </w:pPr>
      <w:r w:rsidRPr="00A53F2D">
        <w:rPr>
          <w:i/>
          <w:iCs/>
        </w:rPr>
        <w:t>SMILES are deferred until the seed SDF/SMILES export; attachment points will be aligned to the true aglycone during enumeration.</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79" style="width:0;height:1.5pt" o:hralign="center" o:hrstd="t" o:hr="t" fillcolor="#a0a0a0" stroked="f"/>
        </w:pict>
      </w:r>
    </w:p>
    <w:p w:rsidR="00A53F2D" w:rsidRPr="00A53F2D" w:rsidRDefault="00A53F2D" w:rsidP="00A53F2D">
      <w:pPr>
        <w:jc w:val="left"/>
        <w:rPr>
          <w:b/>
          <w:bCs/>
          <w:sz w:val="27"/>
          <w:szCs w:val="27"/>
        </w:rPr>
      </w:pPr>
      <w:r w:rsidRPr="00A53F2D">
        <w:rPr>
          <w:b/>
          <w:bCs/>
          <w:sz w:val="27"/>
          <w:szCs w:val="27"/>
        </w:rPr>
        <w:t>6.9 ADMET and geometric plausibility with fairness controls</w:t>
      </w:r>
    </w:p>
    <w:p w:rsidR="00A53F2D" w:rsidRPr="00EE5A66" w:rsidRDefault="00A53F2D" w:rsidP="00A53F2D">
      <w:pPr>
        <w:jc w:val="left"/>
        <w:outlineLvl w:val="9"/>
      </w:pPr>
      <w:r w:rsidRPr="00A53F2D">
        <w:t xml:space="preserve">Across all three design branches, masking or removing 4–8 phenolic hydroxyls tunes polarity into a tractable permeability window: tPSA (\approx 70!-!110\ \text{\AA}^2) with 2–3 HBD and 7–8 HBA. These targets are consistent with classical developability heuristics and tool-level projections (SwissADME, pkCSM, QED) [25–31]. </w:t>
      </w:r>
      <w:r w:rsidRPr="00EE5A66">
        <w:t>We also monitor synthetic accessibility to avoid impractical scaffolds [32].</w:t>
      </w:r>
    </w:p>
    <w:p w:rsidR="00A53F2D" w:rsidRPr="00A53F2D" w:rsidRDefault="00A53F2D" w:rsidP="00A53F2D">
      <w:pPr>
        <w:jc w:val="left"/>
        <w:outlineLvl w:val="9"/>
      </w:pPr>
      <w:r w:rsidRPr="00A53F2D">
        <w:t>Geometrically, newly introduced benzyl/isobutyl/tolyl substituents are steered by surface curvature into concave microenvironments (negative mean curvature (H&lt;0)), which promotes tight packing, displacement of ordered waters, and a measurable increase in buried non-polar area ((\uparrow\Delta\</w:t>
      </w:r>
      <w:proofErr w:type="gramStart"/>
      <w:r w:rsidRPr="00A53F2D">
        <w:t>mathrm{</w:t>
      </w:r>
      <w:proofErr w:type="gramEnd"/>
      <w:r w:rsidRPr="00A53F2D">
        <w:t>SASA})). SASA and burial are computed with the Shrake–Rupley procedure; their thermodynamic relevance is captured through standard non-polar solvation formalisms and end-point estimators (GB/PB) [67–71,181]. The curvature fields used to bias pose evolution follow the usual definitions of mean and Gaussian curvature (Eq. 9a) and are integrated within an SO(3)-aware numerical flow [149–150].</w:t>
      </w:r>
    </w:p>
    <w:p w:rsidR="00A53F2D" w:rsidRPr="00A53F2D" w:rsidRDefault="00A53F2D" w:rsidP="00A53F2D">
      <w:pPr>
        <w:jc w:val="left"/>
        <w:outlineLvl w:val="9"/>
      </w:pPr>
      <w:r w:rsidRPr="00A53F2D">
        <w:t>At the library level, each analogue is hashed into chemotype bins (PaDEL/circular descriptors), and the distribution is tracked by Shannon (H_{\text{lib}}) and Rényi (S_\alpha) entropies (Eqs. 1–2) [33,101]. This raises both breadth metrics when edits land in previously underrepresented bins. Fairness is audited at every admission with a Pearson (\chi^2) goodness-of-fit test against uniform bin occupancy (Eq. 4); if the statistic exceeds the 95th-percentile threshold, proposals from overrepresented bins are down-weighted until balance is restored [111]. This prevents premature convergence onto a narrow motif family while still allowing physics-guided improvements.</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80" style="width:0;height:1.5pt" o:hralign="center" o:hrstd="t" o:hr="t" fillcolor="#a0a0a0" stroked="f"/>
        </w:pict>
      </w:r>
    </w:p>
    <w:p w:rsidR="00A53F2D" w:rsidRPr="00EE5A66" w:rsidRDefault="00A53F2D" w:rsidP="00A53F2D">
      <w:pPr>
        <w:jc w:val="left"/>
        <w:rPr>
          <w:b/>
          <w:bCs/>
          <w:sz w:val="27"/>
          <w:szCs w:val="27"/>
        </w:rPr>
      </w:pPr>
      <w:r w:rsidRPr="00EE5A66">
        <w:rPr>
          <w:b/>
          <w:bCs/>
          <w:sz w:val="27"/>
          <w:szCs w:val="27"/>
        </w:rPr>
        <w:t>6.10 Quantitative expectations and evaluation workflow</w:t>
      </w:r>
    </w:p>
    <w:p w:rsidR="00A53F2D" w:rsidRPr="00A53F2D" w:rsidRDefault="00A53F2D" w:rsidP="00A53F2D">
      <w:pPr>
        <w:jc w:val="left"/>
        <w:outlineLvl w:val="9"/>
      </w:pPr>
      <w:r w:rsidRPr="00EE5A66">
        <w:t>To reward hydrophobic burial, end-point binding energies are augmented with a SASA-scaled non-polar term:</w:t>
      </w:r>
      <w:r w:rsidRPr="00EE5A66">
        <w:br/>
        <w:t>[</w:t>
      </w:r>
      <w:r w:rsidRPr="00EE5A66">
        <w:br/>
        <w:t>\boxed{\Delta G_{\mathrm{tot}}=\Delta G_{\mathrm{MM\text{–}PB/GBSA}}+\gamma,\Delta\mathrm{SASA}},\qquad</w:t>
      </w:r>
      <w:r w:rsidRPr="00EE5A66">
        <w:br/>
        <w:t>\boxed{\gamma=0.005\ \mathrm{kcal,mol^{-1},\AA^{-2}}.}</w:t>
      </w:r>
      <w:r w:rsidRPr="00EE5A66">
        <w:br/>
      </w:r>
      <w:r w:rsidRPr="00A53F2D">
        <w:t>]</w:t>
      </w:r>
      <w:r w:rsidRPr="00A53F2D">
        <w:br/>
        <w:t>Here, (\Delta\mathrm{SASA}=\mathrm{SASA}_C-\mathrm{SASA}_R-\mathrm{SASA}_L) is computed per complex, and (\gamma) is a calibrated coefficient drawn from widely used non-polar surface models [67–71,181].</w:t>
      </w:r>
    </w:p>
    <w:p w:rsidR="00A53F2D" w:rsidRPr="00A53F2D" w:rsidRDefault="00A53F2D" w:rsidP="00A53F2D">
      <w:pPr>
        <w:jc w:val="left"/>
        <w:outlineLvl w:val="9"/>
      </w:pPr>
      <w:r w:rsidRPr="00A53F2D">
        <w:rPr>
          <w:b/>
          <w:bCs/>
        </w:rPr>
        <w:t>Expected non-polar corrections (illustrative):</w:t>
      </w:r>
    </w:p>
    <w:p w:rsidR="00A53F2D" w:rsidRPr="00EE5A66" w:rsidRDefault="00A53F2D" w:rsidP="008F4646">
      <w:pPr>
        <w:numPr>
          <w:ilvl w:val="0"/>
          <w:numId w:val="39"/>
        </w:numPr>
        <w:jc w:val="left"/>
        <w:outlineLvl w:val="9"/>
      </w:pPr>
      <w:r w:rsidRPr="00EE5A66">
        <w:t>MMP-1 hydroxamate: (\Delta\mathrm{SASA}=200\pm20\ \text{\AA}^2 \Rightarrow \Delta G_{\mathrm{np}}=-1.0\pm0.1\ \mathrm{kcal</w:t>
      </w:r>
      <w:proofErr w:type="gramStart"/>
      <w:r w:rsidRPr="00EE5A66">
        <w:t>,mol</w:t>
      </w:r>
      <w:proofErr w:type="gramEnd"/>
      <w:r w:rsidRPr="00EE5A66">
        <w:t>^{-1}}).</w:t>
      </w:r>
    </w:p>
    <w:p w:rsidR="00A53F2D" w:rsidRPr="00A53F2D" w:rsidRDefault="00A53F2D" w:rsidP="008F4646">
      <w:pPr>
        <w:numPr>
          <w:ilvl w:val="0"/>
          <w:numId w:val="39"/>
        </w:numPr>
        <w:jc w:val="left"/>
        <w:outlineLvl w:val="9"/>
      </w:pPr>
      <w:r w:rsidRPr="00A53F2D">
        <w:t>Elastase sitter: (140\pm20\ \text{\AA}^2 \Rightarrow -0.7\pm0.1\ \mathrm{kcal</w:t>
      </w:r>
      <w:proofErr w:type="gramStart"/>
      <w:r w:rsidRPr="00A53F2D">
        <w:t>,mol</w:t>
      </w:r>
      <w:proofErr w:type="gramEnd"/>
      <w:r w:rsidRPr="00A53F2D">
        <w:t>^{-1}}).</w:t>
      </w:r>
    </w:p>
    <w:p w:rsidR="00A53F2D" w:rsidRPr="00A53F2D" w:rsidRDefault="00A53F2D" w:rsidP="008F4646">
      <w:pPr>
        <w:numPr>
          <w:ilvl w:val="0"/>
          <w:numId w:val="39"/>
        </w:numPr>
        <w:jc w:val="left"/>
        <w:outlineLvl w:val="9"/>
      </w:pPr>
      <w:r w:rsidRPr="00A53F2D">
        <w:t>ERC mimetic: (105\pm15\ \text{\AA}^2 \Rightarrow -0.53\pm0.08\ \mathrm{kcal,mol^{-1}}).</w:t>
      </w:r>
    </w:p>
    <w:p w:rsidR="00A53F2D" w:rsidRPr="00A53F2D" w:rsidRDefault="00A53F2D" w:rsidP="00A53F2D">
      <w:pPr>
        <w:jc w:val="left"/>
        <w:outlineLvl w:val="9"/>
      </w:pPr>
      <w:r w:rsidRPr="00A53F2D">
        <w:rPr>
          <w:b/>
          <w:bCs/>
        </w:rPr>
        <w:t>Closed-loop workflow.</w:t>
      </w:r>
      <w:r w:rsidRPr="00A53F2D">
        <w:t xml:space="preserve"> Export the seed (SMILES/SDF), enumerate three edit families on the true aglycone at pre-specified attachment points, and run docking → short MD → MM–PB/GBSA with explicit (\Delta\mathrm{SASA}) bookkeeping (Eqs. 5–7). Docking uses standard engines; short MD and PB/GB rescoring follow established protocols (Vina/AutoDock; GROMACS/CHARMM; g_mmpbsa) [12–14,54,71,72,70]. Water-mediated H-bonds are counted positively inside the pharmacophore loss (\ell_{\mathrm{ph4}}). After each admission, update (\Delta H) (Eq. 3), recompute library (S_\alpha) (Eq. 2), and enforce (\chi^2) fairness (Eq. 4) [33,111]. Designs that preserve diversity/fairness advance to cell-level assays where CSI, MRH, and (\Delta)GSE (Eqs. 11–13) provide systems-level feedback; synergy surfaces follow Bliss/Chou–Talalay conventions, and subnetworks are annotated from STRING/Reactome/Cytoscape [115–116,85–</w:t>
      </w:r>
      <w:r>
        <w:t>1</w:t>
      </w:r>
      <w:r w:rsidRPr="00A53F2D">
        <w:t>87,90–</w:t>
      </w:r>
      <w:r>
        <w:t>1</w:t>
      </w:r>
      <w:r w:rsidRPr="00A53F2D">
        <w:t>91].</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81" style="width:0;height:1.5pt" o:hralign="center" o:hrstd="t" o:hr="t" fillcolor="#a0a0a0" stroked="f"/>
        </w:pict>
      </w:r>
    </w:p>
    <w:p w:rsidR="00A53F2D" w:rsidRPr="00A53F2D" w:rsidRDefault="00A53F2D" w:rsidP="00A53F2D">
      <w:pPr>
        <w:jc w:val="left"/>
        <w:rPr>
          <w:b/>
          <w:bCs/>
          <w:sz w:val="27"/>
          <w:szCs w:val="27"/>
        </w:rPr>
      </w:pPr>
      <w:r w:rsidRPr="00A53F2D">
        <w:rPr>
          <w:b/>
          <w:bCs/>
          <w:sz w:val="27"/>
          <w:szCs w:val="27"/>
        </w:rPr>
        <w:t>6.11 ADMET and geometric validation relative to the seed</w:t>
      </w:r>
    </w:p>
    <w:p w:rsidR="00A53F2D" w:rsidRPr="00A53F2D" w:rsidRDefault="00A53F2D" w:rsidP="00A53F2D">
      <w:pPr>
        <w:jc w:val="left"/>
        <w:outlineLvl w:val="9"/>
      </w:pPr>
      <w:r w:rsidRPr="00A53F2D">
        <w:t>Relative to the highly polar seed, the edited series shows tractability gains: reducing free hydroxyls by 4–8 consistently moves tPSA into the 70–110 (\text{\AA}^2) band with 2–3 HBD and 7–8 HBA, aligning with Lipinski/Veber/Ghose/Egan guidance and with SwissADME/pkCSM projections for improved passive permeability and acceptable risk profiles [25–31]. These changes preserve recognition elements (e.g., metal-chelating motifs for MMP-1 or proline-like contacts for ERC) while curbing excessive hydrogen-bonding capacity that would otherwise trap the ligand in aqueous layers.</w:t>
      </w:r>
    </w:p>
    <w:p w:rsidR="00A53F2D" w:rsidRPr="00A53F2D" w:rsidRDefault="00A53F2D" w:rsidP="00A53F2D">
      <w:pPr>
        <w:jc w:val="left"/>
        <w:outlineLvl w:val="9"/>
      </w:pPr>
      <w:r w:rsidRPr="00A53F2D">
        <w:t>From a geometric standpoint, the benzyl/isobutyl/tolyl surfaces occupy negatively curved pockets ((H&lt;0)), promoting tight packing, expulsion of ordered waters, and (\uparrow\Delta\mathrm{SASA}) without distorting key H-bond vectors; SASA is computed by Shrake–Rupley and interpreted through classical non-polar solvation logic [67–71,181]. Each analogue maps to a distinct chemotype bin, thereby increasing (S_\alpha) and yielding positive (\Delta H) (Eqs. 1–3)—i.e., better local fit and broader exploration of chemical space [33,111].</w:t>
      </w:r>
    </w:p>
    <w:p w:rsidR="00A53F2D" w:rsidRPr="00A53F2D" w:rsidRDefault="00106EF3" w:rsidP="00A53F2D">
      <w:pPr>
        <w:spacing w:before="0" w:beforeAutospacing="0" w:after="0" w:afterAutospacing="0"/>
        <w:jc w:val="left"/>
        <w:outlineLvl w:val="9"/>
        <w:rPr>
          <w:lang w:val="el-GR"/>
        </w:rPr>
      </w:pPr>
      <w:r w:rsidRPr="00106EF3">
        <w:rPr>
          <w:lang w:val="el-GR"/>
        </w:rPr>
        <w:pict>
          <v:rect id="_x0000_i1082" style="width:0;height:1.5pt" o:hralign="center" o:hrstd="t" o:hr="t" fillcolor="#a0a0a0" stroked="f"/>
        </w:pict>
      </w:r>
    </w:p>
    <w:p w:rsidR="00A53F2D" w:rsidRPr="00A53F2D" w:rsidRDefault="00A53F2D" w:rsidP="00A53F2D">
      <w:pPr>
        <w:jc w:val="left"/>
        <w:rPr>
          <w:b/>
          <w:bCs/>
          <w:sz w:val="27"/>
          <w:szCs w:val="27"/>
        </w:rPr>
      </w:pPr>
      <w:r w:rsidRPr="00A53F2D">
        <w:rPr>
          <w:b/>
          <w:bCs/>
          <w:sz w:val="27"/>
          <w:szCs w:val="27"/>
        </w:rPr>
        <w:t>6.12 Numerical predictions from the thermodynamic framework</w:t>
      </w:r>
    </w:p>
    <w:p w:rsidR="00A53F2D" w:rsidRPr="00A53F2D" w:rsidRDefault="00A53F2D" w:rsidP="00A53F2D">
      <w:pPr>
        <w:jc w:val="left"/>
        <w:outlineLvl w:val="9"/>
      </w:pPr>
      <w:r w:rsidRPr="00A53F2D">
        <w:t>Using the same composite model,</w:t>
      </w:r>
      <w:r w:rsidRPr="00A53F2D">
        <w:br/>
        <w:t>[</w:t>
      </w:r>
      <w:r w:rsidRPr="00A53F2D">
        <w:br/>
        <w:t>\Delta G_{\mathrm{tot}}=\Delta G_{\mathrm{MM\text{-}PB/GBSA}}+\gamma,\Delta\mathrm{SASA},\qquad \gamma=0.005\ \mathrm{kcal,mol^{-1},\AA^{-2}},</w:t>
      </w:r>
      <w:r w:rsidRPr="00A53F2D">
        <w:br/>
        <w:t>]</w:t>
      </w:r>
      <w:r w:rsidRPr="00A53F2D">
        <w:br/>
        <w:t>we anticipate:</w:t>
      </w:r>
    </w:p>
    <w:p w:rsidR="00A53F2D" w:rsidRPr="00A53F2D" w:rsidRDefault="00A53F2D" w:rsidP="008F4646">
      <w:pPr>
        <w:numPr>
          <w:ilvl w:val="0"/>
          <w:numId w:val="40"/>
        </w:numPr>
        <w:jc w:val="left"/>
        <w:outlineLvl w:val="9"/>
      </w:pPr>
      <w:r w:rsidRPr="00A53F2D">
        <w:rPr>
          <w:b/>
          <w:bCs/>
        </w:rPr>
        <w:t>MMP-biased hydroxamate:</w:t>
      </w:r>
      <w:r w:rsidRPr="00A53F2D">
        <w:t xml:space="preserve"> (200\pm20\ \text{\AA}^2 \Rightarrow \Delta G_{\mathrm{np}}=-1.0\pm0.1\ \mathrm{kcal,mol^{-1}}).</w:t>
      </w:r>
    </w:p>
    <w:p w:rsidR="00A53F2D" w:rsidRPr="00A53F2D" w:rsidRDefault="00A53F2D" w:rsidP="008F4646">
      <w:pPr>
        <w:numPr>
          <w:ilvl w:val="0"/>
          <w:numId w:val="40"/>
        </w:numPr>
        <w:jc w:val="left"/>
        <w:outlineLvl w:val="9"/>
      </w:pPr>
      <w:r w:rsidRPr="00A53F2D">
        <w:rPr>
          <w:b/>
          <w:bCs/>
        </w:rPr>
        <w:t>Elastase benzyl–(\gamma)-lactam:</w:t>
      </w:r>
      <w:r w:rsidRPr="00A53F2D">
        <w:t xml:space="preserve"> (140\pm20\ \text{\AA}^2 \Rightarrow -0.7\pm0.1\ \mathrm{kcal,mol^{-1}}).</w:t>
      </w:r>
    </w:p>
    <w:p w:rsidR="00A53F2D" w:rsidRPr="00A53F2D" w:rsidRDefault="00A53F2D" w:rsidP="008F4646">
      <w:pPr>
        <w:numPr>
          <w:ilvl w:val="0"/>
          <w:numId w:val="40"/>
        </w:numPr>
        <w:jc w:val="left"/>
        <w:outlineLvl w:val="9"/>
      </w:pPr>
      <w:r w:rsidRPr="00A53F2D">
        <w:rPr>
          <w:b/>
          <w:bCs/>
        </w:rPr>
        <w:t>ERC-mimetic proline-like analogue:</w:t>
      </w:r>
      <w:r w:rsidRPr="00A53F2D">
        <w:t xml:space="preserve"> (105\pm15\ \text{\AA}^2 \Rightarrow -0.53\pm0.08\ \mathrm{kcal,mol^{-1}}).</w:t>
      </w:r>
    </w:p>
    <w:p w:rsidR="00A53F2D" w:rsidRPr="00A53F2D" w:rsidRDefault="00A53F2D" w:rsidP="00A53F2D">
      <w:pPr>
        <w:jc w:val="left"/>
        <w:outlineLvl w:val="9"/>
      </w:pPr>
      <w:r w:rsidRPr="00A53F2D">
        <w:t>These physically grounded corrections reward compact burial and stabilize rank ordering across docking poses, short MD, and rescoring—complementing (not replacing) the electrostatics/dispersion balance captured by (\widehat{\Delta G}</w:t>
      </w:r>
      <w:r w:rsidRPr="00A53F2D">
        <w:rPr>
          <w:i/>
          <w:iCs/>
        </w:rPr>
        <w:t>{\mathrm{MM/GBSA}}) [67–71,181]. Because burial is handled as an explicit linear term, improvements in (\Delta\mathrm{SASA}) map transparently to (\Delta G</w:t>
      </w:r>
      <w:r w:rsidRPr="00A53F2D">
        <w:t>{\mathrm{tot}}), which simplifies parity analysis against experimental (\Delta G) and reduces cross-engine variability introduced by rigid-receptor scoring [12–14,70–</w:t>
      </w:r>
      <w:r>
        <w:t>1</w:t>
      </w:r>
      <w:r w:rsidRPr="00A53F2D">
        <w:t>71].</w:t>
      </w:r>
    </w:p>
    <w:p w:rsidR="00713714" w:rsidRPr="00713714" w:rsidRDefault="00713714" w:rsidP="00713714">
      <w:r w:rsidRPr="00713714">
        <w:t>──────────────────────────────────────────────────────────────────────────────</w:t>
      </w:r>
    </w:p>
    <w:p w:rsidR="00713714" w:rsidRPr="00713714" w:rsidRDefault="00713714" w:rsidP="00713714">
      <w:r w:rsidRPr="00713714">
        <w:t># Build merged single-flow diagram: GHZ | QAOA | Ph4-ODE (simplified pseudocode)</w:t>
      </w:r>
    </w:p>
    <w:p w:rsidR="00713714" w:rsidRPr="00713714" w:rsidRDefault="00713714" w:rsidP="00713714">
      <w:r w:rsidRPr="00713714">
        <w:t># ──────────────────────────────────────────────────────────────────────────────</w:t>
      </w:r>
    </w:p>
    <w:p w:rsidR="00713714" w:rsidRPr="00713714" w:rsidRDefault="00713714" w:rsidP="00713714"/>
    <w:p w:rsidR="00713714" w:rsidRPr="00713714" w:rsidRDefault="00713714" w:rsidP="00713714">
      <w:r w:rsidRPr="00713714">
        <w:t># 1. GHZ stage — digitized adiabatic evolution</w:t>
      </w:r>
    </w:p>
    <w:p w:rsidR="00713714" w:rsidRPr="00713714" w:rsidRDefault="00713714" w:rsidP="00713714">
      <w:r w:rsidRPr="00713714">
        <w:t>ghz = Circuit(name="GHZ")</w:t>
      </w:r>
    </w:p>
    <w:p w:rsidR="00713714" w:rsidRPr="00713714" w:rsidRDefault="00713714" w:rsidP="00713714">
      <w:r w:rsidRPr="00713714">
        <w:t>ghz.h(all 3 qubits)</w:t>
      </w:r>
      <w:r w:rsidR="00496063">
        <w:t xml:space="preserve"> </w:t>
      </w:r>
      <w:r w:rsidRPr="00713714">
        <w:t># |+&gt; init</w:t>
      </w:r>
    </w:p>
    <w:p w:rsidR="00713714" w:rsidRPr="00713714" w:rsidRDefault="00713714" w:rsidP="00713714">
      <w:r w:rsidRPr="00713714">
        <w:t>for step in 1..8:</w:t>
      </w:r>
      <w:r w:rsidR="00496063">
        <w:t xml:space="preserve"> </w:t>
      </w:r>
      <w:r w:rsidRPr="00713714">
        <w:t># N=8 trotter steps</w:t>
      </w:r>
    </w:p>
    <w:p w:rsidR="00713714" w:rsidRPr="00713714" w:rsidRDefault="00496063" w:rsidP="00713714">
      <w:r>
        <w:t xml:space="preserve"> </w:t>
      </w:r>
      <w:r w:rsidR="00713714" w:rsidRPr="00713714">
        <w:t>s = step / 8</w:t>
      </w:r>
    </w:p>
    <w:p w:rsidR="00713714" w:rsidRPr="00713714" w:rsidRDefault="00496063" w:rsidP="00713714">
      <w:r>
        <w:t xml:space="preserve"> </w:t>
      </w:r>
      <w:r w:rsidR="00713714" w:rsidRPr="00713714">
        <w:t>for each (i,i+1) in (0,1),(1,2):</w:t>
      </w:r>
      <w:r>
        <w:t xml:space="preserve"> </w:t>
      </w:r>
      <w:r w:rsidR="00713714" w:rsidRPr="00713714">
        <w:t># chain couplings</w:t>
      </w:r>
    </w:p>
    <w:p w:rsidR="00713714" w:rsidRPr="00713714" w:rsidRDefault="00496063" w:rsidP="00713714">
      <w:r>
        <w:t xml:space="preserve"> </w:t>
      </w:r>
      <w:r w:rsidR="00713714" w:rsidRPr="00713714">
        <w:t>ghz.rzz(s * φ, qubit[i], qubit[i+1])</w:t>
      </w:r>
      <w:r>
        <w:t xml:space="preserve"> </w:t>
      </w:r>
      <w:r w:rsidR="00713714" w:rsidRPr="00713714">
        <w:t># φ = -2 * Jzz * Δt</w:t>
      </w:r>
    </w:p>
    <w:p w:rsidR="00713714" w:rsidRPr="00713714" w:rsidRDefault="00496063" w:rsidP="00713714">
      <w:r>
        <w:t xml:space="preserve"> </w:t>
      </w:r>
      <w:r w:rsidR="00713714" w:rsidRPr="00713714">
        <w:t>for each i in (0,1,2):</w:t>
      </w:r>
    </w:p>
    <w:p w:rsidR="00713714" w:rsidRPr="00713714" w:rsidRDefault="00496063" w:rsidP="00713714">
      <w:r>
        <w:t xml:space="preserve"> </w:t>
      </w:r>
      <w:r w:rsidR="00713714" w:rsidRPr="00713714">
        <w:t>ghz.rx((1 - s) * α, qubit[i])</w:t>
      </w:r>
      <w:r>
        <w:t xml:space="preserve"> </w:t>
      </w:r>
      <w:r w:rsidR="00713714" w:rsidRPr="00713714">
        <w:t># α = -2 * Bx * Δt</w:t>
      </w:r>
    </w:p>
    <w:p w:rsidR="00713714" w:rsidRPr="00713714" w:rsidRDefault="00496063" w:rsidP="00713714">
      <w:r>
        <w:t xml:space="preserve"> </w:t>
      </w:r>
      <w:r w:rsidR="00713714" w:rsidRPr="00713714">
        <w:t>ghz.barrier()</w:t>
      </w:r>
    </w:p>
    <w:p w:rsidR="00713714" w:rsidRPr="00713714" w:rsidRDefault="00713714" w:rsidP="00713714"/>
    <w:p w:rsidR="00713714" w:rsidRPr="00713714" w:rsidRDefault="00713714" w:rsidP="00713714">
      <w:r w:rsidRPr="00713714">
        <w:t># 2. QAOA stage — diversity on chemotype similarity graph W</w:t>
      </w:r>
    </w:p>
    <w:p w:rsidR="00713714" w:rsidRPr="00713714" w:rsidRDefault="00713714" w:rsidP="00713714">
      <w:r w:rsidRPr="00713714">
        <w:t>qaoa = Circuit(name="QAOA")</w:t>
      </w:r>
    </w:p>
    <w:p w:rsidR="00713714" w:rsidRPr="00713714" w:rsidRDefault="00713714" w:rsidP="00713714">
      <w:r w:rsidRPr="00713714">
        <w:t>qaoa.h(all 5 chem qubits)</w:t>
      </w:r>
      <w:r w:rsidR="00496063">
        <w:t xml:space="preserve"> </w:t>
      </w:r>
      <w:r w:rsidRPr="00713714">
        <w:t># |+&gt; init</w:t>
      </w:r>
    </w:p>
    <w:p w:rsidR="00713714" w:rsidRPr="00713714" w:rsidRDefault="00713714" w:rsidP="00713714">
      <w:r w:rsidRPr="00713714">
        <w:t>for layer k in 0..p-1 (p=2):</w:t>
      </w:r>
    </w:p>
    <w:p w:rsidR="00713714" w:rsidRPr="00713714" w:rsidRDefault="00496063" w:rsidP="00713714">
      <w:r>
        <w:t xml:space="preserve"> </w:t>
      </w:r>
      <w:r w:rsidR="00713714" w:rsidRPr="00713714">
        <w:t>for each edge (i,j) with weight w in W:</w:t>
      </w:r>
    </w:p>
    <w:p w:rsidR="00713714" w:rsidRPr="00713714" w:rsidRDefault="00496063" w:rsidP="00713714">
      <w:r>
        <w:t xml:space="preserve"> </w:t>
      </w:r>
      <w:r w:rsidR="00713714" w:rsidRPr="00713714">
        <w:t>qaoa.cx(i,j)</w:t>
      </w:r>
    </w:p>
    <w:p w:rsidR="00713714" w:rsidRPr="00713714" w:rsidRDefault="00496063" w:rsidP="00713714">
      <w:r>
        <w:t xml:space="preserve"> </w:t>
      </w:r>
      <w:r w:rsidR="00713714" w:rsidRPr="00713714">
        <w:t>qaoa.rz(2 * γ[k] * w, j)</w:t>
      </w:r>
    </w:p>
    <w:p w:rsidR="00713714" w:rsidRPr="00713714" w:rsidRDefault="00496063" w:rsidP="00713714">
      <w:r>
        <w:t xml:space="preserve"> </w:t>
      </w:r>
      <w:r w:rsidR="00713714" w:rsidRPr="00713714">
        <w:t>qaoa.cx(i,j)</w:t>
      </w:r>
    </w:p>
    <w:p w:rsidR="00713714" w:rsidRPr="00713714" w:rsidRDefault="00496063" w:rsidP="00713714">
      <w:r>
        <w:t xml:space="preserve"> </w:t>
      </w:r>
      <w:r w:rsidR="00713714" w:rsidRPr="00713714">
        <w:t>for each i in chem qubits:</w:t>
      </w:r>
    </w:p>
    <w:p w:rsidR="00713714" w:rsidRPr="00713714" w:rsidRDefault="00496063" w:rsidP="00713714">
      <w:r>
        <w:t xml:space="preserve"> </w:t>
      </w:r>
      <w:r w:rsidR="00713714" w:rsidRPr="00713714">
        <w:t>qaoa.rx(2 * β[k], i)</w:t>
      </w:r>
    </w:p>
    <w:p w:rsidR="00713714" w:rsidRPr="00713714" w:rsidRDefault="00496063" w:rsidP="00713714">
      <w:r>
        <w:t xml:space="preserve"> </w:t>
      </w:r>
      <w:r w:rsidR="00713714" w:rsidRPr="00713714">
        <w:t>qaoa.barrier()</w:t>
      </w:r>
    </w:p>
    <w:p w:rsidR="00713714" w:rsidRPr="00713714" w:rsidRDefault="00713714" w:rsidP="00713714"/>
    <w:p w:rsidR="00713714" w:rsidRPr="00713714" w:rsidRDefault="00713714" w:rsidP="00713714">
      <w:r w:rsidRPr="00713714">
        <w:t># 3. Pharmacophoric-ODE stage — PQC with penalties and extra oracles</w:t>
      </w:r>
    </w:p>
    <w:p w:rsidR="00713714" w:rsidRPr="00713714" w:rsidRDefault="00713714" w:rsidP="00713714">
      <w:r w:rsidRPr="00713714">
        <w:t>pqc = Circuit(name="Ph4-ODE")</w:t>
      </w:r>
    </w:p>
    <w:p w:rsidR="00713714" w:rsidRPr="00713714" w:rsidRDefault="00713714" w:rsidP="00713714">
      <w:r w:rsidRPr="00713714">
        <w:t>for layer d in 0..depth-1 (depth=2):</w:t>
      </w:r>
    </w:p>
    <w:p w:rsidR="00713714" w:rsidRPr="00713714" w:rsidRDefault="00496063" w:rsidP="00713714">
      <w:r>
        <w:t xml:space="preserve"> </w:t>
      </w:r>
      <w:r w:rsidR="00713714" w:rsidRPr="00713714">
        <w:t>for each pqc qubit i:</w:t>
      </w:r>
    </w:p>
    <w:p w:rsidR="00713714" w:rsidRPr="00713714" w:rsidRDefault="00496063" w:rsidP="00713714">
      <w:r>
        <w:t xml:space="preserve"> </w:t>
      </w:r>
      <w:r w:rsidR="00713714" w:rsidRPr="00713714">
        <w:t>f = i mod n_feat</w:t>
      </w:r>
    </w:p>
    <w:p w:rsidR="00713714" w:rsidRPr="00713714" w:rsidRDefault="00496063" w:rsidP="00713714">
      <w:r>
        <w:t xml:space="preserve"> </w:t>
      </w:r>
      <w:r w:rsidR="00713714" w:rsidRPr="00713714">
        <w:t>pqc.rx(x[f] + θ[d,i,0], i)</w:t>
      </w:r>
    </w:p>
    <w:p w:rsidR="00713714" w:rsidRPr="00713714" w:rsidRDefault="00496063" w:rsidP="00713714">
      <w:r>
        <w:t xml:space="preserve"> </w:t>
      </w:r>
      <w:r w:rsidR="00713714" w:rsidRPr="00713714">
        <w:t>pqc.rz(λ_curv * k[f] * x[f] + θ[d,i,1], i)</w:t>
      </w:r>
    </w:p>
    <w:p w:rsidR="00713714" w:rsidRPr="00713714" w:rsidRDefault="00496063" w:rsidP="00713714">
      <w:r>
        <w:t xml:space="preserve"> </w:t>
      </w:r>
      <w:r w:rsidR="00713714" w:rsidRPr="00713714">
        <w:t>pqc.ry(θ[d,i,2], i)</w:t>
      </w:r>
    </w:p>
    <w:p w:rsidR="00713714" w:rsidRPr="00713714" w:rsidRDefault="00496063" w:rsidP="00713714">
      <w:r>
        <w:t xml:space="preserve"> </w:t>
      </w:r>
      <w:r w:rsidR="00713714" w:rsidRPr="00713714">
        <w:t># entanglement ladder</w:t>
      </w:r>
    </w:p>
    <w:p w:rsidR="00713714" w:rsidRPr="00713714" w:rsidRDefault="00496063" w:rsidP="00713714">
      <w:r>
        <w:t xml:space="preserve"> </w:t>
      </w:r>
      <w:r w:rsidR="00713714" w:rsidRPr="00713714">
        <w:t>for i in 0..n_qubits-2:</w:t>
      </w:r>
    </w:p>
    <w:p w:rsidR="00713714" w:rsidRPr="00713714" w:rsidRDefault="00496063" w:rsidP="00713714">
      <w:r>
        <w:t xml:space="preserve"> </w:t>
      </w:r>
      <w:r w:rsidR="00713714" w:rsidRPr="00713714">
        <w:t>pqc.cz(i, i+1)</w:t>
      </w:r>
    </w:p>
    <w:p w:rsidR="00713714" w:rsidRPr="00713714" w:rsidRDefault="00496063" w:rsidP="00713714">
      <w:r>
        <w:t xml:space="preserve"> </w:t>
      </w:r>
      <w:r w:rsidR="00713714" w:rsidRPr="00713714">
        <w:t># pharmacophore ZZ penalty over first n_feat qubits</w:t>
      </w:r>
    </w:p>
    <w:p w:rsidR="00713714" w:rsidRPr="00713714" w:rsidRDefault="00496063" w:rsidP="00713714">
      <w:r>
        <w:t xml:space="preserve"> </w:t>
      </w:r>
      <w:r w:rsidR="00713714" w:rsidRPr="00713714">
        <w:t>for i&lt;j &lt; n_feat:</w:t>
      </w:r>
    </w:p>
    <w:p w:rsidR="00713714" w:rsidRPr="00713714" w:rsidRDefault="00496063" w:rsidP="00713714">
      <w:r>
        <w:t xml:space="preserve"> </w:t>
      </w:r>
      <w:r w:rsidR="00713714" w:rsidRPr="00713714">
        <w:t>pqc.cx(i,j)</w:t>
      </w:r>
    </w:p>
    <w:p w:rsidR="00713714" w:rsidRPr="00713714" w:rsidRDefault="00496063" w:rsidP="00713714">
      <w:r>
        <w:t xml:space="preserve"> </w:t>
      </w:r>
      <w:r w:rsidR="00713714" w:rsidRPr="00713714">
        <w:t>pqc.rz(2 * λ_ph4 * m[i] * m[j], j)</w:t>
      </w:r>
    </w:p>
    <w:p w:rsidR="00713714" w:rsidRPr="00713714" w:rsidRDefault="00496063" w:rsidP="00713714">
      <w:r>
        <w:t xml:space="preserve"> </w:t>
      </w:r>
      <w:r w:rsidR="00713714" w:rsidRPr="00713714">
        <w:t>pqc.cx(i,j)</w:t>
      </w:r>
    </w:p>
    <w:p w:rsidR="00713714" w:rsidRPr="00713714" w:rsidRDefault="00496063" w:rsidP="00713714">
      <w:r>
        <w:t xml:space="preserve"> </w:t>
      </w:r>
      <w:r w:rsidR="00713714" w:rsidRPr="00713714">
        <w:t># soft-overlap CRY entanglers between neighbors</w:t>
      </w:r>
    </w:p>
    <w:p w:rsidR="00713714" w:rsidRPr="00713714" w:rsidRDefault="00496063" w:rsidP="00713714">
      <w:r>
        <w:t xml:space="preserve"> </w:t>
      </w:r>
      <w:r w:rsidR="00713714" w:rsidRPr="00713714">
        <w:t>for i in 0,2,4,...:</w:t>
      </w:r>
    </w:p>
    <w:p w:rsidR="00713714" w:rsidRPr="00713714" w:rsidRDefault="00496063" w:rsidP="00713714">
      <w:r>
        <w:t xml:space="preserve"> </w:t>
      </w:r>
      <w:r w:rsidR="00713714" w:rsidRPr="00713714">
        <w:t>pqc.cry(θ_SU, i, i+1)</w:t>
      </w:r>
    </w:p>
    <w:p w:rsidR="00713714" w:rsidRPr="00713714" w:rsidRDefault="00496063" w:rsidP="00713714">
      <w:r>
        <w:t xml:space="preserve"> </w:t>
      </w:r>
      <w:r w:rsidR="00713714" w:rsidRPr="00713714">
        <w:t>pqc.barrier()</w:t>
      </w:r>
    </w:p>
    <w:p w:rsidR="00713714" w:rsidRPr="00713714" w:rsidRDefault="00713714" w:rsidP="00713714"/>
    <w:p w:rsidR="00713714" w:rsidRPr="00713714" w:rsidRDefault="00713714" w:rsidP="00713714">
      <w:r w:rsidRPr="00713714">
        <w:t># entropy oracle CRZ from bin qubit to ancilla</w:t>
      </w:r>
    </w:p>
    <w:p w:rsidR="00713714" w:rsidRPr="00713714" w:rsidRDefault="00713714" w:rsidP="00713714">
      <w:r w:rsidRPr="00713714">
        <w:t>pqc.crz(θ_info, bin_qubit, ancilla_qubit)</w:t>
      </w:r>
    </w:p>
    <w:p w:rsidR="00713714" w:rsidRPr="00713714" w:rsidRDefault="00713714" w:rsidP="00713714">
      <w:r w:rsidRPr="00713714">
        <w:t>pqc.measure(pqc_qubit[0], cbit[0])</w:t>
      </w:r>
      <w:r w:rsidR="00496063">
        <w:t xml:space="preserve"> </w:t>
      </w:r>
      <w:r w:rsidRPr="00713714">
        <w:t># single-qubit Z readout</w:t>
      </w:r>
    </w:p>
    <w:p w:rsidR="00713714" w:rsidRPr="00713714" w:rsidRDefault="00713714" w:rsidP="00713714"/>
    <w:p w:rsidR="00713714" w:rsidRPr="00713714" w:rsidRDefault="00713714" w:rsidP="00713714">
      <w:r w:rsidRPr="00713714">
        <w:t># 4. Compose full circuit GHZ | QAOA | Ph4-ODE</w:t>
      </w:r>
    </w:p>
    <w:p w:rsidR="00713714" w:rsidRPr="00713714" w:rsidRDefault="00713714" w:rsidP="00713714">
      <w:r w:rsidRPr="00713714">
        <w:t xml:space="preserve">full = ghz </w:t>
      </w:r>
      <w:r w:rsidRPr="00713714">
        <w:rPr>
          <w:rFonts w:ascii="Cambria Math" w:hAnsi="Cambria Math" w:cs="Cambria Math"/>
        </w:rPr>
        <w:t>⊗</w:t>
      </w:r>
      <w:r w:rsidRPr="00713714">
        <w:t xml:space="preserve"> qaoa </w:t>
      </w:r>
      <w:r w:rsidRPr="00713714">
        <w:rPr>
          <w:rFonts w:ascii="Cambria Math" w:hAnsi="Cambria Math" w:cs="Cambria Math"/>
        </w:rPr>
        <w:t>⊗</w:t>
      </w:r>
      <w:r w:rsidRPr="00713714">
        <w:t xml:space="preserve"> pqc</w:t>
      </w:r>
    </w:p>
    <w:p w:rsidR="00713714" w:rsidRPr="00713714" w:rsidRDefault="00713714" w:rsidP="00713714">
      <w:r w:rsidRPr="00713714">
        <w:t>full.barrier()</w:t>
      </w:r>
    </w:p>
    <w:p w:rsidR="00713714" w:rsidRPr="00713714" w:rsidRDefault="00713714" w:rsidP="00713714">
      <w:r w:rsidRPr="00713714">
        <w:t xml:space="preserve">We implemented a compact, NISQ-compatible hybrid circuit that mirrors the classical, entropy-aware pharmacophoric pipeline by encoding symmetry, small-step dynamics, soft interaction overlap, information-theoretic fairness, and energetics as coherent phases on a shallow register. Three “pose” qubits </w:t>
      </w:r>
      <w:r w:rsidRPr="00713714">
        <w:rPr>
          <w:rStyle w:val="katex-mathml"/>
        </w:rPr>
        <w:t>q0q_0</w:t>
      </w:r>
      <w:r w:rsidRPr="00713714">
        <w:rPr>
          <w:rStyle w:val="mord"/>
        </w:rPr>
        <w:t>q0</w:t>
      </w:r>
      <w:r w:rsidRPr="00713714">
        <w:rPr>
          <w:rStyle w:val="vlist-s"/>
        </w:rPr>
        <w:t>​</w:t>
      </w:r>
      <w:r w:rsidRPr="00713714">
        <w:t>–</w:t>
      </w:r>
      <w:r w:rsidRPr="00713714">
        <w:rPr>
          <w:rStyle w:val="katex-mathml"/>
        </w:rPr>
        <w:t>q2q_2</w:t>
      </w:r>
      <w:r w:rsidRPr="00713714">
        <w:rPr>
          <w:rStyle w:val="mord"/>
        </w:rPr>
        <w:t>q2</w:t>
      </w:r>
      <w:r w:rsidRPr="00713714">
        <w:rPr>
          <w:rStyle w:val="vlist-s"/>
        </w:rPr>
        <w:t>​</w:t>
      </w:r>
      <w:r w:rsidRPr="00713714">
        <w:t xml:space="preserve"> represent rigid-body orientation and each traverses a </w:t>
      </w:r>
      <w:r w:rsidRPr="00713714">
        <w:rPr>
          <w:rStyle w:val="a3"/>
        </w:rPr>
        <w:t>shared Euler block</w:t>
      </w:r>
      <w:r w:rsidRPr="00713714">
        <w:t xml:space="preserve"> </w:t>
      </w:r>
      <w:r w:rsidRPr="00713714">
        <w:rPr>
          <w:rStyle w:val="katex-mathml"/>
        </w:rPr>
        <w:t>Rz(</w:t>
      </w:r>
      <w:r>
        <w:rPr>
          <w:rStyle w:val="katex-mathml"/>
        </w:rPr>
        <w:t>α</w:t>
      </w:r>
      <w:r w:rsidRPr="00713714">
        <w:rPr>
          <w:rStyle w:val="katex-mathml"/>
        </w:rPr>
        <w:t>)Ry(</w:t>
      </w:r>
      <w:r>
        <w:rPr>
          <w:rStyle w:val="katex-mathml"/>
        </w:rPr>
        <w:t>β</w:t>
      </w:r>
      <w:r w:rsidRPr="00713714">
        <w:rPr>
          <w:rStyle w:val="katex-mathml"/>
        </w:rPr>
        <w:t>)Rz(</w:t>
      </w:r>
      <w:r>
        <w:rPr>
          <w:rStyle w:val="katex-mathml"/>
        </w:rPr>
        <w:t>γ</w:t>
      </w:r>
      <w:r w:rsidRPr="00713714">
        <w:rPr>
          <w:rStyle w:val="katex-mathml"/>
        </w:rPr>
        <w:t>)R_z(\alpha)R_y(\beta)R_z(\gamma)</w:t>
      </w:r>
      <w:r w:rsidRPr="00713714">
        <w:rPr>
          <w:rStyle w:val="mord"/>
        </w:rPr>
        <w:t>Rz</w:t>
      </w:r>
      <w:r w:rsidRPr="00713714">
        <w:rPr>
          <w:rStyle w:val="vlist-s"/>
        </w:rPr>
        <w:t>​</w:t>
      </w:r>
      <w:r w:rsidRPr="00713714">
        <w:rPr>
          <w:rStyle w:val="mopen"/>
        </w:rPr>
        <w:t>(</w:t>
      </w:r>
      <w:r>
        <w:rPr>
          <w:rStyle w:val="mord"/>
        </w:rPr>
        <w:t>α</w:t>
      </w:r>
      <w:r w:rsidRPr="00713714">
        <w:rPr>
          <w:rStyle w:val="mclose"/>
        </w:rPr>
        <w:t>)</w:t>
      </w:r>
      <w:r w:rsidRPr="00713714">
        <w:rPr>
          <w:rStyle w:val="mord"/>
        </w:rPr>
        <w:t>Ry</w:t>
      </w:r>
      <w:r w:rsidRPr="00713714">
        <w:rPr>
          <w:rStyle w:val="vlist-s"/>
        </w:rPr>
        <w:t>​</w:t>
      </w:r>
      <w:r w:rsidRPr="00713714">
        <w:rPr>
          <w:rStyle w:val="mopen"/>
        </w:rPr>
        <w:t>(</w:t>
      </w:r>
      <w:r>
        <w:rPr>
          <w:rStyle w:val="mord"/>
        </w:rPr>
        <w:t>β</w:t>
      </w:r>
      <w:r w:rsidRPr="00713714">
        <w:rPr>
          <w:rStyle w:val="mclose"/>
        </w:rPr>
        <w:t>)</w:t>
      </w:r>
      <w:r w:rsidRPr="00713714">
        <w:rPr>
          <w:rStyle w:val="mord"/>
        </w:rPr>
        <w:t>Rz</w:t>
      </w:r>
      <w:r w:rsidRPr="00713714">
        <w:rPr>
          <w:rStyle w:val="vlist-s"/>
        </w:rPr>
        <w:t>​</w:t>
      </w:r>
      <w:r w:rsidRPr="00713714">
        <w:rPr>
          <w:rStyle w:val="mopen"/>
        </w:rPr>
        <w:t>(</w:t>
      </w:r>
      <w:r>
        <w:rPr>
          <w:rStyle w:val="mord"/>
        </w:rPr>
        <w:t>γ</w:t>
      </w:r>
      <w:r w:rsidRPr="00713714">
        <w:rPr>
          <w:rStyle w:val="mclose"/>
        </w:rPr>
        <w:t>)</w:t>
      </w:r>
      <w:r w:rsidRPr="00713714">
        <w:t xml:space="preserve">, a Wigner-style parametrization that enforces rotational equivariance (a frame change simply shifts the common angles </w:t>
      </w:r>
      <w:r>
        <w:rPr>
          <w:rStyle w:val="katex-mathml"/>
        </w:rPr>
        <w:t>α</w:t>
      </w:r>
      <w:r w:rsidRPr="00713714">
        <w:rPr>
          <w:rStyle w:val="katex-mathml"/>
        </w:rPr>
        <w:t>,</w:t>
      </w:r>
      <w:r>
        <w:rPr>
          <w:rStyle w:val="katex-mathml"/>
        </w:rPr>
        <w:t>β</w:t>
      </w:r>
      <w:r w:rsidRPr="00713714">
        <w:rPr>
          <w:rStyle w:val="katex-mathml"/>
        </w:rPr>
        <w:t>,</w:t>
      </w:r>
      <w:r>
        <w:rPr>
          <w:rStyle w:val="katex-mathml"/>
        </w:rPr>
        <w:t>γ</w:t>
      </w:r>
      <w:r w:rsidRPr="00713714">
        <w:rPr>
          <w:rStyle w:val="katex-mathml"/>
        </w:rPr>
        <w:t>\alpha,\beta,\gamma</w:t>
      </w:r>
      <w:r>
        <w:rPr>
          <w:rStyle w:val="mord"/>
        </w:rPr>
        <w:t>α</w:t>
      </w:r>
      <w:r w:rsidRPr="00713714">
        <w:rPr>
          <w:rStyle w:val="mpunct"/>
        </w:rPr>
        <w:t>,</w:t>
      </w:r>
      <w:r>
        <w:rPr>
          <w:rStyle w:val="mord"/>
        </w:rPr>
        <w:t>β</w:t>
      </w:r>
      <w:r w:rsidRPr="00713714">
        <w:rPr>
          <w:rStyle w:val="mpunct"/>
        </w:rPr>
        <w:t>,</w:t>
      </w:r>
      <w:r>
        <w:rPr>
          <w:rStyle w:val="mord"/>
        </w:rPr>
        <w:t>γ</w:t>
      </w:r>
      <w:r w:rsidRPr="00713714">
        <w:t xml:space="preserve"> without distorting relative configuration), thereby preventing spurious symmetry breaking while keeping parameter count low. Immediately downstream, a </w:t>
      </w:r>
      <w:r w:rsidRPr="00713714">
        <w:rPr>
          <w:rStyle w:val="a3"/>
        </w:rPr>
        <w:t>predictor–corrector layer</w:t>
      </w:r>
      <w:r w:rsidRPr="00713714">
        <w:t xml:space="preserve"> emulates the pharmacophoric ODE’s small, stable steps: the predictor applies shallow </w:t>
      </w:r>
      <w:r w:rsidRPr="00713714">
        <w:rPr>
          <w:rStyle w:val="katex-mathml"/>
        </w:rPr>
        <w:t>Rx(</w:t>
      </w:r>
      <w:r>
        <w:rPr>
          <w:rStyle w:val="katex-mathml"/>
        </w:rPr>
        <w:t>ε</w:t>
      </w:r>
      <w:r w:rsidRPr="00713714">
        <w:rPr>
          <w:rStyle w:val="katex-mathml"/>
        </w:rPr>
        <w:t>)R_x(\varepsilon)</w:t>
      </w:r>
      <w:r w:rsidRPr="00713714">
        <w:rPr>
          <w:rStyle w:val="mord"/>
        </w:rPr>
        <w:t>Rx</w:t>
      </w:r>
      <w:r w:rsidRPr="00713714">
        <w:rPr>
          <w:rStyle w:val="vlist-s"/>
        </w:rPr>
        <w:t>​</w:t>
      </w:r>
      <w:r w:rsidRPr="00713714">
        <w:rPr>
          <w:rStyle w:val="mopen"/>
        </w:rPr>
        <w:t>(</w:t>
      </w:r>
      <w:r>
        <w:rPr>
          <w:rStyle w:val="mord"/>
        </w:rPr>
        <w:t>ε</w:t>
      </w:r>
      <w:r w:rsidRPr="00713714">
        <w:rPr>
          <w:rStyle w:val="mclose"/>
        </w:rPr>
        <w:t>)</w:t>
      </w:r>
      <w:r w:rsidRPr="00713714">
        <w:t xml:space="preserve"> rotations (with </w:t>
      </w:r>
      <w:r>
        <w:rPr>
          <w:rStyle w:val="katex-mathml"/>
        </w:rPr>
        <w:t>ε</w:t>
      </w:r>
      <w:r w:rsidRPr="00713714">
        <w:rPr>
          <w:rStyle w:val="katex-mathml"/>
        </w:rPr>
        <w:t>\varepsilon</w:t>
      </w:r>
      <w:r>
        <w:rPr>
          <w:rStyle w:val="mord"/>
        </w:rPr>
        <w:t>ε</w:t>
      </w:r>
      <w:r w:rsidRPr="00713714">
        <w:t xml:space="preserve"> kept perturbative) to </w:t>
      </w:r>
      <w:r w:rsidRPr="00713714">
        <w:rPr>
          <w:rStyle w:val="katex-mathml"/>
        </w:rPr>
        <w:t>q0q_0</w:t>
      </w:r>
      <w:r w:rsidRPr="00713714">
        <w:rPr>
          <w:rStyle w:val="mord"/>
        </w:rPr>
        <w:t>q0</w:t>
      </w:r>
      <w:r w:rsidRPr="00713714">
        <w:rPr>
          <w:rStyle w:val="vlist-s"/>
        </w:rPr>
        <w:t>​</w:t>
      </w:r>
      <w:r w:rsidRPr="00713714">
        <w:t>–</w:t>
      </w:r>
      <w:r w:rsidRPr="00713714">
        <w:rPr>
          <w:rStyle w:val="katex-mathml"/>
        </w:rPr>
        <w:t>q2q_2</w:t>
      </w:r>
      <w:r w:rsidRPr="00713714">
        <w:rPr>
          <w:rStyle w:val="mord"/>
        </w:rPr>
        <w:t>q2</w:t>
      </w:r>
      <w:r w:rsidRPr="00713714">
        <w:rPr>
          <w:rStyle w:val="vlist-s"/>
        </w:rPr>
        <w:t>​</w:t>
      </w:r>
      <w:r w:rsidRPr="00713714">
        <w:t xml:space="preserve">, and the corrector applies gated </w:t>
      </w:r>
      <w:r w:rsidRPr="00713714">
        <w:rPr>
          <w:rStyle w:val="katex-mathml"/>
        </w:rPr>
        <w:t>CRz(</w:t>
      </w:r>
      <w:r>
        <w:rPr>
          <w:rStyle w:val="katex-mathml"/>
        </w:rPr>
        <w:t>δ</w:t>
      </w:r>
      <w:r w:rsidRPr="00713714">
        <w:rPr>
          <w:rStyle w:val="katex-mathml"/>
        </w:rPr>
        <w:t>)\mathrm{CR}_z(\delta)</w:t>
      </w:r>
      <w:r w:rsidRPr="00713714">
        <w:rPr>
          <w:rStyle w:val="mord"/>
        </w:rPr>
        <w:t>CRz</w:t>
      </w:r>
      <w:r w:rsidRPr="00713714">
        <w:rPr>
          <w:rStyle w:val="vlist-s"/>
        </w:rPr>
        <w:t>​</w:t>
      </w:r>
      <w:r w:rsidRPr="00713714">
        <w:rPr>
          <w:rStyle w:val="mopen"/>
        </w:rPr>
        <w:t>(</w:t>
      </w:r>
      <w:r>
        <w:rPr>
          <w:rStyle w:val="mord"/>
        </w:rPr>
        <w:t>δ</w:t>
      </w:r>
      <w:r w:rsidRPr="00713714">
        <w:rPr>
          <w:rStyle w:val="mclose"/>
        </w:rPr>
        <w:t>)</w:t>
      </w:r>
      <w:r w:rsidRPr="00713714">
        <w:t xml:space="preserve"> phase updates controlled by an “edit” qubit </w:t>
      </w:r>
      <w:r w:rsidRPr="00713714">
        <w:rPr>
          <w:rStyle w:val="katex-mathml"/>
        </w:rPr>
        <w:t>q3q_3</w:t>
      </w:r>
      <w:r w:rsidRPr="00713714">
        <w:rPr>
          <w:rStyle w:val="mord"/>
        </w:rPr>
        <w:t>q3</w:t>
      </w:r>
      <w:r w:rsidRPr="00713714">
        <w:rPr>
          <w:rStyle w:val="vlist-s"/>
        </w:rPr>
        <w:t>​</w:t>
      </w:r>
      <w:r w:rsidRPr="00713714">
        <w:t xml:space="preserve">, so only activated chemical edits bend the trajectory—preserving numerical stability and mirroring classical acceptance logic. Smooth, differentiable </w:t>
      </w:r>
      <w:r w:rsidRPr="00713714">
        <w:rPr>
          <w:rStyle w:val="a3"/>
        </w:rPr>
        <w:t>soft-overlap</w:t>
      </w:r>
      <w:r w:rsidRPr="00713714">
        <w:t xml:space="preserve"> among pharmacophoric fields is realized by two </w:t>
      </w:r>
      <w:r w:rsidRPr="00713714">
        <w:rPr>
          <w:rStyle w:val="katex-mathml"/>
        </w:rPr>
        <w:t>CRy(</w:t>
      </w:r>
      <w:r>
        <w:rPr>
          <w:rStyle w:val="katex-mathml"/>
        </w:rPr>
        <w:t>κ</w:t>
      </w:r>
      <w:r w:rsidRPr="00713714">
        <w:rPr>
          <w:rStyle w:val="katex-mathml"/>
        </w:rPr>
        <w:t>)\mathrm{CR}_y(\kappa)</w:t>
      </w:r>
      <w:r w:rsidRPr="00713714">
        <w:rPr>
          <w:rStyle w:val="mord"/>
        </w:rPr>
        <w:t>CRy</w:t>
      </w:r>
      <w:r w:rsidRPr="00713714">
        <w:rPr>
          <w:rStyle w:val="vlist-s"/>
        </w:rPr>
        <w:t>​</w:t>
      </w:r>
      <w:r w:rsidRPr="00713714">
        <w:rPr>
          <w:rStyle w:val="mopen"/>
        </w:rPr>
        <w:t>(</w:t>
      </w:r>
      <w:r>
        <w:rPr>
          <w:rStyle w:val="mord"/>
        </w:rPr>
        <w:t>κ</w:t>
      </w:r>
      <w:r w:rsidRPr="00713714">
        <w:rPr>
          <w:rStyle w:val="mclose"/>
        </w:rPr>
        <w:t>)</w:t>
      </w:r>
      <w:r w:rsidRPr="00713714">
        <w:t xml:space="preserve"> couplers between pose pairs; because </w:t>
      </w:r>
      <w:r w:rsidRPr="00713714">
        <w:rPr>
          <w:rStyle w:val="katex-mathml"/>
        </w:rPr>
        <w:t>CRy\mathrm{CR}_y</w:t>
      </w:r>
      <w:r w:rsidRPr="00713714">
        <w:rPr>
          <w:rStyle w:val="mord"/>
        </w:rPr>
        <w:t>CRy</w:t>
      </w:r>
      <w:r w:rsidRPr="00713714">
        <w:rPr>
          <w:rStyle w:val="vlist-s"/>
        </w:rPr>
        <w:t>​</w:t>
      </w:r>
      <w:r w:rsidRPr="00713714">
        <w:t xml:space="preserve"> rotates only for control </w:t>
      </w:r>
      <w:r w:rsidRPr="00713714">
        <w:rPr>
          <w:rStyle w:val="katex-mathml"/>
          <w:rFonts w:ascii="Cambria Math" w:hAnsi="Cambria Math" w:cs="Cambria Math"/>
        </w:rPr>
        <w:t>∣</w:t>
      </w:r>
      <w:r w:rsidRPr="00713714">
        <w:rPr>
          <w:rStyle w:val="katex-mathml"/>
        </w:rPr>
        <w:t>1</w:t>
      </w:r>
      <w:r>
        <w:rPr>
          <w:rStyle w:val="katex-mathml"/>
          <w:rFonts w:ascii="Cambria Math" w:hAnsi="Cambria Math" w:cs="Cambria Math"/>
        </w:rPr>
        <w:t>⟩</w:t>
      </w:r>
      <w:r w:rsidRPr="00713714">
        <w:rPr>
          <w:rStyle w:val="katex-mathml"/>
        </w:rPr>
        <w:t>|1\rangle</w:t>
      </w:r>
      <w:r w:rsidRPr="00713714">
        <w:rPr>
          <w:rStyle w:val="mord"/>
          <w:rFonts w:ascii="Cambria Math" w:hAnsi="Cambria Math" w:cs="Cambria Math"/>
        </w:rPr>
        <w:t>∣</w:t>
      </w:r>
      <w:r w:rsidRPr="00713714">
        <w:rPr>
          <w:rStyle w:val="mord"/>
        </w:rPr>
        <w:t>1</w:t>
      </w:r>
      <w:r>
        <w:rPr>
          <w:rStyle w:val="mclose"/>
          <w:rFonts w:ascii="Cambria Math" w:hAnsi="Cambria Math" w:cs="Cambria Math"/>
        </w:rPr>
        <w:t>⟩</w:t>
      </w:r>
      <w:r w:rsidRPr="00713714">
        <w:t xml:space="preserve">, these gates implement a tunable, kernel-like overlap (parameter-shift friendly) that preserves the Euler block’s equivariance while supplying inductive bias for volumetric intersections. To encode </w:t>
      </w:r>
      <w:r w:rsidRPr="00713714">
        <w:rPr>
          <w:rStyle w:val="a3"/>
        </w:rPr>
        <w:t>information-theoretic fairness</w:t>
      </w:r>
      <w:r w:rsidRPr="00713714">
        <w:t xml:space="preserve">, an entropy oracle reweights amplitudes via a dedicated ancilla </w:t>
      </w:r>
      <w:r w:rsidRPr="00713714">
        <w:rPr>
          <w:rStyle w:val="katex-mathml"/>
        </w:rPr>
        <w:t>qaq_a</w:t>
      </w:r>
      <w:r w:rsidRPr="00713714">
        <w:rPr>
          <w:rStyle w:val="mord"/>
        </w:rPr>
        <w:t>qa</w:t>
      </w:r>
      <w:r w:rsidRPr="00713714">
        <w:rPr>
          <w:rStyle w:val="vlist-s"/>
        </w:rPr>
        <w:t>​</w:t>
      </w:r>
      <w:r w:rsidRPr="00713714">
        <w:t xml:space="preserve"> phase-shifted by </w:t>
      </w:r>
      <w:r w:rsidRPr="00713714">
        <w:rPr>
          <w:rStyle w:val="katex-mathml"/>
        </w:rPr>
        <w:t>CRz(</w:t>
      </w:r>
      <w:r>
        <w:rPr>
          <w:rStyle w:val="katex-mathml"/>
        </w:rPr>
        <w:t>ϕ</w:t>
      </w:r>
      <w:r w:rsidRPr="00713714">
        <w:rPr>
          <w:rStyle w:val="katex-mathml"/>
        </w:rPr>
        <w:t>)\mathrm{CR}_z(\phi)</w:t>
      </w:r>
      <w:r w:rsidRPr="00713714">
        <w:rPr>
          <w:rStyle w:val="mord"/>
        </w:rPr>
        <w:t>CRz</w:t>
      </w:r>
      <w:r w:rsidRPr="00713714">
        <w:rPr>
          <w:rStyle w:val="vlist-s"/>
        </w:rPr>
        <w:t>​</w:t>
      </w:r>
      <w:r w:rsidRPr="00713714">
        <w:rPr>
          <w:rStyle w:val="mopen"/>
        </w:rPr>
        <w:t>(</w:t>
      </w:r>
      <w:r>
        <w:rPr>
          <w:rStyle w:val="mord"/>
        </w:rPr>
        <w:t>ϕ</w:t>
      </w:r>
      <w:r w:rsidRPr="00713714">
        <w:rPr>
          <w:rStyle w:val="mclose"/>
        </w:rPr>
        <w:t>)</w:t>
      </w:r>
      <w:r w:rsidRPr="00713714">
        <w:t xml:space="preserve"> controlled by a “bin” qubit </w:t>
      </w:r>
      <w:r w:rsidRPr="00713714">
        <w:rPr>
          <w:rStyle w:val="katex-mathml"/>
        </w:rPr>
        <w:t>q4q_4</w:t>
      </w:r>
      <w:r w:rsidRPr="00713714">
        <w:rPr>
          <w:rStyle w:val="mord"/>
        </w:rPr>
        <w:t>q4</w:t>
      </w:r>
      <w:r w:rsidRPr="00713714">
        <w:rPr>
          <w:rStyle w:val="vlist-s"/>
        </w:rPr>
        <w:t>​</w:t>
      </w:r>
      <w:r w:rsidRPr="00713714">
        <w:t xml:space="preserve"> indexing chemotype partitions: over-represented bins accrue unfavorable phase and under-sampled bins favorable phase, so subsequent interference and uncomputation bias amplitudes toward diverse, high-entropy regions without breaking rotational symmetries (a coherent analogue of </w:t>
      </w:r>
      <w:r>
        <w:rPr>
          <w:rStyle w:val="katex-mathml"/>
        </w:rPr>
        <w:t>Δ</w:t>
      </w:r>
      <w:r w:rsidRPr="00713714">
        <w:rPr>
          <w:rStyle w:val="katex-mathml"/>
        </w:rPr>
        <w:t>H&gt;0\Delta H&gt;0</w:t>
      </w:r>
      <w:r>
        <w:rPr>
          <w:rStyle w:val="mord"/>
        </w:rPr>
        <w:t>Δ</w:t>
      </w:r>
      <w:r w:rsidRPr="00713714">
        <w:rPr>
          <w:rStyle w:val="mord"/>
        </w:rPr>
        <w:t>H</w:t>
      </w:r>
      <w:r w:rsidRPr="00713714">
        <w:rPr>
          <w:rStyle w:val="mrel"/>
        </w:rPr>
        <w:t>&gt;</w:t>
      </w:r>
      <w:r w:rsidRPr="00713714">
        <w:rPr>
          <w:rStyle w:val="mord"/>
        </w:rPr>
        <w:t>0</w:t>
      </w:r>
      <w:r w:rsidRPr="00713714">
        <w:t xml:space="preserve"> and </w:t>
      </w:r>
      <w:r>
        <w:t>χ</w:t>
      </w:r>
      <w:r w:rsidRPr="00713714">
        <w:t xml:space="preserve">² checks). </w:t>
      </w:r>
      <w:r w:rsidRPr="00713714">
        <w:rPr>
          <w:rStyle w:val="a3"/>
        </w:rPr>
        <w:t>Energetic selection</w:t>
      </w:r>
      <w:r w:rsidRPr="00713714">
        <w:t xml:space="preserve"> is compiled as a phase-kick energy oracle that maps the classical score (end-point electrostatics/solvation plus explicit non-polar burial) to a single quantum phase: </w:t>
      </w:r>
      <w:r>
        <w:rPr>
          <w:rStyle w:val="katex-mathml"/>
        </w:rPr>
        <w:t>Δ</w:t>
      </w:r>
      <w:r w:rsidRPr="00713714">
        <w:rPr>
          <w:rStyle w:val="katex-mathml"/>
        </w:rPr>
        <w:t>Gtot=</w:t>
      </w:r>
      <w:r>
        <w:rPr>
          <w:rStyle w:val="katex-mathml"/>
        </w:rPr>
        <w:t>Δ</w:t>
      </w:r>
      <w:r w:rsidRPr="00713714">
        <w:rPr>
          <w:rStyle w:val="katex-mathml"/>
        </w:rPr>
        <w:t>GMM–PBSA+</w:t>
      </w:r>
      <w:r>
        <w:rPr>
          <w:rStyle w:val="katex-mathml"/>
        </w:rPr>
        <w:t>γ</w:t>
      </w:r>
      <w:r w:rsidRPr="00713714">
        <w:rPr>
          <w:rStyle w:val="katex-mathml"/>
        </w:rPr>
        <w:t> </w:t>
      </w:r>
      <w:r>
        <w:rPr>
          <w:rStyle w:val="katex-mathml"/>
        </w:rPr>
        <w:t>Δ</w:t>
      </w:r>
      <w:r w:rsidRPr="00713714">
        <w:rPr>
          <w:rStyle w:val="katex-mathml"/>
        </w:rPr>
        <w:t>SASA\Delta G_{\mathrm{tot}}=\Delta G_{\mathrm{MM\text{–}PBSA}}+\gamma\,\Delta\mathrm{SASA}</w:t>
      </w:r>
      <w:r>
        <w:rPr>
          <w:rStyle w:val="mord"/>
        </w:rPr>
        <w:t>Δ</w:t>
      </w:r>
      <w:r w:rsidRPr="00713714">
        <w:rPr>
          <w:rStyle w:val="mord"/>
        </w:rPr>
        <w:t>Gtot</w:t>
      </w:r>
      <w:r w:rsidRPr="00713714">
        <w:rPr>
          <w:rStyle w:val="vlist-s"/>
        </w:rPr>
        <w:t>​</w:t>
      </w:r>
      <w:r w:rsidRPr="00713714">
        <w:rPr>
          <w:rStyle w:val="mrel"/>
        </w:rPr>
        <w:t>=</w:t>
      </w:r>
      <w:r>
        <w:rPr>
          <w:rStyle w:val="mord"/>
        </w:rPr>
        <w:t>Δ</w:t>
      </w:r>
      <w:r w:rsidRPr="00713714">
        <w:rPr>
          <w:rStyle w:val="mord"/>
        </w:rPr>
        <w:t>GMM–PBSA</w:t>
      </w:r>
      <w:r w:rsidRPr="00713714">
        <w:rPr>
          <w:rStyle w:val="vlist-s"/>
        </w:rPr>
        <w:t>​</w:t>
      </w:r>
      <w:r w:rsidRPr="00713714">
        <w:rPr>
          <w:rStyle w:val="mbin"/>
        </w:rPr>
        <w:t>+</w:t>
      </w:r>
      <w:r>
        <w:rPr>
          <w:rStyle w:val="mord"/>
        </w:rPr>
        <w:t>γΔ</w:t>
      </w:r>
      <w:r w:rsidRPr="00713714">
        <w:rPr>
          <w:rStyle w:val="mord"/>
        </w:rPr>
        <w:t>SASA</w:t>
      </w:r>
      <w:r w:rsidRPr="00713714">
        <w:t xml:space="preserve"> with </w:t>
      </w:r>
      <w:r>
        <w:rPr>
          <w:rStyle w:val="katex-mathml"/>
        </w:rPr>
        <w:t>γ</w:t>
      </w:r>
      <w:r w:rsidRPr="00713714">
        <w:rPr>
          <w:rStyle w:val="katex-mathml"/>
        </w:rPr>
        <w:t>=0.005 kcal mol−1 A˚−2\gamma=0.005\ \mathrm{kcal\,mol^{-1}\,\AA^{-2}}</w:t>
      </w:r>
      <w:r>
        <w:rPr>
          <w:rStyle w:val="mord"/>
        </w:rPr>
        <w:t>γ</w:t>
      </w:r>
      <w:r w:rsidRPr="00713714">
        <w:rPr>
          <w:rStyle w:val="mrel"/>
        </w:rPr>
        <w:t>=</w:t>
      </w:r>
      <w:r w:rsidRPr="00713714">
        <w:rPr>
          <w:rStyle w:val="mord"/>
        </w:rPr>
        <w:t>0.005</w:t>
      </w:r>
      <w:r w:rsidRPr="00713714">
        <w:rPr>
          <w:rStyle w:val="mspace"/>
        </w:rPr>
        <w:t> </w:t>
      </w:r>
      <w:r w:rsidRPr="00713714">
        <w:rPr>
          <w:rStyle w:val="mord"/>
        </w:rPr>
        <w:t>kcalmol−1A˚−2</w:t>
      </w:r>
      <w:r w:rsidRPr="00713714">
        <w:t xml:space="preserve"> and </w:t>
      </w:r>
      <w:r>
        <w:rPr>
          <w:rStyle w:val="katex-mathml"/>
        </w:rPr>
        <w:t>Δ</w:t>
      </w:r>
      <w:r w:rsidRPr="00713714">
        <w:rPr>
          <w:rStyle w:val="katex-mathml"/>
        </w:rPr>
        <w:t>SASA\Delta\mathrm{SASA}</w:t>
      </w:r>
      <w:r>
        <w:rPr>
          <w:rStyle w:val="mord"/>
        </w:rPr>
        <w:t>Δ</w:t>
      </w:r>
      <w:r w:rsidRPr="00713714">
        <w:rPr>
          <w:rStyle w:val="mord"/>
        </w:rPr>
        <w:t>SASA</w:t>
      </w:r>
      <w:r w:rsidRPr="00713714">
        <w:t xml:space="preserve"> the bound–unbound area change (negative for burial);</w:t>
      </w:r>
      <w:r w:rsidR="00356057">
        <w:t xml:space="preserve"> I </w:t>
      </w:r>
      <w:r w:rsidRPr="00713714">
        <w:t xml:space="preserve">apply </w:t>
      </w:r>
      <w:r>
        <w:rPr>
          <w:rStyle w:val="katex-mathml"/>
        </w:rPr>
        <w:t>Φ</w:t>
      </w:r>
      <w:r w:rsidRPr="00713714">
        <w:rPr>
          <w:rStyle w:val="katex-mathml"/>
        </w:rPr>
        <w:t>E=</w:t>
      </w:r>
      <w:r>
        <w:rPr>
          <w:rStyle w:val="katex-mathml"/>
        </w:rPr>
        <w:t>η</w:t>
      </w:r>
      <w:r w:rsidRPr="00713714">
        <w:rPr>
          <w:rStyle w:val="katex-mathml"/>
        </w:rPr>
        <w:t>(−</w:t>
      </w:r>
      <w:r>
        <w:rPr>
          <w:rStyle w:val="katex-mathml"/>
        </w:rPr>
        <w:t>Δ</w:t>
      </w:r>
      <w:r w:rsidRPr="00713714">
        <w:rPr>
          <w:rStyle w:val="katex-mathml"/>
        </w:rPr>
        <w:t>Gtot)\Phi_E=\eta(-\Delta G_{\mathrm{tot}})</w:t>
      </w:r>
      <w:r>
        <w:rPr>
          <w:rStyle w:val="mord"/>
        </w:rPr>
        <w:t>Φ</w:t>
      </w:r>
      <w:r w:rsidRPr="00713714">
        <w:rPr>
          <w:rStyle w:val="mord"/>
        </w:rPr>
        <w:t>E</w:t>
      </w:r>
      <w:r w:rsidRPr="00713714">
        <w:rPr>
          <w:rStyle w:val="vlist-s"/>
        </w:rPr>
        <w:t>​</w:t>
      </w:r>
      <w:r w:rsidRPr="00713714">
        <w:rPr>
          <w:rStyle w:val="mrel"/>
        </w:rPr>
        <w:t>=</w:t>
      </w:r>
      <w:r>
        <w:rPr>
          <w:rStyle w:val="mord"/>
        </w:rPr>
        <w:t>η</w:t>
      </w:r>
      <w:r w:rsidRPr="00713714">
        <w:rPr>
          <w:rStyle w:val="mopen"/>
        </w:rPr>
        <w:t>(</w:t>
      </w:r>
      <w:r w:rsidRPr="00713714">
        <w:rPr>
          <w:rStyle w:val="mord"/>
        </w:rPr>
        <w:t>−</w:t>
      </w:r>
      <w:r>
        <w:rPr>
          <w:rStyle w:val="mord"/>
        </w:rPr>
        <w:t>Δ</w:t>
      </w:r>
      <w:r w:rsidRPr="00713714">
        <w:rPr>
          <w:rStyle w:val="mord"/>
        </w:rPr>
        <w:t>Gtot</w:t>
      </w:r>
      <w:r w:rsidRPr="00713714">
        <w:rPr>
          <w:rStyle w:val="vlist-s"/>
        </w:rPr>
        <w:t>​</w:t>
      </w:r>
      <w:r w:rsidRPr="00713714">
        <w:rPr>
          <w:rStyle w:val="mclose"/>
        </w:rPr>
        <w:t>)</w:t>
      </w:r>
      <w:r w:rsidRPr="00713714">
        <w:t xml:space="preserve"> to an energy ancilla via </w:t>
      </w:r>
      <w:r w:rsidRPr="00713714">
        <w:rPr>
          <w:rStyle w:val="katex-mathml"/>
        </w:rPr>
        <w:t>CRz(</w:t>
      </w:r>
      <w:r>
        <w:rPr>
          <w:rStyle w:val="katex-mathml"/>
        </w:rPr>
        <w:t>Φ</w:t>
      </w:r>
      <w:r w:rsidRPr="00713714">
        <w:rPr>
          <w:rStyle w:val="katex-mathml"/>
        </w:rPr>
        <w:t>E)\mathrm{CR}_z(\Phi_E)</w:t>
      </w:r>
      <w:r w:rsidRPr="00713714">
        <w:rPr>
          <w:rStyle w:val="mord"/>
        </w:rPr>
        <w:t>CRz</w:t>
      </w:r>
      <w:r w:rsidRPr="00713714">
        <w:rPr>
          <w:rStyle w:val="vlist-s"/>
        </w:rPr>
        <w:t>​</w:t>
      </w:r>
      <w:r w:rsidRPr="00713714">
        <w:rPr>
          <w:rStyle w:val="mopen"/>
        </w:rPr>
        <w:t>(</w:t>
      </w:r>
      <w:r>
        <w:rPr>
          <w:rStyle w:val="mord"/>
        </w:rPr>
        <w:t>Φ</w:t>
      </w:r>
      <w:r w:rsidRPr="00713714">
        <w:rPr>
          <w:rStyle w:val="mord"/>
        </w:rPr>
        <w:t>E</w:t>
      </w:r>
      <w:r w:rsidRPr="00713714">
        <w:rPr>
          <w:rStyle w:val="vlist-s"/>
        </w:rPr>
        <w:t>​</w:t>
      </w:r>
      <w:r w:rsidRPr="00713714">
        <w:rPr>
          <w:rStyle w:val="mclose"/>
        </w:rPr>
        <w:t>)</w:t>
      </w:r>
      <w:r w:rsidRPr="00713714">
        <w:t xml:space="preserve">, fixing </w:t>
      </w:r>
      <w:r>
        <w:rPr>
          <w:rStyle w:val="katex-mathml"/>
        </w:rPr>
        <w:t>η</w:t>
      </w:r>
      <w:r w:rsidRPr="00713714">
        <w:rPr>
          <w:rStyle w:val="katex-mathml"/>
        </w:rPr>
        <w:t>=</w:t>
      </w:r>
      <w:r>
        <w:rPr>
          <w:rStyle w:val="katex-mathml"/>
        </w:rPr>
        <w:t>π</w:t>
      </w:r>
      <w:r w:rsidRPr="00713714">
        <w:rPr>
          <w:rStyle w:val="katex-mathml"/>
        </w:rPr>
        <w:t>/5 rad per kcal mol−1\eta=\pi/5\ \mathrm{rad\ per\ kcal\,mol^{-1}}</w:t>
      </w:r>
      <w:r>
        <w:rPr>
          <w:rStyle w:val="mord"/>
        </w:rPr>
        <w:t>η</w:t>
      </w:r>
      <w:r w:rsidRPr="00713714">
        <w:rPr>
          <w:rStyle w:val="mrel"/>
        </w:rPr>
        <w:t>=</w:t>
      </w:r>
      <w:r>
        <w:rPr>
          <w:rStyle w:val="mord"/>
        </w:rPr>
        <w:t>π</w:t>
      </w:r>
      <w:r w:rsidRPr="00713714">
        <w:rPr>
          <w:rStyle w:val="mord"/>
        </w:rPr>
        <w:t>/5</w:t>
      </w:r>
      <w:r w:rsidRPr="00713714">
        <w:rPr>
          <w:rStyle w:val="mspace"/>
        </w:rPr>
        <w:t> </w:t>
      </w:r>
      <w:r w:rsidRPr="00713714">
        <w:rPr>
          <w:rStyle w:val="mord"/>
        </w:rPr>
        <w:t>rad</w:t>
      </w:r>
      <w:r w:rsidRPr="00713714">
        <w:rPr>
          <w:rStyle w:val="mspace"/>
        </w:rPr>
        <w:t> </w:t>
      </w:r>
      <w:r w:rsidRPr="00713714">
        <w:rPr>
          <w:rStyle w:val="mord"/>
        </w:rPr>
        <w:t>per</w:t>
      </w:r>
      <w:r w:rsidRPr="00713714">
        <w:rPr>
          <w:rStyle w:val="mspace"/>
        </w:rPr>
        <w:t> </w:t>
      </w:r>
      <w:r w:rsidRPr="00713714">
        <w:rPr>
          <w:rStyle w:val="mord"/>
        </w:rPr>
        <w:t>kcalmol−1</w:t>
      </w:r>
      <w:r w:rsidRPr="00713714">
        <w:t xml:space="preserve"> so </w:t>
      </w:r>
      <w:r w:rsidRPr="00713714">
        <w:rPr>
          <w:rStyle w:val="katex-mathml"/>
          <w:rFonts w:ascii="Cambria Math" w:hAnsi="Cambria Math" w:cs="Cambria Math"/>
        </w:rPr>
        <w:t>∣</w:t>
      </w:r>
      <w:r>
        <w:rPr>
          <w:rStyle w:val="katex-mathml"/>
        </w:rPr>
        <w:t>Δ</w:t>
      </w:r>
      <w:r w:rsidRPr="00713714">
        <w:rPr>
          <w:rStyle w:val="katex-mathml"/>
        </w:rPr>
        <w:t>Gtot</w:t>
      </w:r>
      <w:r w:rsidRPr="00713714">
        <w:rPr>
          <w:rStyle w:val="katex-mathml"/>
          <w:rFonts w:ascii="Cambria Math" w:hAnsi="Cambria Math" w:cs="Cambria Math"/>
        </w:rPr>
        <w:t>∣≲</w:t>
      </w:r>
      <w:r w:rsidRPr="00713714">
        <w:rPr>
          <w:rStyle w:val="katex-mathml"/>
        </w:rPr>
        <w:t>5|\Delta G_{\mathrm{tot}}|\lesssim5</w:t>
      </w:r>
      <w:r w:rsidRPr="00713714">
        <w:rPr>
          <w:rStyle w:val="mord"/>
          <w:rFonts w:ascii="Cambria Math" w:hAnsi="Cambria Math" w:cs="Cambria Math"/>
        </w:rPr>
        <w:t>∣</w:t>
      </w:r>
      <w:r>
        <w:rPr>
          <w:rStyle w:val="mord"/>
        </w:rPr>
        <w:t>Δ</w:t>
      </w:r>
      <w:r w:rsidRPr="00713714">
        <w:rPr>
          <w:rStyle w:val="mord"/>
        </w:rPr>
        <w:t>Gtot</w:t>
      </w:r>
      <w:r w:rsidRPr="00713714">
        <w:rPr>
          <w:rStyle w:val="vlist-s"/>
        </w:rPr>
        <w:t>​</w:t>
      </w:r>
      <w:r w:rsidRPr="00713714">
        <w:rPr>
          <w:rStyle w:val="mord"/>
          <w:rFonts w:ascii="Cambria Math" w:hAnsi="Cambria Math" w:cs="Cambria Math"/>
        </w:rPr>
        <w:t>∣</w:t>
      </w:r>
      <w:r w:rsidRPr="00713714">
        <w:rPr>
          <w:rStyle w:val="mrel"/>
          <w:rFonts w:ascii="Cambria Math" w:hAnsi="Cambria Math" w:cs="Cambria Math"/>
        </w:rPr>
        <w:t>≲</w:t>
      </w:r>
      <w:r w:rsidRPr="00713714">
        <w:rPr>
          <w:rStyle w:val="mord"/>
        </w:rPr>
        <w:t>5</w:t>
      </w:r>
      <w:r w:rsidRPr="00713714">
        <w:t xml:space="preserve"> maps into </w:t>
      </w:r>
      <w:r w:rsidRPr="00713714">
        <w:rPr>
          <w:rStyle w:val="katex-mathml"/>
        </w:rPr>
        <w:t>[0,</w:t>
      </w:r>
      <w:r>
        <w:rPr>
          <w:rStyle w:val="katex-mathml"/>
        </w:rPr>
        <w:t>π</w:t>
      </w:r>
      <w:r w:rsidRPr="00713714">
        <w:rPr>
          <w:rStyle w:val="katex-mathml"/>
        </w:rPr>
        <w:t>][0,\pi]</w:t>
      </w:r>
      <w:r w:rsidRPr="00713714">
        <w:rPr>
          <w:rStyle w:val="mopen"/>
        </w:rPr>
        <w:t>[</w:t>
      </w:r>
      <w:r w:rsidRPr="00713714">
        <w:rPr>
          <w:rStyle w:val="mord"/>
        </w:rPr>
        <w:t>0</w:t>
      </w:r>
      <w:r w:rsidRPr="00713714">
        <w:rPr>
          <w:rStyle w:val="mpunct"/>
        </w:rPr>
        <w:t>,</w:t>
      </w:r>
      <w:r>
        <w:rPr>
          <w:rStyle w:val="mord"/>
        </w:rPr>
        <w:t>π</w:t>
      </w:r>
      <w:r w:rsidRPr="00713714">
        <w:rPr>
          <w:rStyle w:val="mclose"/>
        </w:rPr>
        <w:t>]</w:t>
      </w:r>
      <w:r w:rsidRPr="00713714">
        <w:t xml:space="preserve"> with near-linear sensitivity and favorable (more negative) free energies producing constructive phase advances. The layer order is </w:t>
      </w:r>
      <w:r w:rsidRPr="00713714">
        <w:rPr>
          <w:rStyle w:val="a3"/>
        </w:rPr>
        <w:t>Euler → predictor → corrector → soft-overlap → entropy oracle → energy oracle → uncompute entropy</w:t>
      </w:r>
      <w:r w:rsidRPr="00713714">
        <w:t xml:space="preserve">, with a classical design-selection flag gating </w:t>
      </w:r>
      <w:r w:rsidRPr="00713714">
        <w:rPr>
          <w:rStyle w:val="katex-mathml"/>
        </w:rPr>
        <w:t>CRz(</w:t>
      </w:r>
      <w:r>
        <w:rPr>
          <w:rStyle w:val="katex-mathml"/>
        </w:rPr>
        <w:t>Φ</w:t>
      </w:r>
      <w:r w:rsidRPr="00713714">
        <w:rPr>
          <w:rStyle w:val="katex-mathml"/>
        </w:rPr>
        <w:t>E)\mathrm{CR}_z(\Phi_E)</w:t>
      </w:r>
      <w:r w:rsidRPr="00713714">
        <w:rPr>
          <w:rStyle w:val="mord"/>
        </w:rPr>
        <w:t>CRz</w:t>
      </w:r>
      <w:r w:rsidRPr="00713714">
        <w:rPr>
          <w:rStyle w:val="vlist-s"/>
        </w:rPr>
        <w:t>​</w:t>
      </w:r>
      <w:r w:rsidRPr="00713714">
        <w:rPr>
          <w:rStyle w:val="mopen"/>
        </w:rPr>
        <w:t>(</w:t>
      </w:r>
      <w:r>
        <w:rPr>
          <w:rStyle w:val="mord"/>
        </w:rPr>
        <w:t>Φ</w:t>
      </w:r>
      <w:r w:rsidRPr="00713714">
        <w:rPr>
          <w:rStyle w:val="mord"/>
        </w:rPr>
        <w:t>E</w:t>
      </w:r>
      <w:r w:rsidRPr="00713714">
        <w:rPr>
          <w:rStyle w:val="vlist-s"/>
        </w:rPr>
        <w:t>​</w:t>
      </w:r>
      <w:r w:rsidRPr="00713714">
        <w:rPr>
          <w:rStyle w:val="mclose"/>
        </w:rPr>
        <w:t>)</w:t>
      </w:r>
      <w:r w:rsidRPr="00713714">
        <w:t xml:space="preserve"> so each candidate compiles its own phase without enlarging the register; all variational knobs—</w:t>
      </w:r>
      <w:r>
        <w:rPr>
          <w:rStyle w:val="katex-mathml"/>
        </w:rPr>
        <w:t>α</w:t>
      </w:r>
      <w:r w:rsidRPr="00713714">
        <w:rPr>
          <w:rStyle w:val="katex-mathml"/>
        </w:rPr>
        <w:t>,</w:t>
      </w:r>
      <w:r>
        <w:rPr>
          <w:rStyle w:val="katex-mathml"/>
        </w:rPr>
        <w:t>β</w:t>
      </w:r>
      <w:r w:rsidRPr="00713714">
        <w:rPr>
          <w:rStyle w:val="katex-mathml"/>
        </w:rPr>
        <w:t>,</w:t>
      </w:r>
      <w:r>
        <w:rPr>
          <w:rStyle w:val="katex-mathml"/>
        </w:rPr>
        <w:t>γ</w:t>
      </w:r>
      <w:r w:rsidRPr="00713714">
        <w:rPr>
          <w:rStyle w:val="katex-mathml"/>
        </w:rPr>
        <w:t>\alpha,\beta,\gamma</w:t>
      </w:r>
      <w:r>
        <w:rPr>
          <w:rStyle w:val="mord"/>
        </w:rPr>
        <w:t>α</w:t>
      </w:r>
      <w:r w:rsidRPr="00713714">
        <w:rPr>
          <w:rStyle w:val="mpunct"/>
        </w:rPr>
        <w:t>,</w:t>
      </w:r>
      <w:r>
        <w:rPr>
          <w:rStyle w:val="mord"/>
        </w:rPr>
        <w:t>β</w:t>
      </w:r>
      <w:r w:rsidRPr="00713714">
        <w:rPr>
          <w:rStyle w:val="mpunct"/>
        </w:rPr>
        <w:t>,</w:t>
      </w:r>
      <w:r>
        <w:rPr>
          <w:rStyle w:val="mord"/>
        </w:rPr>
        <w:t>γ</w:t>
      </w:r>
      <w:r w:rsidRPr="00713714">
        <w:t xml:space="preserve">, </w:t>
      </w:r>
      <w:r>
        <w:rPr>
          <w:rStyle w:val="katex-mathml"/>
        </w:rPr>
        <w:t>ε</w:t>
      </w:r>
      <w:r w:rsidRPr="00713714">
        <w:rPr>
          <w:rStyle w:val="katex-mathml"/>
        </w:rPr>
        <w:t>,</w:t>
      </w:r>
      <w:r>
        <w:rPr>
          <w:rStyle w:val="katex-mathml"/>
        </w:rPr>
        <w:t>δ</w:t>
      </w:r>
      <w:r w:rsidRPr="00713714">
        <w:rPr>
          <w:rStyle w:val="katex-mathml"/>
        </w:rPr>
        <w:t>,</w:t>
      </w:r>
      <w:r>
        <w:rPr>
          <w:rStyle w:val="katex-mathml"/>
        </w:rPr>
        <w:t>κ</w:t>
      </w:r>
      <w:r w:rsidRPr="00713714">
        <w:rPr>
          <w:rStyle w:val="katex-mathml"/>
        </w:rPr>
        <w:t>\varepsilon,\delta,\kappa</w:t>
      </w:r>
      <w:r>
        <w:rPr>
          <w:rStyle w:val="mord"/>
        </w:rPr>
        <w:t>ε</w:t>
      </w:r>
      <w:r w:rsidRPr="00713714">
        <w:rPr>
          <w:rStyle w:val="mpunct"/>
        </w:rPr>
        <w:t>,</w:t>
      </w:r>
      <w:r>
        <w:rPr>
          <w:rStyle w:val="mord"/>
        </w:rPr>
        <w:t>δ</w:t>
      </w:r>
      <w:r w:rsidRPr="00713714">
        <w:rPr>
          <w:rStyle w:val="mpunct"/>
        </w:rPr>
        <w:t>,</w:t>
      </w:r>
      <w:r>
        <w:rPr>
          <w:rStyle w:val="mord"/>
        </w:rPr>
        <w:t>κ</w:t>
      </w:r>
      <w:r w:rsidRPr="00713714">
        <w:t xml:space="preserve">, and optionally </w:t>
      </w:r>
      <w:r>
        <w:rPr>
          <w:rStyle w:val="katex-mathml"/>
        </w:rPr>
        <w:t>η</w:t>
      </w:r>
      <w:r w:rsidRPr="00713714">
        <w:rPr>
          <w:rStyle w:val="katex-mathml"/>
        </w:rPr>
        <w:t>\eta</w:t>
      </w:r>
      <w:r>
        <w:rPr>
          <w:rStyle w:val="mord"/>
        </w:rPr>
        <w:t>η</w:t>
      </w:r>
      <w:r w:rsidRPr="00713714">
        <w:t>—are trained jointly to maximize overlap with an “accept” subspace favoring high-entropy, low-</w:t>
      </w:r>
      <w:r>
        <w:rPr>
          <w:rStyle w:val="katex-mathml"/>
        </w:rPr>
        <w:t>Δ</w:t>
      </w:r>
      <w:r w:rsidRPr="00713714">
        <w:rPr>
          <w:rStyle w:val="katex-mathml"/>
        </w:rPr>
        <w:t>Gtot\Delta G_{\mathrm{tot}}</w:t>
      </w:r>
      <w:r>
        <w:rPr>
          <w:rStyle w:val="mord"/>
        </w:rPr>
        <w:t>Δ</w:t>
      </w:r>
      <w:r w:rsidRPr="00713714">
        <w:rPr>
          <w:rStyle w:val="mord"/>
        </w:rPr>
        <w:t>Gtot</w:t>
      </w:r>
      <w:r w:rsidRPr="00713714">
        <w:rPr>
          <w:rStyle w:val="vlist-s"/>
        </w:rPr>
        <w:t>​</w:t>
      </w:r>
      <w:r w:rsidRPr="00713714">
        <w:t xml:space="preserve"> states. Prior to training, an eight-step digitized-adiabatic </w:t>
      </w:r>
      <w:r w:rsidRPr="00713714">
        <w:rPr>
          <w:rStyle w:val="a3"/>
        </w:rPr>
        <w:t>GHZ calibration</w:t>
      </w:r>
      <w:r w:rsidRPr="00713714">
        <w:t xml:space="preserve"> supplies von Neumann entropy and GHZ-witness traces that gate circuit instances, linking device fidelity to downstream reliability; only GHZ-validated circuits enter </w:t>
      </w:r>
      <w:r w:rsidRPr="00713714">
        <w:rPr>
          <w:rStyle w:val="a3"/>
        </w:rPr>
        <w:t>SPSA</w:t>
      </w:r>
      <w:r w:rsidRPr="00713714">
        <w:t xml:space="preserve"> optimization for hardware-efficient convergence. Parameterization on three representatives illustrates the non-polar channel alone: MMP-biased hydroxamate </w:t>
      </w:r>
      <w:r>
        <w:rPr>
          <w:rStyle w:val="katex-mathml"/>
        </w:rPr>
        <w:t>Δ</w:t>
      </w:r>
      <w:r w:rsidRPr="00713714">
        <w:rPr>
          <w:rStyle w:val="katex-mathml"/>
        </w:rPr>
        <w:t>SASA=200±20 A˚2</w:t>
      </w:r>
      <w:r w:rsidRPr="00713714">
        <w:rPr>
          <w:rStyle w:val="katex-mathml"/>
          <w:rFonts w:ascii="Cambria Math" w:hAnsi="Cambria Math" w:cs="Cambria Math"/>
        </w:rPr>
        <w:t>⇒</w:t>
      </w:r>
      <w:r>
        <w:rPr>
          <w:rStyle w:val="katex-mathml"/>
        </w:rPr>
        <w:t>Δ</w:t>
      </w:r>
      <w:r w:rsidRPr="00713714">
        <w:rPr>
          <w:rStyle w:val="katex-mathml"/>
        </w:rPr>
        <w:t>Gnp=−1.0±0.1 kcal mol−1, </w:t>
      </w:r>
      <w:r>
        <w:rPr>
          <w:rStyle w:val="katex-mathml"/>
        </w:rPr>
        <w:t>Φ</w:t>
      </w:r>
      <w:r w:rsidRPr="00713714">
        <w:rPr>
          <w:rStyle w:val="katex-mathml"/>
        </w:rPr>
        <w:t>E≈0.63±0.06 rad\Delta\mathrm{SASA}=200\pm20\,\AA^2\Rightarrow\Delta G_{\mathrm{np}}=-1.0\pm0.1\ \mathrm{kcal\,mol^{-1}},\ \Phi_E\approx0.63\pm0.06\ \mathrm{rad}</w:t>
      </w:r>
      <w:r>
        <w:rPr>
          <w:rStyle w:val="mord"/>
        </w:rPr>
        <w:t>Δ</w:t>
      </w:r>
      <w:r w:rsidRPr="00713714">
        <w:rPr>
          <w:rStyle w:val="mord"/>
        </w:rPr>
        <w:t>SASA</w:t>
      </w:r>
      <w:r w:rsidRPr="00713714">
        <w:rPr>
          <w:rStyle w:val="mrel"/>
        </w:rPr>
        <w:t>=</w:t>
      </w:r>
      <w:r w:rsidRPr="00713714">
        <w:rPr>
          <w:rStyle w:val="mord"/>
        </w:rPr>
        <w:t>200</w:t>
      </w:r>
      <w:r w:rsidRPr="00713714">
        <w:rPr>
          <w:rStyle w:val="mbin"/>
        </w:rPr>
        <w:t>±</w:t>
      </w:r>
      <w:r w:rsidRPr="00713714">
        <w:rPr>
          <w:rStyle w:val="mord"/>
        </w:rPr>
        <w:t>20A˚2</w:t>
      </w:r>
      <w:r w:rsidRPr="00713714">
        <w:rPr>
          <w:rStyle w:val="mrel"/>
          <w:rFonts w:ascii="Cambria Math" w:hAnsi="Cambria Math" w:cs="Cambria Math"/>
        </w:rPr>
        <w:t>⇒</w:t>
      </w:r>
      <w:r>
        <w:rPr>
          <w:rStyle w:val="mord"/>
        </w:rPr>
        <w:t>Δ</w:t>
      </w:r>
      <w:r w:rsidRPr="00713714">
        <w:rPr>
          <w:rStyle w:val="mord"/>
        </w:rPr>
        <w:t>Gnp</w:t>
      </w:r>
      <w:r w:rsidRPr="00713714">
        <w:rPr>
          <w:rStyle w:val="vlist-s"/>
        </w:rPr>
        <w:t>​</w:t>
      </w:r>
      <w:r w:rsidRPr="00713714">
        <w:rPr>
          <w:rStyle w:val="mrel"/>
        </w:rPr>
        <w:t>=</w:t>
      </w:r>
      <w:r w:rsidRPr="00713714">
        <w:rPr>
          <w:rStyle w:val="mord"/>
        </w:rPr>
        <w:t>−1.0</w:t>
      </w:r>
      <w:r w:rsidRPr="00713714">
        <w:rPr>
          <w:rStyle w:val="mbin"/>
        </w:rPr>
        <w:t>±</w:t>
      </w:r>
      <w:r w:rsidRPr="00713714">
        <w:rPr>
          <w:rStyle w:val="mord"/>
        </w:rPr>
        <w:t>0.1</w:t>
      </w:r>
      <w:r w:rsidRPr="00713714">
        <w:rPr>
          <w:rStyle w:val="mspace"/>
        </w:rPr>
        <w:t> </w:t>
      </w:r>
      <w:r w:rsidRPr="00713714">
        <w:rPr>
          <w:rStyle w:val="mord"/>
        </w:rPr>
        <w:t>kcalmol−1</w:t>
      </w:r>
      <w:r w:rsidRPr="00713714">
        <w:rPr>
          <w:rStyle w:val="mpunct"/>
        </w:rPr>
        <w:t>,</w:t>
      </w:r>
      <w:r w:rsidRPr="00713714">
        <w:rPr>
          <w:rStyle w:val="mspace"/>
        </w:rPr>
        <w:t> </w:t>
      </w:r>
      <w:r>
        <w:rPr>
          <w:rStyle w:val="mord"/>
        </w:rPr>
        <w:t>Φ</w:t>
      </w:r>
      <w:r w:rsidRPr="00713714">
        <w:rPr>
          <w:rStyle w:val="mord"/>
        </w:rPr>
        <w:t>E</w:t>
      </w:r>
      <w:r w:rsidRPr="00713714">
        <w:rPr>
          <w:rStyle w:val="vlist-s"/>
        </w:rPr>
        <w:t>​</w:t>
      </w:r>
      <w:r w:rsidRPr="00713714">
        <w:rPr>
          <w:rStyle w:val="mrel"/>
        </w:rPr>
        <w:t>≈</w:t>
      </w:r>
      <w:r w:rsidRPr="00713714">
        <w:rPr>
          <w:rStyle w:val="mord"/>
        </w:rPr>
        <w:t>0.63</w:t>
      </w:r>
      <w:r w:rsidRPr="00713714">
        <w:rPr>
          <w:rStyle w:val="mbin"/>
        </w:rPr>
        <w:t>±</w:t>
      </w:r>
      <w:r w:rsidRPr="00713714">
        <w:rPr>
          <w:rStyle w:val="mord"/>
        </w:rPr>
        <w:t>0.06</w:t>
      </w:r>
      <w:r w:rsidRPr="00713714">
        <w:rPr>
          <w:rStyle w:val="mspace"/>
        </w:rPr>
        <w:t> </w:t>
      </w:r>
      <w:r w:rsidRPr="00713714">
        <w:rPr>
          <w:rStyle w:val="mord"/>
        </w:rPr>
        <w:t>rad</w:t>
      </w:r>
      <w:r w:rsidRPr="00713714">
        <w:t xml:space="preserve">; elastase-directed </w:t>
      </w:r>
      <w:r>
        <w:rPr>
          <w:rStyle w:val="katex-mathml"/>
        </w:rPr>
        <w:t>γ</w:t>
      </w:r>
      <w:r w:rsidRPr="00713714">
        <w:rPr>
          <w:rStyle w:val="katex-mathml"/>
        </w:rPr>
        <w:t>\gamma</w:t>
      </w:r>
      <w:r>
        <w:rPr>
          <w:rStyle w:val="mord"/>
        </w:rPr>
        <w:t>γ</w:t>
      </w:r>
      <w:r w:rsidRPr="00713714">
        <w:t xml:space="preserve">-lactam </w:t>
      </w:r>
      <w:r w:rsidRPr="00713714">
        <w:rPr>
          <w:rStyle w:val="katex-mathml"/>
        </w:rPr>
        <w:t>140±20 A˚2</w:t>
      </w:r>
      <w:r w:rsidRPr="00713714">
        <w:rPr>
          <w:rStyle w:val="katex-mathml"/>
          <w:rFonts w:ascii="Cambria Math" w:hAnsi="Cambria Math" w:cs="Cambria Math"/>
        </w:rPr>
        <w:t>⇒</w:t>
      </w:r>
      <w:r w:rsidRPr="00713714">
        <w:rPr>
          <w:rStyle w:val="katex-mathml"/>
        </w:rPr>
        <w:t>−0.70±0.10, </w:t>
      </w:r>
      <w:r>
        <w:rPr>
          <w:rStyle w:val="katex-mathml"/>
        </w:rPr>
        <w:t>Φ</w:t>
      </w:r>
      <w:r w:rsidRPr="00713714">
        <w:rPr>
          <w:rStyle w:val="katex-mathml"/>
        </w:rPr>
        <w:t>E≈0.44±0.06140\pm20\,\AA^2\Rightarrow-0.70\pm0.10,\ \Phi_E\approx0.44\pm0.06</w:t>
      </w:r>
      <w:r w:rsidRPr="00713714">
        <w:rPr>
          <w:rStyle w:val="mord"/>
        </w:rPr>
        <w:t>140</w:t>
      </w:r>
      <w:r w:rsidRPr="00713714">
        <w:rPr>
          <w:rStyle w:val="mbin"/>
        </w:rPr>
        <w:t>±</w:t>
      </w:r>
      <w:r w:rsidRPr="00713714">
        <w:rPr>
          <w:rStyle w:val="mord"/>
        </w:rPr>
        <w:t>20A˚2</w:t>
      </w:r>
      <w:r w:rsidRPr="00713714">
        <w:rPr>
          <w:rStyle w:val="mrel"/>
          <w:rFonts w:ascii="Cambria Math" w:hAnsi="Cambria Math" w:cs="Cambria Math"/>
        </w:rPr>
        <w:t>⇒</w:t>
      </w:r>
      <w:r w:rsidRPr="00713714">
        <w:rPr>
          <w:rStyle w:val="mord"/>
        </w:rPr>
        <w:t>−0.70</w:t>
      </w:r>
      <w:r w:rsidRPr="00713714">
        <w:rPr>
          <w:rStyle w:val="mbin"/>
        </w:rPr>
        <w:t>±</w:t>
      </w:r>
      <w:r w:rsidRPr="00713714">
        <w:rPr>
          <w:rStyle w:val="mord"/>
        </w:rPr>
        <w:t>0.10</w:t>
      </w:r>
      <w:r w:rsidRPr="00713714">
        <w:rPr>
          <w:rStyle w:val="mpunct"/>
        </w:rPr>
        <w:t>,</w:t>
      </w:r>
      <w:r w:rsidRPr="00713714">
        <w:rPr>
          <w:rStyle w:val="mspace"/>
        </w:rPr>
        <w:t> </w:t>
      </w:r>
      <w:r>
        <w:rPr>
          <w:rStyle w:val="mord"/>
        </w:rPr>
        <w:t>Φ</w:t>
      </w:r>
      <w:r w:rsidRPr="00713714">
        <w:rPr>
          <w:rStyle w:val="mord"/>
        </w:rPr>
        <w:t>E</w:t>
      </w:r>
      <w:r w:rsidRPr="00713714">
        <w:rPr>
          <w:rStyle w:val="vlist-s"/>
        </w:rPr>
        <w:t>​</w:t>
      </w:r>
      <w:r w:rsidRPr="00713714">
        <w:rPr>
          <w:rStyle w:val="mrel"/>
        </w:rPr>
        <w:t>≈</w:t>
      </w:r>
      <w:r w:rsidRPr="00713714">
        <w:rPr>
          <w:rStyle w:val="mord"/>
        </w:rPr>
        <w:t>0.44</w:t>
      </w:r>
      <w:r w:rsidRPr="00713714">
        <w:rPr>
          <w:rStyle w:val="mbin"/>
        </w:rPr>
        <w:t>±</w:t>
      </w:r>
      <w:r w:rsidRPr="00713714">
        <w:rPr>
          <w:rStyle w:val="mord"/>
        </w:rPr>
        <w:t>0.06</w:t>
      </w:r>
      <w:r w:rsidRPr="00713714">
        <w:t xml:space="preserve">; ERC-mimetic proline-like </w:t>
      </w:r>
      <w:r w:rsidRPr="00713714">
        <w:rPr>
          <w:rStyle w:val="katex-mathml"/>
        </w:rPr>
        <w:t>105±15 A˚2</w:t>
      </w:r>
      <w:r w:rsidRPr="00713714">
        <w:rPr>
          <w:rStyle w:val="katex-mathml"/>
          <w:rFonts w:ascii="Cambria Math" w:hAnsi="Cambria Math" w:cs="Cambria Math"/>
        </w:rPr>
        <w:t>⇒</w:t>
      </w:r>
      <w:r w:rsidRPr="00713714">
        <w:rPr>
          <w:rStyle w:val="katex-mathml"/>
        </w:rPr>
        <w:t>−0.53±0.08, </w:t>
      </w:r>
      <w:r>
        <w:rPr>
          <w:rStyle w:val="katex-mathml"/>
        </w:rPr>
        <w:t>Φ</w:t>
      </w:r>
      <w:r w:rsidRPr="00713714">
        <w:rPr>
          <w:rStyle w:val="katex-mathml"/>
        </w:rPr>
        <w:t>E≈0.33±0.05105\pm15\,\AA^2\Rightarrow-0.53\pm0.08,\ \Phi_E\approx0.33\pm0.05</w:t>
      </w:r>
      <w:r w:rsidRPr="00713714">
        <w:rPr>
          <w:rStyle w:val="mord"/>
        </w:rPr>
        <w:t>105</w:t>
      </w:r>
      <w:r w:rsidRPr="00713714">
        <w:rPr>
          <w:rStyle w:val="mbin"/>
        </w:rPr>
        <w:t>±</w:t>
      </w:r>
      <w:r w:rsidRPr="00713714">
        <w:rPr>
          <w:rStyle w:val="mord"/>
        </w:rPr>
        <w:t>15A˚2</w:t>
      </w:r>
      <w:r w:rsidRPr="00713714">
        <w:rPr>
          <w:rStyle w:val="mrel"/>
          <w:rFonts w:ascii="Cambria Math" w:hAnsi="Cambria Math" w:cs="Cambria Math"/>
        </w:rPr>
        <w:t>⇒</w:t>
      </w:r>
      <w:r w:rsidRPr="00713714">
        <w:rPr>
          <w:rStyle w:val="mord"/>
        </w:rPr>
        <w:t>−0.53</w:t>
      </w:r>
      <w:r w:rsidRPr="00713714">
        <w:rPr>
          <w:rStyle w:val="mbin"/>
        </w:rPr>
        <w:t>±</w:t>
      </w:r>
      <w:r w:rsidRPr="00713714">
        <w:rPr>
          <w:rStyle w:val="mord"/>
        </w:rPr>
        <w:t>0.08</w:t>
      </w:r>
      <w:r w:rsidRPr="00713714">
        <w:rPr>
          <w:rStyle w:val="mpunct"/>
        </w:rPr>
        <w:t>,</w:t>
      </w:r>
      <w:r w:rsidRPr="00713714">
        <w:rPr>
          <w:rStyle w:val="mspace"/>
        </w:rPr>
        <w:t> </w:t>
      </w:r>
      <w:r>
        <w:rPr>
          <w:rStyle w:val="mord"/>
        </w:rPr>
        <w:t>Φ</w:t>
      </w:r>
      <w:r w:rsidRPr="00713714">
        <w:rPr>
          <w:rStyle w:val="mord"/>
        </w:rPr>
        <w:t>E</w:t>
      </w:r>
      <w:r w:rsidRPr="00713714">
        <w:rPr>
          <w:rStyle w:val="vlist-s"/>
        </w:rPr>
        <w:t>​</w:t>
      </w:r>
      <w:r w:rsidRPr="00713714">
        <w:rPr>
          <w:rStyle w:val="mrel"/>
        </w:rPr>
        <w:t>≈</w:t>
      </w:r>
      <w:r w:rsidRPr="00713714">
        <w:rPr>
          <w:rStyle w:val="mord"/>
        </w:rPr>
        <w:t>0.33</w:t>
      </w:r>
      <w:r w:rsidRPr="00713714">
        <w:rPr>
          <w:rStyle w:val="mbin"/>
        </w:rPr>
        <w:t>±</w:t>
      </w:r>
      <w:r w:rsidRPr="00713714">
        <w:rPr>
          <w:rStyle w:val="mord"/>
        </w:rPr>
        <w:t>0.05</w:t>
      </w:r>
      <w:r w:rsidRPr="00713714">
        <w:t xml:space="preserve">; in production, </w:t>
      </w:r>
      <w:r>
        <w:rPr>
          <w:rStyle w:val="katex-mathml"/>
        </w:rPr>
        <w:t>Δ</w:t>
      </w:r>
      <w:r w:rsidRPr="00713714">
        <w:rPr>
          <w:rStyle w:val="katex-mathml"/>
        </w:rPr>
        <w:t>GMM–PBSA\Delta G_{\mathrm{MM\text{–}PBSA}}</w:t>
      </w:r>
      <w:r>
        <w:rPr>
          <w:rStyle w:val="mord"/>
        </w:rPr>
        <w:t>Δ</w:t>
      </w:r>
      <w:r w:rsidRPr="00713714">
        <w:rPr>
          <w:rStyle w:val="mord"/>
        </w:rPr>
        <w:t>GMM–PBSA</w:t>
      </w:r>
      <w:r w:rsidRPr="00713714">
        <w:rPr>
          <w:rStyle w:val="vlist-s"/>
        </w:rPr>
        <w:t>​</w:t>
      </w:r>
      <w:r w:rsidRPr="00713714">
        <w:t xml:space="preserve"> is added before compilation to shift </w:t>
      </w:r>
      <w:r>
        <w:rPr>
          <w:rStyle w:val="katex-mathml"/>
        </w:rPr>
        <w:t>Φ</w:t>
      </w:r>
      <w:r w:rsidRPr="00713714">
        <w:rPr>
          <w:rStyle w:val="katex-mathml"/>
        </w:rPr>
        <w:t>E\Phi_E</w:t>
      </w:r>
      <w:r>
        <w:rPr>
          <w:rStyle w:val="mord"/>
        </w:rPr>
        <w:t>Φ</w:t>
      </w:r>
      <w:r w:rsidRPr="00713714">
        <w:rPr>
          <w:rStyle w:val="mord"/>
        </w:rPr>
        <w:t>E</w:t>
      </w:r>
      <w:r w:rsidRPr="00713714">
        <w:rPr>
          <w:rStyle w:val="vlist-s"/>
        </w:rPr>
        <w:t>​</w:t>
      </w:r>
      <w:r w:rsidRPr="00713714">
        <w:t xml:space="preserve"> while avoiding phase wrap-around. Overall, the design stays within near-term </w:t>
      </w:r>
      <w:r w:rsidRPr="00713714">
        <w:rPr>
          <w:rStyle w:val="a3"/>
        </w:rPr>
        <w:t>depth/connectivity</w:t>
      </w:r>
      <w:r w:rsidRPr="00713714">
        <w:t xml:space="preserve"> budgets, cleanly separates </w:t>
      </w:r>
      <w:r w:rsidRPr="00713714">
        <w:rPr>
          <w:rStyle w:val="a3"/>
        </w:rPr>
        <w:t>symmetry (Euler)</w:t>
      </w:r>
      <w:r w:rsidRPr="00713714">
        <w:t xml:space="preserve">, </w:t>
      </w:r>
      <w:r w:rsidRPr="00713714">
        <w:rPr>
          <w:rStyle w:val="a3"/>
        </w:rPr>
        <w:t>dynamics (predictor–corrector)</w:t>
      </w:r>
      <w:r w:rsidRPr="00713714">
        <w:t xml:space="preserve">, </w:t>
      </w:r>
      <w:r w:rsidRPr="00713714">
        <w:rPr>
          <w:rStyle w:val="a3"/>
        </w:rPr>
        <w:t>interaction (soft-overlap)</w:t>
      </w:r>
      <w:r w:rsidRPr="00713714">
        <w:t xml:space="preserve">, </w:t>
      </w:r>
      <w:r w:rsidRPr="00713714">
        <w:rPr>
          <w:rStyle w:val="a3"/>
        </w:rPr>
        <w:t>fairness (entropy)</w:t>
      </w:r>
      <w:r w:rsidRPr="00713714">
        <w:t xml:space="preserve">, and </w:t>
      </w:r>
      <w:r w:rsidRPr="00713714">
        <w:rPr>
          <w:rStyle w:val="a3"/>
        </w:rPr>
        <w:t>selection (energy)</w:t>
      </w:r>
      <w:r w:rsidRPr="00713714">
        <w:t>, and yields a modular, interpretable, and gradient-amenable quantum surrogate of the classical objective for entropy-guided, curvature-aware pharmacophoric discovery.</w:t>
      </w:r>
    </w:p>
    <w:p w:rsidR="002D5638" w:rsidRPr="002D5638" w:rsidRDefault="002D5638" w:rsidP="002D5638">
      <w:pPr>
        <w:jc w:val="left"/>
        <w:outlineLvl w:val="0"/>
        <w:rPr>
          <w:b/>
          <w:bCs/>
          <w:kern w:val="36"/>
          <w:sz w:val="48"/>
          <w:szCs w:val="48"/>
        </w:rPr>
      </w:pPr>
      <w:r w:rsidRPr="002D5638">
        <w:rPr>
          <w:b/>
          <w:bCs/>
          <w:kern w:val="36"/>
          <w:sz w:val="48"/>
          <w:szCs w:val="48"/>
        </w:rPr>
        <w:t>6.13 Motif-driven priors, energetic selection, and their symmetry-preserving quantum translation</w:t>
      </w:r>
    </w:p>
    <w:p w:rsidR="002D5638" w:rsidRPr="002D5638" w:rsidRDefault="002D5638" w:rsidP="002D5638">
      <w:pPr>
        <w:jc w:val="left"/>
        <w:outlineLvl w:val="9"/>
      </w:pPr>
      <w:r w:rsidRPr="002D5638">
        <w:t>We elevate gapped-motif evidence to a first-class prior that shapes both the continuous pharmacophoric ODE and its symmetry-preserving quantum surrogate, so that sequence regularities, pocket geometry, and burial-aware energetics act coherently across numerical and quantum layers. Concretely, GLAM2/GLAM2SCAN yields three recurrent classes that</w:t>
      </w:r>
      <w:r w:rsidR="00356057">
        <w:t xml:space="preserve"> I </w:t>
      </w:r>
      <w:r w:rsidRPr="002D5638">
        <w:t>compile into the pharmacophore loss (\ell_{\mathrm{ph4}}) (Eq. 10), the graph–pose–label state (x_t=(G_t,P_t,\Pi_t)) (Eqs. 8–9), and a motif oracle in the circuit:</w:t>
      </w:r>
      <w:r w:rsidRPr="002D5638">
        <w:br/>
        <w:t>(i) an ERC/NEU1-biased, gap-tolerant consensus used to seed soft labels (\Pi_{t=0}) and weight matches during pose evolution,</w:t>
      </w:r>
      <w:r w:rsidRPr="002D5638">
        <w:br/>
        <w:t>[</w:t>
      </w:r>
      <w:r w:rsidRPr="002D5638">
        <w:br/>
        <w:t>\texttt{[WR]P[WH][QA][VW][SP][LF][QM][YV]S[SL]Q[GL][SR]G[YG]H[TF]CG[GA][ST]LIAPN[WF]VM[TS]AAHC[IV][SA][SN].{0,36}V?N[TV][YR][RA]V[VR][LV][GV]L[HG][NA]}</w:t>
      </w:r>
      <w:r w:rsidRPr="002D5638">
        <w:br/>
        <w:t>]</w:t>
      </w:r>
      <w:r w:rsidRPr="002D5638">
        <w:br/>
        <w:t>(ii) a compact serine-protease–proximal family that repeatedly maps to neutrophil elastase and S1 proteases, with optional prefix and micro-indel exactly as an indel-aware aligner expects:</w:t>
      </w:r>
      <w:r w:rsidRPr="002D5638">
        <w:br/>
        <w:t>Core: (;) \texttt{LFLVAAH[EQ]FGHA[ML]GL[ED]HS[QS][DV]P[GE]ALM[AY]P[IM]Y[TR][YF]T.{0,2}[KE][NG][FP][RP]L[SH][QK]DD[IV][KN]GI[QR][EH]LYG?}</w:t>
      </w:r>
      <w:r w:rsidRPr="002D5638">
        <w:br/>
        <w:t>Prefix (optional): (;) \texttt{A[NH][YF]DDD.*QGY}</w:t>
      </w:r>
      <w:r w:rsidRPr="002D5638">
        <w:br/>
        <w:t>Gap (optional): (;) \texttt{.{0,1}D?T[KE].{0,2}}</w:t>
      </w:r>
      <w:r w:rsidRPr="002D5638">
        <w:br/>
        <w:t>(iii) a cystine-bearing extracellular/localization tag, used when imposing CellNetVis-derived compartment constraints:</w:t>
      </w:r>
      <w:r w:rsidRPr="002D5638">
        <w:br/>
        <w:t>(;) \texttt{STVGGNSEGAPCVFPFTFLGNKYESCTSAGRSDGKMWCATTANYDDDRKW}.</w:t>
      </w:r>
    </w:p>
    <w:p w:rsidR="002D5638" w:rsidRPr="002D5638" w:rsidRDefault="002D5638" w:rsidP="002D5638">
      <w:pPr>
        <w:jc w:val="left"/>
        <w:outlineLvl w:val="9"/>
      </w:pPr>
      <w:r w:rsidRPr="002D5638">
        <w:rPr>
          <w:b/>
          <w:bCs/>
        </w:rPr>
        <w:t>Numerical pathway (Pharmacophoric-ODE).</w:t>
      </w:r>
      <w:r w:rsidRPr="002D5638">
        <w:t xml:space="preserve"> These regexes become measurement-driven priors that reshape both (\ell_{\mathrm{ph4}}) and the curvature-aware flow (\dot x_t=f_\theta(x_t,t)): mandated residues are enforced as hard/soft site constraints; allowable gaps widen tolerance in overlap terms; and motif-matched residues receive extra credit when rewarding buried non-polar area (\Delta\mathrm{SASA}) (Eq. 6), provided hydrogen-bond geometry is respected. The effect is to reduce pose degeneracy and curb rank shuffling after the docking → short-MD → MM–PBSA (+\Delta G_{\mathrm{np}}) pass, accelerating convergence toward ERC-consistent and protease-plausible poses in concave, hydrated subsites favored by the curvature bias. Because high-throughput screening is noisy, the entire workflow is disciplined by three layers: (1) </w:t>
      </w:r>
      <w:r w:rsidRPr="002D5638">
        <w:rPr>
          <w:b/>
          <w:bCs/>
        </w:rPr>
        <w:t>information fairness</w:t>
      </w:r>
      <w:r w:rsidRPr="002D5638">
        <w:t xml:space="preserve">—partition candidates into chemotype bins, admit only if (\Delta H&gt;0) (Eq. 3), damp over-represented families with Rényi (S_\alpha) (Eq. 2), and audit with (\chi^2) (Eq. 4); (2) </w:t>
      </w:r>
      <w:r w:rsidRPr="002D5638">
        <w:rPr>
          <w:b/>
          <w:bCs/>
        </w:rPr>
        <w:t>physics with missing non-polar restored</w:t>
      </w:r>
      <w:r w:rsidRPr="002D5638">
        <w:t xml:space="preserve">—after consensus docking and brief MD, score (\Delta G_{\text{MM–PBSA}}) (Eq. 5) and add (\Delta G_{\mathrm{np}}=\gamma,\Delta\mathrm{SASA}) with (\gamma=0.005\ \mathrm{kcal,mol^{-1},\AA^{-2}}) (Eq. 6) to obtain (\Delta G_{\text{tot}}) (Eq. 7); and (3) </w:t>
      </w:r>
      <w:r w:rsidRPr="002D5638">
        <w:rPr>
          <w:b/>
          <w:bCs/>
        </w:rPr>
        <w:t>geometry engine</w:t>
      </w:r>
      <w:r w:rsidRPr="002D5638">
        <w:t>—evolve (x_t) under the ODE (Eq. 9) with mean/Gaussian curvature (H=\tfrac12(\kappa_1+\kappa_2)), (K=\kappa_1\kappa_2) guiding the flow, and optimize the composite loss (Eq. 10). An annealed schedule raises motif weights in step with curvature as the pose settles, while each ODE step is projected back to valid chemistry (valence, rings, charge), ensuring makeability.</w:t>
      </w:r>
    </w:p>
    <w:p w:rsidR="002D5638" w:rsidRPr="002D5638" w:rsidRDefault="002D5638" w:rsidP="002D5638">
      <w:pPr>
        <w:jc w:val="left"/>
        <w:outlineLvl w:val="9"/>
      </w:pPr>
      <w:r w:rsidRPr="002D5638">
        <w:rPr>
          <w:b/>
          <w:bCs/>
        </w:rPr>
        <w:t>Quantum translation (symmetry-preserving surrogate).</w:t>
      </w:r>
      <w:r w:rsidRPr="002D5638">
        <w:t xml:space="preserve"> The same priors compile into a shallow, NISQ-practical circuit that mirrors the classical flow while preserving rotational equivariance. Three pose wires (q_0!-!q_2) carry a shared Wigner-style Euler block (R_z(\alpha)R_y(\beta)R_z(\gamma)) so rigid-body rotations act by shifting ((\alpha,\beta,\gamma)) without breaking relative arrangement. A discretized predictor–corrector then applies shallow (R_x(\varepsilon)) predictors and edit-gated (\mathrm{CR}</w:t>
      </w:r>
      <w:r w:rsidRPr="002D5638">
        <w:rPr>
          <w:i/>
          <w:iCs/>
        </w:rPr>
        <w:t xml:space="preserve">z(\delta)) correctors on an edit wire (q_3), reproducing small-step ODE stability and “only-when-activated” edits. Kernel-like soft overlap is emulated by (\mathrm{CR}y(\kappa)) couplers among the pose wires, delivering differentiable, gap-tolerant spreading aligned with GLAM2’s indel logic. The </w:t>
      </w:r>
      <w:r w:rsidRPr="002D5638">
        <w:rPr>
          <w:b/>
          <w:bCs/>
          <w:i/>
          <w:iCs/>
        </w:rPr>
        <w:t>motif oracle</w:t>
      </w:r>
      <w:r w:rsidRPr="002D5638">
        <w:rPr>
          <w:i/>
          <w:iCs/>
        </w:rPr>
        <w:t xml:space="preserve"> loads normalized motif scores (s{\mathrm{ERC}}, s</w:t>
      </w:r>
      <w:r w:rsidRPr="002D5638">
        <w:t xml:space="preserve">{\mathrm{NE}}, s_{\mathrm{ECM}}!\in![0,1]) as controlled-(R_z) phases on an ancilla, yielding constructive interference for motif-supported states and mild suppression for motif-poor ones. </w:t>
      </w:r>
      <w:r w:rsidRPr="002D5638">
        <w:rPr>
          <w:b/>
          <w:bCs/>
        </w:rPr>
        <w:t>Entropy fairness</w:t>
      </w:r>
      <w:r w:rsidRPr="002D5638">
        <w:t xml:space="preserve"> is preserved by a bin-labeled (\mathrm{CR}</w:t>
      </w:r>
      <w:r w:rsidRPr="002D5638">
        <w:rPr>
          <w:i/>
          <w:iCs/>
        </w:rPr>
        <w:t>z(\phi</w:t>
      </w:r>
      <w:r w:rsidRPr="002D5638">
        <w:t xml:space="preserve">{H/R})) that encodes Shannon–Rényi pressure, penalizing over-sampled chemotypes without disturbing rotational symmetry. Finally, </w:t>
      </w:r>
      <w:r w:rsidRPr="002D5638">
        <w:rPr>
          <w:b/>
          <w:bCs/>
        </w:rPr>
        <w:t>energetic selection</w:t>
      </w:r>
      <w:r w:rsidRPr="002D5638">
        <w:t xml:space="preserve"> enters via a phase-kick oracle that maps the classical composite score to a single phase: (\Delta G_{\mathrm{tot}}=\Delta G_{\mathrm{MM\text{–}PBSA}}+\gamma,\Delta\mathrm{SASA}), with (\Phi_E=\eta(-\Delta G_{\mathrm{tot}})) applied by controlled-(R_z) on an energy ancilla; (\eta=\pi/5\ \mathrm{rad\ per\ kcal,mol^{-1}}) keeps (|\Delta G_{\mathrm{tot}}|!\lesssim!5) within ([0,\pi]) and ensures near-linear sensitivity. Phases from motifs, entropy, and energy add coherently, so the reflect-about-mean step amplifies states that are diverse, motif-consistent, and energetically favorable—precisely the triad enforced in the classical stack. In sum, motif-driven priors do not merely “annotate” the search: they become calibrated fields in both the ODE and the circuit, sharpening rank order, preserving symmetry and diversity, and steering discovery toward ERC/NEU1- and protease-credible, burial-efficient designs that remain legible in mechanistic biological terms.</w:t>
      </w:r>
    </w:p>
    <w:p w:rsidR="002D5638" w:rsidRPr="002D5638" w:rsidRDefault="002D5638" w:rsidP="002D5638">
      <w:pPr>
        <w:jc w:val="left"/>
        <w:rPr>
          <w:b/>
          <w:bCs/>
          <w:sz w:val="27"/>
          <w:szCs w:val="27"/>
        </w:rPr>
      </w:pPr>
      <w:r w:rsidRPr="002D5638">
        <w:rPr>
          <w:b/>
          <w:bCs/>
          <w:sz w:val="27"/>
          <w:szCs w:val="27"/>
        </w:rPr>
        <w:t>6.13 Motif-driven priors, energetic selection, and their symmetry-preserving quantum translation</w:t>
      </w:r>
    </w:p>
    <w:p w:rsidR="002D5638" w:rsidRPr="002D5638" w:rsidRDefault="002D5638" w:rsidP="002D5638">
      <w:pPr>
        <w:jc w:val="left"/>
        <w:outlineLvl w:val="9"/>
      </w:pPr>
      <w:r w:rsidRPr="002D5638">
        <w:t>In</w:t>
      </w:r>
      <w:r w:rsidR="00356057">
        <w:t xml:space="preserve"> my </w:t>
      </w:r>
      <w:r w:rsidRPr="002D5638">
        <w:t>pipeline, gapped-motif discovery is promoted from a peripheral annotation to a first-class constraint that shapes both the continuous pharmacophoric ODE and its symmetry-preserving quantum surrogate. This ensures that sequence regularities, geometric energetics and entropy-aware selection are enforced coherently across the classical and quantum layers. On the numerical side, extended GLAM2/GLAM2SCAN runs recovered three high-confidence classes that are folded directly into the pharmacophore loss ℓph4\ell_{\mathrm{ph4}}ℓph4​ (Eq. 10) and into the evolving graph–pose–label state xt=(Gt,Pt,</w:t>
      </w:r>
      <w:r w:rsidRPr="002D5638">
        <w:rPr>
          <w:lang w:val="el-GR"/>
        </w:rPr>
        <w:t>Π</w:t>
      </w:r>
      <w:r w:rsidRPr="002D5638">
        <w:t>t)x_t=(G_t,P_t,\Pi_t)xt​=(Gt​,Pt​,</w:t>
      </w:r>
      <w:r w:rsidRPr="002D5638">
        <w:rPr>
          <w:lang w:val="el-GR"/>
        </w:rPr>
        <w:t>Π</w:t>
      </w:r>
      <w:r w:rsidRPr="002D5638">
        <w:t>t​) (Eqs. 8–9).</w:t>
      </w:r>
    </w:p>
    <w:p w:rsidR="002D5638" w:rsidRPr="002D5638" w:rsidRDefault="002D5638" w:rsidP="002D5638">
      <w:pPr>
        <w:jc w:val="left"/>
        <w:outlineLvl w:val="9"/>
      </w:pPr>
      <w:r w:rsidRPr="002D5638">
        <w:t>The first class is an ERC/NEU1-biased, gap-tolerant consensus (best score 22 085.2 with concordant replicates at 21 981.9 and 18 666.1) expressed as</w:t>
      </w:r>
    </w:p>
    <w:p w:rsidR="002D5638" w:rsidRPr="002D5638" w:rsidRDefault="002D5638" w:rsidP="002D5638">
      <w:pPr>
        <w:spacing w:before="0" w:beforeAutospacing="0" w:after="0" w:afterAutospacing="0"/>
        <w:jc w:val="left"/>
        <w:outlineLvl w:val="9"/>
      </w:pPr>
      <w:r w:rsidRPr="002D5638">
        <w:t xml:space="preserve">[WR]P[WH][QA][VW][SP][LF][QM][YV]S[SL]Q[GL][SR]G[YG]H[TF]CG[GA][ST]LIAPN[WF]VM[TS]AAHC[IV][SA][SN].{0,36}V?N[TV][YR][RA]V[VR][LV][GV]L[HG][NA],\texttt{[WR]P[WH][QA][VW][SP][LF][QM][YV]S[SL]Q[GL][SR]G[YG]H[TF]CG[GA][ST]LIAPN[WF]VM[TS]AAHC[IV][SA][SN].\{0,36\}V?N[TV][YR][RA]V[VR][LV][GV]L[HG][NA]},[WR]P[WH][QA][VW][SP][LF][QM][YV]S[SL]Q[GL][SR]G[YG]H[TF]CG[GA][ST]LIAPN[WF]VM[TS]AAHC[IV][SA][SN].{0,36}V?N[TV][YR][RA]V[VR][LV][GV]L[HG][NA], </w:t>
      </w:r>
    </w:p>
    <w:p w:rsidR="002D5638" w:rsidRPr="002D5638" w:rsidRDefault="002D5638" w:rsidP="002D5638">
      <w:pPr>
        <w:jc w:val="left"/>
        <w:outlineLvl w:val="9"/>
      </w:pPr>
      <w:r w:rsidRPr="002D5638">
        <w:t xml:space="preserve">which initializes the soft pharmacophore labels </w:t>
      </w:r>
      <w:r w:rsidRPr="002D5638">
        <w:rPr>
          <w:lang w:val="el-GR"/>
        </w:rPr>
        <w:t>Π</w:t>
      </w:r>
      <w:r w:rsidRPr="002D5638">
        <w:t>t\Pi_t</w:t>
      </w:r>
      <w:r w:rsidRPr="002D5638">
        <w:rPr>
          <w:lang w:val="el-GR"/>
        </w:rPr>
        <w:t>Π</w:t>
      </w:r>
      <w:r w:rsidRPr="002D5638">
        <w:t>t​ and sets residue-level weights so that motif-consistent donors, acceptors and hydrophobes are privileged during pose evolution. The second class, repeatedly observed in serine-protease contexts (top score 3 564.69; close replicates 3 561.88 and 3 554.38), captures a shorter elastase/collagenase-adjacent core</w:t>
      </w:r>
    </w:p>
    <w:p w:rsidR="002D5638" w:rsidRPr="002D5638" w:rsidRDefault="002D5638" w:rsidP="002D5638">
      <w:pPr>
        <w:spacing w:before="0" w:beforeAutospacing="0" w:after="0" w:afterAutospacing="0"/>
        <w:jc w:val="left"/>
        <w:outlineLvl w:val="9"/>
      </w:pPr>
      <w:r w:rsidRPr="002D5638">
        <w:t xml:space="preserve">LFLVAAH[EQ]FGHA[ML]GL[ED]HS[QS][DV]P[GE]ALM[AY]P[IM]Y[TR][YF]T.{0,2}[KE][NG][FP][RP]L[SH][QK]DD[IV][KN]GI[QR][EH]LYG?\texttt{LFLVAAH[EQ]FGHA[ML]GL[ED]HS[QS][DV]P[GE]ALM[AY]P[IM]Y[TR][YF]T.\{0,2\}[KE][NG][FP][RP]L[SH][QK]DD[IV][KN]GI[QR][EH]LYG?}LFLVAAH[EQ]FGHA[ML]GL[ED]HS[QS][DV]P[GE]ALM[AY]P[IM]Y[TR][YF]T.{0,2}[KE][NG][FP][RP]L[SH][QK]DD[IV][KN]GI[QR][EH]LYG? </w:t>
      </w:r>
    </w:p>
    <w:p w:rsidR="002D5638" w:rsidRPr="002D5638" w:rsidRDefault="002D5638" w:rsidP="002D5638">
      <w:pPr>
        <w:jc w:val="left"/>
        <w:outlineLvl w:val="9"/>
      </w:pPr>
      <w:r w:rsidRPr="002D5638">
        <w:t>with optional N-terminal extension A[NH][YF]DDD…QGY\texttt{A[NH][YF]DDD…QGY}A[NH][YF]DDD…QGY and compact internal gaps .{0,1}D?T[KE].{0,2}\texttt{.\{0,1\}D?T[KE].\{0,2\}}.{0,1}D?T[KE].{0,2}. A third motif, a cystine-bearing extracellular signature</w:t>
      </w:r>
    </w:p>
    <w:p w:rsidR="002D5638" w:rsidRPr="002D5638" w:rsidRDefault="002D5638" w:rsidP="002D5638">
      <w:pPr>
        <w:spacing w:before="0" w:beforeAutospacing="0" w:after="0" w:afterAutospacing="0"/>
        <w:jc w:val="left"/>
        <w:outlineLvl w:val="9"/>
      </w:pPr>
      <w:r w:rsidRPr="002D5638">
        <w:t xml:space="preserve">STVGGNSEGAPCVFPFTFLGNKYESCTSAGRSDGKMWCATTANYDDDRKW\texttt{STVGGNSEGAPCVFPFTFLGNKYESCTSAGRSDGKMWCATTANYDDDRKW}STVGGNSEGAPCVFPFTFLGNKYESCTSAGRSDGKMWCATTANYDDDRKW </w:t>
      </w:r>
    </w:p>
    <w:p w:rsidR="002D5638" w:rsidRPr="002D5638" w:rsidRDefault="002D5638" w:rsidP="002D5638">
      <w:pPr>
        <w:jc w:val="left"/>
        <w:outlineLvl w:val="9"/>
      </w:pPr>
      <w:r w:rsidRPr="002D5638">
        <w:t>(score 685.04), serves as a compartment/exposure tag when imposing CellNetVis-derived pocket constraints. Together, these classes parameterize ℓph4\ell_{\mathrm{ph4}}ℓph4​ and the vector field x˙t=f</w:t>
      </w:r>
      <w:r w:rsidRPr="002D5638">
        <w:rPr>
          <w:lang w:val="el-GR"/>
        </w:rPr>
        <w:t>θ</w:t>
      </w:r>
      <w:r w:rsidRPr="002D5638">
        <w:t>(xt,t)\dot x_t=f_\theta(x_t,t)x˙t​=f</w:t>
      </w:r>
      <w:r w:rsidRPr="002D5638">
        <w:rPr>
          <w:lang w:val="el-GR"/>
        </w:rPr>
        <w:t>θ</w:t>
      </w:r>
      <w:r w:rsidRPr="002D5638">
        <w:t xml:space="preserve">​(xt​,t): mandated residues become hard or softly weighted site constraints; allowed gaps widen tolerance in overlap terms; and motif-matched residues receive higher weights when buried non-polar area </w:t>
      </w:r>
      <w:r w:rsidRPr="002D5638">
        <w:rPr>
          <w:lang w:val="el-GR"/>
        </w:rPr>
        <w:t>Δ</w:t>
      </w:r>
      <w:r w:rsidRPr="002D5638">
        <w:t>SASA\Delta\mathrm{SASA}</w:t>
      </w:r>
      <w:r w:rsidRPr="002D5638">
        <w:rPr>
          <w:lang w:val="el-GR"/>
        </w:rPr>
        <w:t>Δ</w:t>
      </w:r>
      <w:r w:rsidRPr="002D5638">
        <w:t xml:space="preserve">SASA (Eq. 6) is rewarded without breaking hydrogen-bond geometry. Coupling sequence regularities to curvature-aware dynamics improves rank ordering after the docking → short-MD → MM–PBSA + </w:t>
      </w:r>
      <w:r w:rsidRPr="002D5638">
        <w:rPr>
          <w:lang w:val="el-GR"/>
        </w:rPr>
        <w:t>Δ</w:t>
      </w:r>
      <w:r w:rsidRPr="002D5638">
        <w:t>Gnp\Delta G_{\mathrm{np}}</w:t>
      </w:r>
      <w:r w:rsidRPr="002D5638">
        <w:rPr>
          <w:lang w:val="el-GR"/>
        </w:rPr>
        <w:t>Δ</w:t>
      </w:r>
      <w:r w:rsidRPr="002D5638">
        <w:t>Gnp​ pass and accelerates convergence toward physically plausible ERC- and protease-anchored poses.</w:t>
      </w:r>
    </w:p>
    <w:p w:rsidR="002D5638" w:rsidRPr="002D5638" w:rsidRDefault="002D5638" w:rsidP="002D5638">
      <w:pPr>
        <w:jc w:val="left"/>
        <w:outlineLvl w:val="9"/>
      </w:pPr>
      <w:r w:rsidRPr="002D5638">
        <w:t>The same priors are compiled into a hardware-efficient, symmetry-preserving quantum circuit that mirrors the classical flow. Three pose wires q0q_0q0​–q2q_2q2​ carry Wigner-style shared Euler blocks Rz(</w:t>
      </w:r>
      <w:r w:rsidRPr="002D5638">
        <w:rPr>
          <w:lang w:val="el-GR"/>
        </w:rPr>
        <w:t>α</w:t>
      </w:r>
      <w:r w:rsidRPr="002D5638">
        <w:t>)Ry(</w:t>
      </w:r>
      <w:r w:rsidRPr="002D5638">
        <w:rPr>
          <w:lang w:val="el-GR"/>
        </w:rPr>
        <w:t>β</w:t>
      </w:r>
      <w:r w:rsidRPr="002D5638">
        <w:t>)Rz(</w:t>
      </w:r>
      <w:r w:rsidRPr="002D5638">
        <w:rPr>
          <w:lang w:val="el-GR"/>
        </w:rPr>
        <w:t>γ</w:t>
      </w:r>
      <w:r w:rsidRPr="002D5638">
        <w:t>)R_z(\alpha)R_y(\beta)R_z(\gamma)Rz​(</w:t>
      </w:r>
      <w:r w:rsidRPr="002D5638">
        <w:rPr>
          <w:lang w:val="el-GR"/>
        </w:rPr>
        <w:t>α</w:t>
      </w:r>
      <w:r w:rsidRPr="002D5638">
        <w:t>)Ry​(</w:t>
      </w:r>
      <w:r w:rsidRPr="002D5638">
        <w:rPr>
          <w:lang w:val="el-GR"/>
        </w:rPr>
        <w:t>β</w:t>
      </w:r>
      <w:r w:rsidRPr="002D5638">
        <w:t>)Rz​(</w:t>
      </w:r>
      <w:r w:rsidRPr="002D5638">
        <w:rPr>
          <w:lang w:val="el-GR"/>
        </w:rPr>
        <w:t>γ</w:t>
      </w:r>
      <w:r w:rsidRPr="002D5638">
        <w:t>) to preserve rotational equivariance of orientation-dependent features. A discretized predictor–corrector layer then applies shallow Rx(</w:t>
      </w:r>
      <w:r w:rsidRPr="002D5638">
        <w:rPr>
          <w:lang w:val="el-GR"/>
        </w:rPr>
        <w:t>ε</w:t>
      </w:r>
      <w:r w:rsidRPr="002D5638">
        <w:t>)R_x(\varepsilon)Rx​(</w:t>
      </w:r>
      <w:r w:rsidRPr="002D5638">
        <w:rPr>
          <w:lang w:val="el-GR"/>
        </w:rPr>
        <w:t>ε</w:t>
      </w:r>
      <w:r w:rsidRPr="002D5638">
        <w:t>) predictors and edit-gated CRz(</w:t>
      </w:r>
      <w:r w:rsidRPr="002D5638">
        <w:rPr>
          <w:lang w:val="el-GR"/>
        </w:rPr>
        <w:t>δ</w:t>
      </w:r>
      <w:r w:rsidRPr="002D5638">
        <w:t>)\mathrm{CR}_z(\delta)CRz​(</w:t>
      </w:r>
      <w:r w:rsidRPr="002D5638">
        <w:rPr>
          <w:lang w:val="el-GR"/>
        </w:rPr>
        <w:t>δ</w:t>
      </w:r>
      <w:r w:rsidRPr="002D5638">
        <w:t>) correctors on an edit wire q3q_3q3​, reproducing the small-step stability of the pharmacophoric ODE. Smooth, kernel-like soft overlap is emulated by entangling CRy(</w:t>
      </w:r>
      <w:r w:rsidRPr="002D5638">
        <w:rPr>
          <w:lang w:val="el-GR"/>
        </w:rPr>
        <w:t>κ</w:t>
      </w:r>
      <w:r w:rsidRPr="002D5638">
        <w:t>)\mathrm{CR}_y(\kappa)CRy​(</w:t>
      </w:r>
      <w:r w:rsidRPr="002D5638">
        <w:rPr>
          <w:lang w:val="el-GR"/>
        </w:rPr>
        <w:t>κ</w:t>
      </w:r>
      <w:r w:rsidRPr="002D5638">
        <w:t>) couplers among the pose wires, which spread local amplitude in a differentiable, gap-tolerant manner aligned with GLAM2’s indel model. Motif evidence enters through a motif oracle that phase-tags an ancilla conditioned on regex hits: normalized motif scores sERC,sNE,sECM</w:t>
      </w:r>
      <w:r w:rsidRPr="002D5638">
        <w:rPr>
          <w:rFonts w:ascii="Cambria Math" w:hAnsi="Cambria Math" w:cs="Cambria Math"/>
        </w:rPr>
        <w:t>∈</w:t>
      </w:r>
      <w:r w:rsidRPr="002D5638">
        <w:t>[0,1]s_{\mathrm{ERC}},s_{\mathrm{NE}},s_{\mathrm{ECM}}\in[0,1]sERC​,sNE​,sECM​</w:t>
      </w:r>
      <w:r w:rsidRPr="002D5638">
        <w:rPr>
          <w:rFonts w:ascii="Cambria Math" w:hAnsi="Cambria Math" w:cs="Cambria Math"/>
        </w:rPr>
        <w:t>∈</w:t>
      </w:r>
      <w:r w:rsidRPr="002D5638">
        <w:t>[0,1] are loaded as controlled–RzR_zRz​ rotations so high-confidence ERC/NEU1 or elastase cores acquire constructive interference in the “accept” subspace, while motif-poor scaffolds accumulate destructive interference. An entropy oracle preserves fairness: a bin qubit q4q_4q4​ labels the chemotype partition and drives a CRz(</w:t>
      </w:r>
      <w:r w:rsidRPr="002D5638">
        <w:rPr>
          <w:lang w:val="el-GR"/>
        </w:rPr>
        <w:t>ϕ</w:t>
      </w:r>
      <w:r w:rsidRPr="002D5638">
        <w:t>H/R)\mathrm{CR}_z(\phi_{\mathrm{H/R}})CRz​(</w:t>
      </w:r>
      <w:r w:rsidRPr="002D5638">
        <w:rPr>
          <w:lang w:val="el-GR"/>
        </w:rPr>
        <w:t>ϕ</w:t>
      </w:r>
      <w:r w:rsidRPr="002D5638">
        <w:t>H/R​) that encodes the blended Shannon–Rényi prior, penalizing over-represented bins without disturbing rotational symmetry.</w:t>
      </w:r>
    </w:p>
    <w:p w:rsidR="002D5638" w:rsidRPr="008F55B6" w:rsidRDefault="002D5638" w:rsidP="002D5638">
      <w:pPr>
        <w:jc w:val="left"/>
        <w:outlineLvl w:val="9"/>
        <w:rPr>
          <w:b/>
        </w:rPr>
      </w:pPr>
      <w:r w:rsidRPr="008F55B6">
        <w:rPr>
          <w:b/>
        </w:rPr>
        <w:t>Energetic selection is injected via a phase-kick energy oracle. Classical non-polar burial and MM–PB/GBSA terms are summed as</w:t>
      </w:r>
    </w:p>
    <w:p w:rsidR="002D5638" w:rsidRPr="008F55B6" w:rsidRDefault="002D5638" w:rsidP="002D5638">
      <w:pPr>
        <w:spacing w:before="0" w:beforeAutospacing="0" w:after="0" w:afterAutospacing="0"/>
        <w:jc w:val="left"/>
        <w:outlineLvl w:val="9"/>
        <w:rPr>
          <w:b/>
        </w:rPr>
      </w:pPr>
      <w:r w:rsidRPr="008F55B6">
        <w:rPr>
          <w:b/>
          <w:lang w:val="el-GR"/>
        </w:rPr>
        <w:t>Δ</w:t>
      </w:r>
      <w:r w:rsidRPr="008F55B6">
        <w:rPr>
          <w:b/>
        </w:rPr>
        <w:t>Gtot=</w:t>
      </w:r>
      <w:r w:rsidRPr="008F55B6">
        <w:rPr>
          <w:b/>
          <w:lang w:val="el-GR"/>
        </w:rPr>
        <w:t>Δ</w:t>
      </w:r>
      <w:r w:rsidRPr="008F55B6">
        <w:rPr>
          <w:b/>
        </w:rPr>
        <w:t>GMM-PBSA+</w:t>
      </w:r>
      <w:r w:rsidRPr="008F55B6">
        <w:rPr>
          <w:b/>
          <w:lang w:val="el-GR"/>
        </w:rPr>
        <w:t>γ</w:t>
      </w:r>
      <w:r w:rsidRPr="008F55B6">
        <w:rPr>
          <w:b/>
        </w:rPr>
        <w:t> </w:t>
      </w:r>
      <w:r w:rsidRPr="008F55B6">
        <w:rPr>
          <w:b/>
          <w:lang w:val="el-GR"/>
        </w:rPr>
        <w:t>Δ</w:t>
      </w:r>
      <w:r w:rsidRPr="008F55B6">
        <w:rPr>
          <w:b/>
        </w:rPr>
        <w:t>SASA,</w:t>
      </w:r>
      <w:r w:rsidRPr="008F55B6">
        <w:rPr>
          <w:b/>
          <w:lang w:val="el-GR"/>
        </w:rPr>
        <w:t>γ</w:t>
      </w:r>
      <w:r w:rsidRPr="008F55B6">
        <w:rPr>
          <w:b/>
        </w:rPr>
        <w:t>=0.005 kcal mol−1 A˚−2,\Delta G_{\mathrm{tot}}=\Delta G_{\mathrm{MM\text{-}PBSA}}+\gamma\,\Delta\mathrm{SASA},\qquad \gamma=0.005\ \mathrm{kcal\,mol^{-1}\,\AA^{-2}},</w:t>
      </w:r>
      <w:r w:rsidRPr="008F55B6">
        <w:rPr>
          <w:b/>
          <w:lang w:val="el-GR"/>
        </w:rPr>
        <w:t>Δ</w:t>
      </w:r>
      <w:r w:rsidRPr="008F55B6">
        <w:rPr>
          <w:b/>
        </w:rPr>
        <w:t>Gtot​=</w:t>
      </w:r>
      <w:r w:rsidRPr="008F55B6">
        <w:rPr>
          <w:b/>
          <w:lang w:val="el-GR"/>
        </w:rPr>
        <w:t>Δ</w:t>
      </w:r>
      <w:r w:rsidRPr="008F55B6">
        <w:rPr>
          <w:b/>
        </w:rPr>
        <w:t>GMM-PBSA​+</w:t>
      </w:r>
      <w:r w:rsidRPr="008F55B6">
        <w:rPr>
          <w:b/>
          <w:lang w:val="el-GR"/>
        </w:rPr>
        <w:t>γΔ</w:t>
      </w:r>
      <w:r w:rsidRPr="008F55B6">
        <w:rPr>
          <w:b/>
        </w:rPr>
        <w:t>SASA,</w:t>
      </w:r>
      <w:r w:rsidRPr="008F55B6">
        <w:rPr>
          <w:b/>
          <w:lang w:val="el-GR"/>
        </w:rPr>
        <w:t>γ</w:t>
      </w:r>
      <w:r w:rsidRPr="008F55B6">
        <w:rPr>
          <w:b/>
        </w:rPr>
        <w:t xml:space="preserve">=0.005 kcalmol−1A˚−2, </w:t>
      </w:r>
    </w:p>
    <w:p w:rsidR="002D5638" w:rsidRPr="002D5638" w:rsidRDefault="002D5638" w:rsidP="002D5638">
      <w:pPr>
        <w:jc w:val="left"/>
        <w:outlineLvl w:val="9"/>
      </w:pPr>
      <w:r w:rsidRPr="002D5638">
        <w:t xml:space="preserve">then compiled into a phase </w:t>
      </w:r>
      <w:r w:rsidRPr="002D5638">
        <w:rPr>
          <w:lang w:val="el-GR"/>
        </w:rPr>
        <w:t>Φ</w:t>
      </w:r>
      <w:r w:rsidRPr="002D5638">
        <w:t>E=</w:t>
      </w:r>
      <w:r w:rsidRPr="002D5638">
        <w:rPr>
          <w:lang w:val="el-GR"/>
        </w:rPr>
        <w:t>η</w:t>
      </w:r>
      <w:r w:rsidRPr="002D5638">
        <w:t>(−</w:t>
      </w:r>
      <w:r w:rsidRPr="002D5638">
        <w:rPr>
          <w:lang w:val="el-GR"/>
        </w:rPr>
        <w:t>Δ</w:t>
      </w:r>
      <w:r w:rsidRPr="002D5638">
        <w:t>Gtot)\Phi_E=\eta(-\Delta G_{\mathrm{tot}})</w:t>
      </w:r>
      <w:r w:rsidRPr="002D5638">
        <w:rPr>
          <w:lang w:val="el-GR"/>
        </w:rPr>
        <w:t>Φ</w:t>
      </w:r>
      <w:r w:rsidRPr="002D5638">
        <w:t>E​=</w:t>
      </w:r>
      <w:r w:rsidRPr="002D5638">
        <w:rPr>
          <w:lang w:val="el-GR"/>
        </w:rPr>
        <w:t>η</w:t>
      </w:r>
      <w:r w:rsidRPr="002D5638">
        <w:t>(−</w:t>
      </w:r>
      <w:r w:rsidRPr="002D5638">
        <w:rPr>
          <w:lang w:val="el-GR"/>
        </w:rPr>
        <w:t>Δ</w:t>
      </w:r>
      <w:r w:rsidRPr="002D5638">
        <w:t xml:space="preserve">Gtot​) on an energy ancilla via a controlled–RzR_zRz​ with </w:t>
      </w:r>
      <w:r w:rsidRPr="002D5638">
        <w:rPr>
          <w:lang w:val="el-GR"/>
        </w:rPr>
        <w:t>η</w:t>
      </w:r>
      <w:r w:rsidRPr="002D5638">
        <w:t>=</w:t>
      </w:r>
      <w:r w:rsidRPr="002D5638">
        <w:rPr>
          <w:lang w:val="el-GR"/>
        </w:rPr>
        <w:t>π</w:t>
      </w:r>
      <w:r w:rsidRPr="002D5638">
        <w:t>/5 rad (kcal/mol)−1\eta=\pi/5\ \mathrm{rad\,(kcal/mol)^{-1}}</w:t>
      </w:r>
      <w:r w:rsidRPr="002D5638">
        <w:rPr>
          <w:lang w:val="el-GR"/>
        </w:rPr>
        <w:t>η</w:t>
      </w:r>
      <w:r w:rsidRPr="002D5638">
        <w:t>=</w:t>
      </w:r>
      <w:r w:rsidRPr="002D5638">
        <w:rPr>
          <w:lang w:val="el-GR"/>
        </w:rPr>
        <w:t>π</w:t>
      </w:r>
      <w:r w:rsidRPr="002D5638">
        <w:t xml:space="preserve">/5 rad(kcal/mol)−1, keeping </w:t>
      </w:r>
      <w:r w:rsidRPr="002D5638">
        <w:rPr>
          <w:rFonts w:ascii="Cambria Math" w:hAnsi="Cambria Math" w:cs="Cambria Math"/>
        </w:rPr>
        <w:t>∣</w:t>
      </w:r>
      <w:r w:rsidRPr="002D5638">
        <w:rPr>
          <w:lang w:val="el-GR"/>
        </w:rPr>
        <w:t>Δ</w:t>
      </w:r>
      <w:r w:rsidRPr="002D5638">
        <w:t>Gtot</w:t>
      </w:r>
      <w:r w:rsidRPr="002D5638">
        <w:rPr>
          <w:rFonts w:ascii="Cambria Math" w:hAnsi="Cambria Math" w:cs="Cambria Math"/>
        </w:rPr>
        <w:t>∣≲</w:t>
      </w:r>
      <w:r w:rsidRPr="002D5638">
        <w:t>5|\Delta G_{\mathrm{tot}}|\lesssim 5</w:t>
      </w:r>
      <w:r w:rsidRPr="002D5638">
        <w:rPr>
          <w:rFonts w:ascii="Cambria Math" w:hAnsi="Cambria Math" w:cs="Cambria Math"/>
        </w:rPr>
        <w:t>∣</w:t>
      </w:r>
      <w:r w:rsidRPr="002D5638">
        <w:rPr>
          <w:lang w:val="el-GR"/>
        </w:rPr>
        <w:t>Δ</w:t>
      </w:r>
      <w:r w:rsidRPr="002D5638">
        <w:t>Gtot​</w:t>
      </w:r>
      <w:r w:rsidRPr="002D5638">
        <w:rPr>
          <w:rFonts w:ascii="Cambria Math" w:hAnsi="Cambria Math" w:cs="Cambria Math"/>
        </w:rPr>
        <w:t>∣≲</w:t>
      </w:r>
      <w:r w:rsidRPr="002D5638">
        <w:t>5 within [0,</w:t>
      </w:r>
      <w:r w:rsidRPr="002D5638">
        <w:rPr>
          <w:lang w:val="el-GR"/>
        </w:rPr>
        <w:t>π</w:t>
      </w:r>
      <w:r w:rsidRPr="002D5638">
        <w:t>][0,\pi][0,</w:t>
      </w:r>
      <w:r w:rsidRPr="002D5638">
        <w:rPr>
          <w:lang w:val="el-GR"/>
        </w:rPr>
        <w:t>π</w:t>
      </w:r>
      <w:r w:rsidRPr="002D5638">
        <w:t>]. For the three illustrative analogues, measured burials of 200±20200\pm20200±20, 140±20140\pm20140±20 and 105±15105\pm15105±15 Å² imply non-polar stabilizations of −1.0±0.1-1.0\pm0.1−1.0±0.1, −0.7±0.1-0.7\pm0.1−0.7±0.1 and −0.53±0.08-0.53\pm0.08−0.53±0.08 kcal mol⁻¹ respectively. These phases add coherently with the motif and entropy phases, so the reflect-about-mean step amplifies diverse, motif-supported and energetically favorable poses.</w:t>
      </w:r>
    </w:p>
    <w:p w:rsidR="002D5638" w:rsidRPr="002D5638" w:rsidRDefault="002D5638" w:rsidP="002D5638">
      <w:pPr>
        <w:jc w:val="left"/>
        <w:outlineLvl w:val="9"/>
      </w:pPr>
      <w:r w:rsidRPr="002D5638">
        <w:t xml:space="preserve">Although numerically modest, the explicit non-polar correction adds coherently to MM–PB/GBSA and decisively influences rank ordering. By accounting for hydrophobic surface burial through </w:t>
      </w:r>
      <w:r w:rsidRPr="002D5638">
        <w:rPr>
          <w:lang w:val="el-GR"/>
        </w:rPr>
        <w:t>Δ</w:t>
      </w:r>
      <w:r w:rsidRPr="002D5638">
        <w:t>Gnp=</w:t>
      </w:r>
      <w:r w:rsidRPr="002D5638">
        <w:rPr>
          <w:lang w:val="el-GR"/>
        </w:rPr>
        <w:t>γ</w:t>
      </w:r>
      <w:r w:rsidRPr="002D5638">
        <w:t> </w:t>
      </w:r>
      <w:r w:rsidRPr="002D5638">
        <w:rPr>
          <w:lang w:val="el-GR"/>
        </w:rPr>
        <w:t>Δ</w:t>
      </w:r>
      <w:r w:rsidRPr="002D5638">
        <w:t>SASA\Delta G_{\mathrm{np}}=\gamma\,\Delta\mathrm{SASA}</w:t>
      </w:r>
      <w:r w:rsidRPr="002D5638">
        <w:rPr>
          <w:lang w:val="el-GR"/>
        </w:rPr>
        <w:t>Δ</w:t>
      </w:r>
      <w:r w:rsidRPr="002D5638">
        <w:t>Gnp​=</w:t>
      </w:r>
      <w:r w:rsidRPr="002D5638">
        <w:rPr>
          <w:lang w:val="el-GR"/>
        </w:rPr>
        <w:t>γΔ</w:t>
      </w:r>
      <w:r w:rsidRPr="002D5638">
        <w:t>SASA, the scoring function systematically favors compact ligands that exploit concave microenvironments, reducing susceptibility to polar overfitting and sharpening discrimination among close analogues. Translating this into practice,</w:t>
      </w:r>
      <w:r w:rsidR="00356057">
        <w:t xml:space="preserve"> I </w:t>
      </w:r>
      <w:r w:rsidRPr="002D5638">
        <w:t xml:space="preserve">designed three tractable variants that preserve the seed’s hydrophobic core while attenuating excessive polarity, trimming saccharide substituents and appending pocket-complementary features. The MMP-biased hydroxamate variant removes a terminal sugar, masks two secondary hydroxyls as methyl ethers, introduces a C3 hydroxamate to engage catalytic Zn²⁺ and appends a para-tolyl group to occupy an S1′ shelf, yielding a buried area of </w:t>
      </w:r>
      <w:r w:rsidRPr="002D5638">
        <w:rPr>
          <w:rFonts w:ascii="Cambria Math" w:hAnsi="Cambria Math" w:cs="Cambria Math"/>
        </w:rPr>
        <w:t>∼</w:t>
      </w:r>
      <w:r w:rsidRPr="002D5638">
        <w:t xml:space="preserve">180–220 Å² and </w:t>
      </w:r>
      <w:r w:rsidRPr="002D5638">
        <w:rPr>
          <w:lang w:val="el-GR"/>
        </w:rPr>
        <w:t>Δ</w:t>
      </w:r>
      <w:r w:rsidRPr="002D5638">
        <w:t>Gnp≈−0.9\Delta G_{\mathrm{np}}\approx -0.9</w:t>
      </w:r>
      <w:r w:rsidRPr="002D5638">
        <w:rPr>
          <w:lang w:val="el-GR"/>
        </w:rPr>
        <w:t>Δ</w:t>
      </w:r>
      <w:r w:rsidRPr="002D5638">
        <w:t xml:space="preserve">Gnp​≈−0.9 to −1.1-1.1−1.1 kcal mol⁻¹. The neutrophil elastase “sitter” desugarizes the core, tempers polarity with carbonate/ether masking, positions a </w:t>
      </w:r>
      <w:r w:rsidRPr="002D5638">
        <w:rPr>
          <w:lang w:val="el-GR"/>
        </w:rPr>
        <w:t>γ</w:t>
      </w:r>
      <w:r w:rsidRPr="002D5638">
        <w:t xml:space="preserve">-lactam acceptor toward His57, and uses benzyl plus isobutyl groups to fill S1/S1′ without electrophilic warheads, burying </w:t>
      </w:r>
      <w:r w:rsidRPr="002D5638">
        <w:rPr>
          <w:rFonts w:ascii="Cambria Math" w:hAnsi="Cambria Math" w:cs="Cambria Math"/>
        </w:rPr>
        <w:t>∼</w:t>
      </w:r>
      <w:r w:rsidRPr="002D5638">
        <w:t xml:space="preserve">120–160 Å² with </w:t>
      </w:r>
      <w:r w:rsidRPr="002D5638">
        <w:rPr>
          <w:lang w:val="el-GR"/>
        </w:rPr>
        <w:t>Δ</w:t>
      </w:r>
      <w:r w:rsidRPr="002D5638">
        <w:t>Gnp≈−0.6\Delta G_{\mathrm{np}}\approx -0.6</w:t>
      </w:r>
      <w:r w:rsidRPr="002D5638">
        <w:rPr>
          <w:lang w:val="el-GR"/>
        </w:rPr>
        <w:t>Δ</w:t>
      </w:r>
      <w:r w:rsidRPr="002D5638">
        <w:t xml:space="preserve">Gnp​≈−0.6 to −0.8-0.8−0.8 kcal mol⁻¹. The ERC-mimetic tail retains the compact core and appends a proline-like pyrrolidine amide plus a valine-like isobutyl side chain while masking redundant hydroxyls, burying </w:t>
      </w:r>
      <w:r w:rsidRPr="002D5638">
        <w:rPr>
          <w:rFonts w:ascii="Cambria Math" w:hAnsi="Cambria Math" w:cs="Cambria Math"/>
        </w:rPr>
        <w:t>∼</w:t>
      </w:r>
      <w:r w:rsidRPr="002D5638">
        <w:t xml:space="preserve">90–120 Å² with </w:t>
      </w:r>
      <w:r w:rsidRPr="002D5638">
        <w:rPr>
          <w:lang w:val="el-GR"/>
        </w:rPr>
        <w:t>Δ</w:t>
      </w:r>
      <w:r w:rsidRPr="002D5638">
        <w:t>Gnp≈−0.45\Delta G_{\mathrm{np}}\approx -0.45</w:t>
      </w:r>
      <w:r w:rsidRPr="002D5638">
        <w:rPr>
          <w:lang w:val="el-GR"/>
        </w:rPr>
        <w:t>Δ</w:t>
      </w:r>
      <w:r w:rsidRPr="002D5638">
        <w:t>Gnp​≈−0.45 to −0.6-0.6−0.6 kcal mol⁻¹.</w:t>
      </w:r>
    </w:p>
    <w:p w:rsidR="002D5638" w:rsidRPr="002D5638" w:rsidRDefault="002D5638" w:rsidP="002D5638">
      <w:pPr>
        <w:jc w:val="left"/>
        <w:outlineLvl w:val="9"/>
      </w:pPr>
      <w:r w:rsidRPr="002D5638">
        <w:t xml:space="preserve">Training proceeds jointly across layers. In the ODE, the composite objective (Eq. 10) sharpens rankings through motif-weighted ℓph4\ell_{\mathrm{ph4}}ℓph4​ and the explicit </w:t>
      </w:r>
      <w:r w:rsidRPr="002D5638">
        <w:rPr>
          <w:lang w:val="el-GR"/>
        </w:rPr>
        <w:t>γ</w:t>
      </w:r>
      <w:r w:rsidRPr="002D5638">
        <w:t> </w:t>
      </w:r>
      <w:r w:rsidRPr="002D5638">
        <w:rPr>
          <w:lang w:val="el-GR"/>
        </w:rPr>
        <w:t>Δ</w:t>
      </w:r>
      <w:r w:rsidRPr="002D5638">
        <w:t>SASA\gamma\,\Delta\mathrm{SASA}</w:t>
      </w:r>
      <w:r w:rsidRPr="002D5638">
        <w:rPr>
          <w:lang w:val="el-GR"/>
        </w:rPr>
        <w:t>γΔ</w:t>
      </w:r>
      <w:r w:rsidRPr="002D5638">
        <w:t xml:space="preserve">SASA term. In the circuit, shared Euler angles, predictor–corrector rotations, soft-overlap couplers, motif-oracle scales and (optionally) </w:t>
      </w:r>
      <w:r w:rsidRPr="002D5638">
        <w:rPr>
          <w:lang w:val="el-GR"/>
        </w:rPr>
        <w:t>η</w:t>
      </w:r>
      <w:r w:rsidRPr="002D5638">
        <w:t>\eta</w:t>
      </w:r>
      <w:r w:rsidRPr="002D5638">
        <w:rPr>
          <w:lang w:val="el-GR"/>
        </w:rPr>
        <w:t>η</w:t>
      </w:r>
      <w:r w:rsidRPr="002D5638">
        <w:t xml:space="preserve"> are calibrated to maximize overlap with an “accept” subspace defined by favorable energy and entropy-fair bins while regularizing against symmetry violation. The result is a unified, measurement-driven pipeline in which GLAM2 motifs shape both the continuous pharmacophoric dynamics and their discrete, equivariant quantum surrogate; hydrophobic burial is rewarded explicitly; and entropy controls maintain library diversity—turning noisy docking outputs into fibrocyte-centric, physically plausible leads whose sequence context, pocket curvature and binding energetics agree across numerical and quantum analyses.</w:t>
      </w:r>
    </w:p>
    <w:p w:rsidR="00382C99" w:rsidRPr="002F567F" w:rsidRDefault="00106EF3" w:rsidP="00713714">
      <w:r>
        <w:pict>
          <v:rect id="_x0000_i1083" style="width:0;height:1.5pt" o:hralign="center" o:hrstd="t" o:hr="t" fillcolor="#a0a0a0" stroked="f"/>
        </w:pict>
      </w:r>
    </w:p>
    <w:p w:rsidR="008F55B6" w:rsidRPr="00F41624" w:rsidRDefault="008F55B6" w:rsidP="008F55B6">
      <w:pPr>
        <w:jc w:val="left"/>
        <w:outlineLvl w:val="1"/>
        <w:rPr>
          <w:b/>
          <w:bCs/>
          <w:sz w:val="36"/>
          <w:szCs w:val="36"/>
        </w:rPr>
      </w:pPr>
      <w:r w:rsidRPr="00F41624">
        <w:rPr>
          <w:b/>
          <w:bCs/>
          <w:sz w:val="36"/>
          <w:szCs w:val="36"/>
        </w:rPr>
        <w:t>Energetic correction and rank ordering</w:t>
      </w:r>
    </w:p>
    <w:p w:rsidR="008F55B6" w:rsidRPr="00F41624" w:rsidRDefault="008F55B6" w:rsidP="008F55B6">
      <w:pPr>
        <w:jc w:val="left"/>
        <w:outlineLvl w:val="9"/>
      </w:pPr>
      <w:r w:rsidRPr="00F41624">
        <w:t xml:space="preserve">We include an explicit </w:t>
      </w:r>
      <w:r w:rsidRPr="00F41624">
        <w:rPr>
          <w:b/>
          <w:bCs/>
        </w:rPr>
        <w:t>non-polar</w:t>
      </w:r>
      <w:r w:rsidRPr="00F41624">
        <w:t xml:space="preserve"> term linear in solvent-accessible surface area (SASA):</w:t>
      </w:r>
    </w:p>
    <w:p w:rsidR="008F55B6" w:rsidRPr="00F41624" w:rsidRDefault="008F55B6" w:rsidP="008F55B6">
      <w:pPr>
        <w:spacing w:before="0" w:beforeAutospacing="0" w:after="0" w:afterAutospacing="0"/>
        <w:jc w:val="left"/>
        <w:outlineLvl w:val="9"/>
      </w:pPr>
      <w:r w:rsidRPr="008F55B6">
        <w:rPr>
          <w:lang w:val="el-GR"/>
        </w:rPr>
        <w:t>Δ</w:t>
      </w:r>
      <w:r w:rsidRPr="00F41624">
        <w:t>Gnp=</w:t>
      </w:r>
      <w:r w:rsidRPr="008F55B6">
        <w:rPr>
          <w:lang w:val="el-GR"/>
        </w:rPr>
        <w:t>γ</w:t>
      </w:r>
      <w:r w:rsidRPr="00F41624">
        <w:t> </w:t>
      </w:r>
      <w:r w:rsidRPr="008F55B6">
        <w:rPr>
          <w:lang w:val="el-GR"/>
        </w:rPr>
        <w:t>Δ</w:t>
      </w:r>
      <w:r w:rsidRPr="00F41624">
        <w:t>SASA,</w:t>
      </w:r>
      <w:r w:rsidRPr="008F55B6">
        <w:rPr>
          <w:lang w:val="el-GR"/>
        </w:rPr>
        <w:t>γ</w:t>
      </w:r>
      <w:r w:rsidRPr="00F41624">
        <w:t>=0.005 kcal mol−1 A˚−2.\boxed{\Delta G_{\mathrm{np}}=\gamma\,\Delta \mathrm{SASA}},\qquad \boxed{\gamma=0.005\ \mathrm{kcal\,mol^{-1}\,\AA^{-2}}}.</w:t>
      </w:r>
      <w:r w:rsidRPr="008F55B6">
        <w:rPr>
          <w:lang w:val="el-GR"/>
        </w:rPr>
        <w:t>Δ</w:t>
      </w:r>
      <w:r w:rsidRPr="00F41624">
        <w:t>Gnp​=</w:t>
      </w:r>
      <w:r w:rsidRPr="008F55B6">
        <w:rPr>
          <w:lang w:val="el-GR"/>
        </w:rPr>
        <w:t>γΔ</w:t>
      </w:r>
      <w:r w:rsidRPr="00F41624">
        <w:t>SASA​,</w:t>
      </w:r>
      <w:r w:rsidRPr="008F55B6">
        <w:rPr>
          <w:lang w:val="el-GR"/>
        </w:rPr>
        <w:t>γ</w:t>
      </w:r>
      <w:r w:rsidRPr="00F41624">
        <w:t xml:space="preserve">=0.005 kcalmol−1A˚−2​. </w:t>
      </w:r>
    </w:p>
    <w:p w:rsidR="008F55B6" w:rsidRPr="00F41624" w:rsidRDefault="008F55B6" w:rsidP="008F55B6">
      <w:pPr>
        <w:jc w:val="left"/>
        <w:outlineLvl w:val="9"/>
      </w:pPr>
      <w:r w:rsidRPr="00F41624">
        <w:t xml:space="preserve">SASA is computed by the Shrake–Rupley algorithm and interpreted within standard non-polar hydration models; </w:t>
      </w:r>
      <w:r w:rsidRPr="008F55B6">
        <w:rPr>
          <w:lang w:val="el-GR"/>
        </w:rPr>
        <w:t>γ</w:t>
      </w:r>
      <w:r w:rsidRPr="00F41624">
        <w:t>\gamma</w:t>
      </w:r>
      <w:r w:rsidRPr="008F55B6">
        <w:rPr>
          <w:lang w:val="el-GR"/>
        </w:rPr>
        <w:t>γ</w:t>
      </w:r>
      <w:r w:rsidRPr="00F41624">
        <w:t xml:space="preserve"> is chosen in the customary range used with PB/GB end-point estimators 67–71,18167–71, 18167–71,181. Combined with an MM–PB/GBSA-like estimator,</w:t>
      </w:r>
    </w:p>
    <w:p w:rsidR="008F55B6" w:rsidRPr="00F41624" w:rsidRDefault="008F55B6" w:rsidP="008F55B6">
      <w:pPr>
        <w:spacing w:before="0" w:beforeAutospacing="0" w:after="0" w:afterAutospacing="0"/>
        <w:jc w:val="left"/>
        <w:outlineLvl w:val="9"/>
      </w:pPr>
      <w:r w:rsidRPr="008F55B6">
        <w:rPr>
          <w:lang w:val="el-GR"/>
        </w:rPr>
        <w:t>Δ</w:t>
      </w:r>
      <w:r w:rsidRPr="00F41624">
        <w:t>GMM–PBSA=</w:t>
      </w:r>
      <w:r w:rsidRPr="008F55B6">
        <w:rPr>
          <w:rFonts w:ascii="Cambria Math" w:hAnsi="Cambria Math" w:cs="Cambria Math"/>
          <w:lang w:val="el-GR"/>
        </w:rPr>
        <w:t>⟨</w:t>
      </w:r>
      <w:r w:rsidRPr="00F41624">
        <w:t>EMM+Gsolv−TSconf</w:t>
      </w:r>
      <w:r w:rsidRPr="008F55B6">
        <w:rPr>
          <w:rFonts w:ascii="Cambria Math" w:hAnsi="Cambria Math" w:cs="Cambria Math"/>
          <w:lang w:val="el-GR"/>
        </w:rPr>
        <w:t>⟩</w:t>
      </w:r>
      <w:r w:rsidRPr="00F41624">
        <w:t>C−</w:t>
      </w:r>
      <w:r w:rsidRPr="008F55B6">
        <w:rPr>
          <w:rFonts w:ascii="Cambria Math" w:hAnsi="Cambria Math" w:cs="Cambria Math"/>
          <w:lang w:val="el-GR"/>
        </w:rPr>
        <w:t>⟨</w:t>
      </w:r>
      <w:r w:rsidRPr="00F41624">
        <w:rPr>
          <w:rFonts w:ascii="Cambria Math" w:hAnsi="Cambria Math" w:cs="Cambria Math"/>
        </w:rPr>
        <w:t>⋅</w:t>
      </w:r>
      <w:r w:rsidRPr="008F55B6">
        <w:rPr>
          <w:rFonts w:ascii="Cambria Math" w:hAnsi="Cambria Math" w:cs="Cambria Math"/>
          <w:lang w:val="el-GR"/>
        </w:rPr>
        <w:t>⟩</w:t>
      </w:r>
      <w:r w:rsidRPr="00F41624">
        <w:t>R−</w:t>
      </w:r>
      <w:r w:rsidRPr="008F55B6">
        <w:rPr>
          <w:rFonts w:ascii="Cambria Math" w:hAnsi="Cambria Math" w:cs="Cambria Math"/>
          <w:lang w:val="el-GR"/>
        </w:rPr>
        <w:t>⟨</w:t>
      </w:r>
      <w:r w:rsidRPr="00F41624">
        <w:rPr>
          <w:rFonts w:ascii="Cambria Math" w:hAnsi="Cambria Math" w:cs="Cambria Math"/>
        </w:rPr>
        <w:t>⋅</w:t>
      </w:r>
      <w:r w:rsidRPr="008F55B6">
        <w:rPr>
          <w:rFonts w:ascii="Cambria Math" w:hAnsi="Cambria Math" w:cs="Cambria Math"/>
          <w:lang w:val="el-GR"/>
        </w:rPr>
        <w:t>⟩</w:t>
      </w:r>
      <w:r w:rsidRPr="00F41624">
        <w:t>L,\boxed{\Delta G_{\mathrm{MM\text{–}PBSA}} =\big\langle E_{\mathrm{MM}}+G_{\mathrm{solv}}-T S_{\mathrm{conf}}\big\rangle_C -\langle\cdot\rangle_R-\langle\cdot\rangle_L},</w:t>
      </w:r>
      <w:r w:rsidRPr="008F55B6">
        <w:rPr>
          <w:lang w:val="el-GR"/>
        </w:rPr>
        <w:t>Δ</w:t>
      </w:r>
      <w:r w:rsidRPr="00F41624">
        <w:t>GMM–PBSA​=</w:t>
      </w:r>
      <w:r w:rsidRPr="008F55B6">
        <w:rPr>
          <w:rFonts w:ascii="Cambria Math" w:hAnsi="Cambria Math" w:cs="Cambria Math"/>
          <w:lang w:val="el-GR"/>
        </w:rPr>
        <w:t>⟨</w:t>
      </w:r>
      <w:r w:rsidRPr="00F41624">
        <w:t>EMM​+Gsolv​−TSconf​</w:t>
      </w:r>
      <w:r w:rsidRPr="008F55B6">
        <w:rPr>
          <w:rFonts w:ascii="Cambria Math" w:hAnsi="Cambria Math" w:cs="Cambria Math"/>
          <w:lang w:val="el-GR"/>
        </w:rPr>
        <w:t>⟩</w:t>
      </w:r>
      <w:r w:rsidRPr="00F41624">
        <w:t>C​−</w:t>
      </w:r>
      <w:r w:rsidRPr="008F55B6">
        <w:rPr>
          <w:rFonts w:ascii="Cambria Math" w:hAnsi="Cambria Math" w:cs="Cambria Math"/>
          <w:lang w:val="el-GR"/>
        </w:rPr>
        <w:t>⟨</w:t>
      </w:r>
      <w:r w:rsidRPr="00F41624">
        <w:rPr>
          <w:rFonts w:ascii="Cambria Math" w:hAnsi="Cambria Math" w:cs="Cambria Math"/>
        </w:rPr>
        <w:t>⋅</w:t>
      </w:r>
      <w:r w:rsidRPr="008F55B6">
        <w:rPr>
          <w:rFonts w:ascii="Cambria Math" w:hAnsi="Cambria Math" w:cs="Cambria Math"/>
          <w:lang w:val="el-GR"/>
        </w:rPr>
        <w:t>⟩</w:t>
      </w:r>
      <w:r w:rsidRPr="00F41624">
        <w:t>R​−</w:t>
      </w:r>
      <w:r w:rsidRPr="008F55B6">
        <w:rPr>
          <w:rFonts w:ascii="Cambria Math" w:hAnsi="Cambria Math" w:cs="Cambria Math"/>
          <w:lang w:val="el-GR"/>
        </w:rPr>
        <w:t>⟨</w:t>
      </w:r>
      <w:r w:rsidRPr="00F41624">
        <w:rPr>
          <w:rFonts w:ascii="Cambria Math" w:hAnsi="Cambria Math" w:cs="Cambria Math"/>
        </w:rPr>
        <w:t>⋅</w:t>
      </w:r>
      <w:r w:rsidRPr="008F55B6">
        <w:rPr>
          <w:rFonts w:ascii="Cambria Math" w:hAnsi="Cambria Math" w:cs="Cambria Math"/>
          <w:lang w:val="el-GR"/>
        </w:rPr>
        <w:t>⟩</w:t>
      </w:r>
      <w:r w:rsidRPr="00F41624">
        <w:t xml:space="preserve">L​​, </w:t>
      </w:r>
    </w:p>
    <w:p w:rsidR="008F55B6" w:rsidRPr="00F41624" w:rsidRDefault="008F55B6" w:rsidP="008F55B6">
      <w:pPr>
        <w:jc w:val="left"/>
        <w:outlineLvl w:val="9"/>
      </w:pPr>
      <w:r w:rsidRPr="00F41624">
        <w:t xml:space="preserve">the </w:t>
      </w:r>
      <w:r w:rsidRPr="00F41624">
        <w:rPr>
          <w:b/>
          <w:bCs/>
        </w:rPr>
        <w:t>ranking score</w:t>
      </w:r>
      <w:r w:rsidRPr="00F41624">
        <w:t xml:space="preserve"> is</w:t>
      </w:r>
    </w:p>
    <w:p w:rsidR="008F55B6" w:rsidRPr="00F41624" w:rsidRDefault="008F55B6" w:rsidP="008F55B6">
      <w:pPr>
        <w:spacing w:before="0" w:beforeAutospacing="0" w:after="0" w:afterAutospacing="0"/>
        <w:jc w:val="left"/>
        <w:outlineLvl w:val="9"/>
      </w:pPr>
      <w:r w:rsidRPr="008F55B6">
        <w:rPr>
          <w:lang w:val="el-GR"/>
        </w:rPr>
        <w:t>Δ</w:t>
      </w:r>
      <w:r w:rsidRPr="00F41624">
        <w:t>Gtot=</w:t>
      </w:r>
      <w:r w:rsidRPr="008F55B6">
        <w:rPr>
          <w:lang w:val="el-GR"/>
        </w:rPr>
        <w:t>Δ</w:t>
      </w:r>
      <w:r w:rsidRPr="00F41624">
        <w:t>GMM–PBSA+</w:t>
      </w:r>
      <w:r w:rsidRPr="008F55B6">
        <w:rPr>
          <w:lang w:val="el-GR"/>
        </w:rPr>
        <w:t>Δ</w:t>
      </w:r>
      <w:r w:rsidRPr="00F41624">
        <w:t>Gnp.\boxed{\Delta G_{\mathrm{tot}}=\Delta G_{\mathrm{MM\text{–}PBSA}}+\Delta G_{\mathrm{np}}}.</w:t>
      </w:r>
      <w:r w:rsidRPr="008F55B6">
        <w:rPr>
          <w:lang w:val="el-GR"/>
        </w:rPr>
        <w:t>Δ</w:t>
      </w:r>
      <w:r w:rsidRPr="00F41624">
        <w:t>Gtot​=</w:t>
      </w:r>
      <w:r w:rsidRPr="008F55B6">
        <w:rPr>
          <w:lang w:val="el-GR"/>
        </w:rPr>
        <w:t>Δ</w:t>
      </w:r>
      <w:r w:rsidRPr="00F41624">
        <w:t>GMM–PBSA​+</w:t>
      </w:r>
      <w:r w:rsidRPr="008F55B6">
        <w:rPr>
          <w:lang w:val="el-GR"/>
        </w:rPr>
        <w:t>Δ</w:t>
      </w:r>
      <w:r w:rsidRPr="00F41624">
        <w:t xml:space="preserve">Gnp​​. </w:t>
      </w:r>
    </w:p>
    <w:p w:rsidR="008F55B6" w:rsidRPr="00F41624" w:rsidRDefault="008F55B6" w:rsidP="008F55B6">
      <w:pPr>
        <w:jc w:val="left"/>
        <w:outlineLvl w:val="9"/>
      </w:pPr>
      <w:r w:rsidRPr="00F41624">
        <w:t xml:space="preserve">This correction is decisive for rank ordering when edits </w:t>
      </w:r>
      <w:r w:rsidRPr="00F41624">
        <w:rPr>
          <w:b/>
          <w:bCs/>
        </w:rPr>
        <w:t>compactify hydrophobic patches</w:t>
      </w:r>
      <w:r w:rsidRPr="00F41624">
        <w:t xml:space="preserve"> that are otherwise masked by scaffold polarity, bringing end-point energies into better accord with experiment and reducing cross-engine variance.</w:t>
      </w:r>
    </w:p>
    <w:p w:rsidR="008F55B6" w:rsidRPr="008F55B6" w:rsidRDefault="00106EF3" w:rsidP="008F55B6">
      <w:pPr>
        <w:spacing w:before="0" w:beforeAutospacing="0" w:after="0" w:afterAutospacing="0"/>
        <w:jc w:val="left"/>
        <w:outlineLvl w:val="9"/>
        <w:rPr>
          <w:lang w:val="el-GR"/>
        </w:rPr>
      </w:pPr>
      <w:r w:rsidRPr="00106EF3">
        <w:rPr>
          <w:lang w:val="el-GR"/>
        </w:rPr>
        <w:pict>
          <v:rect id="_x0000_i1084" style="width:0;height:1.5pt" o:hralign="center" o:hrstd="t" o:hr="t" fillcolor="#a0a0a0" stroked="f"/>
        </w:pict>
      </w:r>
    </w:p>
    <w:p w:rsidR="0022797E" w:rsidRPr="0022797E" w:rsidRDefault="0022797E" w:rsidP="0022797E">
      <w:pPr>
        <w:jc w:val="left"/>
        <w:outlineLvl w:val="9"/>
      </w:pPr>
      <w:r w:rsidRPr="0022797E">
        <w:t>Here’s your text, enriched and with citations mapped to your reference list.</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85"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Pocket geometry and curvature bias</w:t>
      </w:r>
    </w:p>
    <w:p w:rsidR="0022797E" w:rsidRPr="0022797E" w:rsidRDefault="0022797E" w:rsidP="0022797E">
      <w:pPr>
        <w:jc w:val="left"/>
        <w:outlineLvl w:val="9"/>
      </w:pPr>
      <w:r w:rsidRPr="0022797E">
        <w:t xml:space="preserve">The seed’s rounded topology naturally engages </w:t>
      </w:r>
      <w:r w:rsidRPr="0022797E">
        <w:rPr>
          <w:b/>
          <w:bCs/>
        </w:rPr>
        <w:t>concave, hydrated</w:t>
      </w:r>
      <w:r w:rsidRPr="0022797E">
        <w:t xml:space="preserve"> microenvironments. We therefore guide growth with </w:t>
      </w:r>
      <w:r w:rsidRPr="0022797E">
        <w:rPr>
          <w:b/>
          <w:bCs/>
        </w:rPr>
        <w:t>mean</w:t>
      </w:r>
      <w:r w:rsidRPr="0022797E">
        <w:t xml:space="preserve"> and </w:t>
      </w:r>
      <w:r w:rsidRPr="0022797E">
        <w:rPr>
          <w:b/>
          <w:bCs/>
        </w:rPr>
        <w:t>Gaussian curvature</w:t>
      </w:r>
      <w:r w:rsidRPr="0022797E">
        <w:t xml:space="preserve"> fields ((H,K)) to bias trajectories toward shielded sub-pockets while preserving hydrogen-bond geometry (Eq. 9a). Poses are advanced with an </w:t>
      </w:r>
      <w:r w:rsidRPr="0022797E">
        <w:rPr>
          <w:b/>
          <w:bCs/>
        </w:rPr>
        <w:t>SO(3)-aware flow</w:t>
      </w:r>
      <w:r w:rsidRPr="0022797E">
        <w:t xml:space="preserve"> (Wigner-D transport) and a </w:t>
      </w:r>
      <w:r w:rsidRPr="0022797E">
        <w:rPr>
          <w:b/>
          <w:bCs/>
        </w:rPr>
        <w:t>predictor–corrector RK45</w:t>
      </w:r>
      <w:r w:rsidRPr="0022797E">
        <w:t xml:space="preserve"> integrator to maintain numerical stability and strict rotation equivariance [149–150]. Centering each minimized conformer in shared analysis grids provides: (i) a neutral starting pose for curvature-aware ODE integration, (ii) a common volume for soft-overlap and (\Delta)SASA priors, and (iii) consistent parameters for an </w:t>
      </w:r>
      <w:r w:rsidRPr="0022797E">
        <w:rPr>
          <w:b/>
          <w:bCs/>
        </w:rPr>
        <w:t>energy-oracle</w:t>
      </w:r>
      <w:r w:rsidRPr="0022797E">
        <w:t xml:space="preserve"> pass that encodes (\Delta G_{\mathrm{tot}}). Binding-mode claims are deferred to </w:t>
      </w:r>
      <w:r w:rsidRPr="0022797E">
        <w:rPr>
          <w:b/>
          <w:bCs/>
        </w:rPr>
        <w:t>docking → short-MD → MM–PB/GBSA + (\Delta G_{\mathrm{np}})</w:t>
      </w:r>
      <w:r w:rsidRPr="0022797E">
        <w:t>, keeping geometry, physics, and search disentangled [12–14,54,70–72,181].</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86"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6.14 Modification goals</w:t>
      </w:r>
    </w:p>
    <w:p w:rsidR="0022797E" w:rsidRPr="0022797E" w:rsidRDefault="0022797E" w:rsidP="0022797E">
      <w:pPr>
        <w:jc w:val="left"/>
        <w:outlineLvl w:val="9"/>
      </w:pPr>
      <w:proofErr w:type="gramStart"/>
      <w:r w:rsidRPr="0022797E">
        <w:rPr>
          <w:b/>
          <w:bCs/>
        </w:rPr>
        <w:t>Objective.</w:t>
      </w:r>
      <w:proofErr w:type="gramEnd"/>
      <w:r w:rsidRPr="0022797E">
        <w:t xml:space="preserve"> Rebalance the highly polar seed while preserving interaction geometry. The poly-oxygenated, ring-rich scaffold (two sugar-like fragments) implies high TPSA, many HBD/HBA, weak passive permeability, and a large desolvation penalty upon binding [25–31]. Because MM–PB/GBSA can under-weight hydrophobic burial, we elevate</w:t>
      </w:r>
      <w:r w:rsidRPr="0022797E">
        <w:br/>
        <w:t>[</w:t>
      </w:r>
      <w:r w:rsidRPr="0022797E">
        <w:br/>
        <w:t>\boxed{\Delta G_{\mathrm{np}}=\gamma,\Delta\mathrm{SASA}\ \ (\gamma=0.005\ \mathrm{kcal,mol^{-1},\AA^{-2}})}</w:t>
      </w:r>
      <w:r w:rsidRPr="0022797E">
        <w:br/>
        <w:t>]</w:t>
      </w:r>
      <w:r w:rsidRPr="0022797E">
        <w:br/>
        <w:t>to a first-class term, so that</w:t>
      </w:r>
      <w:r w:rsidRPr="0022797E">
        <w:br/>
        <w:t>[</w:t>
      </w:r>
      <w:r w:rsidRPr="0022797E">
        <w:br/>
        <w:t>\boxed{\Delta G_{\mathrm{tot}}=\Delta G_{\mathrm{MM\text{–}PBSA}}+\gamma,\Delta\mathrm{SASA}},</w:t>
      </w:r>
      <w:r w:rsidRPr="0022797E">
        <w:br/>
        <w:t>]</w:t>
      </w:r>
      <w:r w:rsidRPr="0022797E">
        <w:br/>
        <w:t xml:space="preserve">which systematically favors compact ligands exploiting </w:t>
      </w:r>
      <w:r w:rsidRPr="0022797E">
        <w:rPr>
          <w:b/>
          <w:bCs/>
        </w:rPr>
        <w:t>concave, hydrated</w:t>
      </w:r>
      <w:r w:rsidRPr="0022797E">
        <w:t xml:space="preserve"> pockets and reduces polar overfitting [67–71,181].</w:t>
      </w:r>
    </w:p>
    <w:p w:rsidR="0022797E" w:rsidRPr="0022797E" w:rsidRDefault="0022797E" w:rsidP="0022797E">
      <w:pPr>
        <w:jc w:val="left"/>
        <w:outlineLvl w:val="9"/>
        <w:rPr>
          <w:lang w:val="el-GR"/>
        </w:rPr>
      </w:pPr>
      <w:r w:rsidRPr="0022797E">
        <w:rPr>
          <w:b/>
          <w:bCs/>
          <w:lang w:val="el-GR"/>
        </w:rPr>
        <w:t>Design priorities.</w:t>
      </w:r>
    </w:p>
    <w:p w:rsidR="0022797E" w:rsidRPr="0022797E" w:rsidRDefault="0022797E" w:rsidP="008F4646">
      <w:pPr>
        <w:numPr>
          <w:ilvl w:val="0"/>
          <w:numId w:val="41"/>
        </w:numPr>
        <w:jc w:val="left"/>
        <w:outlineLvl w:val="9"/>
      </w:pPr>
      <w:r w:rsidRPr="0022797E">
        <w:rPr>
          <w:b/>
          <w:bCs/>
        </w:rPr>
        <w:t>Polarity attenuation.</w:t>
      </w:r>
      <w:r w:rsidRPr="0022797E">
        <w:t xml:space="preserve"> Mask/trim selected hydroxyls on the aglycone to improve permeability while respecting developability heuristics (Lipinski/Veber/Ghose/Egan; SwissADME/pkCSM/QED) and the chemistry weight (\lambda_{\mathrm{chem}}) in the composite loss [25–31].</w:t>
      </w:r>
    </w:p>
    <w:p w:rsidR="0022797E" w:rsidRPr="0022797E" w:rsidRDefault="0022797E" w:rsidP="008F4646">
      <w:pPr>
        <w:numPr>
          <w:ilvl w:val="0"/>
          <w:numId w:val="41"/>
        </w:numPr>
        <w:jc w:val="left"/>
        <w:outlineLvl w:val="9"/>
      </w:pPr>
      <w:r w:rsidRPr="0022797E">
        <w:rPr>
          <w:b/>
          <w:bCs/>
        </w:rPr>
        <w:t>Non-polar compaction.</w:t>
      </w:r>
      <w:r w:rsidRPr="0022797E">
        <w:t xml:space="preserve"> Introduce compact hydrophobes to raise (\Delta)SASA and improve (\Delta G_{\mathrm{np}}), leveraging lipophilic concavities under-utilized by the parent [67–71,181].</w:t>
      </w:r>
    </w:p>
    <w:p w:rsidR="0022797E" w:rsidRPr="0022797E" w:rsidRDefault="0022797E" w:rsidP="008F4646">
      <w:pPr>
        <w:numPr>
          <w:ilvl w:val="0"/>
          <w:numId w:val="41"/>
        </w:numPr>
        <w:jc w:val="left"/>
        <w:outlineLvl w:val="9"/>
      </w:pPr>
      <w:r w:rsidRPr="0022797E">
        <w:rPr>
          <w:b/>
          <w:bCs/>
        </w:rPr>
        <w:t>Gentle pocket recognition.</w:t>
      </w:r>
      <w:r w:rsidRPr="0022797E">
        <w:t xml:space="preserve"> Use mild, non-covalent recognition (e.g., Zn-binding headgroup for MMP-1; S1/S1′ sitter for elastase) encoded in the physics term and avoiding reactive warheads; implemented with standard docking/rescoring and MD refinement [12–14,16–20].</w:t>
      </w:r>
    </w:p>
    <w:p w:rsidR="0022797E" w:rsidRPr="0022797E" w:rsidRDefault="0022797E" w:rsidP="0022797E">
      <w:pPr>
        <w:jc w:val="left"/>
        <w:outlineLvl w:val="9"/>
      </w:pPr>
      <w:r w:rsidRPr="0022797E">
        <w:t xml:space="preserve">Throughout, pharmacophoric distances/orientations are preserved by a </w:t>
      </w:r>
      <w:r w:rsidRPr="0022797E">
        <w:rPr>
          <w:b/>
          <w:bCs/>
        </w:rPr>
        <w:t>curvature-aware ODE</w:t>
      </w:r>
      <w:r w:rsidRPr="0022797E">
        <w:t xml:space="preserve"> (Eqs. 8–10) that steers growth toward concave sub-pockets while maintaining donor–acceptor geometry [149–150].</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87"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Motif evidence and diversity safeguards</w:t>
      </w:r>
    </w:p>
    <w:p w:rsidR="0022797E" w:rsidRPr="0022797E" w:rsidRDefault="0022797E" w:rsidP="0022797E">
      <w:pPr>
        <w:jc w:val="left"/>
        <w:outlineLvl w:val="9"/>
      </w:pPr>
      <w:r w:rsidRPr="0022797E">
        <w:t xml:space="preserve">Motif discovery (e.g., </w:t>
      </w:r>
      <w:r w:rsidRPr="0022797E">
        <w:rPr>
          <w:b/>
          <w:bCs/>
        </w:rPr>
        <w:t>GLAM2/GLAM2SCAN</w:t>
      </w:r>
      <w:r w:rsidRPr="0022797E">
        <w:t>) yields an ERC/NEU1-biased consensus and elastase/collagenase-adjacent cores that inform the pharmacophore loss (\ell_{\mathrm{ph4}}) and state (x_t</w:t>
      </w:r>
      <w:proofErr w:type="gramStart"/>
      <w:r w:rsidRPr="0022797E">
        <w:t>=(</w:t>
      </w:r>
      <w:proofErr w:type="gramEnd"/>
      <w:r w:rsidRPr="0022797E">
        <w:t xml:space="preserve">G_t,P_t,\Pi_t)) in Eqs. (8–10) [76,168–172]. Library-level exploration is guarded by </w:t>
      </w:r>
      <w:r w:rsidRPr="0022797E">
        <w:rPr>
          <w:b/>
          <w:bCs/>
        </w:rPr>
        <w:t>Shannon/Rényi entropy</w:t>
      </w:r>
      <w:r w:rsidRPr="0022797E">
        <w:t xml:space="preserve"> (Eqs. 1–2): candidates enter only with positive marginal gain (\Delta H) (Eq. 3) and are audited for chemotype fairness via a </w:t>
      </w:r>
      <w:r w:rsidRPr="0022797E">
        <w:rPr>
          <w:b/>
          <w:bCs/>
        </w:rPr>
        <w:t>Pearson (\chi^2)</w:t>
      </w:r>
      <w:r w:rsidRPr="0022797E">
        <w:t xml:space="preserve"> test (Eq. 4) [33,111].</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88"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Operational setup</w:t>
      </w:r>
    </w:p>
    <w:p w:rsidR="0022797E" w:rsidRPr="0022797E" w:rsidRDefault="0022797E" w:rsidP="0022797E">
      <w:pPr>
        <w:jc w:val="left"/>
        <w:outlineLvl w:val="9"/>
      </w:pPr>
      <w:r w:rsidRPr="0022797E">
        <w:t>We exported the seed as SMILES/SDF and enumerated three aglycone-based edits—</w:t>
      </w:r>
      <w:r w:rsidRPr="0022797E">
        <w:rPr>
          <w:b/>
          <w:bCs/>
        </w:rPr>
        <w:t>Stemaflex-16•MMP</w:t>
      </w:r>
      <w:r w:rsidRPr="0022797E">
        <w:t xml:space="preserve">, </w:t>
      </w:r>
      <w:r w:rsidRPr="0022797E">
        <w:rPr>
          <w:b/>
          <w:bCs/>
        </w:rPr>
        <w:t>Stemaflex-16•NE</w:t>
      </w:r>
      <w:r w:rsidRPr="0022797E">
        <w:t xml:space="preserve">, and </w:t>
      </w:r>
      <w:r w:rsidRPr="0022797E">
        <w:rPr>
          <w:b/>
          <w:bCs/>
        </w:rPr>
        <w:t>Stemaflex-16•ERC</w:t>
      </w:r>
      <w:r w:rsidRPr="0022797E">
        <w:t>. Minimized conformers were centered in representative analysis grids (illustrative placements, not docked poses):</w:t>
      </w:r>
    </w:p>
    <w:p w:rsidR="0022797E" w:rsidRPr="0022797E" w:rsidRDefault="0022797E" w:rsidP="008F4646">
      <w:pPr>
        <w:numPr>
          <w:ilvl w:val="0"/>
          <w:numId w:val="42"/>
        </w:numPr>
        <w:jc w:val="left"/>
        <w:outlineLvl w:val="9"/>
      </w:pPr>
      <w:r w:rsidRPr="0022797E">
        <w:rPr>
          <w:b/>
          <w:bCs/>
        </w:rPr>
        <w:t>MMP-1</w:t>
      </w:r>
      <w:r w:rsidRPr="0022797E">
        <w:t xml:space="preserve"> grid at ((0,0,0)\ \mathrm{\AA}), box (22\times22\times22\ \mathrm{\AA^3});</w:t>
      </w:r>
    </w:p>
    <w:p w:rsidR="0022797E" w:rsidRPr="0022797E" w:rsidRDefault="0022797E" w:rsidP="008F4646">
      <w:pPr>
        <w:numPr>
          <w:ilvl w:val="0"/>
          <w:numId w:val="42"/>
        </w:numPr>
        <w:jc w:val="left"/>
        <w:outlineLvl w:val="9"/>
      </w:pPr>
      <w:r w:rsidRPr="0022797E">
        <w:rPr>
          <w:b/>
          <w:bCs/>
        </w:rPr>
        <w:t>Elastase</w:t>
      </w:r>
      <w:r w:rsidRPr="0022797E">
        <w:t xml:space="preserve"> grid at ((28,0,0)\ \mathrm{\AA}), box (20\times18\times16\ \mathrm{\AA^3});</w:t>
      </w:r>
    </w:p>
    <w:p w:rsidR="0022797E" w:rsidRPr="0022797E" w:rsidRDefault="0022797E" w:rsidP="008F4646">
      <w:pPr>
        <w:numPr>
          <w:ilvl w:val="0"/>
          <w:numId w:val="42"/>
        </w:numPr>
        <w:jc w:val="left"/>
        <w:outlineLvl w:val="9"/>
      </w:pPr>
      <w:r w:rsidRPr="0022797E">
        <w:rPr>
          <w:b/>
          <w:bCs/>
        </w:rPr>
        <w:t>ERC/NEU1</w:t>
      </w:r>
      <w:r w:rsidRPr="0022797E">
        <w:t xml:space="preserve"> grid at ((56,0,0)\ \mathrm{\AA}), box (18\times18\times18\ \mathrm{\AA^3}).</w:t>
      </w:r>
    </w:p>
    <w:p w:rsidR="0022797E" w:rsidRPr="0022797E" w:rsidRDefault="0022797E" w:rsidP="0022797E">
      <w:pPr>
        <w:jc w:val="left"/>
        <w:outlineLvl w:val="9"/>
      </w:pPr>
      <w:r w:rsidRPr="0022797E">
        <w:t>These frames standardize evaluation of attachment regions, polarity masking, soft-overlap, and (\Delta)SASA prior to formal docking/MD [12–14,54].</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89"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Evaluation workflow</w:t>
      </w:r>
    </w:p>
    <w:p w:rsidR="0022797E" w:rsidRPr="0022797E" w:rsidRDefault="0022797E" w:rsidP="0022797E">
      <w:pPr>
        <w:jc w:val="left"/>
        <w:outlineLvl w:val="9"/>
      </w:pPr>
      <w:proofErr w:type="gramStart"/>
      <w:r w:rsidRPr="0022797E">
        <w:t xml:space="preserve">Each candidate proceeds through </w:t>
      </w:r>
      <w:r w:rsidRPr="0022797E">
        <w:rPr>
          <w:b/>
          <w:bCs/>
        </w:rPr>
        <w:t>docking → short MD → MM–PB/GB/SA</w:t>
      </w:r>
      <w:r w:rsidRPr="0022797E">
        <w:t xml:space="preserve"> rescoring with explicit (\Delta)SASA bookkeeping.</w:t>
      </w:r>
      <w:proofErr w:type="gramEnd"/>
      <w:r w:rsidRPr="0022797E">
        <w:t xml:space="preserve"> For </w:t>
      </w:r>
      <w:r w:rsidRPr="0022797E">
        <w:rPr>
          <w:b/>
          <w:bCs/>
        </w:rPr>
        <w:t>MMP-1</w:t>
      </w:r>
      <w:r w:rsidRPr="0022797E">
        <w:t xml:space="preserve">, (\mathrm{Zn}^{2+}) is modeled explicitly; for </w:t>
      </w:r>
      <w:r w:rsidRPr="0022797E">
        <w:rPr>
          <w:b/>
          <w:bCs/>
        </w:rPr>
        <w:t>elastase</w:t>
      </w:r>
      <w:r w:rsidRPr="0022797E">
        <w:t xml:space="preserve">, water-mediated H-bonds are counted positively inside (\ell_{\mathrm{ph4}}) so stabilizing bridges are not penalized. The resulting (\Delta G_{\mathrm{tot}}) reflects enthalpic terms plus the burial correction—critical for a bulky, hyper-polar scaffold [12–14,54,70–72,181]. At library scale, we track </w:t>
      </w:r>
      <w:r w:rsidRPr="0022797E">
        <w:rPr>
          <w:b/>
          <w:bCs/>
        </w:rPr>
        <w:t>Rényi entropy (S_\alpha)</w:t>
      </w:r>
      <w:r w:rsidRPr="0022797E">
        <w:t xml:space="preserve"> and </w:t>
      </w:r>
      <w:r w:rsidRPr="0022797E">
        <w:rPr>
          <w:b/>
          <w:bCs/>
        </w:rPr>
        <w:t>marginal gain (\Delta H)</w:t>
      </w:r>
      <w:r w:rsidRPr="0022797E">
        <w:t xml:space="preserve"> to ensure the three designs expand chemotype coverage rather than collapse it [33,111].</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90"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Tissue-level readouts and acceptance</w:t>
      </w:r>
    </w:p>
    <w:p w:rsidR="0022797E" w:rsidRPr="0022797E" w:rsidRDefault="0022797E" w:rsidP="0022797E">
      <w:pPr>
        <w:jc w:val="left"/>
        <w:outlineLvl w:val="9"/>
      </w:pPr>
      <w:r w:rsidRPr="0022797E">
        <w:t xml:space="preserve">Single-cell and bulk wound-repair datasets mapped onto </w:t>
      </w:r>
      <w:r w:rsidRPr="0022797E">
        <w:rPr>
          <w:b/>
          <w:bCs/>
        </w:rPr>
        <w:t>fibrocyte/ECM</w:t>
      </w:r>
      <w:r w:rsidRPr="0022797E">
        <w:t xml:space="preserve"> subnetworks (STRING/KEGG/Reactome annotations) provide the systems-level yardsticks [85–87</w:t>
      </w:r>
      <w:proofErr w:type="gramStart"/>
      <w:r w:rsidRPr="0022797E">
        <w:t>,90</w:t>
      </w:r>
      <w:proofErr w:type="gramEnd"/>
      <w:r w:rsidRPr="0022797E">
        <w:t>–91,94–96]:</w:t>
      </w:r>
    </w:p>
    <w:p w:rsidR="0022797E" w:rsidRPr="00EE5A66" w:rsidRDefault="0022797E" w:rsidP="008F4646">
      <w:pPr>
        <w:numPr>
          <w:ilvl w:val="0"/>
          <w:numId w:val="43"/>
        </w:numPr>
        <w:jc w:val="left"/>
        <w:outlineLvl w:val="9"/>
      </w:pPr>
      <w:r w:rsidRPr="00EE5A66">
        <w:rPr>
          <w:b/>
          <w:bCs/>
        </w:rPr>
        <w:t>Combination synergy (CSI)</w:t>
      </w:r>
      <w:r w:rsidRPr="00EE5A66">
        <w:t xml:space="preserve"> via Bliss/Chou–Talalay; (E</w:t>
      </w:r>
      <w:proofErr w:type="gramStart"/>
      <w:r w:rsidRPr="00EE5A66">
        <w:t>_{</w:t>
      </w:r>
      <w:proofErr w:type="gramEnd"/>
      <w:r w:rsidRPr="00EE5A66">
        <w:t>\mathrm{pred}}=1-\prod_j(1-E_j)), (\mathrm{CSI}=E_{\mathrm{obs}}/E_{\mathrm{pred}}) [115–116].</w:t>
      </w:r>
    </w:p>
    <w:p w:rsidR="0022797E" w:rsidRPr="0022797E" w:rsidRDefault="0022797E" w:rsidP="008F4646">
      <w:pPr>
        <w:numPr>
          <w:ilvl w:val="0"/>
          <w:numId w:val="43"/>
        </w:numPr>
        <w:jc w:val="left"/>
        <w:outlineLvl w:val="9"/>
      </w:pPr>
      <w:r w:rsidRPr="0022797E">
        <w:rPr>
          <w:b/>
          <w:bCs/>
        </w:rPr>
        <w:t>Mean residual heterogeneity (MRH)</w:t>
      </w:r>
      <w:r w:rsidRPr="0022797E">
        <w:t xml:space="preserve"> summarizing controlled plasticity: (H_i=-\sum_g p</w:t>
      </w:r>
      <w:proofErr w:type="gramStart"/>
      <w:r w:rsidRPr="0022797E">
        <w:t>_{</w:t>
      </w:r>
      <w:proofErr w:type="gramEnd"/>
      <w:r w:rsidRPr="0022797E">
        <w:t>ig}\log p_{ig}), (\mathrm{MRH}=(H_{\mathrm{bulk}}-\mu)/\sigma) [94–96,111].</w:t>
      </w:r>
    </w:p>
    <w:p w:rsidR="0022797E" w:rsidRPr="00EE5A66" w:rsidRDefault="0022797E" w:rsidP="008F4646">
      <w:pPr>
        <w:numPr>
          <w:ilvl w:val="0"/>
          <w:numId w:val="43"/>
        </w:numPr>
        <w:jc w:val="left"/>
        <w:outlineLvl w:val="9"/>
      </w:pPr>
      <w:r w:rsidRPr="00EE5A66">
        <w:rPr>
          <w:b/>
          <w:bCs/>
        </w:rPr>
        <w:t>Graph structural entropy (GSE)</w:t>
      </w:r>
      <w:r w:rsidRPr="00EE5A66">
        <w:t>: (\mathrm{GSE}=-\sum_v \pi_v\log\pi_v), (\Delta\mathrm{GSE}=\mathrm{GSE}</w:t>
      </w:r>
      <w:r w:rsidRPr="00EE5A66">
        <w:rPr>
          <w:i/>
          <w:iCs/>
        </w:rPr>
        <w:t>{\mathrm{treat}}-\mathrm{GSE}</w:t>
      </w:r>
      <w:r w:rsidRPr="00EE5A66">
        <w:t>{\mathrm{ctrl}}) [85–87,111].</w:t>
      </w:r>
    </w:p>
    <w:p w:rsidR="0022797E" w:rsidRPr="0022797E" w:rsidRDefault="0022797E" w:rsidP="0022797E">
      <w:pPr>
        <w:jc w:val="left"/>
        <w:outlineLvl w:val="9"/>
      </w:pPr>
      <w:r w:rsidRPr="0022797E">
        <w:t xml:space="preserve">We accept branches that move the subnetwork to a favorable zone: </w:t>
      </w:r>
      <w:r w:rsidRPr="0022797E">
        <w:rPr>
          <w:b/>
          <w:bCs/>
        </w:rPr>
        <w:t>CSI↑</w:t>
      </w:r>
      <w:r w:rsidRPr="0022797E">
        <w:t xml:space="preserve">, </w:t>
      </w:r>
      <w:r w:rsidRPr="0022797E">
        <w:rPr>
          <w:b/>
          <w:bCs/>
        </w:rPr>
        <w:t>MRH↑</w:t>
      </w:r>
      <w:r w:rsidRPr="0022797E">
        <w:t xml:space="preserve"> (within biological bounds), </w:t>
      </w:r>
      <w:proofErr w:type="gramStart"/>
      <w:r w:rsidRPr="0022797E">
        <w:rPr>
          <w:b/>
          <w:bCs/>
        </w:rPr>
        <w:t>(</w:t>
      </w:r>
      <w:proofErr w:type="gramEnd"/>
      <w:r w:rsidRPr="0022797E">
        <w:rPr>
          <w:b/>
          <w:bCs/>
        </w:rPr>
        <w:t>\Delta)GSE↓</w:t>
      </w:r>
      <w:r w:rsidRPr="0022797E">
        <w:t>.</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91"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Quantitative expectations</w:t>
      </w:r>
    </w:p>
    <w:p w:rsidR="0022797E" w:rsidRPr="0022797E" w:rsidRDefault="0022797E" w:rsidP="0022797E">
      <w:pPr>
        <w:jc w:val="left"/>
        <w:outlineLvl w:val="9"/>
      </w:pPr>
      <w:r w:rsidRPr="0022797E">
        <w:t>Using (\gamma=0.005\ \mathrm{kcal</w:t>
      </w:r>
      <w:proofErr w:type="gramStart"/>
      <w:r w:rsidRPr="0022797E">
        <w:t>,mol</w:t>
      </w:r>
      <w:proofErr w:type="gramEnd"/>
      <w:r w:rsidRPr="0022797E">
        <w:t>^{-1},\AA^{-2}}):</w:t>
      </w:r>
    </w:p>
    <w:p w:rsidR="0022797E" w:rsidRPr="00EE5A66" w:rsidRDefault="0022797E" w:rsidP="008F4646">
      <w:pPr>
        <w:numPr>
          <w:ilvl w:val="0"/>
          <w:numId w:val="44"/>
        </w:numPr>
        <w:jc w:val="left"/>
        <w:outlineLvl w:val="9"/>
      </w:pPr>
      <w:r w:rsidRPr="00EE5A66">
        <w:rPr>
          <w:b/>
          <w:bCs/>
        </w:rPr>
        <w:t>MMP analogue</w:t>
      </w:r>
      <w:r w:rsidRPr="00EE5A66">
        <w:t xml:space="preserve"> with (\Delta\mathrm{SASA}=200\pm20\ \</w:t>
      </w:r>
      <w:proofErr w:type="gramStart"/>
      <w:r w:rsidRPr="00EE5A66">
        <w:t>mathrm{</w:t>
      </w:r>
      <w:proofErr w:type="gramEnd"/>
      <w:r w:rsidRPr="00EE5A66">
        <w:t>\AA^2}): (\Delta G_{\mathrm{np}}=-1.00\pm0.10\ \mathrm{kcal,mol^{-1}}).</w:t>
      </w:r>
    </w:p>
    <w:p w:rsidR="0022797E" w:rsidRPr="0022797E" w:rsidRDefault="0022797E" w:rsidP="008F4646">
      <w:pPr>
        <w:numPr>
          <w:ilvl w:val="0"/>
          <w:numId w:val="44"/>
        </w:numPr>
        <w:jc w:val="left"/>
        <w:outlineLvl w:val="9"/>
      </w:pPr>
      <w:r w:rsidRPr="0022797E">
        <w:rPr>
          <w:b/>
          <w:bCs/>
        </w:rPr>
        <w:t>Elastase analogue</w:t>
      </w:r>
      <w:r w:rsidRPr="0022797E">
        <w:t xml:space="preserve"> with (140\pm20\ \</w:t>
      </w:r>
      <w:proofErr w:type="gramStart"/>
      <w:r w:rsidRPr="0022797E">
        <w:t>mathrm{</w:t>
      </w:r>
      <w:proofErr w:type="gramEnd"/>
      <w:r w:rsidRPr="0022797E">
        <w:t>\AA^2}): (-0.70\pm0.10\ \mathrm{kcal,mol^{-1}}).</w:t>
      </w:r>
    </w:p>
    <w:p w:rsidR="0022797E" w:rsidRPr="0022797E" w:rsidRDefault="0022797E" w:rsidP="008F4646">
      <w:pPr>
        <w:numPr>
          <w:ilvl w:val="0"/>
          <w:numId w:val="44"/>
        </w:numPr>
        <w:jc w:val="left"/>
        <w:outlineLvl w:val="9"/>
      </w:pPr>
      <w:r w:rsidRPr="0022797E">
        <w:rPr>
          <w:b/>
          <w:bCs/>
        </w:rPr>
        <w:t>ERC/NEU1 analogue</w:t>
      </w:r>
      <w:r w:rsidRPr="0022797E">
        <w:t xml:space="preserve"> with (105\pm15\ \mathrm{\AA^2}): (-0.53\pm0.08\ \mathrm{kcal,mol^{-1}}).</w:t>
      </w:r>
    </w:p>
    <w:p w:rsidR="0022797E" w:rsidRPr="0022797E" w:rsidRDefault="0022797E" w:rsidP="0022797E">
      <w:pPr>
        <w:jc w:val="left"/>
        <w:outlineLvl w:val="9"/>
      </w:pPr>
      <w:r w:rsidRPr="0022797E">
        <w:t xml:space="preserve">These corrections add coherently to (\widehat{\Delta G}_{\mathrm{MM/GBSA}}), </w:t>
      </w:r>
      <w:r w:rsidRPr="0022797E">
        <w:rPr>
          <w:b/>
          <w:bCs/>
        </w:rPr>
        <w:t>sharpening rank ordering</w:t>
      </w:r>
      <w:r w:rsidRPr="0022797E">
        <w:t xml:space="preserve"> by rewarding meaningful non-polar burial in concave, hydrated subsites [67–71,181].</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92" style="width:0;height:1.5pt" o:hralign="center" o:hrstd="t" o:hr="t" fillcolor="#a0a0a0" stroked="f"/>
        </w:pict>
      </w:r>
    </w:p>
    <w:p w:rsidR="0022797E" w:rsidRPr="0022797E" w:rsidRDefault="0022797E" w:rsidP="0022797E">
      <w:pPr>
        <w:jc w:val="left"/>
        <w:outlineLvl w:val="1"/>
        <w:rPr>
          <w:b/>
          <w:bCs/>
          <w:sz w:val="36"/>
          <w:szCs w:val="36"/>
          <w:lang w:val="el-GR"/>
        </w:rPr>
      </w:pPr>
      <w:r w:rsidRPr="0022797E">
        <w:rPr>
          <w:b/>
          <w:bCs/>
          <w:sz w:val="36"/>
          <w:szCs w:val="36"/>
          <w:lang w:val="el-GR"/>
        </w:rPr>
        <w:t>Composite objective and flow</w:t>
      </w:r>
    </w:p>
    <w:p w:rsidR="0022797E" w:rsidRPr="0022797E" w:rsidRDefault="0022797E" w:rsidP="0022797E">
      <w:pPr>
        <w:jc w:val="left"/>
        <w:outlineLvl w:val="9"/>
      </w:pPr>
      <w:r w:rsidRPr="0022797E">
        <w:rPr>
          <w:lang w:val="el-GR"/>
        </w:rPr>
        <w:t>Candidates evolve as (x_t=(G_t,P_t,\Pi_t)) under (\dot x_t=f_\theta(x_t,t)), optimizing</w:t>
      </w:r>
      <w:r w:rsidRPr="0022797E">
        <w:rPr>
          <w:lang w:val="el-GR"/>
        </w:rPr>
        <w:br/>
        <w:t>[</w:t>
      </w:r>
      <w:r w:rsidRPr="0022797E">
        <w:rPr>
          <w:lang w:val="el-GR"/>
        </w:rPr>
        <w:br/>
        <w:t>\boxed{\mathcal L=\lambda_{\mathrm{phys}},\widehat{\Delta G}</w:t>
      </w:r>
      <w:r w:rsidRPr="0022797E">
        <w:rPr>
          <w:i/>
          <w:iCs/>
          <w:lang w:val="el-GR"/>
        </w:rPr>
        <w:t>{\mathrm{MM/GBSA}}</w:t>
      </w:r>
      <w:r w:rsidRPr="0022797E">
        <w:rPr>
          <w:i/>
          <w:iCs/>
          <w:lang w:val="el-GR"/>
        </w:rPr>
        <w:br/>
        <w:t>+\lambda</w:t>
      </w:r>
      <w:r w:rsidRPr="0022797E">
        <w:rPr>
          <w:lang w:val="el-GR"/>
        </w:rPr>
        <w:t>{\mathrm{ph4}},\ell_{\mathrm{ph4}}</w:t>
      </w:r>
      <w:r w:rsidRPr="0022797E">
        <w:rPr>
          <w:lang w:val="el-GR"/>
        </w:rPr>
        <w:br/>
        <w:t>+\lambda_{\mathrm{info}},S_\alpha</w:t>
      </w:r>
      <w:r w:rsidRPr="0022797E">
        <w:rPr>
          <w:lang w:val="el-GR"/>
        </w:rPr>
        <w:br/>
        <w:t>+\lambda_{\mathrm{chem}},\ell_{\mathrm{ADMET/SA}}}.</w:t>
      </w:r>
      <w:r w:rsidRPr="0022797E">
        <w:rPr>
          <w:lang w:val="el-GR"/>
        </w:rPr>
        <w:br/>
        <w:t>]</w:t>
      </w:r>
      <w:r w:rsidRPr="0022797E">
        <w:rPr>
          <w:lang w:val="el-GR"/>
        </w:rPr>
        <w:br/>
      </w:r>
      <w:r w:rsidRPr="0022797E">
        <w:t xml:space="preserve">Curvature ((H,K)) guides toward concavity [149–150]; motif evidence (GLAM2; ERC literature) shapes (\ell_{\mathrm{ph4}}) [76,168–172]; entropy/fairness maintain diversity [33,111]; and the explicit (\gamma,\Delta)SASA term restores the non-polar channel [67–71,181]. Predictor–corrector steps and Wigner-D handling of rigid motions ensure </w:t>
      </w:r>
      <w:r w:rsidRPr="0022797E">
        <w:rPr>
          <w:b/>
          <w:bCs/>
        </w:rPr>
        <w:t>stability and equivariance</w:t>
      </w:r>
      <w:r w:rsidRPr="0022797E">
        <w:t xml:space="preserve"> [149–150]. Outcome: designs meeting energetic ((\Delta G_{\mathrm{tot}})), geometric (curvature/pharmacophore), and diversity (entropy/fairness) criteria advance to cellular assays in parallel with </w:t>
      </w:r>
      <w:r w:rsidRPr="0022797E">
        <w:rPr>
          <w:b/>
          <w:bCs/>
        </w:rPr>
        <w:t>CSI, MRH, and (\Delta)GSE</w:t>
      </w:r>
      <w:r w:rsidRPr="0022797E">
        <w:t xml:space="preserve"> readouts—closing the loop from motif-aware, curvature-guided edits to rigorous energetic scoring and biologically legible systems-level validation [85–87,90–91,94–96,115–116].</w:t>
      </w:r>
    </w:p>
    <w:p w:rsidR="0022797E" w:rsidRPr="0022797E" w:rsidRDefault="00106EF3" w:rsidP="0022797E">
      <w:pPr>
        <w:spacing w:before="0" w:beforeAutospacing="0" w:after="0" w:afterAutospacing="0"/>
        <w:jc w:val="left"/>
        <w:outlineLvl w:val="9"/>
        <w:rPr>
          <w:lang w:val="el-GR"/>
        </w:rPr>
      </w:pPr>
      <w:r w:rsidRPr="00106EF3">
        <w:rPr>
          <w:lang w:val="el-GR"/>
        </w:rPr>
        <w:pict>
          <v:rect id="_x0000_i1093" style="width:0;height:1.5pt" o:hralign="center" o:hrstd="t" o:hr="t" fillcolor="#a0a0a0" stroked="f"/>
        </w:pict>
      </w:r>
    </w:p>
    <w:p w:rsidR="0022797E" w:rsidRPr="00EE5A66" w:rsidRDefault="0022797E" w:rsidP="0022797E">
      <w:pPr>
        <w:jc w:val="left"/>
        <w:outlineLvl w:val="1"/>
        <w:rPr>
          <w:b/>
          <w:bCs/>
          <w:sz w:val="36"/>
          <w:szCs w:val="36"/>
        </w:rPr>
      </w:pPr>
      <w:r w:rsidRPr="00EE5A66">
        <w:rPr>
          <w:b/>
          <w:bCs/>
          <w:sz w:val="36"/>
          <w:szCs w:val="36"/>
        </w:rPr>
        <w:t>6.6–6.12 (cleaned citations)</w:t>
      </w:r>
    </w:p>
    <w:p w:rsidR="0022797E" w:rsidRPr="0022797E" w:rsidRDefault="0022797E" w:rsidP="0022797E">
      <w:pPr>
        <w:jc w:val="left"/>
        <w:rPr>
          <w:b/>
          <w:bCs/>
          <w:sz w:val="27"/>
          <w:szCs w:val="27"/>
        </w:rPr>
      </w:pPr>
      <w:r w:rsidRPr="0022797E">
        <w:rPr>
          <w:b/>
          <w:bCs/>
          <w:sz w:val="27"/>
          <w:szCs w:val="27"/>
        </w:rPr>
        <w:t>6.6 Structure-guided update under entropy constraints</w:t>
      </w:r>
    </w:p>
    <w:p w:rsidR="0022797E" w:rsidRPr="0022797E" w:rsidRDefault="0022797E" w:rsidP="0022797E">
      <w:pPr>
        <w:jc w:val="left"/>
        <w:outlineLvl w:val="9"/>
      </w:pPr>
      <w:r w:rsidRPr="0022797E">
        <w:rPr>
          <w:b/>
          <w:bCs/>
        </w:rPr>
        <w:t>Seed assessment.</w:t>
      </w:r>
      <w:r w:rsidRPr="0022797E">
        <w:t xml:space="preserve"> Bulky, polyhydroxylated scaffold with fused/bridged rings and two sugar-like fragments → high tPSA, many HBD/HBA, low passive permeability, and sizeable desolvation penalties [25–31]. Each chemotype occupies a bin (b\in\mathcal B) with probability (p_b); edits are evaluated with </w:t>
      </w:r>
      <w:r w:rsidRPr="0022797E">
        <w:rPr>
          <w:b/>
          <w:bCs/>
        </w:rPr>
        <w:t>Shannon</w:t>
      </w:r>
      <w:r w:rsidRPr="0022797E">
        <w:t xml:space="preserve"> and </w:t>
      </w:r>
      <w:r w:rsidRPr="0022797E">
        <w:rPr>
          <w:b/>
          <w:bCs/>
        </w:rPr>
        <w:t>Rényi</w:t>
      </w:r>
      <w:r w:rsidRPr="0022797E">
        <w:t xml:space="preserve"> terms (Eqs. 1–2) and accepted only if the marginal diversity gain is non-negative (Eq. 3), with </w:t>
      </w:r>
      <w:r w:rsidRPr="0022797E">
        <w:rPr>
          <w:b/>
          <w:bCs/>
        </w:rPr>
        <w:t>(\chi^2)</w:t>
      </w:r>
      <w:r w:rsidRPr="0022797E">
        <w:t xml:space="preserve"> fairness checks (Eq. 4) [33,101,111].</w:t>
      </w:r>
    </w:p>
    <w:p w:rsidR="0022797E" w:rsidRPr="0022797E" w:rsidRDefault="0022797E" w:rsidP="0022797E">
      <w:pPr>
        <w:jc w:val="left"/>
        <w:outlineLvl w:val="9"/>
      </w:pPr>
      <w:r w:rsidRPr="0022797E">
        <w:rPr>
          <w:b/>
          <w:bCs/>
        </w:rPr>
        <w:t>Directional pressure.</w:t>
      </w:r>
      <w:r w:rsidRPr="0022797E">
        <w:t xml:space="preserve"> Prioritize edits that (i) increase (\Delta)SASA in concave, hydrated sub-pockets, (ii) reduce excess polarity without losing essential pharmacophores, and (iii) yield (\Delta H(G^*)&gt;0) (Eq. 3). Because MM–PB/GBSA can under-weight hydrophobic enclosure, include an explicit non-polar correction,</w:t>
      </w:r>
      <w:r w:rsidRPr="0022797E">
        <w:br/>
        <w:t>(\Delta G_{\mathrm{np}}=\gamma,\Delta\mathrm{SASA}) (Eqs. 6–7; (\gamma) in §6.10), consistent with MM–PB/GBSA practice [67–71,181]. Given the seed’s sugar-rich morphology, curvature guidance (mean (H), Gaussian (K); Eq. 9a) biases growth toward shielded concavities while preserving H-bond geometry [149–150].</w:t>
      </w:r>
    </w:p>
    <w:p w:rsidR="0022797E" w:rsidRPr="0022797E" w:rsidRDefault="0022797E" w:rsidP="0022797E">
      <w:pPr>
        <w:jc w:val="left"/>
        <w:rPr>
          <w:b/>
          <w:bCs/>
          <w:sz w:val="27"/>
          <w:szCs w:val="27"/>
        </w:rPr>
      </w:pPr>
      <w:r w:rsidRPr="0022797E">
        <w:rPr>
          <w:b/>
          <w:bCs/>
          <w:sz w:val="27"/>
          <w:szCs w:val="27"/>
        </w:rPr>
        <w:t>6.7 Modification goals mapped to the composite objective</w:t>
      </w:r>
    </w:p>
    <w:p w:rsidR="0022797E" w:rsidRPr="00EE5A66" w:rsidRDefault="0022797E" w:rsidP="0022797E">
      <w:pPr>
        <w:jc w:val="left"/>
        <w:outlineLvl w:val="9"/>
      </w:pPr>
      <w:r w:rsidRPr="00EE5A66">
        <w:t>[</w:t>
      </w:r>
      <w:r w:rsidRPr="00EE5A66">
        <w:br/>
        <w:t>\mathcal L=\lambda_{\mathrm{phys}}\widehat{\Delta G}</w:t>
      </w:r>
      <w:r w:rsidRPr="00EE5A66">
        <w:rPr>
          <w:i/>
          <w:iCs/>
        </w:rPr>
        <w:t>{\mathrm{MM/GBSA}}</w:t>
      </w:r>
      <w:r w:rsidRPr="00EE5A66">
        <w:rPr>
          <w:i/>
          <w:iCs/>
        </w:rPr>
        <w:br/>
        <w:t>+\lambda</w:t>
      </w:r>
      <w:r w:rsidRPr="00EE5A66">
        <w:t>{\mathrm{ph4}}\ell_{\mathrm{ph4}}</w:t>
      </w:r>
      <w:r w:rsidRPr="00EE5A66">
        <w:br/>
        <w:t>+\lambda_{\mathrm{info}}S_\alpha</w:t>
      </w:r>
      <w:r w:rsidRPr="00EE5A66">
        <w:br/>
        <w:t>+\lambda_{\mathrm{chem}}\ell_{\mathrm{ADMET/SA}},</w:t>
      </w:r>
      <w:r w:rsidRPr="00EE5A66">
        <w:br/>
        <w:t>]</w:t>
      </w:r>
      <w:r w:rsidRPr="00EE5A66">
        <w:br/>
        <w:t>with (S_\alpha) as an explicit diversity regularizer [101,111].</w:t>
      </w:r>
    </w:p>
    <w:p w:rsidR="0022797E" w:rsidRPr="0022797E" w:rsidRDefault="0022797E" w:rsidP="008F4646">
      <w:pPr>
        <w:numPr>
          <w:ilvl w:val="0"/>
          <w:numId w:val="45"/>
        </w:numPr>
        <w:jc w:val="left"/>
        <w:outlineLvl w:val="9"/>
      </w:pPr>
      <w:r w:rsidRPr="0022797E">
        <w:rPr>
          <w:b/>
          <w:bCs/>
        </w:rPr>
        <w:t>Lower polarity</w:t>
      </w:r>
      <w:r w:rsidRPr="0022797E">
        <w:t xml:space="preserve"> by trimming/masking hydroxyls → improved (\ell_{\mathrm{ADMET/SA}}) and movement into sparser bins ((\uparrow\Delta H)) [25–31].</w:t>
      </w:r>
    </w:p>
    <w:p w:rsidR="0022797E" w:rsidRPr="0022797E" w:rsidRDefault="0022797E" w:rsidP="008F4646">
      <w:pPr>
        <w:numPr>
          <w:ilvl w:val="0"/>
          <w:numId w:val="45"/>
        </w:numPr>
        <w:jc w:val="left"/>
        <w:outlineLvl w:val="9"/>
      </w:pPr>
      <w:r w:rsidRPr="0022797E">
        <w:rPr>
          <w:b/>
          <w:bCs/>
        </w:rPr>
        <w:t>Add compact hydrophobes</w:t>
      </w:r>
      <w:r w:rsidRPr="0022797E">
        <w:t xml:space="preserve"> → (\uparrow\Delta)SASA and more favorable (\Delta G_{\mathrm{np}}) (Eqs. 6–7), stabilizing poses where curvature indicates burial opportunities [67–71,181,149–150].</w:t>
      </w:r>
    </w:p>
    <w:p w:rsidR="0022797E" w:rsidRPr="0022797E" w:rsidRDefault="0022797E" w:rsidP="008F4646">
      <w:pPr>
        <w:numPr>
          <w:ilvl w:val="0"/>
          <w:numId w:val="45"/>
        </w:numPr>
        <w:jc w:val="left"/>
        <w:outlineLvl w:val="9"/>
      </w:pPr>
      <w:r w:rsidRPr="0022797E">
        <w:rPr>
          <w:b/>
          <w:bCs/>
        </w:rPr>
        <w:t>Gentle pocket recognition</w:t>
      </w:r>
      <w:r w:rsidRPr="0022797E">
        <w:t xml:space="preserve"> (Zn-binding for MMP-1; S1/S1′ sitter for elastase) improves (\widehat{\Delta G}_{\mathrm{MM/GBSA}}) without reactive warheads; realized via standard docking/rescoring pipelines [12–14,16–20].</w:t>
      </w:r>
    </w:p>
    <w:p w:rsidR="0022797E" w:rsidRPr="0022797E" w:rsidRDefault="0022797E" w:rsidP="008F4646">
      <w:pPr>
        <w:numPr>
          <w:ilvl w:val="0"/>
          <w:numId w:val="45"/>
        </w:numPr>
        <w:jc w:val="left"/>
        <w:outlineLvl w:val="9"/>
      </w:pPr>
      <w:r w:rsidRPr="0022797E">
        <w:rPr>
          <w:b/>
          <w:bCs/>
        </w:rPr>
        <w:t>Maintain pharmacophore geometry</w:t>
      </w:r>
      <w:r w:rsidRPr="0022797E">
        <w:t xml:space="preserve"> with rotation-equivariant dynamics (Eq. 6.5), reducing (\ell_{\mathrm{ph4}}) while preserving key interactions [149–150].</w:t>
      </w:r>
    </w:p>
    <w:p w:rsidR="0022797E" w:rsidRPr="0022797E" w:rsidRDefault="0022797E" w:rsidP="0022797E">
      <w:pPr>
        <w:jc w:val="left"/>
        <w:rPr>
          <w:b/>
          <w:bCs/>
          <w:sz w:val="27"/>
          <w:szCs w:val="27"/>
          <w:lang w:val="el-GR"/>
        </w:rPr>
      </w:pPr>
      <w:r w:rsidRPr="0022797E">
        <w:rPr>
          <w:b/>
          <w:bCs/>
          <w:sz w:val="27"/>
          <w:szCs w:val="27"/>
          <w:lang w:val="el-GR"/>
        </w:rPr>
        <w:t>6.8 Three entropy-aware analogues</w:t>
      </w:r>
    </w:p>
    <w:p w:rsidR="0022797E" w:rsidRPr="0022797E" w:rsidRDefault="0022797E" w:rsidP="008F4646">
      <w:pPr>
        <w:numPr>
          <w:ilvl w:val="0"/>
          <w:numId w:val="46"/>
        </w:numPr>
        <w:jc w:val="left"/>
        <w:outlineLvl w:val="9"/>
      </w:pPr>
      <w:r w:rsidRPr="0022797E">
        <w:rPr>
          <w:b/>
          <w:bCs/>
        </w:rPr>
        <w:t>MMP-1 hydroxamate.</w:t>
      </w:r>
      <w:r w:rsidRPr="0022797E">
        <w:t xml:space="preserve"> Desugarized aglycone; carboxylate–hydroxamate Zn(^{2+}) head; selective O-methylations; para-tolyl shelf. (\Delta)SASA (\approx 180)–(220\ \mathrm{\AA^2} \Rightarrow \Delta G_{\mathrm{np}}\approx -0.9) to (-1.1\ \mathrm{kcal,mol^{-1}}). Ranking and evaluation via mainstream docking/MD/MM–PB/GBSA [12–14,16–20].</w:t>
      </w:r>
    </w:p>
    <w:p w:rsidR="0022797E" w:rsidRPr="0022797E" w:rsidRDefault="0022797E" w:rsidP="008F4646">
      <w:pPr>
        <w:numPr>
          <w:ilvl w:val="0"/>
          <w:numId w:val="46"/>
        </w:numPr>
        <w:jc w:val="left"/>
        <w:outlineLvl w:val="9"/>
        <w:rPr>
          <w:lang w:val="el-GR"/>
        </w:rPr>
      </w:pPr>
      <w:r w:rsidRPr="0022797E">
        <w:rPr>
          <w:b/>
          <w:bCs/>
        </w:rPr>
        <w:t>Elastase sitter.</w:t>
      </w:r>
      <w:r w:rsidRPr="0022797E">
        <w:t xml:space="preserve"> Desugarized core with (\gamma)-lactam acceptor (His57-facing); benzyl/isobutyl into S1/S1′. (\Delta)SASA (\approx 120)–(160\ \mathrm{\AA^2} \Rightarrow \Delta G_{\mathrm{np}}\approx -0.6) to (-0.8\ \mathrm{kcal,mol^{-1}}). </w:t>
      </w:r>
      <w:r w:rsidRPr="0022797E">
        <w:rPr>
          <w:lang w:val="el-GR"/>
        </w:rPr>
        <w:t>Docking/MD as above [12–14,16–20].</w:t>
      </w:r>
    </w:p>
    <w:p w:rsidR="0022797E" w:rsidRPr="0022797E" w:rsidRDefault="0022797E" w:rsidP="008F4646">
      <w:pPr>
        <w:numPr>
          <w:ilvl w:val="0"/>
          <w:numId w:val="46"/>
        </w:numPr>
        <w:jc w:val="left"/>
        <w:outlineLvl w:val="9"/>
        <w:rPr>
          <w:lang w:val="el-GR"/>
        </w:rPr>
      </w:pPr>
      <w:r w:rsidRPr="0022797E">
        <w:rPr>
          <w:b/>
          <w:bCs/>
        </w:rPr>
        <w:t>ERC/NEU1-biased peptidomimetic.</w:t>
      </w:r>
      <w:r w:rsidRPr="0022797E">
        <w:t xml:space="preserve"> Proline-like pyrrolidine amide + valine-like isobutyl (mask residual OH) to echo ERC-aware motifs; (\Delta)SASA (\approx 90)–(120\ \mathrm{\AA^2}\Rightarrow -0.45) to (-0.6\ \mathrm{kcal,mol^{-1}}). </w:t>
      </w:r>
      <w:r w:rsidRPr="0022797E">
        <w:rPr>
          <w:lang w:val="el-GR"/>
        </w:rPr>
        <w:t>Biological rationale supported by ERC/NEU1 literature [169–172].</w:t>
      </w:r>
    </w:p>
    <w:p w:rsidR="0022797E" w:rsidRPr="0022797E" w:rsidRDefault="0022797E" w:rsidP="0022797E">
      <w:pPr>
        <w:jc w:val="left"/>
        <w:rPr>
          <w:b/>
          <w:bCs/>
          <w:sz w:val="27"/>
          <w:szCs w:val="27"/>
        </w:rPr>
      </w:pPr>
      <w:r w:rsidRPr="0022797E">
        <w:rPr>
          <w:b/>
          <w:bCs/>
          <w:sz w:val="27"/>
          <w:szCs w:val="27"/>
        </w:rPr>
        <w:t>6.9 ADMET &amp; geometric plausibility with fairness controls</w:t>
      </w:r>
    </w:p>
    <w:p w:rsidR="0022797E" w:rsidRPr="0022797E" w:rsidRDefault="0022797E" w:rsidP="0022797E">
      <w:pPr>
        <w:jc w:val="left"/>
        <w:outlineLvl w:val="9"/>
      </w:pPr>
      <w:r w:rsidRPr="0022797E">
        <w:t xml:space="preserve">Masking/removing 4–8 phenolic OH groups targets tPSA (\approx 70)–(110\ \mathrm{\AA^2}), 2–3 HBD, 7–8 HBA—consistent with </w:t>
      </w:r>
      <w:r w:rsidRPr="0022797E">
        <w:rPr>
          <w:b/>
          <w:bCs/>
        </w:rPr>
        <w:t>Lipinski/Veber/Ghose/Egan</w:t>
      </w:r>
      <w:r w:rsidRPr="0022797E">
        <w:t xml:space="preserve"> and supported by </w:t>
      </w:r>
      <w:r w:rsidRPr="0022797E">
        <w:rPr>
          <w:b/>
          <w:bCs/>
        </w:rPr>
        <w:t>SwissADME/pkCSM/QED</w:t>
      </w:r>
      <w:r w:rsidRPr="0022797E">
        <w:t xml:space="preserve"> [25–31]. Synthetic accessibility is monitored to avoid impractical scaffolds [32]. Curvature steers new benzyl/isobutyl/tolyl groups into (H&lt;0) regions, promoting tight packing, water displacement, and (\uparrow\Delta)SASA; SASA via </w:t>
      </w:r>
      <w:r w:rsidRPr="0022797E">
        <w:rPr>
          <w:b/>
          <w:bCs/>
        </w:rPr>
        <w:t>Shrake–Rupley</w:t>
      </w:r>
      <w:r w:rsidRPr="0022797E">
        <w:t xml:space="preserve">, energetics via standard GB/PB endpoints [67–71,181]. Library breadth tracked with </w:t>
      </w:r>
      <w:r w:rsidRPr="0022797E">
        <w:rPr>
          <w:b/>
          <w:bCs/>
        </w:rPr>
        <w:t>Shannon (H_{\text{lib}})</w:t>
      </w:r>
      <w:r w:rsidRPr="0022797E">
        <w:t xml:space="preserve"> and </w:t>
      </w:r>
      <w:r w:rsidRPr="0022797E">
        <w:rPr>
          <w:b/>
          <w:bCs/>
        </w:rPr>
        <w:t>Rényi (S_\alpha)</w:t>
      </w:r>
      <w:r w:rsidRPr="0022797E">
        <w:t xml:space="preserve"> (Eqs. 1–2) using PaDEL descriptors; fairness via </w:t>
      </w:r>
      <w:r w:rsidRPr="0022797E">
        <w:rPr>
          <w:b/>
          <w:bCs/>
        </w:rPr>
        <w:t>(\chi^2)</w:t>
      </w:r>
      <w:r w:rsidRPr="0022797E">
        <w:t xml:space="preserve"> against uniform occupancy (Eq. 4) [33,101,111].</w:t>
      </w:r>
    </w:p>
    <w:p w:rsidR="0022797E" w:rsidRPr="00EE5A66" w:rsidRDefault="0022797E" w:rsidP="0022797E">
      <w:pPr>
        <w:jc w:val="left"/>
        <w:rPr>
          <w:b/>
          <w:bCs/>
          <w:sz w:val="27"/>
          <w:szCs w:val="27"/>
        </w:rPr>
      </w:pPr>
      <w:r w:rsidRPr="00EE5A66">
        <w:rPr>
          <w:b/>
          <w:bCs/>
          <w:sz w:val="27"/>
          <w:szCs w:val="27"/>
        </w:rPr>
        <w:t>6.10 Quantitative expectations &amp; workflow</w:t>
      </w:r>
    </w:p>
    <w:p w:rsidR="0022797E" w:rsidRPr="00EE5A66" w:rsidRDefault="0022797E" w:rsidP="0022797E">
      <w:pPr>
        <w:jc w:val="left"/>
        <w:outlineLvl w:val="9"/>
      </w:pPr>
      <w:r w:rsidRPr="00EE5A66">
        <w:t>[</w:t>
      </w:r>
      <w:r w:rsidRPr="00EE5A66">
        <w:br/>
        <w:t>\boxed{\Delta G_{\mathrm{tot}}=\Delta G_{\mathrm{MM\text{–}PB/GBSA}}+\gamma,\Delta\mathrm{SASA}},\qquad</w:t>
      </w:r>
      <w:r w:rsidRPr="00EE5A66">
        <w:br/>
        <w:t>\boxed{\gamma=0.005\ \mathrm{kcal,mol^{-1},\AA^{-2}}},</w:t>
      </w:r>
      <w:r w:rsidRPr="00EE5A66">
        <w:br/>
        <w:t>]</w:t>
      </w:r>
      <w:r w:rsidRPr="00EE5A66">
        <w:br/>
        <w:t>with (\Delta\mathrm{SASA}=\mathrm{SASA}_C-\mathrm{SASA}_R-\mathrm{SASA}_L) and (\gamma) calibrated from non-polar surface models [67–71,181].</w:t>
      </w:r>
    </w:p>
    <w:p w:rsidR="0022797E" w:rsidRPr="0022797E" w:rsidRDefault="0022797E" w:rsidP="0022797E">
      <w:pPr>
        <w:jc w:val="left"/>
        <w:outlineLvl w:val="9"/>
        <w:rPr>
          <w:lang w:val="el-GR"/>
        </w:rPr>
      </w:pPr>
      <w:r w:rsidRPr="0022797E">
        <w:rPr>
          <w:b/>
          <w:bCs/>
          <w:lang w:val="el-GR"/>
        </w:rPr>
        <w:t>Illustrative corrections:</w:t>
      </w:r>
    </w:p>
    <w:p w:rsidR="0022797E" w:rsidRPr="0022797E" w:rsidRDefault="0022797E" w:rsidP="008F4646">
      <w:pPr>
        <w:numPr>
          <w:ilvl w:val="0"/>
          <w:numId w:val="47"/>
        </w:numPr>
        <w:jc w:val="left"/>
        <w:outlineLvl w:val="9"/>
      </w:pPr>
      <w:r w:rsidRPr="0022797E">
        <w:t>MMP-1 hydroxamate: (200\pm20\ \mathrm{\AA^2} \Rightarrow -1.0\pm0.1\ \mathrm{kcal,mol^{-1}}).</w:t>
      </w:r>
    </w:p>
    <w:p w:rsidR="0022797E" w:rsidRPr="0022797E" w:rsidRDefault="0022797E" w:rsidP="008F4646">
      <w:pPr>
        <w:numPr>
          <w:ilvl w:val="0"/>
          <w:numId w:val="47"/>
        </w:numPr>
        <w:jc w:val="left"/>
        <w:outlineLvl w:val="9"/>
      </w:pPr>
      <w:r w:rsidRPr="0022797E">
        <w:t>Elastase sitter: (140\pm20\ \mathrm{\AA^2} \Rightarrow -0.7\pm0.1\ \mathrm{kcal,mol^{-1}}).</w:t>
      </w:r>
    </w:p>
    <w:p w:rsidR="0022797E" w:rsidRPr="0022797E" w:rsidRDefault="0022797E" w:rsidP="008F4646">
      <w:pPr>
        <w:numPr>
          <w:ilvl w:val="0"/>
          <w:numId w:val="47"/>
        </w:numPr>
        <w:jc w:val="left"/>
        <w:outlineLvl w:val="9"/>
      </w:pPr>
      <w:r w:rsidRPr="0022797E">
        <w:t>ERC mimetic: (105\pm15\ \mathrm{\AA^2} \Rightarrow -0.53\pm0.08\ \mathrm{kcal,mol^{-1}}).</w:t>
      </w:r>
    </w:p>
    <w:p w:rsidR="0022797E" w:rsidRPr="0022797E" w:rsidRDefault="0022797E" w:rsidP="0022797E">
      <w:pPr>
        <w:jc w:val="left"/>
        <w:outlineLvl w:val="9"/>
      </w:pPr>
      <w:r w:rsidRPr="0022797E">
        <w:rPr>
          <w:b/>
          <w:bCs/>
        </w:rPr>
        <w:t>Closed loop.</w:t>
      </w:r>
      <w:r w:rsidRPr="0022797E">
        <w:t xml:space="preserve"> Seed export → enumeration → </w:t>
      </w:r>
      <w:r w:rsidRPr="0022797E">
        <w:rPr>
          <w:b/>
          <w:bCs/>
        </w:rPr>
        <w:t>docking</w:t>
      </w:r>
      <w:r w:rsidRPr="0022797E">
        <w:t xml:space="preserve"> (Vina/AutoDock), </w:t>
      </w:r>
      <w:r w:rsidRPr="0022797E">
        <w:rPr>
          <w:b/>
          <w:bCs/>
        </w:rPr>
        <w:t>short MD</w:t>
      </w:r>
      <w:r w:rsidRPr="0022797E">
        <w:t xml:space="preserve"> (GROMACS/CHARMM), </w:t>
      </w:r>
      <w:r w:rsidRPr="0022797E">
        <w:rPr>
          <w:b/>
          <w:bCs/>
        </w:rPr>
        <w:t>MM–PB/GBSA</w:t>
      </w:r>
      <w:r w:rsidRPr="0022797E">
        <w:t xml:space="preserve"> with explicit (\Delta)SASA (g_mmpbsa) [12–14,54,71,72,70]. Update (\Delta H), recompute (S_\alpha), enforce (\chi^2) fairness [33,111]. Advance survivors to cell-level assays; synergy via </w:t>
      </w:r>
      <w:r w:rsidRPr="0022797E">
        <w:rPr>
          <w:b/>
          <w:bCs/>
        </w:rPr>
        <w:t>Bliss/Chou–Talalay</w:t>
      </w:r>
      <w:r w:rsidRPr="0022797E">
        <w:t xml:space="preserve">; subnetworks annotated from </w:t>
      </w:r>
      <w:r w:rsidRPr="0022797E">
        <w:rPr>
          <w:b/>
          <w:bCs/>
        </w:rPr>
        <w:t>STRING/Reactome/Cytoscape</w:t>
      </w:r>
      <w:r w:rsidRPr="0022797E">
        <w:t xml:space="preserve"> [115–116,85–87,90–</w:t>
      </w:r>
      <w:r>
        <w:t>1</w:t>
      </w:r>
      <w:r w:rsidRPr="0022797E">
        <w:t>91].</w:t>
      </w:r>
    </w:p>
    <w:p w:rsidR="0022797E" w:rsidRPr="0022797E" w:rsidRDefault="0022797E" w:rsidP="0022797E">
      <w:pPr>
        <w:jc w:val="left"/>
        <w:rPr>
          <w:b/>
          <w:bCs/>
          <w:sz w:val="27"/>
          <w:szCs w:val="27"/>
        </w:rPr>
      </w:pPr>
      <w:r w:rsidRPr="0022797E">
        <w:rPr>
          <w:b/>
          <w:bCs/>
          <w:sz w:val="27"/>
          <w:szCs w:val="27"/>
        </w:rPr>
        <w:t>6.11 ADMET &amp; geometric validation relative to the seed</w:t>
      </w:r>
    </w:p>
    <w:p w:rsidR="0022797E" w:rsidRPr="0022797E" w:rsidRDefault="0022797E" w:rsidP="0022797E">
      <w:pPr>
        <w:jc w:val="left"/>
        <w:outlineLvl w:val="9"/>
      </w:pPr>
      <w:r w:rsidRPr="0022797E">
        <w:t>Edits shifting tPSA to (70)–(110\ \mathrm{\AA^2}) (2–3 HBD, 7–8 HBA) align with guideline/tool projections [25–31]. New hydrophobes occupy negatively curved pockets ((H&lt;0)), increasing (\Delta)SASA without distorting H-bond vectors; SASA by Shrake–Rupley; interpretation via standard non-polar solvation [67–71,181]. Each analogue maps to a distinct chemotype bin, boosting (S_\alpha) and yielding positive (\Delta H) [33,111].</w:t>
      </w:r>
    </w:p>
    <w:p w:rsidR="0022797E" w:rsidRPr="0022797E" w:rsidRDefault="0022797E" w:rsidP="0022797E">
      <w:pPr>
        <w:jc w:val="left"/>
        <w:rPr>
          <w:b/>
          <w:bCs/>
          <w:sz w:val="27"/>
          <w:szCs w:val="27"/>
        </w:rPr>
      </w:pPr>
      <w:r w:rsidRPr="0022797E">
        <w:rPr>
          <w:b/>
          <w:bCs/>
          <w:sz w:val="27"/>
          <w:szCs w:val="27"/>
        </w:rPr>
        <w:t>6.12 Numerical predictions from the thermodynamic framework</w:t>
      </w:r>
    </w:p>
    <w:p w:rsidR="0022797E" w:rsidRPr="0022797E" w:rsidRDefault="0022797E" w:rsidP="0022797E">
      <w:pPr>
        <w:jc w:val="left"/>
        <w:outlineLvl w:val="9"/>
      </w:pPr>
      <w:r w:rsidRPr="0022797E">
        <w:t>[</w:t>
      </w:r>
      <w:r w:rsidRPr="0022797E">
        <w:br/>
        <w:t>\Delta G_{\mathrm{tot}}=\Delta G_{\mathrm{MM\text{-}PB/GBSA}}+\gamma,\Delta\mathrm{SASA},\qquad \gamma=0.005\ \mathrm{kcal,mol^{-1},\AA^{-2}}.</w:t>
      </w:r>
      <w:r w:rsidRPr="0022797E">
        <w:br/>
        <w:t>]</w:t>
      </w:r>
    </w:p>
    <w:p w:rsidR="0022797E" w:rsidRPr="0022797E" w:rsidRDefault="0022797E" w:rsidP="008F4646">
      <w:pPr>
        <w:numPr>
          <w:ilvl w:val="0"/>
          <w:numId w:val="48"/>
        </w:numPr>
        <w:jc w:val="left"/>
        <w:outlineLvl w:val="9"/>
      </w:pPr>
      <w:r w:rsidRPr="0022797E">
        <w:rPr>
          <w:b/>
          <w:bCs/>
        </w:rPr>
        <w:t>MMP hydroxamate:</w:t>
      </w:r>
      <w:r w:rsidRPr="0022797E">
        <w:t xml:space="preserve"> (200\pm20\ \mathrm{\AA^2}\Rightarrow -1.0\pm0.1\ \mathrm{kcal,mol^{-1}}).</w:t>
      </w:r>
    </w:p>
    <w:p w:rsidR="0022797E" w:rsidRPr="0022797E" w:rsidRDefault="0022797E" w:rsidP="008F4646">
      <w:pPr>
        <w:numPr>
          <w:ilvl w:val="0"/>
          <w:numId w:val="48"/>
        </w:numPr>
        <w:jc w:val="left"/>
        <w:outlineLvl w:val="9"/>
      </w:pPr>
      <w:r w:rsidRPr="0022797E">
        <w:rPr>
          <w:b/>
          <w:bCs/>
        </w:rPr>
        <w:t>Elastase benzyl–(\gamma)-lactam:</w:t>
      </w:r>
      <w:r w:rsidRPr="0022797E">
        <w:t xml:space="preserve"> (140\pm20\ \mathrm{\AA^2}\Rightarrow -0.7\pm0.1\ \mathrm{kcal,mol^{-1}}).</w:t>
      </w:r>
    </w:p>
    <w:p w:rsidR="0022797E" w:rsidRPr="0022797E" w:rsidRDefault="0022797E" w:rsidP="008F4646">
      <w:pPr>
        <w:numPr>
          <w:ilvl w:val="0"/>
          <w:numId w:val="48"/>
        </w:numPr>
        <w:jc w:val="left"/>
        <w:outlineLvl w:val="9"/>
      </w:pPr>
      <w:r w:rsidRPr="0022797E">
        <w:rPr>
          <w:b/>
          <w:bCs/>
        </w:rPr>
        <w:t>ERC-mimetic proline-like:</w:t>
      </w:r>
      <w:r w:rsidRPr="0022797E">
        <w:t xml:space="preserve"> (105\pm15\ \mathrm{\AA^2}\Rightarrow -0.53\pm0.08\ \mathrm{kcal,mol^{-1}}).</w:t>
      </w:r>
    </w:p>
    <w:p w:rsidR="0022797E" w:rsidRPr="0022797E" w:rsidRDefault="0022797E" w:rsidP="0022797E">
      <w:pPr>
        <w:jc w:val="left"/>
        <w:outlineLvl w:val="9"/>
      </w:pPr>
      <w:r w:rsidRPr="0022797E">
        <w:t xml:space="preserve">These corrections </w:t>
      </w:r>
      <w:r w:rsidRPr="0022797E">
        <w:rPr>
          <w:b/>
          <w:bCs/>
        </w:rPr>
        <w:t>stabilize rank ordering</w:t>
      </w:r>
      <w:r w:rsidRPr="0022797E">
        <w:t xml:space="preserve"> across docking poses, short MD, and rescoring—complementing (not replacing) the electrostatics/dispersion captured by (\widehat{\Delta G}_{\mathrm{MM/GBSA}}) and reducing cross-engine variability from rigid-receptor scoring [12–14,70–</w:t>
      </w:r>
      <w:r>
        <w:t>1</w:t>
      </w:r>
      <w:r w:rsidRPr="0022797E">
        <w:t>71].</w:t>
      </w:r>
    </w:p>
    <w:p w:rsidR="00121D67" w:rsidRPr="000D6AB7" w:rsidRDefault="00121D67" w:rsidP="00121D67">
      <w:pPr>
        <w:jc w:val="left"/>
        <w:rPr>
          <w:b/>
          <w:bCs/>
          <w:sz w:val="27"/>
          <w:szCs w:val="27"/>
        </w:rPr>
      </w:pPr>
      <w:r w:rsidRPr="000D6AB7">
        <w:rPr>
          <w:b/>
          <w:bCs/>
          <w:sz w:val="27"/>
          <w:szCs w:val="27"/>
        </w:rPr>
        <w:t>7.1 Entropy-Guided Screening Funnel</w:t>
      </w:r>
    </w:p>
    <w:p w:rsidR="00121D67" w:rsidRPr="00121D67" w:rsidRDefault="00121D67" w:rsidP="00121D67">
      <w:pPr>
        <w:jc w:val="left"/>
        <w:outlineLvl w:val="9"/>
      </w:pPr>
      <w:r w:rsidRPr="00121D67">
        <w:t xml:space="preserve">We applied an </w:t>
      </w:r>
      <w:r w:rsidRPr="00121D67">
        <w:rPr>
          <w:b/>
          <w:bCs/>
        </w:rPr>
        <w:t>entropy-aware triage</w:t>
      </w:r>
      <w:r w:rsidRPr="00121D67">
        <w:t xml:space="preserve"> to maintain scaffold breadth before physics-based refinement. Joint Shannon/Rényi scoring (Eqs. 1–3) reduced an initial </w:t>
      </w:r>
      <w:r w:rsidRPr="00121D67">
        <w:rPr>
          <w:b/>
          <w:bCs/>
        </w:rPr>
        <w:t>12 430</w:t>
      </w:r>
      <w:r w:rsidRPr="00121D67">
        <w:t xml:space="preserve"> phytochemicals to </w:t>
      </w:r>
      <w:r w:rsidRPr="00121D67">
        <w:rPr>
          <w:b/>
          <w:bCs/>
        </w:rPr>
        <w:t>≈1 200</w:t>
      </w:r>
      <w:r w:rsidRPr="00121D67">
        <w:t xml:space="preserve"> scaffold-diverse seeds. </w:t>
      </w:r>
      <w:r w:rsidRPr="00121D67">
        <w:rPr>
          <w:b/>
          <w:bCs/>
        </w:rPr>
        <w:t>Consensus docking</w:t>
      </w:r>
      <w:r w:rsidRPr="00121D67">
        <w:t xml:space="preserve"> (Eq. 3.4) against MMP-1, neutrophil elastase, and ERC/NEU1 then highlighted </w:t>
      </w:r>
      <w:r w:rsidRPr="00121D67">
        <w:rPr>
          <w:b/>
          <w:bCs/>
        </w:rPr>
        <w:t>220</w:t>
      </w:r>
      <w:r w:rsidRPr="00121D67">
        <w:t xml:space="preserve"> candidates for short molecular-dynamics relaxation.</w:t>
      </w:r>
      <w:r w:rsidRPr="00121D67">
        <w:br/>
        <w:t xml:space="preserve">End-point energies from </w:t>
      </w:r>
      <w:r w:rsidRPr="00121D67">
        <w:rPr>
          <w:b/>
          <w:bCs/>
        </w:rPr>
        <w:t>MM–PBSA</w:t>
      </w:r>
      <w:r w:rsidRPr="00121D67">
        <w:t xml:space="preserve">, augmented with the </w:t>
      </w:r>
      <w:r w:rsidRPr="00121D67">
        <w:rPr>
          <w:b/>
          <w:bCs/>
        </w:rPr>
        <w:t xml:space="preserve">analytic non-polar burial term </w:t>
      </w:r>
      <w:r w:rsidRPr="00121D67">
        <w:rPr>
          <w:b/>
          <w:bCs/>
          <w:lang w:val="el-GR"/>
        </w:rPr>
        <w:t>Δ</w:t>
      </w:r>
      <w:r w:rsidRPr="00121D67">
        <w:rPr>
          <w:b/>
          <w:bCs/>
        </w:rPr>
        <w:t>SASA</w:t>
      </w:r>
      <w:r w:rsidRPr="00121D67">
        <w:t xml:space="preserve"> (Eq. 6), yielded </w:t>
      </w:r>
      <w:r w:rsidRPr="00121D67">
        <w:rPr>
          <w:b/>
          <w:bCs/>
        </w:rPr>
        <w:t>64</w:t>
      </w:r>
      <w:r w:rsidRPr="00121D67">
        <w:t xml:space="preserve"> MD-refined leads and </w:t>
      </w:r>
      <w:r w:rsidRPr="00121D67">
        <w:rPr>
          <w:b/>
          <w:bCs/>
        </w:rPr>
        <w:t>five</w:t>
      </w:r>
      <w:r w:rsidRPr="00121D67">
        <w:t xml:space="preserve"> shortlists progressed to experimental follow-up. All counts refer to </w:t>
      </w:r>
      <w:r w:rsidRPr="00121D67">
        <w:rPr>
          <w:b/>
          <w:bCs/>
        </w:rPr>
        <w:t>unique chemotypes after deduplication</w:t>
      </w:r>
      <w:r w:rsidRPr="00121D67">
        <w:t>; full pose ensembles per chemotype were retained for downstream learning and error modelling.</w:t>
      </w:r>
    </w:p>
    <w:p w:rsidR="00121D67" w:rsidRPr="00121D67" w:rsidRDefault="00121D67" w:rsidP="00121D67">
      <w:pPr>
        <w:jc w:val="left"/>
        <w:rPr>
          <w:b/>
          <w:bCs/>
          <w:sz w:val="27"/>
          <w:szCs w:val="27"/>
        </w:rPr>
      </w:pPr>
      <w:r w:rsidRPr="00121D67">
        <w:rPr>
          <w:b/>
          <w:bCs/>
          <w:sz w:val="27"/>
          <w:szCs w:val="27"/>
        </w:rPr>
        <w:t xml:space="preserve">7.2 Non-Polar Correction and </w:t>
      </w:r>
      <w:r w:rsidRPr="00121D67">
        <w:rPr>
          <w:b/>
          <w:bCs/>
          <w:i/>
          <w:iCs/>
          <w:sz w:val="27"/>
          <w:szCs w:val="27"/>
        </w:rPr>
        <w:t>Stemartis-CF(n)</w:t>
      </w:r>
      <w:r w:rsidRPr="00121D67">
        <w:rPr>
          <w:b/>
          <w:bCs/>
          <w:sz w:val="27"/>
          <w:szCs w:val="27"/>
        </w:rPr>
        <w:t xml:space="preserve"> Energetics</w:t>
      </w:r>
    </w:p>
    <w:p w:rsidR="00121D67" w:rsidRPr="00121D67" w:rsidRDefault="00121D67" w:rsidP="00121D67">
      <w:pPr>
        <w:jc w:val="left"/>
        <w:outlineLvl w:val="9"/>
      </w:pPr>
      <w:r w:rsidRPr="00121D67">
        <w:rPr>
          <w:i/>
          <w:iCs/>
        </w:rPr>
        <w:t xml:space="preserve">(Docking → MD → MM–PBSA + </w:t>
      </w:r>
      <w:r w:rsidRPr="00121D67">
        <w:rPr>
          <w:i/>
          <w:iCs/>
          <w:lang w:val="el-GR"/>
        </w:rPr>
        <w:t>Δ</w:t>
      </w:r>
      <w:r w:rsidRPr="00121D67">
        <w:rPr>
          <w:i/>
          <w:iCs/>
        </w:rPr>
        <w:t>SASA; nominal screening levels in mg·L⁻¹)</w:t>
      </w:r>
    </w:p>
    <w:p w:rsidR="00121D67" w:rsidRPr="00121D67" w:rsidRDefault="00121D67" w:rsidP="00121D67">
      <w:pPr>
        <w:jc w:val="left"/>
        <w:outlineLvl w:val="9"/>
      </w:pPr>
      <w:r w:rsidRPr="00121D67">
        <w:t xml:space="preserve">To restore </w:t>
      </w:r>
      <w:r w:rsidRPr="00121D67">
        <w:rPr>
          <w:b/>
          <w:bCs/>
        </w:rPr>
        <w:t>burial physics</w:t>
      </w:r>
      <w:r w:rsidRPr="00121D67">
        <w:t xml:space="preserve"> underweighted by standard end-point scoring</w:t>
      </w:r>
      <w:r w:rsidR="00356057">
        <w:t xml:space="preserve"> I </w:t>
      </w:r>
      <w:r w:rsidRPr="00121D67">
        <w:t>applied the linear SASA-proportional term (Methods Eq. 6):</w:t>
      </w:r>
    </w:p>
    <w:p w:rsidR="00121D67" w:rsidRPr="000D6AB7" w:rsidRDefault="00121D67" w:rsidP="00121D67">
      <w:pPr>
        <w:spacing w:before="0" w:beforeAutospacing="0" w:after="0" w:afterAutospacing="0"/>
        <w:jc w:val="left"/>
        <w:outlineLvl w:val="9"/>
      </w:pPr>
      <w:r w:rsidRPr="00121D67">
        <w:rPr>
          <w:lang w:val="el-GR"/>
        </w:rPr>
        <w:t>Δ</w:t>
      </w:r>
      <w:r w:rsidRPr="000D6AB7">
        <w:t>Gnp=</w:t>
      </w:r>
      <w:r w:rsidRPr="00121D67">
        <w:rPr>
          <w:lang w:val="el-GR"/>
        </w:rPr>
        <w:t>γ</w:t>
      </w:r>
      <w:r w:rsidRPr="000D6AB7">
        <w:t> </w:t>
      </w:r>
      <w:r w:rsidRPr="00121D67">
        <w:rPr>
          <w:lang w:val="el-GR"/>
        </w:rPr>
        <w:t>Δ</w:t>
      </w:r>
      <w:r w:rsidRPr="000D6AB7">
        <w:t>SASA,</w:t>
      </w:r>
      <w:r w:rsidRPr="00121D67">
        <w:rPr>
          <w:lang w:val="el-GR"/>
        </w:rPr>
        <w:t>γ</w:t>
      </w:r>
      <w:r w:rsidRPr="000D6AB7">
        <w:t>=0.005 kcal mol−1 A˚−2,\Delta G_{\text{np}}=\gamma\,\Delta\mathrm{SASA},\qquad \gamma=0.005\ \mathrm{kcal\,mol^{-1}\,\AA^{-2}},</w:t>
      </w:r>
      <w:r w:rsidRPr="00121D67">
        <w:rPr>
          <w:lang w:val="el-GR"/>
        </w:rPr>
        <w:t>Δ</w:t>
      </w:r>
      <w:r w:rsidRPr="000D6AB7">
        <w:t>Gnp​=</w:t>
      </w:r>
      <w:r w:rsidRPr="00121D67">
        <w:rPr>
          <w:lang w:val="el-GR"/>
        </w:rPr>
        <w:t>γΔ</w:t>
      </w:r>
      <w:r w:rsidRPr="000D6AB7">
        <w:t>SASA,</w:t>
      </w:r>
      <w:r w:rsidRPr="00121D67">
        <w:rPr>
          <w:lang w:val="el-GR"/>
        </w:rPr>
        <w:t>γ</w:t>
      </w:r>
      <w:r w:rsidRPr="000D6AB7">
        <w:t xml:space="preserve">=0.005 kcalmol−1A˚−2, </w:t>
      </w:r>
    </w:p>
    <w:p w:rsidR="00121D67" w:rsidRPr="00121D67" w:rsidRDefault="00121D67" w:rsidP="00121D67">
      <w:pPr>
        <w:jc w:val="left"/>
        <w:outlineLvl w:val="9"/>
      </w:pPr>
      <w:r w:rsidRPr="00121D67">
        <w:t>and used the corrected total (Eq. 7)</w:t>
      </w:r>
    </w:p>
    <w:p w:rsidR="00121D67" w:rsidRPr="00121D67" w:rsidRDefault="00121D67" w:rsidP="00121D67">
      <w:pPr>
        <w:spacing w:before="0" w:beforeAutospacing="0" w:after="0" w:afterAutospacing="0"/>
        <w:jc w:val="left"/>
        <w:outlineLvl w:val="9"/>
      </w:pPr>
      <w:r w:rsidRPr="00121D67">
        <w:rPr>
          <w:lang w:val="el-GR"/>
        </w:rPr>
        <w:t>Δ</w:t>
      </w:r>
      <w:r w:rsidRPr="00121D67">
        <w:t>G^tot=</w:t>
      </w:r>
      <w:r w:rsidRPr="00121D67">
        <w:rPr>
          <w:lang w:val="el-GR"/>
        </w:rPr>
        <w:t>Δ</w:t>
      </w:r>
      <w:r w:rsidRPr="00121D67">
        <w:t>GMM–PBSA+</w:t>
      </w:r>
      <w:r w:rsidRPr="00121D67">
        <w:rPr>
          <w:lang w:val="el-GR"/>
        </w:rPr>
        <w:t>Δ</w:t>
      </w:r>
      <w:r w:rsidRPr="00121D67">
        <w:t>Gnp\widehat{\Delta G}_{\text{tot}} =\Delta G_{\text{MM–PBSA}}+\Delta G_{\text{np}}</w:t>
      </w:r>
      <w:r w:rsidRPr="00121D67">
        <w:rPr>
          <w:lang w:val="el-GR"/>
        </w:rPr>
        <w:t>Δ</w:t>
      </w:r>
      <w:r w:rsidRPr="00121D67">
        <w:t>Gtot​=</w:t>
      </w:r>
      <w:r w:rsidRPr="00121D67">
        <w:rPr>
          <w:lang w:val="el-GR"/>
        </w:rPr>
        <w:t>Δ</w:t>
      </w:r>
      <w:r w:rsidRPr="00121D67">
        <w:t>GMM–PBSA​+</w:t>
      </w:r>
      <w:r w:rsidRPr="00121D67">
        <w:rPr>
          <w:lang w:val="el-GR"/>
        </w:rPr>
        <w:t>Δ</w:t>
      </w:r>
      <w:r w:rsidRPr="00121D67">
        <w:t xml:space="preserve">Gnp​ </w:t>
      </w:r>
    </w:p>
    <w:p w:rsidR="00121D67" w:rsidRPr="00121D67" w:rsidRDefault="00121D67" w:rsidP="00121D67">
      <w:pPr>
        <w:jc w:val="left"/>
        <w:outlineLvl w:val="9"/>
      </w:pPr>
      <w:r w:rsidRPr="00121D67">
        <w:t xml:space="preserve">for rank ordering. </w:t>
      </w:r>
      <w:r w:rsidRPr="00121D67">
        <w:rPr>
          <w:b/>
          <w:bCs/>
          <w:lang w:val="el-GR"/>
        </w:rPr>
        <w:t>Δ</w:t>
      </w:r>
      <w:r w:rsidRPr="00121D67">
        <w:rPr>
          <w:b/>
          <w:bCs/>
        </w:rPr>
        <w:t>SASA</w:t>
      </w:r>
      <w:r w:rsidRPr="00121D67">
        <w:t xml:space="preserve"> was computed only for </w:t>
      </w:r>
      <w:r w:rsidRPr="00121D67">
        <w:rPr>
          <w:b/>
          <w:bCs/>
        </w:rPr>
        <w:t>dockable ligands</w:t>
      </w:r>
      <w:r w:rsidRPr="00121D67">
        <w:t>—small molecules and the ERC/NEU1-biased peptidomimetic defined by the GLAM2 consensus</w:t>
      </w:r>
    </w:p>
    <w:p w:rsidR="00121D67" w:rsidRPr="00121D67" w:rsidRDefault="00121D67" w:rsidP="00121D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jc w:val="left"/>
        <w:outlineLvl w:val="9"/>
        <w:rPr>
          <w:rFonts w:ascii="Courier New" w:hAnsi="Courier New" w:cs="Courier New"/>
          <w:sz w:val="20"/>
        </w:rPr>
      </w:pPr>
      <w:r w:rsidRPr="00121D67">
        <w:rPr>
          <w:rFonts w:ascii="Courier New" w:hAnsi="Courier New" w:cs="Courier New"/>
          <w:sz w:val="20"/>
          <w:szCs w:val="20"/>
        </w:rPr>
        <w:t>[WR]P[WH][QA][VW][SP][LF][QM][YV]</w:t>
      </w:r>
      <w:r w:rsidRPr="00121D67">
        <w:rPr>
          <w:rFonts w:ascii="Courier New" w:hAnsi="Courier New" w:cs="Courier New"/>
          <w:sz w:val="20"/>
        </w:rPr>
        <w:t>S</w:t>
      </w:r>
      <w:r w:rsidRPr="00121D67">
        <w:rPr>
          <w:rFonts w:ascii="Courier New" w:hAnsi="Courier New" w:cs="Courier New"/>
          <w:sz w:val="20"/>
          <w:szCs w:val="20"/>
        </w:rPr>
        <w:t>[SL]Q[GL][SR]</w:t>
      </w:r>
      <w:r w:rsidRPr="00121D67">
        <w:rPr>
          <w:rFonts w:ascii="Courier New" w:hAnsi="Courier New" w:cs="Courier New"/>
          <w:sz w:val="20"/>
        </w:rPr>
        <w:t>G</w:t>
      </w:r>
      <w:r w:rsidRPr="00121D67">
        <w:rPr>
          <w:rFonts w:ascii="Courier New" w:hAnsi="Courier New" w:cs="Courier New"/>
          <w:sz w:val="20"/>
          <w:szCs w:val="20"/>
        </w:rPr>
        <w:t>[YG]</w:t>
      </w:r>
      <w:r w:rsidRPr="00121D67">
        <w:rPr>
          <w:rFonts w:ascii="Courier New" w:hAnsi="Courier New" w:cs="Courier New"/>
          <w:sz w:val="20"/>
        </w:rPr>
        <w:t>H</w:t>
      </w:r>
      <w:r w:rsidRPr="00121D67">
        <w:rPr>
          <w:rFonts w:ascii="Courier New" w:hAnsi="Courier New" w:cs="Courier New"/>
          <w:sz w:val="20"/>
          <w:szCs w:val="20"/>
        </w:rPr>
        <w:t>[TF]</w:t>
      </w:r>
      <w:r w:rsidRPr="00121D67">
        <w:rPr>
          <w:rFonts w:ascii="Courier New" w:hAnsi="Courier New" w:cs="Courier New"/>
          <w:sz w:val="20"/>
        </w:rPr>
        <w:t>CG</w:t>
      </w:r>
      <w:r w:rsidRPr="00121D67">
        <w:rPr>
          <w:rFonts w:ascii="Courier New" w:hAnsi="Courier New" w:cs="Courier New"/>
          <w:sz w:val="20"/>
          <w:szCs w:val="20"/>
        </w:rPr>
        <w:t>[GA][ST]</w:t>
      </w:r>
      <w:r w:rsidRPr="00121D67">
        <w:rPr>
          <w:rFonts w:ascii="Courier New" w:hAnsi="Courier New" w:cs="Courier New"/>
          <w:sz w:val="20"/>
        </w:rPr>
        <w:t>LIAPN</w:t>
      </w:r>
      <w:r w:rsidRPr="00121D67">
        <w:rPr>
          <w:rFonts w:ascii="Courier New" w:hAnsi="Courier New" w:cs="Courier New"/>
          <w:sz w:val="20"/>
          <w:szCs w:val="20"/>
        </w:rPr>
        <w:t>[WF]</w:t>
      </w:r>
      <w:r w:rsidRPr="00121D67">
        <w:rPr>
          <w:rFonts w:ascii="Courier New" w:hAnsi="Courier New" w:cs="Courier New"/>
          <w:sz w:val="20"/>
        </w:rPr>
        <w:t>VM</w:t>
      </w:r>
      <w:r w:rsidRPr="00121D67">
        <w:rPr>
          <w:rFonts w:ascii="Courier New" w:hAnsi="Courier New" w:cs="Courier New"/>
          <w:sz w:val="20"/>
          <w:szCs w:val="20"/>
        </w:rPr>
        <w:t>[TS]</w:t>
      </w:r>
      <w:r w:rsidRPr="00121D67">
        <w:rPr>
          <w:rFonts w:ascii="Courier New" w:hAnsi="Courier New" w:cs="Courier New"/>
          <w:sz w:val="20"/>
        </w:rPr>
        <w:t>AAHC</w:t>
      </w:r>
      <w:r w:rsidRPr="00121D67">
        <w:rPr>
          <w:rFonts w:ascii="Courier New" w:hAnsi="Courier New" w:cs="Courier New"/>
          <w:sz w:val="20"/>
          <w:szCs w:val="20"/>
        </w:rPr>
        <w:t>[IV][SA][SN]</w:t>
      </w:r>
      <w:r w:rsidRPr="00121D67">
        <w:rPr>
          <w:rFonts w:ascii="Courier New" w:hAnsi="Courier New" w:cs="Courier New"/>
          <w:sz w:val="20"/>
        </w:rPr>
        <w:t>.{</w:t>
      </w:r>
      <w:r w:rsidRPr="00121D67">
        <w:rPr>
          <w:rFonts w:ascii="Courier New" w:hAnsi="Courier New" w:cs="Courier New"/>
          <w:sz w:val="20"/>
          <w:szCs w:val="20"/>
        </w:rPr>
        <w:t>0</w:t>
      </w:r>
      <w:r w:rsidRPr="00121D67">
        <w:rPr>
          <w:rFonts w:ascii="Courier New" w:hAnsi="Courier New" w:cs="Courier New"/>
          <w:sz w:val="20"/>
        </w:rPr>
        <w:t>,</w:t>
      </w:r>
      <w:r w:rsidRPr="00121D67">
        <w:rPr>
          <w:rFonts w:ascii="Courier New" w:hAnsi="Courier New" w:cs="Courier New"/>
          <w:sz w:val="20"/>
          <w:szCs w:val="20"/>
        </w:rPr>
        <w:t>36</w:t>
      </w:r>
      <w:r w:rsidRPr="00121D67">
        <w:rPr>
          <w:rFonts w:ascii="Courier New" w:hAnsi="Courier New" w:cs="Courier New"/>
          <w:sz w:val="20"/>
        </w:rPr>
        <w:t>}V?N</w:t>
      </w:r>
      <w:r w:rsidRPr="00121D67">
        <w:rPr>
          <w:rFonts w:ascii="Courier New" w:hAnsi="Courier New" w:cs="Courier New"/>
          <w:sz w:val="20"/>
          <w:szCs w:val="20"/>
        </w:rPr>
        <w:t>[TV][YR][RA]</w:t>
      </w:r>
      <w:r w:rsidRPr="00121D67">
        <w:rPr>
          <w:rFonts w:ascii="Courier New" w:hAnsi="Courier New" w:cs="Courier New"/>
          <w:sz w:val="20"/>
        </w:rPr>
        <w:t>V</w:t>
      </w:r>
      <w:r w:rsidRPr="00121D67">
        <w:rPr>
          <w:rFonts w:ascii="Courier New" w:hAnsi="Courier New" w:cs="Courier New"/>
          <w:sz w:val="20"/>
          <w:szCs w:val="20"/>
        </w:rPr>
        <w:t>[VR][LV][GV]</w:t>
      </w:r>
      <w:r w:rsidRPr="00121D67">
        <w:rPr>
          <w:rFonts w:ascii="Courier New" w:hAnsi="Courier New" w:cs="Courier New"/>
          <w:sz w:val="20"/>
        </w:rPr>
        <w:t>L</w:t>
      </w:r>
      <w:r w:rsidRPr="00121D67">
        <w:rPr>
          <w:rFonts w:ascii="Courier New" w:hAnsi="Courier New" w:cs="Courier New"/>
          <w:sz w:val="20"/>
          <w:szCs w:val="20"/>
        </w:rPr>
        <w:t>[HG][NA]</w:t>
      </w:r>
    </w:p>
    <w:p w:rsidR="00121D67" w:rsidRPr="00121D67" w:rsidRDefault="00121D67" w:rsidP="00121D67">
      <w:pPr>
        <w:jc w:val="left"/>
        <w:outlineLvl w:val="9"/>
      </w:pPr>
      <w:r w:rsidRPr="00121D67">
        <w:t xml:space="preserve">(Table 1). Macromolecular growth factors (EGF, VEGF), complex extracts, enzymes, bulk lipids/excipients, and probiotic components were </w:t>
      </w:r>
      <w:r w:rsidRPr="00121D67">
        <w:rPr>
          <w:b/>
          <w:bCs/>
        </w:rPr>
        <w:t>not</w:t>
      </w:r>
      <w:r w:rsidRPr="00121D67">
        <w:t xml:space="preserve"> scored by MM–PBSA/</w:t>
      </w:r>
      <w:r w:rsidRPr="00121D67">
        <w:rPr>
          <w:lang w:val="el-GR"/>
        </w:rPr>
        <w:t>Δ</w:t>
      </w:r>
      <w:r w:rsidRPr="00121D67">
        <w:t>SASA; where applicable only their constituent small molecules entered this stage.</w:t>
      </w:r>
    </w:p>
    <w:p w:rsidR="00121D67" w:rsidRPr="00121D67" w:rsidRDefault="00121D67" w:rsidP="00121D67">
      <w:pPr>
        <w:jc w:val="left"/>
        <w:outlineLvl w:val="9"/>
      </w:pPr>
      <w:r w:rsidRPr="00121D67">
        <w:rPr>
          <w:b/>
          <w:bCs/>
        </w:rPr>
        <w:t>Ligand-like actives</w:t>
      </w:r>
      <w:r w:rsidRPr="00121D67">
        <w:t xml:space="preserve"> evaluated at the indicated nominal CF screening levels included Allicin, Anthocyanin A7, Ashwagandhanolide, Boswellic acid, Camellianin A, Coutaric acid, Rosmarinic acid, (+)-Catechin hydrate, Acetyl-11-keto-boswellic acid, Ellagic acid, Engeletin, Quercetin, Chlorogenic acid, Ginsenosides, Punicic acid, Cholecalciferol, D- and L-Fructose, </w:t>
      </w:r>
      <w:r w:rsidRPr="00121D67">
        <w:rPr>
          <w:i/>
          <w:iCs/>
        </w:rPr>
        <w:t>Rosa damascena</w:t>
      </w:r>
      <w:r w:rsidRPr="00121D67">
        <w:t xml:space="preserve"> heneicosene, Lentinan, Myricetin, Munjistin, Azelaic acid, Serine, Niacinamide, Tulipalin B, Tulipalin A, Cyanocobalamin, Glutamine, Linolenic acid, and Vitispirane, together with the </w:t>
      </w:r>
      <w:r w:rsidRPr="00121D67">
        <w:rPr>
          <w:b/>
          <w:bCs/>
        </w:rPr>
        <w:t>Stemaflex™</w:t>
      </w:r>
      <w:r w:rsidRPr="00121D67">
        <w:t xml:space="preserve"> designs (Stemaflex-16•MMP, Stemaflex-16•NE, Stem</w:t>
      </w:r>
      <w:r w:rsidR="00E81A54">
        <w:t>aflex-16•ERC; and the Stemaflex-core (megaligand)</w:t>
      </w:r>
      <w:r w:rsidRPr="00121D67">
        <w:t xml:space="preserve">) used as </w:t>
      </w:r>
      <w:r w:rsidR="008F55B6">
        <w:t xml:space="preserve">co-factor </w:t>
      </w:r>
      <w:r w:rsidRPr="00121D67">
        <w:t>ligands in ERC/NEU1-proximal modelling [1–6, 9, 41, 67–70].</w:t>
      </w:r>
    </w:p>
    <w:p w:rsidR="00121D67" w:rsidRPr="008F55B6" w:rsidRDefault="00121D67" w:rsidP="00121D67">
      <w:pPr>
        <w:jc w:val="left"/>
        <w:outlineLvl w:val="9"/>
        <w:rPr>
          <w:color w:val="000000" w:themeColor="text1"/>
        </w:rPr>
      </w:pPr>
      <w:r w:rsidRPr="00121D67">
        <w:t xml:space="preserve">Across CF panels, including </w:t>
      </w:r>
      <w:r w:rsidRPr="00121D67">
        <w:rPr>
          <w:b/>
          <w:bCs/>
          <w:lang w:val="el-GR"/>
        </w:rPr>
        <w:t>Δ</w:t>
      </w:r>
      <w:r w:rsidRPr="00121D67">
        <w:rPr>
          <w:b/>
          <w:bCs/>
        </w:rPr>
        <w:t>G_{\text{np}}</w:t>
      </w:r>
      <w:r w:rsidRPr="00121D67">
        <w:t xml:space="preserve"> consistently </w:t>
      </w:r>
      <w:r w:rsidRPr="00121D67">
        <w:rPr>
          <w:b/>
          <w:bCs/>
        </w:rPr>
        <w:t>improved rank-order stability</w:t>
      </w:r>
      <w:r w:rsidRPr="00121D67">
        <w:t xml:space="preserve"> for </w:t>
      </w:r>
      <w:r w:rsidRPr="00121D67">
        <w:rPr>
          <w:b/>
          <w:bCs/>
        </w:rPr>
        <w:t>compact, surface-excluding scaffolds</w:t>
      </w:r>
      <w:r w:rsidRPr="00121D67">
        <w:t xml:space="preserve"> (e.g. triterpenes, polyphenols, biflavones), sharpening separation among near-isoenergetic poses in </w:t>
      </w:r>
      <w:r w:rsidRPr="00121D67">
        <w:rPr>
          <w:lang w:val="el-GR"/>
        </w:rPr>
        <w:t>Δ</w:t>
      </w:r>
      <w:r w:rsidRPr="00121D67">
        <w:t xml:space="preserve">G_{\text{MM–PBSA}}. Full </w:t>
      </w:r>
      <w:r w:rsidRPr="00121D67">
        <w:rPr>
          <w:i/>
          <w:iCs/>
        </w:rPr>
        <w:t>Stemartis</w:t>
      </w:r>
      <w:r w:rsidRPr="00121D67">
        <w:t xml:space="preserve"> Supplement CF(n) inventories—spanning both ligands and non-ligand formulation components such as hyaluronic acid, ceramide NP, phosphatidylcholine, amino acids, vitamins, and oils—are archived with an explicit </w:t>
      </w:r>
      <w:r w:rsidRPr="00121D67">
        <w:rPr>
          <w:b/>
          <w:bCs/>
        </w:rPr>
        <w:t>“scored / not-scored</w:t>
      </w:r>
      <w:r w:rsidRPr="008F55B6">
        <w:rPr>
          <w:b/>
          <w:bCs/>
          <w:color w:val="000000" w:themeColor="text1"/>
        </w:rPr>
        <w:t>” flag</w:t>
      </w:r>
      <w:r w:rsidRPr="008F55B6">
        <w:rPr>
          <w:color w:val="000000" w:themeColor="text1"/>
        </w:rPr>
        <w:t xml:space="preserve"> indicating </w:t>
      </w:r>
      <w:r w:rsidRPr="008F55B6">
        <w:rPr>
          <w:color w:val="000000" w:themeColor="text1"/>
          <w:lang w:val="el-GR"/>
        </w:rPr>
        <w:t>Δ</w:t>
      </w:r>
      <w:r w:rsidRPr="008F55B6">
        <w:rPr>
          <w:color w:val="000000" w:themeColor="text1"/>
        </w:rPr>
        <w:t>SASA applicability.</w:t>
      </w:r>
    </w:p>
    <w:p w:rsidR="008F4646" w:rsidRPr="008F4646" w:rsidRDefault="008F4646" w:rsidP="008F4646">
      <w:pPr>
        <w:jc w:val="left"/>
        <w:outlineLvl w:val="1"/>
        <w:rPr>
          <w:b/>
          <w:bCs/>
          <w:sz w:val="36"/>
          <w:szCs w:val="36"/>
        </w:rPr>
      </w:pPr>
      <w:r w:rsidRPr="008F4646">
        <w:rPr>
          <w:b/>
          <w:bCs/>
          <w:sz w:val="36"/>
          <w:szCs w:val="36"/>
        </w:rPr>
        <w:t>Network-level characterization of multi-target interventions</w:t>
      </w:r>
    </w:p>
    <w:p w:rsidR="008F4646" w:rsidRPr="008F4646" w:rsidRDefault="008F4646" w:rsidP="008F4646">
      <w:pPr>
        <w:jc w:val="left"/>
        <w:outlineLvl w:val="9"/>
      </w:pPr>
      <w:r w:rsidRPr="008F4646">
        <w:t>I extend the analysis beyond single-target pharmacology and treat classical formulae (e.g., DBKW) as multi-target, network-level interventions. I map pathway context through KEGG and Reactome and annotate functions with the Gene Ontology; I analyze interactomes with STRING and Cytoscape to expose polypharmacology, pathway crosstalk, and emergent behavior [85–87,90–93]. This network-aware view consistently reveals clustered targeting across inflammatory mediators, ECM remodeling nodes, and stress-response modules, replacing one-gene/one-drug assumptions with community-level effects that better explain observed phenotypes.</w:t>
      </w:r>
    </w:p>
    <w:p w:rsidR="008F4646" w:rsidRPr="008F4646" w:rsidRDefault="008F4646" w:rsidP="008F4646">
      <w:pPr>
        <w:jc w:val="left"/>
        <w:outlineLvl w:val="9"/>
      </w:pPr>
      <w:r w:rsidRPr="008F4646">
        <w:t>I handle tumor heterogeneity explicitly. I embed information- and entropy-aware analytics in my RNA-seq workflow and stabilize biological signal across cohorts using modern dataset-integration toolchains [94–96]. Batch effects fall while cell-state structure sharpens; differential expression and pathway-enrichment calls become more reproducible across laboratories. These steps frame every downstream computational result with a realistic picture of biological diversity rather than a single “average” tumor.</w:t>
      </w:r>
    </w:p>
    <w:p w:rsidR="008F4646" w:rsidRPr="008F4646" w:rsidRDefault="008F4646" w:rsidP="008F4646">
      <w:pPr>
        <w:jc w:val="left"/>
        <w:outlineLvl w:val="9"/>
      </w:pPr>
      <w:r w:rsidRPr="008F4646">
        <w:t>In parallel, I keep drug repurposing in scope. I curate large libraries (ZINC, DrugBank, PubChem) and seed pharmacophore queries, combining receptor- and ligand-based screening to propose candidates for physics-based refinement [11,21–23]. The net effect is a funnel that surfaces both fit-for-purpose natural products and overlooked approved molecules that align with the multi-target network signature.</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094"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 xml:space="preserve">Targeted docking of </w:t>
      </w:r>
      <w:r>
        <w:rPr>
          <w:b/>
          <w:bCs/>
          <w:i/>
          <w:iCs/>
          <w:sz w:val="36"/>
          <w:szCs w:val="36"/>
        </w:rPr>
        <w:t xml:space="preserve">Stemaflex annotated </w:t>
      </w:r>
      <w:r w:rsidRPr="008F4646">
        <w:rPr>
          <w:b/>
          <w:bCs/>
          <w:sz w:val="36"/>
          <w:szCs w:val="36"/>
        </w:rPr>
        <w:t>classes</w:t>
      </w:r>
      <w:r>
        <w:rPr>
          <w:b/>
          <w:bCs/>
          <w:sz w:val="36"/>
          <w:szCs w:val="36"/>
        </w:rPr>
        <w:t xml:space="preserve"> of ligands</w:t>
      </w:r>
    </w:p>
    <w:p w:rsidR="008F4646" w:rsidRPr="008F4646" w:rsidRDefault="008F4646" w:rsidP="008F4646">
      <w:pPr>
        <w:jc w:val="left"/>
        <w:outlineLvl w:val="9"/>
        <w:rPr>
          <w:lang w:val="el-GR"/>
        </w:rPr>
      </w:pPr>
      <w:r w:rsidRPr="008F4646">
        <w:t>I treat the Stemaflex annotated classes of ligands as a focused in-silico probe. I dock reported phytochemical classes against MMP-9, TGF-</w:t>
      </w:r>
      <w:r w:rsidRPr="008F4646">
        <w:rPr>
          <w:lang w:val="el-GR"/>
        </w:rPr>
        <w:t>β</w:t>
      </w:r>
      <w:r w:rsidRPr="008F4646">
        <w:t>, FGF-2, VEGF, and IL-6 with PDB-sourced structures and standardized engines. I observe best scores in the expected range (</w:t>
      </w:r>
      <w:r w:rsidRPr="008F4646">
        <w:rPr>
          <w:rFonts w:ascii="Cambria Math" w:hAnsi="Cambria Math" w:cs="Cambria Math"/>
        </w:rPr>
        <w:t>∼</w:t>
      </w:r>
      <w:r w:rsidRPr="008F4646">
        <w:t xml:space="preserve">−7.0 kcal/mol for MMP-9, </w:t>
      </w:r>
      <w:r w:rsidRPr="008F4646">
        <w:rPr>
          <w:rFonts w:ascii="Cambria Math" w:hAnsi="Cambria Math" w:cs="Cambria Math"/>
        </w:rPr>
        <w:t>∼</w:t>
      </w:r>
      <w:r w:rsidRPr="008F4646">
        <w:t>−8.3 kcal/mol for TGF-</w:t>
      </w:r>
      <w:r w:rsidRPr="008F4646">
        <w:rPr>
          <w:lang w:val="el-GR"/>
        </w:rPr>
        <w:t>β</w:t>
      </w:r>
      <w:r w:rsidRPr="008F4646">
        <w:t xml:space="preserve">), and I interpret these values as hypothesis-generating only [12–15,18–20]. </w:t>
      </w:r>
      <w:r w:rsidRPr="008F4646">
        <w:rPr>
          <w:lang w:val="el-GR"/>
        </w:rPr>
        <w:t>To avoid score myopia, I:</w:t>
      </w:r>
    </w:p>
    <w:p w:rsidR="008F4646" w:rsidRPr="008F4646" w:rsidRDefault="008F4646" w:rsidP="008F4646">
      <w:pPr>
        <w:numPr>
          <w:ilvl w:val="0"/>
          <w:numId w:val="50"/>
        </w:numPr>
        <w:jc w:val="left"/>
        <w:outlineLvl w:val="9"/>
        <w:rPr>
          <w:lang w:val="el-GR"/>
        </w:rPr>
      </w:pPr>
      <w:r w:rsidRPr="008F4646">
        <w:rPr>
          <w:lang w:val="el-GR"/>
        </w:rPr>
        <w:t>rescore with complementary functions,</w:t>
      </w:r>
    </w:p>
    <w:p w:rsidR="008F4646" w:rsidRPr="008F4646" w:rsidRDefault="008F4646" w:rsidP="008F4646">
      <w:pPr>
        <w:numPr>
          <w:ilvl w:val="0"/>
          <w:numId w:val="50"/>
        </w:numPr>
        <w:jc w:val="left"/>
        <w:outlineLvl w:val="9"/>
      </w:pPr>
      <w:r w:rsidRPr="008F4646">
        <w:t>run short stability MD to track pose RMSD/RMSF and hydrogen-bond lifetimes using GROMACS/AMBER with CHARMM36m/TIP3P, PME electrostatics, and reproducible thermostats/constraints, and</w:t>
      </w:r>
    </w:p>
    <w:p w:rsidR="008F4646" w:rsidRPr="008F4646" w:rsidRDefault="008F4646" w:rsidP="008F4646">
      <w:pPr>
        <w:numPr>
          <w:ilvl w:val="0"/>
          <w:numId w:val="50"/>
        </w:numPr>
        <w:jc w:val="left"/>
        <w:outlineLvl w:val="9"/>
      </w:pPr>
      <w:r w:rsidRPr="008F4646">
        <w:t xml:space="preserve">estimate end-state free energies (MM-PB/GBSA with </w:t>
      </w:r>
      <w:r w:rsidRPr="008F4646">
        <w:rPr>
          <w:lang w:val="el-GR"/>
        </w:rPr>
        <w:t>Δ</w:t>
      </w:r>
      <w:r w:rsidRPr="008F4646">
        <w:t>SASA awareness) to refine rank order prior to wet assays [39,42,45,51,53–56,70–72,173–176,178–181,190].</w:t>
      </w:r>
    </w:p>
    <w:p w:rsidR="008F4646" w:rsidRPr="008F4646" w:rsidRDefault="008F4646" w:rsidP="008F4646">
      <w:pPr>
        <w:jc w:val="left"/>
        <w:outlineLvl w:val="9"/>
      </w:pPr>
      <w:r w:rsidRPr="008F4646">
        <w:t>This pipeline routinely reorders top-10 lists from raw docking, suppressing false positives with shallow basins and promoting poses that remain kinetically stable in solvent.</w:t>
      </w:r>
    </w:p>
    <w:p w:rsidR="008F4646" w:rsidRPr="008F4646" w:rsidRDefault="008F4646" w:rsidP="008F4646">
      <w:pPr>
        <w:jc w:val="left"/>
        <w:outlineLvl w:val="9"/>
      </w:pPr>
      <w:r w:rsidRPr="008F4646">
        <w:t>I apply early ADME/medchem gates (Lipinski, Veber, Ghose, Egan; SwissADME and pkCSM; QED; synthetic accessibility) and cheminformatics descriptors to bound risk before scale-up [25–33,29–31]. Many polyphenols clear physicochemical filters but flag P-gp/solubility concerns that I log for formulation planning rather than discarding prematurely.</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095"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Certifying stochastic elements and auditability</w:t>
      </w:r>
    </w:p>
    <w:p w:rsidR="008F4646" w:rsidRPr="008F4646" w:rsidRDefault="008F4646" w:rsidP="008F4646">
      <w:pPr>
        <w:jc w:val="left"/>
        <w:outlineLvl w:val="9"/>
      </w:pPr>
      <w:r w:rsidRPr="008F4646">
        <w:t>I do not assume randomness; I certify it. I separate secrecy from entropy by grounding bit-generation and testing in quantum-information principles (state estimation, entanglement structure, operational measures), then apply classical debiasing (von Neumann) and device-aware protocols that let me publish a testable “ideal random copy” for external audits without leaking private bitstreams [127–131,138,142–146]. I match expectations to the NISQ regime and contemporary validation (e.g., cross-entropy benchmarking). Any claim of genuine randomness rests on observed statistics, not device internals [118,136]. This audit trail anchors all stochastic steps—seed selection, conformer sampling, box jitter, and bootstrap calibration—so others can replicate my distributions, not just my point estimates.</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096"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Optional oscillatory prior: ablation and retention criteria</w:t>
      </w:r>
    </w:p>
    <w:p w:rsidR="008F4646" w:rsidRPr="008F4646" w:rsidRDefault="008F4646" w:rsidP="008F4646">
      <w:pPr>
        <w:jc w:val="left"/>
        <w:outlineLvl w:val="9"/>
      </w:pPr>
      <w:r w:rsidRPr="008F4646">
        <w:t>When it improves generalization in pose ranking or active-site geometry, I include an optional compact oscillatory prior on pocket periodicity and phase structure,</w:t>
      </w:r>
    </w:p>
    <w:p w:rsidR="008F4646" w:rsidRPr="008F4646" w:rsidRDefault="008F4646" w:rsidP="008F4646">
      <w:pPr>
        <w:spacing w:before="0" w:beforeAutospacing="0" w:after="0" w:afterAutospacing="0"/>
        <w:jc w:val="left"/>
        <w:outlineLvl w:val="9"/>
      </w:pPr>
      <w:r w:rsidRPr="008F4646">
        <w:t>K(x;c,Q)=x cos⁡ ⁣(2c2log⁡Q</w:t>
      </w:r>
      <w:r w:rsidRPr="008F4646">
        <w:rPr>
          <w:rFonts w:ascii="Cambria Math" w:hAnsi="Cambria Math" w:cs="Cambria Math"/>
        </w:rPr>
        <w:t>⋅</w:t>
      </w:r>
      <w:r w:rsidRPr="008F4646">
        <w:t>arccos⁡x</w:t>
      </w:r>
      <w:r w:rsidRPr="008F4646">
        <w:rPr>
          <w:rFonts w:ascii="Cambria Math" w:hAnsi="Cambria Math" w:cs="Cambria Math"/>
        </w:rPr>
        <w:t>⋅</w:t>
      </w:r>
      <w:r w:rsidRPr="008F4646">
        <w:t>cos⁡2(cx))+C.K(x;c,Q) = x\,\cos\!\Big(2c^{2}\log Q\cdot \arccos x \cdot \cos^{2}(cx)\Big) + C.K(x;c,Q)=xcos(2c2logQ</w:t>
      </w:r>
      <w:r w:rsidRPr="008F4646">
        <w:rPr>
          <w:rFonts w:ascii="Cambria Math" w:hAnsi="Cambria Math" w:cs="Cambria Math"/>
        </w:rPr>
        <w:t>⋅</w:t>
      </w:r>
      <w:r w:rsidRPr="008F4646">
        <w:t>arccosx</w:t>
      </w:r>
      <w:r w:rsidRPr="008F4646">
        <w:rPr>
          <w:rFonts w:ascii="Cambria Math" w:hAnsi="Cambria Math" w:cs="Cambria Math"/>
        </w:rPr>
        <w:t>⋅</w:t>
      </w:r>
      <w:r w:rsidRPr="008F4646">
        <w:t xml:space="preserve">cos2(cx))+C. </w:t>
      </w:r>
    </w:p>
    <w:p w:rsidR="008F4646" w:rsidRPr="008F4646" w:rsidRDefault="008F4646" w:rsidP="008F4646">
      <w:pPr>
        <w:jc w:val="left"/>
        <w:outlineLvl w:val="9"/>
      </w:pPr>
      <w:r w:rsidRPr="008F4646">
        <w:t>I keep this feature strictly optional and ablate it during cross-validation; I retain it only when it adds predictive value. In the current runs, the kernel modestly improves discrimination for pockets with repeating polar–hydrophobic motifs but is neutral elsewhere; I therefore apply it selectively and report with/without metrics.</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097"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From fast triage to calibrated decisions</w:t>
      </w:r>
    </w:p>
    <w:p w:rsidR="008F4646" w:rsidRPr="008F4646" w:rsidRDefault="008F4646" w:rsidP="008F4646">
      <w:pPr>
        <w:jc w:val="left"/>
        <w:outlineLvl w:val="9"/>
      </w:pPr>
      <w:r w:rsidRPr="008F4646">
        <w:t>I implement a staged funnel: fast triage with curated pockets, AutoDock Vina-class docking, and pharmacophore search; physics upgrades—MM-PB/GBSA and, when needed, QM/MM or higher-level charge models—to approach ~1 kcal/mol accuracy; dynamics/kinetics on well-characterized ensembles; and uncertainty-aware ranking with explicit calibration rather than point estimates [12–14,16–20,34–38,39,42–45,49–56,70–72,173–176,178–181]. I preregister PDB IDs/versions, docking boxes, random seeds, force-field/water models, barostat/thermostat settings, cutoffs, and scripts to make the pipeline reproducible end-to-end.</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098"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Biological readouts prioritized: ERC/NEU1 axis and fibrocytes</w:t>
      </w:r>
    </w:p>
    <w:p w:rsidR="008F4646" w:rsidRPr="008F4646" w:rsidRDefault="008F4646" w:rsidP="008F4646">
      <w:pPr>
        <w:jc w:val="left"/>
        <w:outlineLvl w:val="9"/>
      </w:pPr>
      <w:r w:rsidRPr="008F4646">
        <w:t xml:space="preserve">I center the elastin receptor complex (ERC) and fibrocyte phenotypes for biological validation. The ERC—EBP, NEU1 sialidase, and PPCA—together with elastin-derived peptides bearing xGxxPG motifs, coordinates dermal signaling and matrix remodeling. NEU1 localization within ERC/PPCA, EBP protection of </w:t>
      </w:r>
      <w:r w:rsidRPr="008F4646">
        <w:rPr>
          <w:lang w:val="el-GR"/>
        </w:rPr>
        <w:t>α</w:t>
      </w:r>
      <w:r w:rsidRPr="008F4646">
        <w:t xml:space="preserve">-elastin, and downstream ERK/Akt activation give me tractable readouts for pharmacologic modulation [4–8,9–10,154,168–172]. I quantify fibrocyte </w:t>
      </w:r>
      <w:r w:rsidRPr="008F4646">
        <w:rPr>
          <w:lang w:val="el-GR"/>
        </w:rPr>
        <w:t>α</w:t>
      </w:r>
      <w:r w:rsidRPr="008F4646">
        <w:t>-SMA acquisition, matrix production, and gel contraction alongside protease panels (elastase, MMP-1/3/9) during validation [1–3,9–10,170–172]. DBKW’s multi-target stance (including PTGS2 among network-mapped nodes) fits this network-pharmacology picture, but I still require wet-lab confirmation of directionality, dose–response, and target engagement via pathway assays and matrix-remodeling metrics [85–87,90–93].</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099"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Residue-resolved interaction landscape (comprehensive codes)</w:t>
      </w:r>
    </w:p>
    <w:p w:rsidR="008F4646" w:rsidRPr="008F4646" w:rsidRDefault="008F4646" w:rsidP="008F4646">
      <w:pPr>
        <w:jc w:val="left"/>
        <w:outlineLvl w:val="9"/>
      </w:pPr>
      <w:r w:rsidRPr="008F4646">
        <w:t>I quantify contacts at residue resolution across modeled environments using a standardized code that records environment label, chain/atom category, residue name, and index. The aggregate interaction set I observe spans the following codes, which I reference as the “ERC/MPO contact atlas” for this study:</w:t>
      </w:r>
    </w:p>
    <w:p w:rsidR="008F4646" w:rsidRPr="008F4646" w:rsidRDefault="008F4646" w:rsidP="008F4646">
      <w:pPr>
        <w:jc w:val="left"/>
        <w:outlineLvl w:val="9"/>
      </w:pPr>
      <w:r w:rsidRPr="008F4646">
        <w:rPr>
          <w:b/>
          <w:bCs/>
        </w:rPr>
        <w:t>E-S-ARG-183, H-M-LYS-2, H-S-LYS-2, H-M-ASP-38, H-S-ASP-38, H-M-HIS-39, H-S-HIS-39, H-M-VAL-40, H-M-ARG-41, H-S-ARG-41, H-M-LEU-76, H-M-GLU-77, H-S-GLU-77, H-M-VAL-78, H-M-THR-79, H-S-THR-79, H-M-ASN-131, H-M-THR-133, H-S-THR-133, H-M-MET-135, H-M-GLY-182, H-M-ARG-183, H-S-ARG-183, H-S-TRP-185, H-M-GLY-209, H-S-SER-210, H-M-ALA-211, H-M-THR-213, H-S-THR-213, H-M-LEU-255, H-M-TRP-256, H-S-TRP-256, H-S-GLN-258, H-M-GLU-290, H-S-GLU-290, H-M-ALA-291, V-M-LYS-2, V-S-LYS-2, V-M-ALA-5, V-M-ASP-38, V-S-ASP-38, V-M-HIS-39, V-S-HIS-39, V-M-ARG-41, V-S-ARG-41, V-M-LEU-76, V-M-GLU-77, V-S-GLU-77, V-M-VAL-78, V-M-THR-79, V-S-THR-79, V-M-VAL-80, V-M-ASN-131, V-S-ASN-131, V-M-ALA-132, V-M-THR-133, V-S-THR-133, V-M-MET-135, V-M-GLY-182, V-M-ARG-183, V-S-ARG-183, V-M-PHE-184, V-M-TRP-185, V-S-TRP-185, V-M-GLY-209, V-M-SER-210, V-S-SER-210, V-S-ALA-211, V-M-THR-212, V-M-GLU-252, V-S-GLU-252, V-M-ARG-253, V-S-ARG-253, V-M-PRO-254, V-S-PRO-254, V-M-LEU-255, V-M-TRP-256, V-S-TRP-256, V-M-LEU-257, V-S-LEU-257, V-S-GLN-258, V-M-GLY-288, V-S-LEU-289, V-M-GLU-290, V-S-GLU-290, V-M-ALA-291, V-M-THR-293.</w:t>
      </w:r>
    </w:p>
    <w:p w:rsidR="008F4646" w:rsidRPr="008F4646" w:rsidRDefault="008F4646" w:rsidP="008F4646">
      <w:pPr>
        <w:jc w:val="left"/>
        <w:outlineLvl w:val="9"/>
      </w:pPr>
      <w:r w:rsidRPr="008F4646">
        <w:t>Functionally, I see recurrent basic hotspots (LYS/ARG) flanked by acidic (GLU/ASP) and aromatic (TRP/PHE/TYR) rings that stabilize polyphenols and triterpenoid aglycones; small polar residues (SER/THR/ASN/GLY) mediate bridging hydrogen bonds to sugar moieties. This pattern guides which complexes I lift to physics upgrades and MD refinement.</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100"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Ligand-ranking results: previously reported panel</w:t>
      </w:r>
    </w:p>
    <w:p w:rsidR="008F4646" w:rsidRPr="008F4646" w:rsidRDefault="008F4646" w:rsidP="008F4646">
      <w:pPr>
        <w:jc w:val="left"/>
        <w:outlineLvl w:val="9"/>
      </w:pPr>
      <w:r w:rsidRPr="008F4646">
        <w:t xml:space="preserve">Across the earlier peptide and triterpenoid set, I rank ligands by increasing (more negative) total interaction energy as follows. </w:t>
      </w:r>
      <w:r w:rsidRPr="008F4646">
        <w:rPr>
          <w:b/>
          <w:bCs/>
        </w:rPr>
        <w:t>Hexapeptide-11</w:t>
      </w:r>
      <w:r w:rsidRPr="008F4646">
        <w:t xml:space="preserve"> (−171.7) exhibits the strongest predicted binding, followed by </w:t>
      </w:r>
      <w:r w:rsidRPr="008F4646">
        <w:rPr>
          <w:b/>
          <w:bCs/>
        </w:rPr>
        <w:t>Madecassoside</w:t>
      </w:r>
      <w:r w:rsidRPr="008F4646">
        <w:t xml:space="preserve"> (−160.0), </w:t>
      </w:r>
      <w:r w:rsidRPr="008F4646">
        <w:rPr>
          <w:b/>
          <w:bCs/>
        </w:rPr>
        <w:t>Boswellic acid</w:t>
      </w:r>
      <w:r w:rsidRPr="008F4646">
        <w:t xml:space="preserve"> (−159.8), </w:t>
      </w:r>
      <w:r w:rsidRPr="008F4646">
        <w:rPr>
          <w:b/>
          <w:bCs/>
        </w:rPr>
        <w:t>Anthocyanin A7</w:t>
      </w:r>
      <w:r w:rsidRPr="008F4646">
        <w:t xml:space="preserve"> (−158.3), </w:t>
      </w:r>
      <w:r w:rsidRPr="008F4646">
        <w:rPr>
          <w:b/>
          <w:bCs/>
        </w:rPr>
        <w:t>Asiaticoside</w:t>
      </w:r>
      <w:r w:rsidRPr="008F4646">
        <w:t xml:space="preserve"> (−156.3), </w:t>
      </w:r>
      <w:r w:rsidRPr="008F4646">
        <w:rPr>
          <w:b/>
          <w:bCs/>
        </w:rPr>
        <w:t>Salvianolic acid B</w:t>
      </w:r>
      <w:r w:rsidRPr="008F4646">
        <w:t xml:space="preserve"> (−154.8), </w:t>
      </w:r>
      <w:r w:rsidRPr="008F4646">
        <w:rPr>
          <w:b/>
          <w:bCs/>
        </w:rPr>
        <w:t>Hexapeptide-9</w:t>
      </w:r>
      <w:r w:rsidRPr="008F4646">
        <w:t xml:space="preserve"> (−144.7), and </w:t>
      </w:r>
      <w:r w:rsidRPr="008F4646">
        <w:rPr>
          <w:b/>
          <w:bCs/>
          <w:lang w:val="el-GR"/>
        </w:rPr>
        <w:t>α</w:t>
      </w:r>
      <w:r w:rsidRPr="008F4646">
        <w:rPr>
          <w:b/>
          <w:bCs/>
        </w:rPr>
        <w:t>-Conotoxin imi</w:t>
      </w:r>
      <w:r w:rsidRPr="008F4646">
        <w:t xml:space="preserve"> (−134.2).</w:t>
      </w:r>
    </w:p>
    <w:p w:rsidR="008F4646" w:rsidRPr="008F4646" w:rsidRDefault="008F4646" w:rsidP="008F4646">
      <w:pPr>
        <w:jc w:val="left"/>
        <w:outlineLvl w:val="9"/>
      </w:pPr>
      <w:r w:rsidRPr="008F4646">
        <w:t xml:space="preserve">The contact map suggests a recurring Lys-340 hotspot that anchors binding in both modeled conformational states (for Hexapeptide-11, V-S-LYS-340 contributes ~−29.9 and V-M-LYS-340 ~−10.9), complemented by an acidic–aromatic ring of Glu-60/341, His-61, Gln-62, and Phe-59 that deepens the pocket’s electrostatic and </w:t>
      </w:r>
      <w:r w:rsidRPr="008F4646">
        <w:rPr>
          <w:lang w:val="el-GR"/>
        </w:rPr>
        <w:t>π</w:t>
      </w:r>
      <w:r w:rsidRPr="008F4646">
        <w:t xml:space="preserve"> interactions. Madecassoside retains the Lys-340 contribution while recruiting Tyr-64, Leu-346, and Glu-341, consistent with a broader hydrophobic–polar clamp. Boswellic acid shows a similar pattern involving Phe-59, Glu-60, Gln-62, and Leu-346. Anthocyanin A7 engages Tyr-64, Glu-60, Glu-345, Lys-340, and Phe-59, in line with its polyphenolic character. In contrast, </w:t>
      </w:r>
      <w:r w:rsidRPr="008F4646">
        <w:rPr>
          <w:b/>
          <w:bCs/>
          <w:lang w:val="el-GR"/>
        </w:rPr>
        <w:t>α</w:t>
      </w:r>
      <w:r w:rsidRPr="008F4646">
        <w:rPr>
          <w:b/>
          <w:bCs/>
        </w:rPr>
        <w:t>-Conotoxin imi</w:t>
      </w:r>
      <w:r w:rsidRPr="008F4646">
        <w:t xml:space="preserve"> shifts the hotspot toward the 98–101 patch (Met-98, Lys-99, Val-101) and Ile-72/347, suggesting a distinct anchoring mode that may reflect its peptide topology. I use these residue-level tendencies to focus rescoring and MD on the Lys-340 cluster and the neighboring acidic–aromatic ring, while reserving an alternative protocol for ligands preferring the 72/98–101 region.</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101"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 xml:space="preserve">Ligand-ranking results: cav6gvb_MPO panel </w:t>
      </w:r>
    </w:p>
    <w:p w:rsidR="008F4646" w:rsidRPr="008F4646" w:rsidRDefault="008F4646" w:rsidP="008F4646">
      <w:pPr>
        <w:jc w:val="left"/>
        <w:outlineLvl w:val="9"/>
      </w:pPr>
      <w:r w:rsidRPr="008F4646">
        <w:t xml:space="preserve">I extend the benchmarking with an additional cav6gvb_MPO panel and observe the following </w:t>
      </w:r>
      <w:r w:rsidRPr="008F4646">
        <w:rPr>
          <w:b/>
          <w:bCs/>
        </w:rPr>
        <w:t>total interaction energies</w:t>
      </w:r>
      <w:r w:rsidRPr="008F4646">
        <w:t xml:space="preserve"> (kcal/mol, more negative is better) for representative entries:</w:t>
      </w:r>
    </w:p>
    <w:p w:rsidR="008F4646" w:rsidRPr="008F4646" w:rsidRDefault="008F4646" w:rsidP="008F4646">
      <w:pPr>
        <w:numPr>
          <w:ilvl w:val="0"/>
          <w:numId w:val="51"/>
        </w:numPr>
        <w:jc w:val="left"/>
        <w:outlineLvl w:val="9"/>
      </w:pPr>
      <w:r w:rsidRPr="008F4646">
        <w:rPr>
          <w:b/>
          <w:bCs/>
        </w:rPr>
        <w:t>Lentinan</w:t>
      </w:r>
      <w:r w:rsidRPr="008F4646">
        <w:t xml:space="preserve"> (cav6gvb_MPO-Lentinan_Shiitake…37723-0.pdb): </w:t>
      </w:r>
      <w:r w:rsidRPr="008F4646">
        <w:rPr>
          <w:b/>
          <w:bCs/>
        </w:rPr>
        <w:t>−179.2</w:t>
      </w:r>
    </w:p>
    <w:p w:rsidR="008F4646" w:rsidRPr="008F4646" w:rsidRDefault="008F4646" w:rsidP="008F4646">
      <w:pPr>
        <w:numPr>
          <w:ilvl w:val="0"/>
          <w:numId w:val="51"/>
        </w:numPr>
        <w:jc w:val="left"/>
        <w:outlineLvl w:val="9"/>
        <w:rPr>
          <w:lang w:val="el-GR"/>
        </w:rPr>
      </w:pPr>
      <w:r w:rsidRPr="008F4646">
        <w:rPr>
          <w:b/>
          <w:bCs/>
          <w:lang w:val="el-GR"/>
        </w:rPr>
        <w:t>Anthocyanin A7</w:t>
      </w:r>
      <w:r w:rsidRPr="008F4646">
        <w:rPr>
          <w:lang w:val="el-GR"/>
        </w:rPr>
        <w:t xml:space="preserve"> (</w:t>
      </w:r>
      <w:r w:rsidRPr="008F4646">
        <w:rPr>
          <w:i/>
          <w:iCs/>
          <w:lang w:val="el-GR"/>
        </w:rPr>
        <w:t>Punica granatum</w:t>
      </w:r>
      <w:r w:rsidRPr="008F4646">
        <w:rPr>
          <w:lang w:val="el-GR"/>
        </w:rPr>
        <w:t xml:space="preserve">): </w:t>
      </w:r>
      <w:r w:rsidRPr="008F4646">
        <w:rPr>
          <w:b/>
          <w:bCs/>
          <w:lang w:val="el-GR"/>
        </w:rPr>
        <w:t>−161.9</w:t>
      </w:r>
    </w:p>
    <w:p w:rsidR="008F4646" w:rsidRPr="008F4646" w:rsidRDefault="008F4646" w:rsidP="008F4646">
      <w:pPr>
        <w:numPr>
          <w:ilvl w:val="0"/>
          <w:numId w:val="51"/>
        </w:numPr>
        <w:jc w:val="left"/>
        <w:outlineLvl w:val="9"/>
        <w:rPr>
          <w:lang w:val="el-GR"/>
        </w:rPr>
      </w:pPr>
      <w:r w:rsidRPr="008F4646">
        <w:rPr>
          <w:b/>
          <w:bCs/>
          <w:lang w:val="el-GR"/>
        </w:rPr>
        <w:t>Boswellic acid</w:t>
      </w:r>
      <w:r w:rsidRPr="008F4646">
        <w:rPr>
          <w:lang w:val="el-GR"/>
        </w:rPr>
        <w:t xml:space="preserve">: </w:t>
      </w:r>
      <w:r w:rsidRPr="008F4646">
        <w:rPr>
          <w:b/>
          <w:bCs/>
          <w:lang w:val="el-GR"/>
        </w:rPr>
        <w:t>−158.3</w:t>
      </w:r>
    </w:p>
    <w:p w:rsidR="008F4646" w:rsidRPr="008F4646" w:rsidRDefault="008F4646" w:rsidP="008F4646">
      <w:pPr>
        <w:numPr>
          <w:ilvl w:val="0"/>
          <w:numId w:val="51"/>
        </w:numPr>
        <w:jc w:val="left"/>
        <w:outlineLvl w:val="9"/>
        <w:rPr>
          <w:lang w:val="el-GR"/>
        </w:rPr>
      </w:pPr>
      <w:r w:rsidRPr="008F4646">
        <w:rPr>
          <w:b/>
          <w:bCs/>
          <w:lang w:val="el-GR"/>
        </w:rPr>
        <w:t>Solanine</w:t>
      </w:r>
      <w:r w:rsidRPr="008F4646">
        <w:rPr>
          <w:lang w:val="el-GR"/>
        </w:rPr>
        <w:t xml:space="preserve">: </w:t>
      </w:r>
      <w:r w:rsidRPr="008F4646">
        <w:rPr>
          <w:b/>
          <w:bCs/>
          <w:lang w:val="el-GR"/>
        </w:rPr>
        <w:t>−154.1</w:t>
      </w:r>
    </w:p>
    <w:p w:rsidR="008F4646" w:rsidRPr="008F4646" w:rsidRDefault="008F4646" w:rsidP="008F4646">
      <w:pPr>
        <w:numPr>
          <w:ilvl w:val="0"/>
          <w:numId w:val="51"/>
        </w:numPr>
        <w:jc w:val="left"/>
        <w:outlineLvl w:val="9"/>
        <w:rPr>
          <w:lang w:val="el-GR"/>
        </w:rPr>
      </w:pPr>
      <w:r w:rsidRPr="008F4646">
        <w:rPr>
          <w:b/>
          <w:bCs/>
          <w:lang w:val="el-GR"/>
        </w:rPr>
        <w:t>Salvianolic acid B</w:t>
      </w:r>
      <w:r w:rsidRPr="008F4646">
        <w:rPr>
          <w:lang w:val="el-GR"/>
        </w:rPr>
        <w:t xml:space="preserve">: </w:t>
      </w:r>
      <w:r w:rsidRPr="008F4646">
        <w:rPr>
          <w:b/>
          <w:bCs/>
          <w:lang w:val="el-GR"/>
        </w:rPr>
        <w:t>−152.5</w:t>
      </w:r>
    </w:p>
    <w:p w:rsidR="008F4646" w:rsidRPr="008F4646" w:rsidRDefault="008F4646" w:rsidP="008F4646">
      <w:pPr>
        <w:numPr>
          <w:ilvl w:val="0"/>
          <w:numId w:val="51"/>
        </w:numPr>
        <w:jc w:val="left"/>
        <w:outlineLvl w:val="9"/>
        <w:rPr>
          <w:lang w:val="el-GR"/>
        </w:rPr>
      </w:pPr>
      <w:r w:rsidRPr="008F4646">
        <w:rPr>
          <w:b/>
          <w:bCs/>
          <w:lang w:val="el-GR"/>
        </w:rPr>
        <w:t>Momordicine I</w:t>
      </w:r>
      <w:r w:rsidRPr="008F4646">
        <w:rPr>
          <w:lang w:val="el-GR"/>
        </w:rPr>
        <w:t xml:space="preserve">: </w:t>
      </w:r>
      <w:r w:rsidRPr="008F4646">
        <w:rPr>
          <w:b/>
          <w:bCs/>
          <w:lang w:val="el-GR"/>
        </w:rPr>
        <w:t>−148.0</w:t>
      </w:r>
    </w:p>
    <w:p w:rsidR="008F4646" w:rsidRPr="008F4646" w:rsidRDefault="008F4646" w:rsidP="008F4646">
      <w:pPr>
        <w:numPr>
          <w:ilvl w:val="0"/>
          <w:numId w:val="51"/>
        </w:numPr>
        <w:jc w:val="left"/>
        <w:outlineLvl w:val="9"/>
        <w:rPr>
          <w:lang w:val="el-GR"/>
        </w:rPr>
      </w:pPr>
      <w:r w:rsidRPr="008F4646">
        <w:rPr>
          <w:lang w:val="el-GR"/>
        </w:rPr>
        <w:t>Caftaric acid: −108.0</w:t>
      </w:r>
    </w:p>
    <w:p w:rsidR="008F4646" w:rsidRPr="008F4646" w:rsidRDefault="008F4646" w:rsidP="008F4646">
      <w:pPr>
        <w:numPr>
          <w:ilvl w:val="0"/>
          <w:numId w:val="51"/>
        </w:numPr>
        <w:jc w:val="left"/>
        <w:outlineLvl w:val="9"/>
        <w:rPr>
          <w:lang w:val="el-GR"/>
        </w:rPr>
      </w:pPr>
      <w:r w:rsidRPr="008F4646">
        <w:rPr>
          <w:lang w:val="el-GR"/>
        </w:rPr>
        <w:t>Resveratrol (two conformers): −102.2 and −96.1</w:t>
      </w:r>
    </w:p>
    <w:p w:rsidR="008F4646" w:rsidRPr="008F4646" w:rsidRDefault="008F4646" w:rsidP="008F4646">
      <w:pPr>
        <w:numPr>
          <w:ilvl w:val="0"/>
          <w:numId w:val="51"/>
        </w:numPr>
        <w:jc w:val="left"/>
        <w:outlineLvl w:val="9"/>
        <w:rPr>
          <w:lang w:val="el-GR"/>
        </w:rPr>
      </w:pPr>
      <w:r w:rsidRPr="008F4646">
        <w:rPr>
          <w:lang w:val="el-GR"/>
        </w:rPr>
        <w:t>Manjistha (Munjistin): −101.7</w:t>
      </w:r>
    </w:p>
    <w:p w:rsidR="008F4646" w:rsidRPr="008F4646" w:rsidRDefault="008F4646" w:rsidP="008F4646">
      <w:pPr>
        <w:numPr>
          <w:ilvl w:val="0"/>
          <w:numId w:val="51"/>
        </w:numPr>
        <w:jc w:val="left"/>
        <w:outlineLvl w:val="9"/>
        <w:rPr>
          <w:lang w:val="el-GR"/>
        </w:rPr>
      </w:pPr>
      <w:r w:rsidRPr="008F4646">
        <w:rPr>
          <w:lang w:val="el-GR"/>
        </w:rPr>
        <w:t>Curcumin: −101.7</w:t>
      </w:r>
    </w:p>
    <w:p w:rsidR="008F4646" w:rsidRPr="008F4646" w:rsidRDefault="008F4646" w:rsidP="008F4646">
      <w:pPr>
        <w:numPr>
          <w:ilvl w:val="0"/>
          <w:numId w:val="51"/>
        </w:numPr>
        <w:jc w:val="left"/>
        <w:outlineLvl w:val="9"/>
        <w:rPr>
          <w:lang w:val="el-GR"/>
        </w:rPr>
      </w:pPr>
      <w:r w:rsidRPr="008F4646">
        <w:rPr>
          <w:lang w:val="el-GR"/>
        </w:rPr>
        <w:t>Quercetin: −101.3</w:t>
      </w:r>
    </w:p>
    <w:p w:rsidR="008F4646" w:rsidRPr="008F4646" w:rsidRDefault="008F4646" w:rsidP="008F4646">
      <w:pPr>
        <w:numPr>
          <w:ilvl w:val="0"/>
          <w:numId w:val="51"/>
        </w:numPr>
        <w:jc w:val="left"/>
        <w:outlineLvl w:val="9"/>
        <w:rPr>
          <w:lang w:val="el-GR"/>
        </w:rPr>
      </w:pPr>
      <w:r w:rsidRPr="008F4646">
        <w:rPr>
          <w:lang w:val="el-GR"/>
        </w:rPr>
        <w:t>Barbaloin: −101.2</w:t>
      </w:r>
    </w:p>
    <w:p w:rsidR="008F4646" w:rsidRPr="008F4646" w:rsidRDefault="008F4646" w:rsidP="008F4646">
      <w:pPr>
        <w:numPr>
          <w:ilvl w:val="0"/>
          <w:numId w:val="51"/>
        </w:numPr>
        <w:jc w:val="left"/>
        <w:outlineLvl w:val="9"/>
        <w:rPr>
          <w:lang w:val="el-GR"/>
        </w:rPr>
      </w:pPr>
      <w:r w:rsidRPr="008F4646">
        <w:rPr>
          <w:lang w:val="el-GR"/>
        </w:rPr>
        <w:t>Sucrose: −97.7</w:t>
      </w:r>
    </w:p>
    <w:p w:rsidR="008F4646" w:rsidRPr="008F4646" w:rsidRDefault="008F4646" w:rsidP="008F4646">
      <w:pPr>
        <w:numPr>
          <w:ilvl w:val="0"/>
          <w:numId w:val="51"/>
        </w:numPr>
        <w:jc w:val="left"/>
        <w:outlineLvl w:val="9"/>
        <w:rPr>
          <w:lang w:val="el-GR"/>
        </w:rPr>
      </w:pPr>
      <w:r w:rsidRPr="008F4646">
        <w:rPr>
          <w:lang w:val="el-GR"/>
        </w:rPr>
        <w:t>Fisetin: −96.4</w:t>
      </w:r>
    </w:p>
    <w:p w:rsidR="008F4646" w:rsidRPr="008F4646" w:rsidRDefault="008F4646" w:rsidP="008F4646">
      <w:pPr>
        <w:numPr>
          <w:ilvl w:val="0"/>
          <w:numId w:val="51"/>
        </w:numPr>
        <w:jc w:val="left"/>
        <w:outlineLvl w:val="9"/>
        <w:rPr>
          <w:lang w:val="el-GR"/>
        </w:rPr>
      </w:pPr>
      <w:r w:rsidRPr="008F4646">
        <w:rPr>
          <w:lang w:val="el-GR"/>
        </w:rPr>
        <w:t>Camellianin A: −94.7</w:t>
      </w:r>
    </w:p>
    <w:p w:rsidR="008F4646" w:rsidRPr="008F4646" w:rsidRDefault="008F4646" w:rsidP="008F4646">
      <w:pPr>
        <w:numPr>
          <w:ilvl w:val="0"/>
          <w:numId w:val="51"/>
        </w:numPr>
        <w:jc w:val="left"/>
        <w:outlineLvl w:val="9"/>
        <w:rPr>
          <w:lang w:val="el-GR"/>
        </w:rPr>
      </w:pPr>
      <w:r w:rsidRPr="008F4646">
        <w:rPr>
          <w:lang w:val="el-GR"/>
        </w:rPr>
        <w:t>Marmesin: −94.1</w:t>
      </w:r>
    </w:p>
    <w:p w:rsidR="008F4646" w:rsidRPr="008F4646" w:rsidRDefault="008F4646" w:rsidP="008F4646">
      <w:pPr>
        <w:numPr>
          <w:ilvl w:val="0"/>
          <w:numId w:val="51"/>
        </w:numPr>
        <w:jc w:val="left"/>
        <w:outlineLvl w:val="9"/>
        <w:rPr>
          <w:lang w:val="el-GR"/>
        </w:rPr>
      </w:pPr>
      <w:r w:rsidRPr="008F4646">
        <w:rPr>
          <w:lang w:val="el-GR"/>
        </w:rPr>
        <w:t>Rubiadin (Manjistha): −93.7</w:t>
      </w:r>
    </w:p>
    <w:p w:rsidR="008F4646" w:rsidRPr="008F4646" w:rsidRDefault="008F4646" w:rsidP="008F4646">
      <w:pPr>
        <w:jc w:val="left"/>
        <w:outlineLvl w:val="9"/>
      </w:pPr>
      <w:r w:rsidRPr="008F4646">
        <w:t xml:space="preserve">Two trends stand out. First, </w:t>
      </w:r>
      <w:r w:rsidRPr="008F4646">
        <w:rPr>
          <w:b/>
          <w:bCs/>
          <w:lang w:val="el-GR"/>
        </w:rPr>
        <w:t>β</w:t>
      </w:r>
      <w:r w:rsidRPr="008F4646">
        <w:rPr>
          <w:b/>
          <w:bCs/>
        </w:rPr>
        <w:t>-glucan polysaccharides and high-valency polyphenols (Lentinan, Anthocyanin A7)</w:t>
      </w:r>
      <w:r w:rsidRPr="008F4646">
        <w:t xml:space="preserve"> achieve the deepest energy wells, consistent with extensive hydrogen-bond networks and multipoint contacts across the acidic–basic–aromatic belt defined in the contact atlas. Second, </w:t>
      </w:r>
      <w:r w:rsidRPr="008F4646">
        <w:rPr>
          <w:b/>
          <w:bCs/>
        </w:rPr>
        <w:t>triterpenoids (Boswellic acid, Momordicine I)</w:t>
      </w:r>
      <w:r w:rsidRPr="008F4646">
        <w:t xml:space="preserve"> reliably exploit hydrophobic anchors near LEU/VAL/MET clusters while recruiting GLU/ASP fringes for electrostatic stabilization. These patterns echo the earlier panel’s results and justify elevating these complexes to physics-based refinement.</w:t>
      </w:r>
    </w:p>
    <w:p w:rsidR="008F4646" w:rsidRPr="008F4646" w:rsidRDefault="008F4646" w:rsidP="008F4646">
      <w:pPr>
        <w:jc w:val="left"/>
        <w:outlineLvl w:val="9"/>
      </w:pPr>
      <w:r w:rsidRPr="008F4646">
        <w:t>(Full residue-wise score vectors per ligand are retained in the study record; I use them to identify stabilizing sub-motifs and to guide mutational sensitivity tests in silico.)</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102"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Physics-based refinement, stability, and calibration</w:t>
      </w:r>
    </w:p>
    <w:p w:rsidR="008F4646" w:rsidRPr="008F4646" w:rsidRDefault="008F4646" w:rsidP="008F4646">
      <w:pPr>
        <w:jc w:val="left"/>
        <w:outlineLvl w:val="9"/>
      </w:pPr>
      <w:r w:rsidRPr="008F4646">
        <w:t>For top poses in both panels I run short explicit-solvent MD (nanoseconds-to-tens-of-nanoseconds) and observe:</w:t>
      </w:r>
    </w:p>
    <w:p w:rsidR="008F4646" w:rsidRPr="008F4646" w:rsidRDefault="008F4646" w:rsidP="008F4646">
      <w:pPr>
        <w:numPr>
          <w:ilvl w:val="0"/>
          <w:numId w:val="52"/>
        </w:numPr>
        <w:jc w:val="left"/>
        <w:outlineLvl w:val="9"/>
      </w:pPr>
      <w:r w:rsidRPr="008F4646">
        <w:rPr>
          <w:b/>
          <w:bCs/>
        </w:rPr>
        <w:t>Pose stability:</w:t>
      </w:r>
      <w:r w:rsidRPr="008F4646">
        <w:t xml:space="preserve"> lead complexes maintain heavy-atom RMSD plateaus &lt;2–3 Å with persistent H-bond lifetimes at the Lys/Arg–Glu/Asp interface and </w:t>
      </w:r>
      <w:r w:rsidRPr="008F4646">
        <w:rPr>
          <w:lang w:val="el-GR"/>
        </w:rPr>
        <w:t>π</w:t>
      </w:r>
      <w:r w:rsidRPr="008F4646">
        <w:t>-stacking on Phe/Tyr/Trp.</w:t>
      </w:r>
    </w:p>
    <w:p w:rsidR="008F4646" w:rsidRPr="008F4646" w:rsidRDefault="008F4646" w:rsidP="008F4646">
      <w:pPr>
        <w:numPr>
          <w:ilvl w:val="0"/>
          <w:numId w:val="52"/>
        </w:numPr>
        <w:jc w:val="left"/>
        <w:outlineLvl w:val="9"/>
      </w:pPr>
      <w:r w:rsidRPr="008F4646">
        <w:rPr>
          <w:b/>
          <w:bCs/>
        </w:rPr>
        <w:t>Water mediation:</w:t>
      </w:r>
      <w:r w:rsidRPr="008F4646">
        <w:t xml:space="preserve"> structured waters intermittently bridge sugar hydroxyls (saponins, polysaccharides) to GLU/ASP, supporting </w:t>
      </w:r>
      <w:r w:rsidRPr="008F4646">
        <w:rPr>
          <w:lang w:val="el-GR"/>
        </w:rPr>
        <w:t>Δ</w:t>
      </w:r>
      <w:r w:rsidRPr="008F4646">
        <w:t>SASA-sensitive stabilization in MM-PB/GBSA.</w:t>
      </w:r>
    </w:p>
    <w:p w:rsidR="008F4646" w:rsidRPr="008F4646" w:rsidRDefault="008F4646" w:rsidP="008F4646">
      <w:pPr>
        <w:numPr>
          <w:ilvl w:val="0"/>
          <w:numId w:val="52"/>
        </w:numPr>
        <w:jc w:val="left"/>
        <w:outlineLvl w:val="9"/>
      </w:pPr>
      <w:r w:rsidRPr="008F4646">
        <w:rPr>
          <w:b/>
          <w:bCs/>
        </w:rPr>
        <w:t>Clamp behavior:</w:t>
      </w:r>
      <w:r w:rsidRPr="008F4646">
        <w:t xml:space="preserve"> for triterpenoid saponins, hydrophobic cores nest within LEU/VAL/MET pockets while sugar arms sweep SER/THR/ASN/GLY rails; this dual-mode anchoring correlates with the most negative </w:t>
      </w:r>
      <w:r w:rsidRPr="008F4646">
        <w:rPr>
          <w:lang w:val="el-GR"/>
        </w:rPr>
        <w:t>Δ</w:t>
      </w:r>
      <w:r w:rsidRPr="008F4646">
        <w:t>G estimates.</w:t>
      </w:r>
    </w:p>
    <w:p w:rsidR="008F4646" w:rsidRPr="008F4646" w:rsidRDefault="008F4646" w:rsidP="008F4646">
      <w:pPr>
        <w:jc w:val="left"/>
        <w:outlineLvl w:val="9"/>
      </w:pPr>
      <w:r w:rsidRPr="008F4646">
        <w:t>I calibrate free-energy ranking with bootstrapped confidence intervals and report uncertainty alongside means. Where convergence remains marginal or salt bridges blink, I defer experimental nomination until additional sampling or (if warranted) QM/MM charge updates stabilize the ordering.</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103"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Developability triage</w:t>
      </w:r>
    </w:p>
    <w:p w:rsidR="008F4646" w:rsidRPr="008F4646" w:rsidRDefault="008F4646" w:rsidP="008F4646">
      <w:pPr>
        <w:jc w:val="left"/>
        <w:outlineLvl w:val="9"/>
      </w:pPr>
      <w:r w:rsidRPr="008F4646">
        <w:t xml:space="preserve">I apply ADME/medchem filters early. As expected, macro-glycosylated hits (Lentinan, Asiaticoside-class) challenge Lipinski/Veber boundaries but remain mechanistically compelling; I flag them for </w:t>
      </w:r>
      <w:r w:rsidRPr="008F4646">
        <w:rPr>
          <w:b/>
          <w:bCs/>
        </w:rPr>
        <w:t>chemical biology validation</w:t>
      </w:r>
      <w:r w:rsidRPr="008F4646">
        <w:t xml:space="preserve"> first and explore delivery/fragmentation strategies rather than excluding them outright. Medium-weight triterpenoids and polyphenols (Boswellic acid, Momordicine I, Anthocyanin A7) present more tractable drug-likeness; I prioritize them for orthogonal biophysics (DSF/SPR/ITC) ahead of cell work. Peptide leads (Hexapeptide-11/-9) raise proteolysis concerns; I carry them forward with stabilization options (capping, cyclization, non-canonical residues) noted for follow-on design.</w:t>
      </w:r>
    </w:p>
    <w:p w:rsidR="008F4646" w:rsidRPr="008F4646" w:rsidRDefault="00106EF3" w:rsidP="008F4646">
      <w:pPr>
        <w:spacing w:before="0" w:beforeAutospacing="0" w:after="0" w:afterAutospacing="0"/>
        <w:jc w:val="left"/>
        <w:outlineLvl w:val="9"/>
        <w:rPr>
          <w:lang w:val="el-GR"/>
        </w:rPr>
      </w:pPr>
      <w:r w:rsidRPr="00106EF3">
        <w:rPr>
          <w:lang w:val="el-GR"/>
        </w:rPr>
        <w:pict>
          <v:rect id="_x0000_i1104" style="width:0;height:1.5pt" o:hralign="center" o:hrstd="t" o:hr="t" fillcolor="#a0a0a0" stroked="f"/>
        </w:pict>
      </w:r>
    </w:p>
    <w:p w:rsidR="008F4646" w:rsidRPr="008F4646" w:rsidRDefault="008F4646" w:rsidP="008F4646">
      <w:pPr>
        <w:jc w:val="left"/>
        <w:outlineLvl w:val="1"/>
        <w:rPr>
          <w:b/>
          <w:bCs/>
          <w:sz w:val="36"/>
          <w:szCs w:val="36"/>
        </w:rPr>
      </w:pPr>
      <w:r w:rsidRPr="008F4646">
        <w:rPr>
          <w:b/>
          <w:bCs/>
          <w:sz w:val="36"/>
          <w:szCs w:val="36"/>
        </w:rPr>
        <w:t>Prioritization for experimental validation</w:t>
      </w:r>
    </w:p>
    <w:p w:rsidR="008F4646" w:rsidRPr="008F4646" w:rsidRDefault="008F4646" w:rsidP="008F4646">
      <w:pPr>
        <w:jc w:val="left"/>
        <w:outlineLvl w:val="9"/>
      </w:pPr>
      <w:r w:rsidRPr="008F4646">
        <w:t xml:space="preserve">All statements here describe research plans or in-silico results and are </w:t>
      </w:r>
      <w:r w:rsidRPr="008F4646">
        <w:rPr>
          <w:b/>
          <w:bCs/>
        </w:rPr>
        <w:t>not clinical advice</w:t>
      </w:r>
      <w:r w:rsidRPr="008F4646">
        <w:t>. Pending consensus rescoring, short MD, and MM-PB/GBSA, I prioritize:</w:t>
      </w:r>
    </w:p>
    <w:p w:rsidR="008F4646" w:rsidRPr="008F4646" w:rsidRDefault="008F4646" w:rsidP="008F4646">
      <w:pPr>
        <w:numPr>
          <w:ilvl w:val="0"/>
          <w:numId w:val="53"/>
        </w:numPr>
        <w:jc w:val="left"/>
        <w:outlineLvl w:val="9"/>
      </w:pPr>
      <w:r w:rsidRPr="008F4646">
        <w:t xml:space="preserve">From the earlier panel: </w:t>
      </w:r>
      <w:r w:rsidRPr="008F4646">
        <w:rPr>
          <w:b/>
          <w:bCs/>
        </w:rPr>
        <w:t>Hexapeptide-11</w:t>
      </w:r>
      <w:r w:rsidRPr="008F4646">
        <w:t xml:space="preserve"> and the two top triterpenoids for ERC/NEU1-axis assays and fibrocyte-centric phenotyping.</w:t>
      </w:r>
    </w:p>
    <w:p w:rsidR="008F4646" w:rsidRPr="008F4646" w:rsidRDefault="008F4646" w:rsidP="008F4646">
      <w:pPr>
        <w:numPr>
          <w:ilvl w:val="0"/>
          <w:numId w:val="53"/>
        </w:numPr>
        <w:jc w:val="left"/>
        <w:outlineLvl w:val="9"/>
      </w:pPr>
      <w:r w:rsidRPr="008F4646">
        <w:t xml:space="preserve">From the cav6gvb_MPO panel: </w:t>
      </w:r>
      <w:r w:rsidRPr="008F4646">
        <w:rPr>
          <w:b/>
          <w:bCs/>
        </w:rPr>
        <w:t>Lentinan, Anthocyanin A7, Boswellic acid, Salvianolic acid B</w:t>
      </w:r>
      <w:r w:rsidRPr="008F4646">
        <w:t>—representing polysaccharide, polyphenolic, and triterpenoid classes—with explicit attention to the LYS/ARG–GLU/ASP–AROMATIC belt identified above.</w:t>
      </w:r>
    </w:p>
    <w:p w:rsidR="008F4646" w:rsidRPr="008F4646" w:rsidRDefault="008F4646" w:rsidP="008F4646">
      <w:pPr>
        <w:jc w:val="left"/>
        <w:outlineLvl w:val="9"/>
      </w:pPr>
      <w:r w:rsidRPr="008F4646">
        <w:t xml:space="preserve">Readouts include NEU1 localization within ERC/PPCA, ERK/Akt activation, </w:t>
      </w:r>
      <w:r w:rsidRPr="008F4646">
        <w:rPr>
          <w:lang w:val="el-GR"/>
        </w:rPr>
        <w:t>α</w:t>
      </w:r>
      <w:r w:rsidRPr="008F4646">
        <w:t xml:space="preserve">-SMA induction, matrix production, gel contraction, and protease panels (elastase, MMP-1/3/9) [1–3,4–10,154,168–172]. I gate progression on </w:t>
      </w:r>
      <w:r w:rsidRPr="008F4646">
        <w:rPr>
          <w:b/>
          <w:bCs/>
        </w:rPr>
        <w:t>directionality, dose–response, and target engagement</w:t>
      </w:r>
      <w:r w:rsidRPr="008F4646">
        <w:t>.</w:t>
      </w:r>
    </w:p>
    <w:p w:rsidR="00A12EC8" w:rsidRPr="008F55B6" w:rsidRDefault="0077717B" w:rsidP="00121D67">
      <w:pPr>
        <w:jc w:val="left"/>
        <w:rPr>
          <w:color w:val="000000" w:themeColor="text1"/>
        </w:rPr>
      </w:pPr>
      <w:r w:rsidRPr="008F55B6">
        <w:rPr>
          <w:color w:val="000000" w:themeColor="text1"/>
        </w:rPr>
        <w:t xml:space="preserve">I </w:t>
      </w:r>
      <w:r w:rsidR="00A12EC8" w:rsidRPr="008F55B6">
        <w:rPr>
          <w:color w:val="000000" w:themeColor="text1"/>
        </w:rPr>
        <w:t>decomposed ligand–protein contacts into hydrogen bonding to main- or side-chain atoms (H–M/H–S), electrostatics (E–S), and van der Waals contacts to main- or side-chain atoms (V–M/V–S). Energies are reported in kcal·mol⁻¹ (more negative is more stabilizing).</w:t>
      </w:r>
    </w:p>
    <w:p w:rsidR="00A12EC8" w:rsidRPr="008F55B6" w:rsidRDefault="00A12EC8" w:rsidP="00121D67">
      <w:pPr>
        <w:jc w:val="left"/>
        <w:rPr>
          <w:color w:val="000000" w:themeColor="text1"/>
        </w:rPr>
      </w:pPr>
      <w:r w:rsidRPr="008F55B6">
        <w:rPr>
          <w:b/>
          <w:bCs/>
          <w:color w:val="000000" w:themeColor="text1"/>
        </w:rPr>
        <w:t>Anthocyanin A7 in cav1b0f (NAG complex).</w:t>
      </w:r>
      <w:r w:rsidRPr="008F55B6">
        <w:rPr>
          <w:color w:val="000000" w:themeColor="text1"/>
        </w:rPr>
        <w:br/>
        <w:t xml:space="preserve">The total score for Anthocyanin A7 (C₅₂H₅₄O₂₆, </w:t>
      </w:r>
      <w:r w:rsidRPr="008F55B6">
        <w:rPr>
          <w:i/>
          <w:iCs/>
          <w:color w:val="000000" w:themeColor="text1"/>
        </w:rPr>
        <w:t>Punica granatum</w:t>
      </w:r>
      <w:r w:rsidRPr="008F55B6">
        <w:rPr>
          <w:color w:val="000000" w:themeColor="text1"/>
        </w:rPr>
        <w:t>) was −169.1. Stabilization arose from a mixed H-bond/VdW network that bridges carbohydrate cofactors and a hydrophobic rim: notable H-bonds to GLY-110 (H–M −9.28) and to NAG-2 and FUC-3 (H–M −1.18 and −11.64; H–S −8.42), together with extensive VdW burial along VAL-82 (V–M −16.58; V–S −18.41) and PHE-83 (V–M −11.01; V–S −11.31, with an alternative rotamer reaching −23.05). Additional packing against LEU-108 and ASN-109 (V–M/V–S to −10.75) and weaker contacts to SER-111/ALA-112 consolidate the pose. The pattern explains why large, polyphenolic surfaces perform well when non-polar burial is explicitly rewarded.</w:t>
      </w:r>
    </w:p>
    <w:p w:rsidR="00A12EC8" w:rsidRPr="008F55B6" w:rsidRDefault="00A12EC8" w:rsidP="00121D67">
      <w:pPr>
        <w:jc w:val="left"/>
        <w:rPr>
          <w:color w:val="000000" w:themeColor="text1"/>
        </w:rPr>
      </w:pPr>
      <w:r w:rsidRPr="008F55B6">
        <w:rPr>
          <w:b/>
          <w:bCs/>
          <w:color w:val="000000" w:themeColor="text1"/>
        </w:rPr>
        <w:t>Solanine in cav2h42.</w:t>
      </w:r>
      <w:r w:rsidRPr="008F55B6">
        <w:rPr>
          <w:color w:val="000000" w:themeColor="text1"/>
        </w:rPr>
        <w:br/>
        <w:t>Solanine (CID 262500) scored −188.3, driven by H-bonding to histidines and a polar lane (H–S–HIS-617 −6.81; H–S–HIS-657 −9.58; H–M–THR-723 −4.93; H–M–ASP-654 −3.50) and broad lipophilic complementarity on TYR-612 (V–M −16.54; V–S −14.09), VAL-660 (V–S −11.45), and GLN-666 (V–M −8.37; V–S −3.36). Minor positive/near-zero terms (e.g., V–S–ASN-661 +1.12) indicate local strain/solvent exposure but do not dominate the total.</w:t>
      </w:r>
    </w:p>
    <w:p w:rsidR="00A12EC8" w:rsidRPr="008F55B6" w:rsidRDefault="00A12EC8" w:rsidP="00121D67">
      <w:pPr>
        <w:jc w:val="left"/>
        <w:rPr>
          <w:color w:val="000000" w:themeColor="text1"/>
        </w:rPr>
      </w:pPr>
      <w:r w:rsidRPr="008F55B6">
        <w:rPr>
          <w:b/>
          <w:bCs/>
          <w:color w:val="000000" w:themeColor="text1"/>
        </w:rPr>
        <w:t>Salvianolic acid B and Hexapeptide-11 in cav6bth.</w:t>
      </w:r>
      <w:r w:rsidRPr="008F55B6">
        <w:rPr>
          <w:color w:val="000000" w:themeColor="text1"/>
        </w:rPr>
        <w:br/>
        <w:t>Salvianolic acid B reached −183.8; Hexapeptide-11, −176.7. In both, stabilization is consistent with multi-donor/acceptor H-bonding layered over broad aromatic/alkyl VdW contact, in line with their polyphenolic/peptidic surfaces.</w:t>
      </w:r>
    </w:p>
    <w:p w:rsidR="00A12EC8" w:rsidRPr="008F55B6" w:rsidRDefault="00A12EC8" w:rsidP="00121D67">
      <w:pPr>
        <w:jc w:val="left"/>
        <w:rPr>
          <w:color w:val="000000" w:themeColor="text1"/>
        </w:rPr>
      </w:pPr>
      <w:r w:rsidRPr="008F55B6">
        <w:rPr>
          <w:b/>
          <w:bCs/>
          <w:color w:val="000000" w:themeColor="text1"/>
        </w:rPr>
        <w:t>Palmitoyl tetrapeptide-7 in cav7rth.</w:t>
      </w:r>
      <w:r w:rsidRPr="008F55B6">
        <w:rPr>
          <w:color w:val="000000" w:themeColor="text1"/>
        </w:rPr>
        <w:br/>
        <w:t>With a total of −136.3, the amide backbone and side chains form H-bonds to GLN-100 (H–M −8.73; H–S −5.54) and GLY-104/106 (≈ −3.5/−3.90), while the palmitoyl chain buries against ALA-24, SER-25, and PHE-27 (V–M/V–S to −18.29), illustrating the benefit of a lipid tail in hydrophobic grooves.</w:t>
      </w:r>
    </w:p>
    <w:p w:rsidR="00A12EC8" w:rsidRPr="008F55B6" w:rsidRDefault="00A12EC8" w:rsidP="00121D67">
      <w:pPr>
        <w:jc w:val="left"/>
        <w:rPr>
          <w:color w:val="000000" w:themeColor="text1"/>
        </w:rPr>
      </w:pPr>
      <w:r w:rsidRPr="008F55B6">
        <w:rPr>
          <w:b/>
          <w:bCs/>
          <w:color w:val="000000" w:themeColor="text1"/>
        </w:rPr>
        <w:t>Ashwagandhanolide (6b3j) and Boswellic acid (cav4n0s).</w:t>
      </w:r>
      <w:r w:rsidRPr="008F55B6">
        <w:rPr>
          <w:color w:val="000000" w:themeColor="text1"/>
        </w:rPr>
        <w:br/>
        <w:t>Ashwagandhanolide scored −197.3 and repeatedly emerged as a top hit across targets. Boswellic acid scored −159.5 in cav4n0s, anchored by deep hydrophobe packing (PHE-59 −18.75; ILE-95 −18.13) with supportive polar contacts (GLU-60, HIS-61, GLN-62; V–/H– terms to ≈ −10).</w:t>
      </w:r>
    </w:p>
    <w:p w:rsidR="00A12EC8" w:rsidRPr="008F55B6" w:rsidRDefault="00A12EC8" w:rsidP="00121D67">
      <w:pPr>
        <w:jc w:val="left"/>
        <w:rPr>
          <w:color w:val="000000" w:themeColor="text1"/>
        </w:rPr>
      </w:pPr>
      <w:r w:rsidRPr="008F55B6">
        <w:rPr>
          <w:b/>
          <w:bCs/>
          <w:color w:val="000000" w:themeColor="text1"/>
        </w:rPr>
        <w:t xml:space="preserve">Ubidecarenone (CoQ10) and </w:t>
      </w:r>
      <w:r w:rsidRPr="008F55B6">
        <w:rPr>
          <w:b/>
          <w:bCs/>
          <w:i/>
          <w:iCs/>
          <w:color w:val="000000" w:themeColor="text1"/>
        </w:rPr>
        <w:t>Rosa damascena</w:t>
      </w:r>
      <w:r w:rsidRPr="008F55B6">
        <w:rPr>
          <w:b/>
          <w:bCs/>
          <w:color w:val="000000" w:themeColor="text1"/>
        </w:rPr>
        <w:t xml:space="preserve"> heneicosene in cav4pcw.</w:t>
      </w:r>
      <w:r w:rsidRPr="008F55B6">
        <w:rPr>
          <w:color w:val="000000" w:themeColor="text1"/>
        </w:rPr>
        <w:br/>
        <w:t>CoQ10 (−140.3) engages GLN-42 and ILE-43 via V–M/V–S (to ≈ −14), consistent with a lipophilic channel. Heneicosene is weaker (−100.0), reflecting limited H-bonding and narrower contact area.</w:t>
      </w:r>
    </w:p>
    <w:p w:rsidR="00A12EC8" w:rsidRPr="008F55B6" w:rsidRDefault="00A12EC8" w:rsidP="00121D67">
      <w:pPr>
        <w:jc w:val="left"/>
        <w:rPr>
          <w:color w:val="000000" w:themeColor="text1"/>
        </w:rPr>
      </w:pPr>
      <w:r w:rsidRPr="008F55B6">
        <w:rPr>
          <w:b/>
          <w:bCs/>
          <w:color w:val="000000" w:themeColor="text1"/>
        </w:rPr>
        <w:t>Additional comparisons and rankings.</w:t>
      </w:r>
      <w:r w:rsidRPr="008F55B6">
        <w:rPr>
          <w:color w:val="000000" w:themeColor="text1"/>
        </w:rPr>
        <w:br/>
        <w:t>For cav7obt, chlorogenic acid and sucrose scored −91.1 and −90.4, respectively. In cav5ugw, Camellianin A and (−)-epicatechin gallate scored −102.7 and −99.7. Target-wise top lists were: cav7lbv—Ashwagandhanolide (−170.3), Anthocyanin A7 (−163.3), Boswellic acid (−155.4), Lentinan (−155.0); cav4pcw—Retinol (−78.4), Punicic acid (−77.1), Schisandrin (−75.5), Ergosterol (−73.2), MACA Ala–Glu (−72.2); cav4n0s—Boswellic acid (−159.6), Anthocyanin A7 (−158.1), Ashwagandhanolide (−135.0), Lentinan (−126.4), Rosmarinic acid (−113.8); cav1f9b—Ashwagandhanolide (−150.6), Lentinan (−144.7), Anthocyanin A7 (−136.1), Boswellic acid (−134.6). Cross-target means placed Ashwagandhanolide ≈ −152, Anthocyanin A7 ≈ −153, Boswellic acid ≈ −150, and Lentinan ≈ −142 (lead tier). Mechanistically, winners combine multi-H-bonding to acidic nodes (GLU/ASP) with broad VdW burial across LEU/VAL/PHE shelves; pockets dominated by hydrophobics (e.g., cav4pcw) reward contour matching over hydrogen bonding.</w:t>
      </w:r>
    </w:p>
    <w:p w:rsidR="00121D67" w:rsidRPr="0023128A" w:rsidRDefault="00121D67" w:rsidP="00121D67">
      <w:pPr>
        <w:jc w:val="left"/>
        <w:rPr>
          <w:b/>
          <w:bCs/>
          <w:sz w:val="27"/>
          <w:szCs w:val="27"/>
        </w:rPr>
      </w:pPr>
      <w:r w:rsidRPr="008F55B6">
        <w:rPr>
          <w:b/>
          <w:bCs/>
          <w:color w:val="000000" w:themeColor="text1"/>
          <w:sz w:val="27"/>
          <w:szCs w:val="27"/>
        </w:rPr>
        <w:t>7.3 Lead triad and predicted synerg</w:t>
      </w:r>
      <w:r w:rsidRPr="0023128A">
        <w:rPr>
          <w:b/>
          <w:bCs/>
          <w:sz w:val="27"/>
          <w:szCs w:val="27"/>
        </w:rPr>
        <w:t>y</w:t>
      </w:r>
    </w:p>
    <w:p w:rsidR="00121D67" w:rsidRPr="0023128A" w:rsidRDefault="00121D67" w:rsidP="00121D67">
      <w:pPr>
        <w:jc w:val="left"/>
        <w:outlineLvl w:val="9"/>
      </w:pPr>
      <w:r w:rsidRPr="0023128A">
        <w:t>A three-botanical combination—</w:t>
      </w:r>
      <w:r w:rsidRPr="0023128A">
        <w:rPr>
          <w:i/>
          <w:iCs/>
        </w:rPr>
        <w:t>Ginkgo biloba</w:t>
      </w:r>
      <w:r w:rsidRPr="0023128A">
        <w:t xml:space="preserve"> (flavonol glycosides), </w:t>
      </w:r>
      <w:r w:rsidRPr="0023128A">
        <w:rPr>
          <w:i/>
          <w:iCs/>
        </w:rPr>
        <w:t>Punica granatum</w:t>
      </w:r>
      <w:r w:rsidRPr="0023128A">
        <w:t xml:space="preserve"> (ellagitannins/ellagic derivatives), and </w:t>
      </w:r>
      <w:r w:rsidRPr="0023128A">
        <w:rPr>
          <w:i/>
          <w:iCs/>
        </w:rPr>
        <w:t>Morus alba</w:t>
      </w:r>
      <w:r w:rsidRPr="0023128A">
        <w:t xml:space="preserve"> (oxyresveratrol/kuwanon family)—delivered model-refined potencies of</w:t>
      </w:r>
    </w:p>
    <w:p w:rsidR="00121D67" w:rsidRPr="0023128A" w:rsidRDefault="00121D67" w:rsidP="00121D67">
      <w:pPr>
        <w:spacing w:before="0" w:beforeAutospacing="0" w:after="0" w:afterAutospacing="0"/>
        <w:jc w:val="left"/>
        <w:outlineLvl w:val="9"/>
      </w:pPr>
      <w:r w:rsidRPr="0023128A">
        <w:t>IC50MMP1=0.9–3.4 </w:t>
      </w:r>
      <w:r w:rsidRPr="00121D67">
        <w:rPr>
          <w:lang w:val="el-GR"/>
        </w:rPr>
        <w:t>μ</w:t>
      </w:r>
      <w:r w:rsidRPr="0023128A">
        <w:t>M,IC50NE=1.5–5.8 </w:t>
      </w:r>
      <w:r w:rsidRPr="00121D67">
        <w:rPr>
          <w:lang w:val="el-GR"/>
        </w:rPr>
        <w:t>μ</w:t>
      </w:r>
      <w:r w:rsidRPr="0023128A">
        <w:t>M.\mathrm{IC}_{50}^{\mathrm{MMP1}}=0.9\text{–}3.4~\mu\mathrm{M},\qquad \mathrm{IC}_{50}^{\mathrm{NE}}=1.5\text{–}5.8~\mu\mathrm{M}.IC50MMP1​=0.9–3.4 </w:t>
      </w:r>
      <w:r w:rsidRPr="00121D67">
        <w:rPr>
          <w:lang w:val="el-GR"/>
        </w:rPr>
        <w:t>μ</w:t>
      </w:r>
      <w:r w:rsidRPr="0023128A">
        <w:t>M,IC50NE​=1.5–5.8 </w:t>
      </w:r>
      <w:r w:rsidRPr="00121D67">
        <w:rPr>
          <w:lang w:val="el-GR"/>
        </w:rPr>
        <w:t>μ</w:t>
      </w:r>
      <w:r w:rsidRPr="0023128A">
        <w:t xml:space="preserve">M. </w:t>
      </w:r>
    </w:p>
    <w:p w:rsidR="00121D67" w:rsidRPr="0023128A" w:rsidRDefault="00121D67" w:rsidP="00121D67">
      <w:pPr>
        <w:jc w:val="left"/>
        <w:outlineLvl w:val="9"/>
      </w:pPr>
      <w:r w:rsidRPr="0023128A">
        <w:t xml:space="preserve">Bliss analysis indicated supra-additivity with </w:t>
      </w:r>
      <w:r w:rsidRPr="0023128A">
        <w:rPr>
          <w:b/>
          <w:bCs/>
        </w:rPr>
        <w:t>CSI = 1.37 ± 0.09</w:t>
      </w:r>
      <w:r w:rsidRPr="0023128A">
        <w:t xml:space="preserve"> (Eq. 5.1). An ERC-biased peptidomimetic derived from the GLAM2 consensus improved ERC-proximal binding by </w:t>
      </w:r>
      <w:r w:rsidRPr="0023128A">
        <w:rPr>
          <w:b/>
          <w:bCs/>
        </w:rPr>
        <w:t>−1.6 kcal·mol⁻¹</w:t>
      </w:r>
      <w:r w:rsidRPr="0023128A">
        <w:t xml:space="preserve"> (model-based, </w:t>
      </w:r>
      <w:r w:rsidRPr="00121D67">
        <w:rPr>
          <w:lang w:val="el-GR"/>
        </w:rPr>
        <w:t>Δ</w:t>
      </w:r>
      <w:r w:rsidRPr="0023128A">
        <w:t>SASA-refined) and was advanced in assays of elastin-receptor–linked biology.</w:t>
      </w:r>
    </w:p>
    <w:p w:rsidR="00121D67" w:rsidRPr="00121D67" w:rsidRDefault="00121D67" w:rsidP="00121D67">
      <w:pPr>
        <w:jc w:val="left"/>
        <w:rPr>
          <w:b/>
          <w:bCs/>
          <w:sz w:val="27"/>
          <w:szCs w:val="27"/>
        </w:rPr>
      </w:pPr>
      <w:r w:rsidRPr="00121D67">
        <w:rPr>
          <w:b/>
          <w:bCs/>
          <w:sz w:val="27"/>
          <w:szCs w:val="27"/>
        </w:rPr>
        <w:t>7.4 Systems-level readouts</w:t>
      </w:r>
    </w:p>
    <w:p w:rsidR="00121D67" w:rsidRPr="00121D67" w:rsidRDefault="00121D67" w:rsidP="00121D67">
      <w:pPr>
        <w:jc w:val="left"/>
        <w:outlineLvl w:val="9"/>
      </w:pPr>
      <w:r w:rsidRPr="00121D67">
        <w:t xml:space="preserve">Bulk and single-cell entropy profiles showed coordinated state transitions with reduced signaling noise. Using Eq. 5.2 with Hbulk=6.1H_{\mathrm{bulk}}=6.1Hbulk​=6.1, </w:t>
      </w:r>
      <w:r w:rsidRPr="00121D67">
        <w:rPr>
          <w:lang w:val="el-GR"/>
        </w:rPr>
        <w:t>μ</w:t>
      </w:r>
      <w:r w:rsidRPr="00121D67">
        <w:t>=4.9\mu=4.9</w:t>
      </w:r>
      <w:r w:rsidRPr="00121D67">
        <w:rPr>
          <w:lang w:val="el-GR"/>
        </w:rPr>
        <w:t>μ</w:t>
      </w:r>
      <w:r w:rsidRPr="00121D67">
        <w:t xml:space="preserve">=4.9, </w:t>
      </w:r>
      <w:r w:rsidRPr="00121D67">
        <w:rPr>
          <w:lang w:val="el-GR"/>
        </w:rPr>
        <w:t>σ</w:t>
      </w:r>
      <w:r w:rsidRPr="00121D67">
        <w:t>=0.3\sigma=0.3</w:t>
      </w:r>
      <w:r w:rsidRPr="00121D67">
        <w:rPr>
          <w:lang w:val="el-GR"/>
        </w:rPr>
        <w:t>σ</w:t>
      </w:r>
      <w:r w:rsidRPr="00121D67">
        <w:t xml:space="preserve">=0.3, the </w:t>
      </w:r>
      <w:r w:rsidRPr="00121D67">
        <w:rPr>
          <w:b/>
          <w:bCs/>
        </w:rPr>
        <w:t>MRH</w:t>
      </w:r>
      <w:r w:rsidRPr="00121D67">
        <w:t xml:space="preserve"> was</w:t>
      </w:r>
    </w:p>
    <w:p w:rsidR="00121D67" w:rsidRPr="00121D67" w:rsidRDefault="00121D67" w:rsidP="00121D67">
      <w:pPr>
        <w:spacing w:before="0" w:beforeAutospacing="0" w:after="0" w:afterAutospacing="0"/>
        <w:jc w:val="left"/>
        <w:outlineLvl w:val="9"/>
      </w:pPr>
      <w:r w:rsidRPr="00121D67">
        <w:t xml:space="preserve">MRH=+4.0,\mathrm{MRH}=+4.0,MRH=+4.0, </w:t>
      </w:r>
    </w:p>
    <w:p w:rsidR="00121D67" w:rsidRPr="00121D67" w:rsidRDefault="00121D67" w:rsidP="00121D67">
      <w:pPr>
        <w:jc w:val="left"/>
        <w:outlineLvl w:val="9"/>
      </w:pPr>
      <w:r w:rsidRPr="00121D67">
        <w:t xml:space="preserve">consistent with broad yet regulated phenotypic dispersion. </w:t>
      </w:r>
      <w:r w:rsidRPr="00121D67">
        <w:rPr>
          <w:b/>
          <w:bCs/>
        </w:rPr>
        <w:t>Graph Structural Entropy</w:t>
      </w:r>
      <w:r w:rsidRPr="00121D67">
        <w:t xml:space="preserve"> on ECM/MMP subnetworks (Eq. 5.3) decreased by</w:t>
      </w:r>
    </w:p>
    <w:p w:rsidR="00121D67" w:rsidRPr="00121D67" w:rsidRDefault="00121D67" w:rsidP="00121D67">
      <w:pPr>
        <w:spacing w:before="0" w:beforeAutospacing="0" w:after="0" w:afterAutospacing="0"/>
        <w:jc w:val="left"/>
        <w:outlineLvl w:val="9"/>
      </w:pPr>
      <w:r w:rsidRPr="00121D67">
        <w:rPr>
          <w:lang w:val="el-GR"/>
        </w:rPr>
        <w:t>Δ</w:t>
      </w:r>
      <w:r w:rsidRPr="00121D67">
        <w:t>GSE=−0.21 to −0.34 bits,\Delta\mathrm{GSE}=-0.21\ \text{to}\ -0.34\ \text{bits},</w:t>
      </w:r>
      <w:r w:rsidRPr="00121D67">
        <w:rPr>
          <w:lang w:val="el-GR"/>
        </w:rPr>
        <w:t>Δ</w:t>
      </w:r>
      <w:r w:rsidRPr="00121D67">
        <w:t xml:space="preserve">GSE=−0.21 to −0.34 bits, </w:t>
      </w:r>
    </w:p>
    <w:p w:rsidR="00121D67" w:rsidRPr="00121D67" w:rsidRDefault="00121D67" w:rsidP="00121D67">
      <w:pPr>
        <w:jc w:val="left"/>
        <w:outlineLvl w:val="9"/>
      </w:pPr>
      <w:r w:rsidRPr="00121D67">
        <w:t>indicating more directed ECM signaling under treatment (Supplementary Figs. S1–S13).</w:t>
      </w:r>
    </w:p>
    <w:p w:rsidR="00121D67" w:rsidRPr="00121D67" w:rsidRDefault="00121D67" w:rsidP="00121D67">
      <w:pPr>
        <w:jc w:val="left"/>
        <w:rPr>
          <w:b/>
          <w:bCs/>
          <w:sz w:val="27"/>
          <w:szCs w:val="27"/>
        </w:rPr>
      </w:pPr>
      <w:r w:rsidRPr="00121D67">
        <w:rPr>
          <w:b/>
          <w:bCs/>
          <w:sz w:val="27"/>
          <w:szCs w:val="27"/>
        </w:rPr>
        <w:t xml:space="preserve">7.5 Hematopoietic and progenitor profiling under </w:t>
      </w:r>
      <w:r w:rsidRPr="00121D67">
        <w:rPr>
          <w:b/>
          <w:bCs/>
          <w:i/>
          <w:iCs/>
          <w:sz w:val="27"/>
          <w:szCs w:val="27"/>
        </w:rPr>
        <w:t>Stemartis</w:t>
      </w:r>
      <w:r w:rsidRPr="00121D67">
        <w:rPr>
          <w:b/>
          <w:bCs/>
          <w:sz w:val="27"/>
          <w:szCs w:val="27"/>
        </w:rPr>
        <w:t xml:space="preserve"> Supplement CF(n)</w:t>
      </w:r>
    </w:p>
    <w:p w:rsidR="00121D67" w:rsidRPr="00121D67" w:rsidRDefault="00121D67" w:rsidP="00121D67">
      <w:pPr>
        <w:jc w:val="left"/>
        <w:outlineLvl w:val="9"/>
      </w:pPr>
      <w:r w:rsidRPr="00121D67">
        <w:t>Fibrocyte-lineage (</w:t>
      </w:r>
      <w:r w:rsidRPr="00121D67">
        <w:rPr>
          <w:b/>
          <w:bCs/>
        </w:rPr>
        <w:t>CD34⁺/CD45⁺</w:t>
      </w:r>
      <w:r w:rsidRPr="00121D67">
        <w:t>) and endothelial-progenitor (</w:t>
      </w:r>
      <w:r w:rsidRPr="00121D67">
        <w:rPr>
          <w:b/>
          <w:bCs/>
        </w:rPr>
        <w:t>CD133⁺</w:t>
      </w:r>
      <w:r w:rsidRPr="00121D67">
        <w:t>) fractions were quantified after exposure to multi-ingredient prototypes (</w:t>
      </w:r>
      <w:r w:rsidRPr="00121D67">
        <w:rPr>
          <w:i/>
          <w:iCs/>
        </w:rPr>
        <w:t>Stemartis</w:t>
      </w:r>
      <w:r w:rsidRPr="00121D67">
        <w:t xml:space="preserve"> Supplement CF(n), n=1–12n=1\text{–}12n=1–12). Image cytometry (CD34⁺/CD45⁺) and flow cytometry (EPCs) were harmonized with standard single-cell gates (FSC-A vs SSC-A), doublet exclusion (FSC-H vs FSC-W), and FMO/unstained thresholds. Statistics are reported as median [IQR], n=3n=3n=3, using two-sided Wilcoxon tests versus vehicle with Benjamini–Hochberg correction. Marker choices followed fibrocyte/EPC conventions; the GLAM2-derived peptidomimetic probed ERC/NEU1-adjacent axes.</w:t>
      </w:r>
    </w:p>
    <w:p w:rsidR="00130CA1" w:rsidRPr="00CB2F84" w:rsidRDefault="00121D67" w:rsidP="00130CA1">
      <w:pPr>
        <w:jc w:val="left"/>
        <w:outlineLvl w:val="9"/>
        <w:rPr>
          <w:color w:val="000000" w:themeColor="text1"/>
        </w:rPr>
      </w:pPr>
      <w:r w:rsidRPr="00121D67">
        <w:t xml:space="preserve">Across targets, top ligands combined </w:t>
      </w:r>
      <w:r w:rsidRPr="00121D67">
        <w:rPr>
          <w:b/>
          <w:bCs/>
        </w:rPr>
        <w:t>dense polar networks to GLU/ASP/HIS clusters</w:t>
      </w:r>
      <w:r w:rsidRPr="00121D67">
        <w:t xml:space="preserve"> with </w:t>
      </w:r>
      <w:r w:rsidRPr="00121D67">
        <w:rPr>
          <w:b/>
          <w:bCs/>
        </w:rPr>
        <w:t>extensive van der Waals burial on LEU/VAL/PHE shelves</w:t>
      </w:r>
      <w:r w:rsidRPr="00121D67">
        <w:t>. Adding the analytic non-polar term (</w:t>
      </w:r>
      <w:r w:rsidRPr="00121D67">
        <w:rPr>
          <w:lang w:val="el-GR"/>
        </w:rPr>
        <w:t>Δ</w:t>
      </w:r>
      <w:r w:rsidRPr="00121D67">
        <w:t xml:space="preserve">SASA) stabilized rank ordering—especially for compact, surface-excluding scaffolds—and aligned per-residue energetic signals with </w:t>
      </w:r>
      <w:r w:rsidRPr="00121D67">
        <w:rPr>
          <w:b/>
          <w:bCs/>
        </w:rPr>
        <w:t>systems-level reductions in network entropy</w:t>
      </w:r>
      <w:r w:rsidRPr="00121D67">
        <w:t>.</w:t>
      </w:r>
    </w:p>
    <w:p w:rsidR="00130CA1" w:rsidRPr="00A12EC8" w:rsidRDefault="00130CA1" w:rsidP="00130CA1"/>
    <w:p w:rsidR="00130CA1" w:rsidRPr="00A12EC8" w:rsidRDefault="00130CA1" w:rsidP="00130CA1">
      <w:pPr>
        <w:pStyle w:val="a6"/>
      </w:pPr>
    </w:p>
    <w:p w:rsidR="00130CA1" w:rsidRPr="009D2906" w:rsidRDefault="00130CA1" w:rsidP="00130CA1">
      <w:pPr>
        <w:keepNext/>
        <w:rPr>
          <w:sz w:val="18"/>
          <w:szCs w:val="18"/>
        </w:rPr>
      </w:pPr>
      <w:r w:rsidRPr="009D2906">
        <w:rPr>
          <w:noProof/>
          <w:sz w:val="18"/>
          <w:szCs w:val="18"/>
          <w:lang w:val="el-GR"/>
        </w:rPr>
        <w:drawing>
          <wp:inline distT="0" distB="0" distL="0" distR="0">
            <wp:extent cx="6645910" cy="8600440"/>
            <wp:effectExtent l="19050" t="0" r="2540" b="0"/>
            <wp:docPr id="48127" name="18 - Εικόνα" descr="HIGH 6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6 I-images-1.jpg"/>
                    <pic:cNvPicPr/>
                  </pic:nvPicPr>
                  <pic:blipFill>
                    <a:blip r:embed="rId6"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w:t>
      </w:r>
      <w:r w:rsidRPr="009D2906">
        <w:t xml:space="preserve"> </w:t>
      </w:r>
      <w:r w:rsidRPr="009D2906">
        <w:rPr>
          <w:color w:val="auto"/>
        </w:rPr>
        <w:t>On the left CF(12) panel, a two-dimensional dot plot is displayed with CD34 (PE) on the y-axis and CD45 (FITC) on the x-axis. Several gates are annotated (A1–A4) to separate distinct cellular subpopulations, alongside a clearly demarcated “BEADS” cluster and a “Livegate” area. Most of the cell events are spread diagonally, with higher CD45 and intermediate CD34 signals forming a continuum, while discrete bead events are excluded. This gate likely represents the initial discrimination of viable CD34⁺/CD45⁺ progenitor subsets from debris and calibration beads. The right panel shows a histogram of side scatter (SS) intensity, where events not classified as beads and further gated through a logical combination of lymphocyte-related parameters are plotted. The magenta peak clustered near the low SS region reflects the lymphocyte gate, annotated here as “lymphgate check.” This confirms that the population being analyzed is predominantly low in granularity, consistent with lymphoid morphology, and that bead or debris contamination has been excluded.</w:t>
      </w:r>
    </w:p>
    <w:p w:rsidR="00130CA1" w:rsidRPr="009D2906" w:rsidRDefault="00130CA1" w:rsidP="00130CA1">
      <w:pPr>
        <w:keepNext/>
        <w:rPr>
          <w:sz w:val="18"/>
          <w:szCs w:val="18"/>
        </w:rPr>
      </w:pPr>
      <w:r w:rsidRPr="009D2906">
        <w:rPr>
          <w:noProof/>
          <w:sz w:val="18"/>
          <w:szCs w:val="18"/>
          <w:lang w:val="el-GR"/>
        </w:rPr>
        <w:drawing>
          <wp:inline distT="0" distB="0" distL="0" distR="0">
            <wp:extent cx="6645910" cy="8600440"/>
            <wp:effectExtent l="19050" t="0" r="2540" b="0"/>
            <wp:docPr id="320" name="19 - Εικόνα" descr="HIGH 6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6 I-images-2.jpg"/>
                    <pic:cNvPicPr/>
                  </pic:nvPicPr>
                  <pic:blipFill>
                    <a:blip r:embed="rId7"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w:t>
      </w:r>
      <w:r w:rsidRPr="009D2906">
        <w:t xml:space="preserve"> </w:t>
      </w:r>
      <w:r w:rsidRPr="009D2906">
        <w:rPr>
          <w:color w:val="auto"/>
        </w:rPr>
        <w:t>The first CF(12) block summarizes the BEADS gate, where 1,047 absolute events (≈3.09% of the total) were detected, with calibration beads representing 988 events (≈2.91% of the total). This confirms that bead-based quality control accounted for a small but consistent fraction of total events. The second block corresponds to the CD34-positive population (excluding beads and debris). Within this gate, 634 events (≈1.87% of the total) were identified as CD34⁺ cells, with a CD45^dim subpopulation comprising 299 events (≈0.88% of the total). This indicates that about half of the CD34⁺ population shows dim CD45 expression, consistent with hematopoietic progenitor phenotypes. The third block narrows further to CD34⁺/CD45^dim double-positive cells, yielding 299 total events (≈0.88%), of which 276 (≈0.82%) fell into the high-purity quadrant. This demonstrates effective enrichment of progenitor-like cells after sequential gating. The final block represents the broad leukocyte gate (excluding beads), showing 30,768 events (≈90.7% of all events) classified as leukocytes. Within this gate, the CD34⁺ population (634 events, ≈1.87%) and CD45⁺ leukocytes (≈90.7%) are quantified relative to the total cell population. Narratively, this CF(12) table documents how the raw cytometry dataset was progressively refined through gating: starting from bead exclusion, isolating CD34⁺ events, refining by CD45 expression, and finally positioning these subsets within the broader leukocyte compartment. It shows that although the CD34⁺/CD45^dim progenitors form a small minority of the sample (&lt;2%), they were reliably identified with consistent gating thresholds.</w:t>
      </w:r>
    </w:p>
    <w:p w:rsidR="00130CA1" w:rsidRPr="009D2906" w:rsidRDefault="00130CA1" w:rsidP="00130CA1">
      <w:pPr>
        <w:keepNext/>
        <w:rPr>
          <w:sz w:val="18"/>
          <w:szCs w:val="18"/>
        </w:rPr>
      </w:pPr>
      <w:r w:rsidRPr="009D2906">
        <w:rPr>
          <w:noProof/>
          <w:sz w:val="18"/>
          <w:szCs w:val="18"/>
          <w:lang w:val="el-GR"/>
        </w:rPr>
        <w:drawing>
          <wp:inline distT="0" distB="0" distL="0" distR="0">
            <wp:extent cx="6645910" cy="8600440"/>
            <wp:effectExtent l="19050" t="0" r="2540" b="0"/>
            <wp:docPr id="321" name="20 - Εικόνα" descr="HIGH 6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6 I-images-3.jpg"/>
                    <pic:cNvPicPr/>
                  </pic:nvPicPr>
                  <pic:blipFill>
                    <a:blip r:embed="rId8"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w:t>
      </w:r>
      <w:r w:rsidRPr="009D2906">
        <w:t xml:space="preserve"> </w:t>
      </w:r>
      <w:r w:rsidRPr="009D2906">
        <w:rPr>
          <w:color w:val="auto"/>
        </w:rPr>
        <w:t>In the first CF(12) block, the lymphocyte gate (excluding beads and constrained to viable lymphocytes) contained 8,121 absolute events, corresponding to 14,426 total counts or about 23.9% of all gated cells. A lymphocyte check sub-gate contained no recorded events, suggesting that the primary lymphocyte definition captured the entire population. The second block reports the NOT BEADS gate, which excluded calibration beads. This yielded 32,867 absolute events (≈96.9% of the total), of which 32,674 (≈96.3%) were viable, demonstrating that nearly all non-bead events represented live cells. The third block corresponds to the ungated dataset, where 33,914 absolute events were collected in total. Within this, quadrant-based regions A1–A4 are defined: A1 contained 178 events (0.53%), A2 2,944 events (8.68%), A3 1,591 events (4.69%), and A4 the majority with 29,202 events (86.1%). Beads were also quantified separately at 1,047 events (≈3.09%). The live gate comprised 33,756 events (≈99.5% of all ungated events), indicating robust viability across the sample. The fourth block summarizes the viable cell gate after bead exclusion, which yielded 32,674 absolute viable events. Within this population, 30,768 (≈90.7%) were leukocytes and 8,121 (≈24.9% of viable cells) fell into the lymphocyte subset, again consistent with earlier gating results. Narratively, this CF(12) table confirms that the dataset was dominated by viable leukocytes, with lymphocytes comprising about one-quarter of the sample. Calibration beads represented a small but consistent fraction, and quadrant-based gating revealed that the majority of viable events clustered in the A4 region.</w:t>
      </w:r>
    </w:p>
    <w:p w:rsidR="00130CA1" w:rsidRPr="009D2906" w:rsidRDefault="00130CA1" w:rsidP="00130CA1">
      <w:pPr>
        <w:keepNext/>
        <w:rPr>
          <w:sz w:val="18"/>
          <w:szCs w:val="18"/>
        </w:rPr>
      </w:pPr>
      <w:r w:rsidRPr="009D2906">
        <w:rPr>
          <w:noProof/>
          <w:sz w:val="18"/>
          <w:szCs w:val="18"/>
          <w:lang w:val="el-GR"/>
        </w:rPr>
        <w:drawing>
          <wp:inline distT="0" distB="0" distL="0" distR="0">
            <wp:extent cx="6645910" cy="8600440"/>
            <wp:effectExtent l="19050" t="0" r="2540" b="0"/>
            <wp:docPr id="322" name="22 - Εικόνα" descr="HIGH 6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6 I-images-0.jpg"/>
                    <pic:cNvPicPr/>
                  </pic:nvPicPr>
                  <pic:blipFill>
                    <a:blip r:embed="rId9"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Scheme4. Flow Cytometry CD34⁺/CD45⁺ results; </w:t>
      </w:r>
      <w:r w:rsidRPr="009D2906">
        <w:rPr>
          <w:b w:val="0"/>
          <w:bCs w:val="0"/>
          <w:color w:val="auto"/>
        </w:rPr>
        <w:t>Stemartis Supplement CF(12): pro-angiogenic EPC bias with MMP/elastase-active phytochemicals; Outcome.</w:t>
      </w:r>
      <w:r w:rsidRPr="009D2906">
        <w:rPr>
          <w:color w:val="auto"/>
        </w:rPr>
        <w:t xml:space="preserve"> Increased CD34⁺, CD45⁺ (Figs. </w:t>
      </w:r>
      <w:r w:rsidRPr="009D2906">
        <w:rPr>
          <w:b w:val="0"/>
          <w:bCs w:val="0"/>
          <w:color w:val="auto"/>
        </w:rPr>
        <w:t>1k–2k</w:t>
      </w:r>
      <w:r w:rsidRPr="009D2906">
        <w:rPr>
          <w:color w:val="auto"/>
        </w:rPr>
        <w:t xml:space="preserve">) and </w:t>
      </w:r>
      <w:r w:rsidRPr="009D2906">
        <w:rPr>
          <w:b w:val="0"/>
          <w:bCs w:val="0"/>
          <w:color w:val="auto"/>
        </w:rPr>
        <w:t>CD133⁺ EPCs</w:t>
      </w:r>
      <w:r w:rsidRPr="009D2906">
        <w:rPr>
          <w:color w:val="auto"/>
        </w:rPr>
        <w:t xml:space="preserve"> (Fig. </w:t>
      </w:r>
      <w:r w:rsidRPr="009D2906">
        <w:rPr>
          <w:b w:val="0"/>
          <w:bCs w:val="0"/>
          <w:color w:val="auto"/>
        </w:rPr>
        <w:t>3k</w:t>
      </w:r>
      <w:r w:rsidRPr="009D2906">
        <w:rPr>
          <w:color w:val="auto"/>
        </w:rPr>
        <w:t xml:space="preserve">), reproducible across replicates; </w:t>
      </w:r>
      <w:r w:rsidRPr="009D2906">
        <w:rPr>
          <w:b w:val="0"/>
          <w:bCs w:val="0"/>
          <w:color w:val="auto"/>
        </w:rPr>
        <w:t xml:space="preserve">Composition: </w:t>
      </w:r>
      <w:r w:rsidRPr="009D2906">
        <w:rPr>
          <w:color w:val="auto"/>
        </w:rPr>
        <w:t>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with polyphenols and triterpenoids. Literature supports ECM/MMP modulation, antioxidant/photoprotective and barrier effects [172–190,176,181,183–187,198–200]. This figure presents the full gating strategy for flow cytometry analysis of leukocytes and progenitor subsets. In the top left panel, events are first separated into leukocytes (LEUKS) and lymphocytes (LYMPHS) based on CD45-FITC intensity versus side scatter (SS), while excluding beads. The top right panel refines this gate to identify CD34-positive cells within the CD45⁺ leukocyte population, revealing a distinct CD34⁺ cluster. The middle left panel isolates the CD45^dim subset, a hallmark feature of hematopoietic progenitor cells, while the middle right panel further defines the CD34⁺/HPC (hematopoietic progenitor cell) fraction, using forward scatter (FS) and side scatter properties to exclude debris and mature cells. In the bottom left panel, cell viability is assessed using 7-AAD staining, with viable events clearly separated from dead or compromised cells. The bottom right panel displays calibration bead tracking (CAL988) over time, confirming stable instrument performance and providing a normalization reference for absolute cell counts. Taken together, these CF(12) panels illustrate a sequential gating approach: beginning with bead exclusion, progressing through leukocyte and lymphocyte identification, refining by CD45 and CD34 expression, and ending with viability confirmation and bead-based calibration. This workflow ensures that the final CD34⁺/CD45^dim progenitor counts are both biologically relevant and technically robust.</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23" name="23 - Εικόνα" descr="HIGH 5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5 I-images-2.jpg"/>
                    <pic:cNvPicPr/>
                  </pic:nvPicPr>
                  <pic:blipFill>
                    <a:blip r:embed="rId10"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w:t>
      </w:r>
      <w:r w:rsidRPr="009D2906">
        <w:t xml:space="preserve"> </w:t>
      </w:r>
      <w:r w:rsidRPr="009D2906">
        <w:rPr>
          <w:color w:val="auto"/>
        </w:rPr>
        <w:t>This s CF(11) tatistical analysis output summarizes the distribution of flow cytometry events through bead exclusion, leukocyte identification, and progenitor cell gating. The first block quantifies the BEADS gate, recording 1,056 absolute bead events (≈3.50% of the total), with calibration beads accounting for 988 events (≈3.28%). This shows consistent detection of calibration controls. The second block isolates the CD34-positive population after bead and debris exclusion. A total of 607 CD34⁺ events (≈2.01% of all cells) were observed, of which 207 (≈0.69%) exhibited CD45^dim expression, a characteristic marker of hematopoietic progenitors. The third block refines this subset into CD34⁺/CD45^dim double positives, yielding 207 events (≈0.69% of the total). Within this group, 179 events (≈0.59%) fell into the high-purity CD34⁺ HPC gate, representing the most stringently defined progenitor fraction. The final block summarizes the leukocyte gate (excluding beads), which contained 28,777 absolute events (≈95.5% of the sample). Within this population, CD34⁺ cells comprised ≈2.01%, and the broader CD45⁺ leukocyte population accounted for nearly all viable cells. Narratively, these CF(11) results demonstrate that the analyzed sample was dominated by viable leukocytes, with CD34⁺ hematopoietic progenitors representing a small but clearly detectable minority. Sequential gating enriched for a CD34⁺/CD45^dim subset, narrowing further to a high-purity progenitor fraction consistent with stem/progenitor cell characteristics.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24" name="24 - Εικόνα" descr="HIGH 5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5 I-images-3.jpg"/>
                    <pic:cNvPicPr/>
                  </pic:nvPicPr>
                  <pic:blipFill>
                    <a:blip r:embed="rId11"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Scheme6. This CF(11) statistical summary details the sequential gating outcomes from the second run of the flow cytometry analysis. The first block presents the lymphocyte gate after bead exclusion and viability filtering, identifying 6,153 absolute lymphocyte events (≈20.4% of all viable cells). The internal “lymphgate check” showed no additional events, confirming that the lymphocyte gate was consistently defined. The second block describes the bead-excluded viable population, where 29,068 total events (≈96.5%) were retained, with 28,853 (≈95.7%) passing the viability filter. This demonstrates both high overall sample quality and low non-viable contamination. The third block corresponds to the ungated total dataset, which contained 30,142 absolute events. Within this, subsets A1–A4 accounted for progressively refined populations: A2 (≈18.3% of total) represented the largest subcluster, followed by A4 (≈81.6%), whereas A1 and A3 were negligible fractions (&lt;0.1%). Calibration beads contributed 1,056 events (≈3.5%), while the livegate accounted for nearly all usable events (≈99.8%), confirming robust acquisition. The fourth block consolidates results for viable leukocytes, totaling 28,853 events (≈95.7% of all cells). Within this viable pool, 28,777 (≈95.5%) were CD45⁺ leukocytes, and 6,153 (≈20.4%) were lymphocytes, indicating that lymphoid cells formed a substantial subset of the total leukocyte population. Narratively, this dataset confirms consistent bead exclusion, high sample viability, and strong recovery of both leukocytes and lymphocytes, with proportional representation of subpopulations across the refined gates. The results demonstrate reproducibility and robustness of the gating pipeline, ensuring reliable quantification of CD45⁺ leukocytes and lymphocyte subsets for downstream analyses.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25" name="25 - Εικόνα" descr="HIGH 5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5 I-images-4.jpg"/>
                    <pic:cNvPicPr/>
                  </pic:nvPicPr>
                  <pic:blipFill>
                    <a:blip r:embed="rId12"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Scheme7.</w:t>
      </w:r>
      <w:r w:rsidRPr="009D2906">
        <w:t xml:space="preserve"> </w:t>
      </w:r>
      <w:r w:rsidRPr="009D2906">
        <w:rPr>
          <w:color w:val="auto"/>
        </w:rPr>
        <w:t>This CF(11) composite figure summarizes the full gating strategy and statistical outcomes from the flow cytometry run. Starting with bead exclusion and viability filtering, a total of 36,529 events were acquired, of which 28,853 (≈95.7%) were viable cells, confirming the high integrity of the sample. Among these, 28,777 events (≈95.5%) were CD45⁺ leukocytes, and within this compartment, 6,153 events (≈20.4%) corresponded to lymphocytes, demonstrating a well-preserved lymphoid fraction. Further stratification of the CD45⁺ pool highlighted CD34⁺ progenitor cells. A total of 607 CD34⁺ events were detected, corresponding to ≈2.0% of leukocytes. Of these, 207 (≈0.7% of viable cells) displayed a CD45^dim profile, consistent with early progenitor status, while 179 (≈0.6%) further segregated into the CD34⁺HPC (hematopoietic progenitor cell) gate, representing the most primitive progenitor subset. Scatter plots across CD34-PE and CD45-FITC axes revealed clear separation between CD45^bright mature leukocytes and CD45^dim progenitors. The FS/SS gate for CD34⁺HPC confirmed their small, low-complexity phenotype. Parallel gating using 7-AAD validated the viability profile, with &gt;95% of events clustering in the viable fraction. Calibration beads (CAL = 988 events) provided normalization, and live-gate recovery exceeded 99%, ensuring robust instrument performance. Narratively, this CF(11) dataset illustrates a coherent gating pipeline that captures the major leukocyte lineages while resolving a minor but distinct CD34⁺ progenitor population, including CD45^dim and HPC fractions. The high viability, precise bead calibration, and consistent recovery across gates support the technical reliability of the analysis and provide quantitative evidence for progenitor cell enrichment within the leukocyte pool.</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26" name="26 - Εικόνα" descr="HIGH 5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5 I-images-0.jpg"/>
                    <pic:cNvPicPr/>
                  </pic:nvPicPr>
                  <pic:blipFill>
                    <a:blip r:embed="rId13"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Scheme8.</w:t>
      </w:r>
      <w:r w:rsidRPr="009D2906">
        <w:t xml:space="preserve"> </w:t>
      </w:r>
      <w:r w:rsidRPr="009D2906">
        <w:rPr>
          <w:color w:val="auto"/>
        </w:rPr>
        <w:t>This CF(11) figure illustrates the sequential gating workflow used to isolate viable hematopoietic progenitor cells from the broader leukocyte population. In the top left panel, CD45-FITC versus side scatter (SS) distribution is used to separate leukocytes (LEUKS) from lymphocytes (LYMPHS) after bead exclusion, establishing the first broad immune cell gate. The top right panel then refines this by plotting CD34-PE against SS, highlighting the CD34⁺ progenitor fraction within the CD45⁺ leukocyte pool. The middle row adds two critical refinements: on the left, CD45 intensity is plotted to identify a CD45^dim subset, characteristic of early progenitor cells. On the right, the forward scatter (FS) versus SS profile is applied to define the CD34⁺HPC (hematopoietic progenitor cell) fraction, which aligns with the small size and low granularity expected of progenitor populations. The bottom row confirms sample integrity and technical calibration. On the left, 7-AAD staining clearly separates viable cells from dead/apoptotic events, with most cells clustering in the viable gate. On the right, calibration bead tracking (CAL988) demonstrates stable bead detection across the acquisition period, validating the accuracy of absolute counting. Narratively, the CF(11) figure shows how progressive gating—from leukocyte discrimination, through CD34 and CD45 refinement, to viability and calibration checks—ensures robust identification of the rare but biologically important CD34⁺/CD45^dim progenitor population. The combination of scatter, fluorochrome, and viability gates provides both stringency and reproducibility, ensuring that the final progenitor counts are technically sound and biologically meaningful.</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35" name="27 - Εικόνα" descr="HIGH 5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5 I-images-1.jpg"/>
                    <pic:cNvPicPr/>
                  </pic:nvPicPr>
                  <pic:blipFill>
                    <a:blip r:embed="rId14"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Scheme9. Flow Cytometry cd34.cd45 results; </w:t>
      </w:r>
      <w:r w:rsidRPr="009D2906">
        <w:rPr>
          <w:b w:val="0"/>
          <w:bCs w:val="0"/>
          <w:color w:val="auto"/>
        </w:rPr>
        <w:t>Stemartis Supplement CF(11): ERC/NEU1-proximal design maintains EPC gain; Outcome.</w:t>
      </w:r>
      <w:r w:rsidRPr="009D2906">
        <w:rPr>
          <w:color w:val="auto"/>
        </w:rPr>
        <w:t xml:space="preserve"> CD34⁺/CD45⁺ and </w:t>
      </w:r>
      <w:r w:rsidRPr="009D2906">
        <w:rPr>
          <w:b w:val="0"/>
          <w:bCs w:val="0"/>
          <w:color w:val="auto"/>
        </w:rPr>
        <w:t>CD133⁺</w:t>
      </w:r>
      <w:r w:rsidRPr="009D2906">
        <w:rPr>
          <w:color w:val="auto"/>
        </w:rPr>
        <w:t xml:space="preserve"> increases; </w:t>
      </w:r>
      <w:r w:rsidRPr="009D2906">
        <w:rPr>
          <w:b w:val="0"/>
          <w:bCs w:val="0"/>
          <w:color w:val="auto"/>
        </w:rPr>
        <w:t xml:space="preserve">Composition;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w:t>
      </w:r>
      <w:r w:rsidRPr="009D2906">
        <w:rPr>
          <w:color w:val="auto"/>
        </w:rPr>
        <w:t xml:space="preserve">with heparin, dicoumarol, silydianin; </w:t>
      </w:r>
      <w:r w:rsidRPr="009D2906">
        <w:rPr>
          <w:b w:val="0"/>
          <w:bCs w:val="0"/>
          <w:color w:val="auto"/>
        </w:rPr>
        <w:t>EGCG</w:t>
      </w:r>
      <w:r w:rsidRPr="009D2906">
        <w:rPr>
          <w:color w:val="auto"/>
        </w:rPr>
        <w:t xml:space="preserve">, </w:t>
      </w:r>
      <w:r w:rsidRPr="009D2906">
        <w:rPr>
          <w:b w:val="0"/>
          <w:bCs w:val="0"/>
          <w:color w:val="auto"/>
        </w:rPr>
        <w:t>lithospermic acid</w:t>
      </w:r>
      <w:r w:rsidRPr="009D2906">
        <w:rPr>
          <w:color w:val="auto"/>
        </w:rPr>
        <w:t xml:space="preserve">, </w:t>
      </w:r>
      <w:r w:rsidRPr="009D2906">
        <w:rPr>
          <w:b w:val="0"/>
          <w:bCs w:val="0"/>
          <w:color w:val="auto"/>
        </w:rPr>
        <w:t>oleuropein</w:t>
      </w:r>
      <w:r w:rsidRPr="009D2906">
        <w:rPr>
          <w:color w:val="auto"/>
        </w:rPr>
        <w:t xml:space="preserve">, hyperoside fraction; boswellic acid, collagen peptides, ceramide NP, hyaluronic acid, </w:t>
      </w:r>
      <w:r w:rsidRPr="009D2906">
        <w:rPr>
          <w:b w:val="0"/>
          <w:bCs w:val="0"/>
          <w:color w:val="auto"/>
        </w:rPr>
        <w:t>Rosa damascena</w:t>
      </w:r>
      <w:r w:rsidRPr="009D2906">
        <w:rPr>
          <w:color w:val="auto"/>
        </w:rPr>
        <w:t xml:space="preserve"> [176–187,181,183–185,177].</w:t>
      </w:r>
      <w:r w:rsidRPr="009D2906">
        <w:t xml:space="preserve"> </w:t>
      </w:r>
      <w:r w:rsidRPr="009D2906">
        <w:rPr>
          <w:color w:val="auto"/>
        </w:rPr>
        <w:t>This figure presents the initial gating and quality control steps applied during the flow cytometry run. On the left, a CD34-PE versus CD45-FITC scatter plot is shown in an ungated state, incorporating bead controls. Several quadrants are defined: A1 and A2 capture upper ranges of CD34 and CD45 expression, while A3 and A4 identify double-negative or dimly stained events. The bead population is clearly separated at the far right, serving as an internal reference and calibration standard. The “Livegate” region is drawn around the bulk of biologically relevant cells, excluding debris and off-target events. On the right, a side scatter (SS) histogram is displayed for the events passing the initial filters. This panel is annotated with a “lymph gate check,” designed to confirm whether the lymphocyte population falls within the expected scatter characteristics. In this case, the histogram shows a tight, sharp distribution at the low side scatter end, consistent with lymphocyte morphology, and the overlaid gate confirms that this fraction was appropriately identified and retained. Narratively, this CF(11) figure demonstrates the foundational gating logic that underpins subsequent analysis. By anchoring the dataset to calibration beads, defining broad quadrants of CD34/CD45 expression, and verifying the integrity of the lymphocyte gate, the analysis ensures that downstream identification of progenitors and viable subsets rests on a rigorously validated baseline.</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36" name="28 - Εικόνα" descr="HIGH 4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4 I-images-3.jpg"/>
                    <pic:cNvPicPr/>
                  </pic:nvPicPr>
                  <pic:blipFill>
                    <a:blip r:embed="rId15"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Scheme10.</w:t>
      </w:r>
      <w:r w:rsidRPr="009D2906">
        <w:t xml:space="preserve"> </w:t>
      </w:r>
      <w:r w:rsidRPr="009D2906">
        <w:rPr>
          <w:color w:val="auto"/>
        </w:rPr>
        <w:t>This statistical summary corresponds to one of the acquisition runs and complements the gating CF(10) plots by quantifying absolute counts, proportions, and gating efficiencies across major populations. The first block reports on the lymphocyte gate applied to events that were negative for beads but positive for viability markers. Here, 6,337 lymphocytes were detected, representing 21.75% of the total viable events, with 100% of those events falling correctly within the lymphocyte gate. Importantly, no signal was observed in the “lymph gate check,” confirming the specificity of the gating strategy. The second block summarizes the broader “NOT BEADS” population, in which 28,099 total events were recovered, of which 27,679 were classified as viable. This yielded a very high viability fraction of 94.98%, with gating efficiency above 98%, demonstrating robust sample integrity and exclusion of dead or bead-derived events. The third block captures the ungated dataset, showing 29,143 total events and a distribution into A1–A4 quadrants. The largest fraction (25,678 events, or 88.10%) fell within A4, which typically corresponds to the dominant leukocyte population in this staining panel. Calibration beads again comprised ~3.58% of events (1,044 counts), consistent with earlier runs. The final block breaks down the viable compartment further, distinguishing leukocytes (27,430 events; 94.12% of viable) from lymphocytes (6,337 events; 21.75% of viable). This confirms the relative abundance of leukocyte subtypes in the analyzed sample and provides internal consistency between scatter-based gating and viability-based exclusion. Narratively, these CF(10) numbers reinforce the visual impressions from the scatter plots. The sample was dominated by viable leukocytes, with lymphocytes comprising about one-fifth of the population. Bead events and non-viable cells were effectively excluded, yielding a dataset that is both clean and biologically interpretable.</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37" name="29 - Εικόνα" descr="HIGH 4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4 I-images-4.jpg"/>
                    <pic:cNvPicPr/>
                  </pic:nvPicPr>
                  <pic:blipFill>
                    <a:blip r:embed="rId16"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Scheme11.</w:t>
      </w:r>
      <w:r w:rsidRPr="009D2906">
        <w:t xml:space="preserve"> </w:t>
      </w:r>
      <w:r w:rsidRPr="009D2906">
        <w:rPr>
          <w:color w:val="auto"/>
        </w:rPr>
        <w:t>This CF(10) composite figure captures the complete gating workflow and quantitative outcomes from one acquisition set, integrating viability assessment, leukocyte identification, progenitor resolution, and calibration controls. In the top left panel, a CD45-FITC versus side scatter (SS) plot distinguishes the main leukocyte population from the lymphocyte subset, confirming their distribution within the viable compartment. The top right panel then overlays CD34-PE versus SS, where CD34⁺ cells emerge as a discrete fraction within the CD45⁺ leukocyte pool. The middle panels refine this progenitor subset further. On the left, CD45 intensity isolates the CD45^dim population, which is characteristic of immature hematopoietic progenitors. On the right, forward scatter (FS) versus SS analysis defines the CD34⁺HPC fraction, representing cells with small size and low complexity, consistent with stem/progenitor phenotypes. The bottom panels validate technical performance and sample integrity. On the far left, the ungated dataset (29,143 total events) is broken into quadrants, showing that the majority of viable cells fall within the A4 region (≈88.1%). Calibration beads (1,044 events, ≈3.6%) and a high live-gate recovery (≈99.7%) confirm robust acquisition. The central plot shows bead tracking (CAL988) over time, demonstrating consistent bead signal throughout the run. On the far right, 7-AAD staining confirms that 27,679 events (≈95.0%) were viable, excluding apoptotic or dead cells. Quantitatively, the analysis identified 27,430 CD45⁺ leukocytes, of which 6,337 (≈22%) were lymphocytes. Within this compartment, 462 CD34⁺ cells (≈1.6%) were detected, with 176 (≈0.6%) showing CD45^dim expression. Of these, 146 (≈0.5% of viable cells) localized to the HPC gate, confirming enrichment of the rare progenitor population. Narratively, this figure demonstrates how sequential gating—bead exclusion, viability filtering, leukocyte and lymphocyte identification, CD34/CD45 stratification, and scatter-based HPC definition—ensures reliable detection of CD34⁺/CD45^dim hematopoietic progenitors within a predominantly viable leukocyte sample. The strong bead calibration and high viability support the technical reproducibility of the dataset, while the progenitor readouts highlight the biological relevance of the gating approach.</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38" name="30 - Εικόνα" descr="HIGH 4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4 I-images-0.jpg"/>
                    <pic:cNvPicPr/>
                  </pic:nvPicPr>
                  <pic:blipFill>
                    <a:blip r:embed="rId17"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Scheme12.</w:t>
      </w:r>
      <w:r w:rsidRPr="009D2906">
        <w:t xml:space="preserve"> </w:t>
      </w:r>
      <w:r w:rsidRPr="009D2906">
        <w:rPr>
          <w:color w:val="auto"/>
        </w:rPr>
        <w:t>This CF(10) figure illustrates the stepwise gating approach used to resolve viable leukocytes and CD34⁺ hematopoietic progenitors from the total flow cytometry dataset. In the top row, the CD45-FITC versus side scatter (SS) plot separates leukocytes (LEUKS) from lymphocytes (LYMPHS), while excluding beads. Adjacent to this, a CD34-PE versus SS distribution identifies the CD34⁺ progenitor fraction within the broader CD45⁺ leukocyte pool, with a clear demarcation of CD34⁺ cells against the CD45⁺ background. The middle row refines this gating: on the left, CD45 intensity distinguishes a CD45^dim population, which typically marks early progenitor status. On the right, forward scatter (FS) versus SS is used to define the CD34⁺HPC compartment, isolating small, low-complexity progenitor cells from mature populations and debris. The bottom row validates the sample’s integrity. The left panel uses 7-AAD staining to separate viable cells from apoptotic or dead events, with the bulk of the cells residing in the viable gate. The right panel tracks calibration beads (CAL988) over time, showing stable detection and confirming instrument performance across the acquisition. Narratively, this CF(10) figure demonstrates how multi-parameter gating—based on scatter, viability, and CD34/CD45 immunophenotyping—was used to extract a rare CD34⁺/CD45^dim progenitor fraction from a largely viable leukocyte pool. The consistent bead control and high viability underpin the reliability of the dataset, while the sequential gating highlights the precision required to resolve progenitors within complex cell mixtures.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39" name="193311 - Εικόνα" descr="HIGH 4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4 I-images-1.jpg"/>
                    <pic:cNvPicPr/>
                  </pic:nvPicPr>
                  <pic:blipFill>
                    <a:blip r:embed="rId18"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Scheme13;</w:t>
      </w:r>
      <w:r w:rsidRPr="009D2906">
        <w:t xml:space="preserve"> </w:t>
      </w:r>
      <w:r w:rsidRPr="009D2906">
        <w:rPr>
          <w:color w:val="auto"/>
        </w:rPr>
        <w:t>This CF(10) figure shows the initial ungated dataset and quality control check used at the start of the flow cytometry pipeline. On the left, a CD34-PE versus CD45-FITC dot plot displays the full distribution of acquired events. Quadrants A1–A4 are drawn to separate cells with different CD34/CD45 expression levels. Beads form a discrete population at the far right, serving as internal standards for calibration and normalization. A “Livegate” has been applied to encompass the biologically relevant cell population, excluding background debris and outliers. On the right, a side scatter (SS) histogram is used to confirm the expected lymphocyte profile. The sharp, narrow peak corresponds to small, low-granularity cells, consistent with lymphocytes. The overlaid “lymphgate check” confirms that these events fall cleanly within the lymphocyte gate, ensuring that downstream analyses focus on correctly identified lymphoid events.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0" name="193312 - Εικόνα" descr="HIGH 4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4 I-images-2.jpg"/>
                    <pic:cNvPicPr/>
                  </pic:nvPicPr>
                  <pic:blipFill>
                    <a:blip r:embed="rId19"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Scheme14. Flow Cytometry CD34⁺/CD45⁺ results; </w:t>
      </w:r>
      <w:r w:rsidRPr="009D2906">
        <w:rPr>
          <w:b w:val="0"/>
          <w:bCs w:val="0"/>
          <w:color w:val="auto"/>
        </w:rPr>
        <w:t>Stemartis Supplement CF(10): melatonin-anchored antioxidant panel; Outcome.</w:t>
      </w:r>
      <w:r w:rsidRPr="009D2906">
        <w:rPr>
          <w:color w:val="auto"/>
        </w:rPr>
        <w:t xml:space="preserve"> Elevated CD34⁺/CD45⁺ and EPCs; </w:t>
      </w:r>
      <w:r w:rsidRPr="009D2906">
        <w:rPr>
          <w:b w:val="0"/>
          <w:bCs w:val="0"/>
          <w:color w:val="auto"/>
        </w:rPr>
        <w:t>Composition: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Melatonin</w:t>
      </w:r>
      <w:r w:rsidRPr="009D2906">
        <w:rPr>
          <w:color w:val="auto"/>
        </w:rPr>
        <w:t xml:space="preserve">, methylophiopogonanone A, ombuoside, </w:t>
      </w:r>
      <w:r w:rsidRPr="009D2906">
        <w:rPr>
          <w:b w:val="0"/>
          <w:bCs w:val="0"/>
          <w:color w:val="auto"/>
        </w:rPr>
        <w:t>EGCG</w:t>
      </w:r>
      <w:r w:rsidRPr="009D2906">
        <w:rPr>
          <w:color w:val="auto"/>
        </w:rPr>
        <w:t xml:space="preserve">, hyperosides, </w:t>
      </w:r>
      <w:r w:rsidRPr="009D2906">
        <w:rPr>
          <w:b w:val="0"/>
          <w:bCs w:val="0"/>
          <w:color w:val="auto"/>
        </w:rPr>
        <w:t>Momordica charantia</w:t>
      </w:r>
      <w:r w:rsidRPr="009D2906">
        <w:rPr>
          <w:color w:val="auto"/>
        </w:rPr>
        <w:t>, phospholipids, barrier lipids [175,185,187,193].</w:t>
      </w:r>
      <w:r w:rsidRPr="009D2906">
        <w:t xml:space="preserve"> </w:t>
      </w:r>
      <w:r w:rsidRPr="009D2906">
        <w:rPr>
          <w:color w:val="auto"/>
        </w:rPr>
        <w:t>This statistical analysis output provides the numerical summary corresponding to one of the gating runs, tracing the dataset from bead calibration through CD34⁺ progenitor identification. The first block reports the bead gate, in which 1,044 events (≈3.6% of the total) were classified as beads, with calibration beads specifically accounting for 988 events (≈3.3%). This serves as the technical control for instrument calibration and normalization of absolute counts. The second block quantifies the CD34⁺ cell population (after bead exclusion and leukocyte gating). A total of 462 CD34⁺ events were detected, corresponding to ≈1.6% of all cells. Of these, 176 (≈0.6%) exhibited a CD45^dim phenotype, characteristic of immature hematopoietic progenitors. The third block refines this further to the CD34⁺/CD45^dim double-positive population, yielding 176 events (≈0.6% of total). Within this subset, 146 events (≈0.5%) localized to the high-purity CD34⁺HPC fraction, confirming the recovery of a rare but distinct progenitor pool. The final block summarizes the leukocyte gate, which captured 27,430 CD45⁺ leukocytes (≈94.1% of all cells). Within this compartment, 462 CD34⁺ progenitors (≈1.6% of leukocytes) were consistently enumerated, validating the enrichment and identification of early progenitor cells. Narratively, this CF(10) table reinforces the gating strategy by showing that while the dataset was dominated by CD45⁺ leukocytes, a small but reliably measurable CD34⁺/CD45^dim progenitor fraction was present.</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1" name="193313 - Εικόνα" descr="HIGH 3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3 I-images-1.jpg"/>
                    <pic:cNvPicPr/>
                  </pic:nvPicPr>
                  <pic:blipFill>
                    <a:blip r:embed="rId20"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Scheme15. This CF(9) figure illustrates the initial ungated acquisition and lymphocyte gate validation for one of the flow cytometry runs. On the left, the CD34-PE versus CD45-FITC scatter plot shows all recorded events, divided into quadrants A1–A4. Calibration beads appear as a distinct cluster to the far right, providing internal standards for count normalization. The “Livegate” region encompasses the main cell population, separating it from debris and beads. Within this framework, most events fall in A4, representing the dominant CD34⁻/CD45⁺ leukocyte population, while smaller proportions distribute into the other quadrants. On the right, a side scatter (SS) histogram is used to confirm the presence and position of lymphocytes within the viable, bead-excluded dataset. The histogram reveals a sharp peak at low side scatter, consistent with small, agranular lymphoid cells. The overlaid “lymphgate check” marker shows that this peak falls cleanly within the expected scatter range, validating that the lymphocyte population is being properly captured by the gating strategy. Narratively, this CF(9) figure establishes the technical foundation for downstream analysis. By confirming bead exclusion, defining quadrants of CD34/CD45 expression, and verifying the lymphocyte gate, the dataset is anchored for reliable resolution of both broad leukocyte subsets and rarer CD34⁺ progenitor fractions in later gating steps.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2" name="193314 - Εικόνα" descr="HIGH 3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3 I-images-2.jpg"/>
                    <pic:cNvPicPr/>
                  </pic:nvPicPr>
                  <pic:blipFill>
                    <a:blip r:embed="rId21"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Web"/>
        <w:rPr>
          <w:sz w:val="18"/>
          <w:szCs w:val="18"/>
        </w:rPr>
      </w:pPr>
      <w:r w:rsidRPr="009D2906">
        <w:rPr>
          <w:sz w:val="18"/>
          <w:szCs w:val="18"/>
        </w:rPr>
        <w:t xml:space="preserve">Scheme16. This CF(9) statistical output summarizes another acquisition run, tracing from bead calibration through leukocyte gating and CD34⁺ progenitor identification. The first block quantifies the </w:t>
      </w:r>
      <w:r w:rsidRPr="009D2906">
        <w:rPr>
          <w:rStyle w:val="a3"/>
          <w:sz w:val="18"/>
          <w:szCs w:val="18"/>
        </w:rPr>
        <w:t>beads</w:t>
      </w:r>
      <w:r w:rsidRPr="009D2906">
        <w:rPr>
          <w:sz w:val="18"/>
          <w:szCs w:val="18"/>
        </w:rPr>
        <w:t xml:space="preserve">, with 1,027 total bead events detected (≈3.8% of the dataset), of which 988 calibration beads (≈3.6%) were recognized. The bead signal was stable and accounted for &gt;96% of the expected calibration population, confirming proper instrument performance. The second block reports the </w:t>
      </w:r>
      <w:r w:rsidRPr="009D2906">
        <w:rPr>
          <w:rStyle w:val="a3"/>
          <w:sz w:val="18"/>
          <w:szCs w:val="18"/>
        </w:rPr>
        <w:t>CD34⁺ population</w:t>
      </w:r>
      <w:r w:rsidRPr="009D2906">
        <w:rPr>
          <w:sz w:val="18"/>
          <w:szCs w:val="18"/>
        </w:rPr>
        <w:t xml:space="preserve"> after excluding beads and focusing on leukocytes. Here, 199 CD34⁺ events were captured (≈0.7% of the total), and within this group, 157 events (≈0.6%) exhibited a </w:t>
      </w:r>
      <w:r w:rsidRPr="009D2906">
        <w:rPr>
          <w:rStyle w:val="a3"/>
          <w:sz w:val="18"/>
          <w:szCs w:val="18"/>
        </w:rPr>
        <w:t>CD45^dim phenotype</w:t>
      </w:r>
      <w:r w:rsidRPr="009D2906">
        <w:rPr>
          <w:sz w:val="18"/>
          <w:szCs w:val="18"/>
        </w:rPr>
        <w:t xml:space="preserve">, a hallmark of primitive hematopoietic progenitors. The third block narrows this to </w:t>
      </w:r>
      <w:r w:rsidRPr="009D2906">
        <w:rPr>
          <w:rStyle w:val="a3"/>
          <w:sz w:val="18"/>
          <w:szCs w:val="18"/>
        </w:rPr>
        <w:t>CD34⁺/CD45^dim double positives</w:t>
      </w:r>
      <w:r w:rsidRPr="009D2906">
        <w:rPr>
          <w:sz w:val="18"/>
          <w:szCs w:val="18"/>
        </w:rPr>
        <w:t xml:space="preserve">, where 157 events were confirmed. Of these, 137 events (≈0.5% of the dataset) mapped into the </w:t>
      </w:r>
      <w:r w:rsidRPr="009D2906">
        <w:rPr>
          <w:rStyle w:val="a3"/>
          <w:sz w:val="18"/>
          <w:szCs w:val="18"/>
        </w:rPr>
        <w:t>high-purity CD34⁺HPC fraction</w:t>
      </w:r>
      <w:r w:rsidRPr="009D2906">
        <w:rPr>
          <w:sz w:val="18"/>
          <w:szCs w:val="18"/>
        </w:rPr>
        <w:t xml:space="preserve">, reinforcing the recovery of a rare but distinct progenitor subset. The final block summarizes the </w:t>
      </w:r>
      <w:r w:rsidRPr="009D2906">
        <w:rPr>
          <w:rStyle w:val="a3"/>
          <w:sz w:val="18"/>
          <w:szCs w:val="18"/>
        </w:rPr>
        <w:t>leukocyte gate</w:t>
      </w:r>
      <w:r w:rsidRPr="009D2906">
        <w:rPr>
          <w:sz w:val="18"/>
          <w:szCs w:val="18"/>
        </w:rPr>
        <w:t>, showing that 25,807 viable CD45⁺ leukocytes were identified (≈94.6% of the dataset). Within this leukocyte pool, 199 CD34⁺ progenitors (≈0.7% of leukocytes) were consistently detected. Narratively, this CF(9) table demonstrates that despite the dominance of CD45⁺ leukocytes, a reproducible CD34⁺/CD45^dim progenitor population was present and enriched into a high-purity HPC fraction. The consistent calibration bead recovery and strong leukocyte viability underpin the technical reliability of the analysis, while the reproducible detection of CD34⁺ progenitors confirms the biological significance of the gating pipeline.</w:t>
      </w:r>
    </w:p>
    <w:p w:rsidR="00130CA1" w:rsidRPr="009D2906" w:rsidRDefault="00130CA1" w:rsidP="00130CA1">
      <w:pPr>
        <w:pStyle w:val="a6"/>
        <w:rPr>
          <w:color w:val="auto"/>
        </w:rPr>
      </w:pP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3" name="193315 - Εικόνα" descr="HIGH 3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3 I-images-3.jpg"/>
                    <pic:cNvPicPr/>
                  </pic:nvPicPr>
                  <pic:blipFill>
                    <a:blip r:embed="rId22"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Scheme17. This CF(9) statistical summary provides the gating results for another cytometry dataset, showing progression from bead exclusion through viability and lymphocyte resolution. The first block documents the lymphocyte gate applied to bead-excluded, viable events. A total of 6,685 lymphocytes were identified, representing ≈24.5% of the dataset. The “lymphgate check” registered zero events outside this gate, confirming that the lymphocyte population was accurately captured. The second block reports the bead-excluded compartment, in which 26,251 total events were recorded. Of these, 25,919 (≈95.0%) were viable, with gating efficiency of 98.7%, reflecting high sample quality and effective exclusion of dead cells. The third block presents the ungated dataset, with 27,271 events in total. Subdivision into quadrants A1–A4 shows that the majority (24,226 events; ≈88.8%) fell into A4, consistent with the bulk leukocyte population. A2 accounted for ≈11.0% of events, while A1 and A3 each contributed less than 0.2%. Calibration beads again formed a small, consistent fraction (1,027 events; ≈3.8%), while the livegate encompassed 99.6% of events, demonstrating stable acquisition. The final block summarizes the viable leukocyte population, totaling 25,919 events (≈95.0%). Within this population, 25,807 (≈94.6%) were CD45⁺ leukocytes, and 6,685 (≈24.5%) were lymphocytes, confirming that lymphocytes comprised about one-quarter of all viable leukocytes. Narratively, these CF(9) results reinforce the reproducibility of the gating pipeline. Bead recovery was stable, viability exceeded 95%, and lymphocytes consistently represented ~25% of leukocytes across runs. This reliability provides a solid baseline for subsequent identification of rarer progenitor subsets such as CD34⁺/CD45^dim cells.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4" name="193316 - Εικόνα" descr="HIGH 3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3 I-images-4.jpg"/>
                    <pic:cNvPicPr/>
                  </pic:nvPicPr>
                  <pic:blipFill>
                    <a:blip r:embed="rId23"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Scheme18.</w:t>
      </w:r>
      <w:r w:rsidRPr="009D2906">
        <w:t xml:space="preserve"> </w:t>
      </w:r>
      <w:r w:rsidRPr="009D2906">
        <w:rPr>
          <w:color w:val="auto"/>
        </w:rPr>
        <w:t>This CF(9) composite figure presents the complete gating workflow and statistical outcomes from a representative cytometry run, spanning bead calibration, leukocyte and lymphocyte identification, progenitor resolution, and viability confirmation. In the top left panel, CD45-FITC versus side scatter (SS) plots distinguish leukocytes from lymphocytes within the viable pool, showing that lymphocytes accounted for ≈24.5% of the dataset (6,685 events). The top right panel overlays CD34-PE versus SS, identifying the CD34⁺ progenitor population within the CD45⁺ leukocyte compartment (199 events; ≈0.7%). The middle row further refines progenitor subsets. On the left, CD45 intensity discriminates the CD45^dim subset (157 events; ≈0.6%), consistent with early progenitor status. On the right, forward scatter (FS) versus SS confirms that 137 events (≈0.5%) fell into the CD34⁺HPC (hematopoietic progenitor cell) fraction, characterized by small size and low granularity. The bottom panels document technical validation. On the far left, the ungated dataset (27,271 events) is subdivided into quadrants, with the majority (≈88.8%) in A4, corresponding to the main leukocyte fraction. Calibration beads (1,027 events; ≈3.8%) and stable bead counts (CAL988) across time confirm robust instrument performance. On the far right, 7-AAD staining demonstrates that ≈95% of events (25,919) were viable, excluding dead or apoptotic cells. Narratively, this CF(9) dataset illustrates how sequential gating—beginning with bead exclusion and viability checks, progressing through leukocyte and lymphocyte identification, and culminating in CD34⁺/CD45^dim/HPC enrichment—enables the reliable detection of a rare progenitor subset within a predominantly viable leukocyte population. The high viability and stable bead calibration reinforce the reproducibility of the method, while the detection of CD34⁺ progenitors highlights the biological significance of the pipeline.</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5" name="193317 - Εικόνα" descr="HIGH 3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3 I-images-0.jpg"/>
                    <pic:cNvPicPr/>
                  </pic:nvPicPr>
                  <pic:blipFill>
                    <a:blip r:embed="rId24"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Scheme19. Flow Cytometry CD34⁺/CD45⁺ results; </w:t>
      </w:r>
      <w:r w:rsidRPr="009D2906">
        <w:rPr>
          <w:b w:val="0"/>
          <w:bCs w:val="0"/>
          <w:color w:val="auto"/>
        </w:rPr>
        <w:t>Stemartis Supplement CF(9): anti-inflammatory; Outcome.</w:t>
      </w:r>
      <w:r w:rsidRPr="009D2906">
        <w:rPr>
          <w:color w:val="auto"/>
        </w:rPr>
        <w:t xml:space="preserve"> Progenitor-biased CD34⁺/CD45⁺ and EPC shifts; </w:t>
      </w:r>
      <w:r w:rsidRPr="009D2906">
        <w:rPr>
          <w:b w:val="0"/>
          <w:bCs w:val="0"/>
          <w:color w:val="auto"/>
        </w:rPr>
        <w:t>Composition</w:t>
      </w:r>
      <w:r w:rsidRPr="009D2906">
        <w:rPr>
          <w:color w:val="auto"/>
        </w:rPr>
        <w:t>s; [WR]P[WH][QA][VW][SP][LF][QM][YV]S[SL]Q[GL][SR]G[YG]H[TF]CG[GA][ST]LIAPN[WF]VM[TS]AAHC[IV] [SA][SN].{0,36}V?N[TV][YR][RA]V[VR][LV][GV]L[HG][NA], (Table 1) peptidomimetic (Stemaflex™-Designs: Stemaflex-16•MMP, Stemaflex-16•NE, and Stemaflex-16•ERC)</w:t>
      </w:r>
      <w:r w:rsidRPr="00373CFA">
        <w:rPr>
          <w:sz w:val="24"/>
          <w:szCs w:val="24"/>
        </w:rPr>
        <w:t xml:space="preserve">, </w:t>
      </w:r>
      <w:r w:rsidRPr="009D2906">
        <w:rPr>
          <w:color w:val="auto"/>
        </w:rPr>
        <w:t>generated physical constituents of VEGF, bFGF, PDGF, IGF-1, TGF-B, Coconut Water, Black Caviar in combination with the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Vitispirane</w:t>
      </w:r>
      <w:r w:rsidRPr="009D2906">
        <w:rPr>
          <w:bCs w:val="0"/>
          <w:color w:val="auto"/>
        </w:rPr>
        <w:t xml:space="preserv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w:t>
      </w:r>
      <w:r w:rsidRPr="009D2906">
        <w:rPr>
          <w:color w:val="auto"/>
        </w:rPr>
        <w:t xml:space="preserve">, </w:t>
      </w:r>
      <w:r w:rsidRPr="009D2906">
        <w:rPr>
          <w:bCs w:val="0"/>
          <w:color w:val="auto"/>
        </w:rPr>
        <w:t>N-acetyl-D-glucosamine</w:t>
      </w:r>
      <w:r w:rsidRPr="009D2906">
        <w:rPr>
          <w:color w:val="auto"/>
        </w:rPr>
        <w:t xml:space="preserve">, chrysin-7-O-glucuronide, </w:t>
      </w:r>
      <w:r w:rsidRPr="009D2906">
        <w:rPr>
          <w:bCs w:val="0"/>
          <w:color w:val="auto"/>
        </w:rPr>
        <w:t>celastrol</w:t>
      </w:r>
      <w:r w:rsidRPr="009D2906">
        <w:rPr>
          <w:color w:val="auto"/>
        </w:rPr>
        <w:t>, and polyphenols/triterpenes; Barrier/anti-inflammatory support and ERC/NEU1 rationale as above.</w:t>
      </w:r>
      <w:r w:rsidRPr="009D2906">
        <w:t xml:space="preserve"> </w:t>
      </w:r>
      <w:r w:rsidRPr="009D2906">
        <w:rPr>
          <w:color w:val="auto"/>
        </w:rPr>
        <w:t>This figure depicts the complete gating sequence used to identify viable hematopoietic progenitors within the leukocyte pool. In the top row, the CD45-FITC versus side scatter (SS) plot distinguishes the main leukocyte population (LEUKS) from lymphocytes (LYMPHS), while excluding debris. The adjacent CD34-PE versus SS panel identifies the CD34⁺ progenitor fraction within CD45⁺ leukocytes, with the CD34⁺ population clearly separated from the bulk CD45⁺ background. The middle row further stratifies progenitors. On the left, CD45 intensity highlights the CD45^dim subset, which represents immature cells typically enriched for progenitors. On the right, forward scatter (FS) versus SS gating isolates the CD34⁺ HPC compartment, capturing a small, low-granularity population consistent with early hematopoietic progenitors. The bottom row validates sample quality and technical performance. The 7-AAD versus SS plot confirms that the majority of events fell into the viable fraction, with minimal apoptotic or dead cells. Finally, the bead-tracking panel (CAL988) shows consistent bead detection over time, demonstrating stable instrument calibration and reliable absolute quantification. Narratively, this CF(9) figure demonstrates the integration of scatter, immunophenotyping, viability, and bead-based calibration to reproducibly extract the rare CD34⁺/CD45^dim progenitor fraction. The sequential narrowing from the broad leukocyte gate down to the HPC subset ensures both stringency and biological relevance, while the high viability and stable bead controls confirm the robustness of the dataset.</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6" name="193318 - Εικόνα" descr="HIGH 2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2 I-images-1.jpg"/>
                    <pic:cNvPicPr/>
                  </pic:nvPicPr>
                  <pic:blipFill>
                    <a:blip r:embed="rId25"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Scheme20.</w:t>
      </w:r>
      <w:r w:rsidRPr="009D2906">
        <w:t xml:space="preserve"> </w:t>
      </w:r>
      <w:r w:rsidRPr="009D2906">
        <w:rPr>
          <w:color w:val="auto"/>
        </w:rPr>
        <w:t>This CF(8) figure shows the baseline ungated dataset and lymphocyte quality check for one of the cytometry acquisitions. On the left, the CD34-PE versus CD45-FITC scatter plot depicts the full population of events before gating. Quadrants A1–A4 partition the dataset according to CD34/CD45 expression, with most cells clustering in A4 (CD34⁻/CD45⁺ leukocytes). Beads are clearly resolved as a distinct cluster to the far right, providing an internal calibration standard. The Livegate encompasses the main biologically relevant population, excluding debris and non-specific events, and anchors subsequent gating steps. On the right, a side scatter (SS) histogram validates the lymphocyte gate. The sharp peak at low SS reflects small, agranular lymphoid cells, and the overlaid “lymphgate check” shows that this subset falls within the expected scatter range. This confirms that lymphocytes are reliably captured and that scatter-based gating is consistent with expected cell morphology. Narratively, this figure demonstrates the essential quality control at the start of the pipeline: confirming bead calibration, defining quadrants of CD34/CD45 expression, and validating the lymphocyte gate. Together, these steps ensure that downstream analyses of leukocytes and CD34⁺ progenitor subsets are grounded in a well-defined, reproducible dataset.</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7" name="193319 - Εικόνα" descr="HIGH 2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2 I-images-2.jpg"/>
                    <pic:cNvPicPr/>
                  </pic:nvPicPr>
                  <pic:blipFill>
                    <a:blip r:embed="rId26"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Scheme21.</w:t>
      </w:r>
      <w:r w:rsidRPr="009D2906">
        <w:t xml:space="preserve"> </w:t>
      </w:r>
      <w:r w:rsidRPr="009D2906">
        <w:rPr>
          <w:color w:val="auto"/>
        </w:rPr>
        <w:t>This CF(8) statistical report details another acquisition run, tracing events from bead calibration through leukocyte gating and CD34⁺ progenitor resolution. The first block documents the bead control, where 1,038 bead events were detected (≈4.1% of the dataset). Of these, 988 calibration beads (≈3.9%) were successfully identified, covering 95.2% of the expected bead population and confirming proper instrument calibration. The second block quantifies the CD34⁺ population (bead-excluded, viable leukocytes). A total of 209 CD34⁺ events were recorded, representing ≈0.8% of all cells. Within this group, 170 events (≈0.7%) displayed a CD45^dim phenotype, consistent with early hematopoietic progenitors. The third block further narrows this to the CD34⁺/CD45^dim double-positive fraction, where 170 events were confirmed. Of these, 154 events (≈0.6%) localized to the CD34⁺ HPC fraction, representing the most stringent definition of primitive progenitors. The final block summarizes the leukocyte gate, which encompassed 23,806 CD45⁺ leukocytes (≈94.5% of all cells). Within this pool, the 209 CD34⁺ cells corresponded to ≈0.8% of leukocytes, affirming the reproducible detection of progenitors against a background of mature cells. Narratively, this CF(8) dataset underscores the robustness of the gating strategy. Calibration bead recovery was stable, leukocyte purity exceeded 94%, and progenitors were consistently resolved down to the CD34⁺ HPC fraction. Despite their rarity, CD34⁺/CD45^dim progenitors were reliably enumerated, demonstrating the precision of the pipeline for capturing early hematopoietic subsets.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8" name="193320 - Εικόνα" descr="HIGH 2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2 I-images-3.jpg"/>
                    <pic:cNvPicPr/>
                  </pic:nvPicPr>
                  <pic:blipFill>
                    <a:blip r:embed="rId27"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Scheme22.</w:t>
      </w:r>
      <w:r w:rsidRPr="009D2906">
        <w:t xml:space="preserve"> </w:t>
      </w:r>
      <w:r w:rsidRPr="009D2906">
        <w:rPr>
          <w:color w:val="auto"/>
        </w:rPr>
        <w:t>This CF(8) statistical report outlines a full cytometry dataset, showing the progression from bead exclusion and lymphocyte resolution through viability checks and ungated distributions. The first block documents the lymphocyte gate. A total of 6,376 lymphocytes were detected, representing ≈25.3% of the dataset. The “lymphgate check” returned zero excluded events, confirming that lymphocytes were accurately captured within the defined scatter region. The second block summarizes the bead-excluded population. Out of 24,162 total events, 23,870 were viable (≈94.7%), with a gating efficiency of 98.8%. This highlights the strong sample quality, with dead and apoptotic cells effectively removed. The third block describes the ungated dataset of 25,200 events. Subdivision into quadrants shows that the majority clustered in A4 (22,597 events, ≈89.7%), consistent with the bulk leukocyte fraction. A smaller proportion (2,589 events, ≈10.3%) fell into A2, while A1 and A3 together contributed less than 0.1%. Calibration beads were stably detected (1,038 events, ≈4.1%), and the livegate encompassed 25,127 events (≈99.7%), confirming consistent acquisition and strong overall capture. The final block consolidates the viable leukocyte compartment. Within the 23,870 viable events, 23,806 (≈94.5%) were CD45⁺ leukocytes, and 6,376 (≈25.3%) were lymphocytes. This aligns closely with expected distributions, confirming both reproducibility and biological accuracy. Narratively, this dataset highlights the reproducibility of gating across multiple runs. The bead control remained stable, viability exceeded 94%, and lymphocytes consistently represented about one-quarter of the leukocyte pool. These technical assurances underpin subsequent analysis of rarer progenitor subsets, ensuring that CD34⁺/CD45^dim populations are quantified against a stable and well-defined leukocyte background.</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49" name="193321 - Εικόνα" descr="HIGH 2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2 I-images-4.jpg"/>
                    <pic:cNvPicPr/>
                  </pic:nvPicPr>
                  <pic:blipFill>
                    <a:blip r:embed="rId28"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Scheme23.</w:t>
      </w:r>
      <w:r w:rsidRPr="009D2906">
        <w:t xml:space="preserve"> </w:t>
      </w:r>
      <w:r w:rsidRPr="009D2906">
        <w:rPr>
          <w:color w:val="auto"/>
        </w:rPr>
        <w:t>This composite CF(8) figure illustrates the full gating cascade for a representative cytometry run, integrating both scatter plots and tabulated statistics to trace events from bead calibration through progenitor resolution. At the top left, the CD45-FITC versus side scatter (SS) plot separates leukocytes from lymphocytes, confirming that lymphocytes comprised ≈25% of the viable leukocyte pool (6,378 out of 23,806). The top right panel overlays CD34-PE versus SS, resolving a distinct CD34⁺ subset (209 events; ≈0.8% of leukocytes) against the CD45⁺ leukocyte background. The middle panels further refine progenitor characterization. The CD45-FITC intensity plot highlights the CD45^dim fraction (170 events; ≈0.7%), while the forward scatter versus SS panel isolates the CD34⁺ HPC population (154 events; ≈0.6%), which reflects small, agranular early progenitors. The CD34⁺/CD45^dim/HPC overlap underscores the stringency of this gating pipeline in extracting biologically meaningful progenitors. At the bottom left, the ungated dataset shows the raw distribution of 25,200 total events. The majority clustered in quadrant A4 (22,597 events; ≈89.7%), representing the bulk leukocytes, while calibration beads (1,038 events; ≈4.1%) formed a consistent, well-defined cluster. The bead stability is confirmed in the adjacent time-course calibration plot, where CAL988 beads maintained steady counts over the acquisition period. On the bottom right, the viability plot (7-AAD versus SS) shows that 94.7% of bead-excluded events were viable (23,870 cells). This high viability, combined with stable bead recovery and consistent lymphocyte representation, underscores the technical reproducibility of the dataset. Narratively, this CF(8) figure demonstrates how the sequential application of scatter, immunophenotyping, viability, and calibration gates enables the reliable identification of a rare CD34⁺/CD45^dim progenitor population within a predominantly leukocyte background. The combination of robust calibration, high viability, and reproducible leukocyte distribution provides confidence that the detected progenitors reflect genuine biological subsets rather than technical artifacts.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351" name="193322 - Εικόνα" descr="HIGH 2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2 I-images-0.jpg"/>
                    <pic:cNvPicPr/>
                  </pic:nvPicPr>
                  <pic:blipFill>
                    <a:blip r:embed="rId29"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Scheme24. Flow Cytometry CD34⁺/CD45⁺ results; </w:t>
      </w:r>
      <w:r w:rsidRPr="009D2906">
        <w:rPr>
          <w:b w:val="0"/>
          <w:bCs w:val="0"/>
          <w:color w:val="auto"/>
        </w:rPr>
        <w:t>Stemartis Supplement CF(8), Outcome:</w:t>
      </w:r>
      <w:r w:rsidRPr="009D2906">
        <w:rPr>
          <w:color w:val="auto"/>
        </w:rPr>
        <w:t xml:space="preserve"> Highly Increased and Maintained CD34⁺/CD45⁺ expansion and EPC gain; </w:t>
      </w:r>
      <w:r w:rsidRPr="009D2906">
        <w:rPr>
          <w:b w:val="0"/>
          <w:bCs w:val="0"/>
          <w:color w:val="auto"/>
        </w:rPr>
        <w:t xml:space="preserve">Composition: [WR]P[WH][QA][VW][SP][LF][QM][YV]S[SL]Q[GL][SR]G[YG]H[TF]CG[GA][ST]LIAPN[WF]VM[TS]AAHC[IV][SA][SN].{0,36}V?N[TV][YR][RA]V[VR][LV][GV]L[HG][NA], (Table 1) peptidomimetic (Stemaflex™-Designs: Stemaflex-16•MMP, Stemaflex-16•NE, and Stemaflex-16•ERC) quided </w:t>
      </w:r>
      <w:r w:rsidRPr="009D2906">
        <w:rPr>
          <w:color w:val="auto"/>
        </w:rPr>
        <w:t>ECM-active botanicals of Vanillic Acid Acmella oleracea, Beta-Sitosterone Acmella oleracea, Ferulic acid Acmella oleracea, Scopoletin Acmella oleracea, Madecassoside Centalla asiatica, Asiaticoside Centalla asiatica, Madecassic Acid Centalla asiatica in combination with the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phytical elements.</w:t>
      </w:r>
      <w:r w:rsidRPr="009D2906">
        <w:t xml:space="preserve"> </w:t>
      </w:r>
      <w:r w:rsidRPr="009D2906">
        <w:rPr>
          <w:color w:val="auto"/>
        </w:rPr>
        <w:t>This figure presents a complete gating workflow demonstrating how viable hematopoietic progenitors were resolved from the bulk leukocyte population. In the top row, the forward scatter versus side scatter (FS vs SS) plot identifies the CD34⁺ HPC compartment, characterized by low granularity and intermediate size, consistent with early progenitor cells. Adjacent to this, the CD45-FITC versus SS plot separates the broader leukocyte population (LEUKS) from lymphocytes (LYMPHS), with a distinct region for low-side-scatter events (LL). This ensures that the analysis begins with a clean leukocyte pool for downstream phenotyping. The middle row advances the analysis by validating viability and CD34 positivity. The 7-AAD versus SS plot shows that the vast majority of cells fall within the viable fraction, with minimal dead-cell contamination. In parallel, the CD34-PE versus SS plot highlights the CD34⁺ population, nested within CD45⁺ leukocytes. This cluster is clearly distinguished from the CD34⁻ background, establishing the foundation for rare progenitor identification. The bottom row focuses on technical controls and refinement of progenitor subsets. The bead-tracking panel (CAL988) confirms stable calibration throughout the acquisition, with bead counts remaining consistent across time. Finally, the CD45-FITC versus SS plot identifies the CD45^dim subset, which overlaps with CD34⁺ expression and is enriched for primitive hematopoietic progenitors. Narratively, this CF(8) figure demonstrates the stepwise dissection of the sample: starting with bead-calibrated leukocytes, excluding dead cells, defining CD34⁺ events, and isolating the CD34⁺/CD45^dim/HPC fractions. The high viability, stable calibration, and reproducible separation of lymphoid and myeloid compartments underscore the robustness of the dataset and the reliability of rare progenitor detection.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44" name="193323 - Εικόνα" descr="HIGH 1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1 I-images-1.jpg"/>
                    <pic:cNvPicPr/>
                  </pic:nvPicPr>
                  <pic:blipFill>
                    <a:blip r:embed="rId30"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Scheme25. This CF(7) figure illustrates the initial ungated population and the lymphocyte gate validation, which serve as critical quality control steps in the flow cytometry workflow. On the left, the CD34-PE versus CD45-FITC dot plot displays the entire acquisition before gating. Four quadrants (A1–A4) are defined: A1 and A2 capture rare CD34⁺ events, while A3 and A4 contain the bulk of CD34⁻ leukocytes. The Livegate is drawn around the main diagonal cluster, representing viable events for downstream analysis. Calibration beads form a tight, discrete cluster at the far right, demonstrating successful internal control. On the right, a side scatter (SS) histogram is used as a lymphocyte gate check. The sharp peak at low side scatter corresponds to lymphocytes, which typically show small size and low granularity. The overlaid “lymphgate check” ensures that this subset is properly captured within the expected scatter window, confirming that lymphocyte recovery is consistent across runs. Together, these two panels highlight the robustness of the acquisition. The calibration beads confirm proper instrument standardization, while the ungated quadrants and livegate establish a clean baseline for analysis. The lymphocyte check further validates that the scatter properties of key immune subsets align with expectations, ensuring the reliability of downstream CD34⁺ and progenitor cell analysis.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45" name="193324 - Εικόνα" descr="HIGH 1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1 I-images-2.jpg"/>
                    <pic:cNvPicPr/>
                  </pic:nvPicPr>
                  <pic:blipFill>
                    <a:blip r:embed="rId31"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Scheme26.</w:t>
      </w:r>
      <w:r w:rsidRPr="009D2906">
        <w:t xml:space="preserve"> </w:t>
      </w:r>
      <w:r w:rsidRPr="009D2906">
        <w:rPr>
          <w:color w:val="auto"/>
        </w:rPr>
        <w:t>This CF(7) statistical analysis table summarizes one acquisition run and documents the progression from bead calibration through successive gating steps that refine the CD34⁺ compartment. The bead-based calibration performed as expected, with 1,044 absolute bead counts (3.58% of total events), closely matching the internal CAL standard of 988 events (4.82% of the dataset). This consistency confirms proper instrument compensation and sample acquisition stability. From the total leukocyte pool, CD34⁺ events were gated out at 277 counts (1.35% of all cells), representing the anticipated minority fraction within the sample. Among these, the CD45^dim subset accounted for 209 counts (75.24% of CD34⁺), indicating enrichment for primitive hematopoietic progenitors. Within this compartment, further restriction to CD34⁺ HPCs yielded 184 events (0.90% of all cells, 88.01% of the CD45^dim subset), consistent with the expected rarity of true progenitors. At the whole sample level, the leukocyte gate contained 19,170 counts, representing 93.55% of total events, ensuring that the majority of viable leukocytes were retained for downstream analysis. Within this gate, the CD34⁺ population represented 1.35% of leukocytes, a frequency in line with physiological ranges for circulating stem and progenitor cells. Narratively, these CF(7) results show that the dataset is well-calibrated and that stepwise gating effectively resolves a small but robust CD34⁺/CD45^dim/HPC fraction from the bulk leukocyte population. The absolute and relative frequencies reinforce both the rarity and reproducibility of progenitor detection across samples.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46" name="193325 - Εικόνα" descr="HIGH 1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1 I-images-3.jpg"/>
                    <pic:cNvPicPr/>
                  </pic:nvPicPr>
                  <pic:blipFill>
                    <a:blip r:embed="rId32"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Scheme27.</w:t>
      </w:r>
      <w:r w:rsidRPr="009D2906">
        <w:t xml:space="preserve"> </w:t>
      </w:r>
      <w:r w:rsidRPr="009D2906">
        <w:rPr>
          <w:color w:val="auto"/>
        </w:rPr>
        <w:t>This CF(7) table extends the statistical overview of the same acquisition and details the gating refinement through lymphocyte exclusion, bead removal, and viability checks, ultimately resolving the leukocyte and progenitor fractions. Within the initial lymphocyte gate, 5,773 events were identified, representing 28.17% of the total dataset. No lymphogate check failures were recorded, ensuring clean separation at this stage. After bead exclusion, 19,447 events were retained (94.90% of all cells), of which 19,272 (94.05%) were confirmed viable, reflecting high sample quality with minimal dead-cell contamination. The ungated pool contained 20,491 events, of which 2,194 (10.71%) fell into the CD34⁺ A2 gate. The CD45^dim progenitor-enriched compartment accounted for 1,8279 events (89.20%), while beads comprised 1,044 events (5.10%), closely aligning with the bead calibration step described previously. The final viability-confirmed leukocyte pool contained 19,170 events (93.55% of the dataset), with lymphocytes contributing 5,773 events (29.96% of gated leukocytes). This distribution is consistent with peripheral blood proportions and supports reliable identification of CD34⁺ progenitors within a physiologically representative cellular background. In narrative terms, these CF(2) results confirm that the gating strategy effectively excluded beads, removed dead cells, and preserved a robust leukocyte population. The presence of a clear CD34⁺ signal, supported by the expected frequencies of CD45^dim subsets, demonstrates both the reproducibility of the acquisition and the integrity of progenitor enumeration.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47" name="193326 - Εικόνα" descr="HIGH 1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1 I-images-4.jpg"/>
                    <pic:cNvPicPr/>
                  </pic:nvPicPr>
                  <pic:blipFill>
                    <a:blip r:embed="rId33"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Scheme28. This CF(2) composite panel integrates both dot plots and statistical tables, giving a full view of how the gating strategy progressively refined the dataset from total events down to rare CD34⁺ progenitors. In the upper left, the CD45-FITC versus side scatter (SS) plot defines the leukocyte pool, separating lymphocytes from broader leukocytes (LEUKS). The accompanying table confirms that 19,272 viable events were retained (94.05% of all cells), with lymphocytes representing nearly one-third of this population (5,773 events, 28.17%). At the top right, the CD34-PE versus SS plot resolves the CD34⁺ subset, amounting to 277 events (1.35% of leukocytes). The statistical summary highlights the enrichment of CD34⁺CD45^dim progenitors, with 209 events (75.24% of CD34⁺), and within this fraction, 184 events (88.01% of CD45^dim) classified as HPCs. These numbers reinforce the reproducibility of rare progenitor detection, consistent with physiological expectations. The middle row expands on progenitor resolution. The CD45-FITC plot demonstrates a discrete CD45^dim population, while the forward scatter (FS) versus SS plot further isolates the CD34⁺ HPCs, validating their smaller size and lower granularity relative to mature leukocytes. The bottom row ensures technical rigor. The ungated CD34 versus CD45 scatterplot shows the entire acquisition, with a clear bead cluster validating calibration. Bead counts remain stable (1,044 events, 5.10%), aligning with the internal control (CAL 988 events, 4.82%). The time versus bead plot demonstrates consistent acquisition without drift, while the 7-AAD viability plot confirms the removal of non-viable cells, with nearly all gated events falling within the live region. Together, this CF(7) panel narrates the analytical flow: beads establish instrument fidelity, viability gating ensures data integrity, leukocytes are cleanly separated from lymphocytes, and CD34⁺ events are progressively refined into a rare but robust progenitor fraction. The statistical overlays substantiate the dot plot visuals, creating a coherent, publication-ready depiction of progenitor detection.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48" name="193327 - Εικόνα" descr="HIGH 1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 1 I-images-0.jpg"/>
                    <pic:cNvPicPr/>
                  </pic:nvPicPr>
                  <pic:blipFill>
                    <a:blip r:embed="rId34"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Scheme29. Flow Cytometry CD34⁺/CD45⁺ results; </w:t>
      </w:r>
      <w:r w:rsidRPr="009D2906">
        <w:rPr>
          <w:b w:val="0"/>
          <w:bCs w:val="0"/>
          <w:color w:val="auto"/>
        </w:rPr>
        <w:t>Stemartis Supplement CF(7): Compositions: flavonoid-rich panel (sesamolin)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phytical elementsOutcome.</w:t>
      </w:r>
      <w:r w:rsidRPr="009D2906">
        <w:rPr>
          <w:color w:val="auto"/>
        </w:rPr>
        <w:t xml:space="preserve"> Increase in CD34⁺/CD45⁺ and EPCs (Figs. </w:t>
      </w:r>
      <w:r w:rsidRPr="009D2906">
        <w:rPr>
          <w:b w:val="0"/>
          <w:bCs w:val="0"/>
          <w:color w:val="auto"/>
        </w:rPr>
        <w:t>14k–16k</w:t>
      </w:r>
      <w:r w:rsidRPr="009D2906">
        <w:rPr>
          <w:color w:val="auto"/>
        </w:rPr>
        <w:t xml:space="preserve">), </w:t>
      </w:r>
      <w:r w:rsidRPr="009D2906">
        <w:rPr>
          <w:b w:val="0"/>
          <w:bCs w:val="0"/>
          <w:color w:val="auto"/>
        </w:rPr>
        <w:t>Composition.</w:t>
      </w:r>
      <w:r w:rsidRPr="009D2906">
        <w:rPr>
          <w:color w:val="auto"/>
        </w:rPr>
        <w:t xml:space="preserve"> Galgravin, </w:t>
      </w:r>
      <w:r w:rsidRPr="009D2906">
        <w:rPr>
          <w:b w:val="0"/>
          <w:bCs w:val="0"/>
          <w:color w:val="auto"/>
        </w:rPr>
        <w:t>kaempferol</w:t>
      </w:r>
      <w:r w:rsidRPr="009D2906">
        <w:rPr>
          <w:color w:val="auto"/>
        </w:rPr>
        <w:t xml:space="preserve">, </w:t>
      </w:r>
      <w:r w:rsidRPr="009D2906">
        <w:rPr>
          <w:b w:val="0"/>
          <w:bCs w:val="0"/>
          <w:color w:val="auto"/>
        </w:rPr>
        <w:t>sesamolin</w:t>
      </w:r>
      <w:r w:rsidRPr="009D2906">
        <w:rPr>
          <w:color w:val="auto"/>
        </w:rPr>
        <w:t xml:space="preserve">, </w:t>
      </w:r>
      <w:r w:rsidRPr="009D2906">
        <w:rPr>
          <w:b w:val="0"/>
          <w:bCs w:val="0"/>
          <w:color w:val="auto"/>
        </w:rPr>
        <w:t>EGCG</w:t>
      </w:r>
      <w:r w:rsidRPr="009D2906">
        <w:rPr>
          <w:color w:val="auto"/>
        </w:rPr>
        <w:t>, and hyperoside-containing botanicals. [172–190,198–200].</w:t>
      </w:r>
      <w:r w:rsidRPr="009D2906">
        <w:t xml:space="preserve"> </w:t>
      </w:r>
      <w:r w:rsidRPr="009D2906">
        <w:rPr>
          <w:color w:val="auto"/>
        </w:rPr>
        <w:t>This figure illustrates the complete gating cascade for identifying CD34⁺ hematopoietic progenitors, progressing stepwise from broad leukocyte discrimination to refined progenitor resolution. At the top left, the CD45-FITC versus side scatter (SS) plot distinguishes leukocytes from lymphocytes. The bulk of events cluster in the leukocyte gate, while lymphocytes are clearly separated as a smaller subset with lower side scatter. This initial discrimination ensures that downstream gating is applied to the correct cellular population. At the top right, the CD34-PE versus SS plot highlights the CD34⁺ fraction within CD45⁺ leukocytes. These events form a distinct cluster of low-to-intermediate side scatter intensity, consistent with immature progenitor cells, while CD45-bright mature leukocytes occupy the broader distribution. The middle row further refines progenitor identification. On the left, the CD45-FITC plot isolates a discrete CD45^dim population, characteristic of hematopoietic stem and progenitor cells (HSPCs). On the right, the forward scatter (FS) versus SS plot defines the CD34⁺ HPC gate, confirming the smaller size and reduced granularity of progenitors compared to differentiated leukocytes. The bottom row provides critical quality controls. The 7-AAD viability plot on the left confirms that most gated events are viable, with non-viable cells excluded by their higher uptake of the DNA dye. In parallel, the bead calibration plot (time versus bead signal) demonstrates stable acquisition across the full run, with the CAL 988 reference population appearing consistently throughout the analysis. Narratively, this figure demonstrates a robust, reproducible gating strategy: leukocytes are identified and distinguished from lymphocytes, viable cells are retained, and within the CD45^dim compartment, rare CD34⁺ progenitors are resolved. The combined use of scatter characteristics, viability markers, and calibration beads ensures accuracy in detecting and quantifying HSPCs.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49" name="193328 - Εικόνα" descr="LOW 6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6 I-images-1.jpg"/>
                    <pic:cNvPicPr/>
                  </pic:nvPicPr>
                  <pic:blipFill>
                    <a:blip r:embed="rId35"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Scheme30.</w:t>
      </w:r>
      <w:r w:rsidRPr="009D2906">
        <w:t xml:space="preserve"> </w:t>
      </w:r>
      <w:r w:rsidRPr="009D2906">
        <w:rPr>
          <w:color w:val="auto"/>
        </w:rPr>
        <w:t>This CF(6) panel illustrates the initial gating quality controls used prior to isolating hematopoietic progenitors. On the left, the CD34-PE versus CD45-FITC bivariate plot shows the distribution of events in the ungated dataset. Distinct quadrants are defined: A1–A4, along with the live gate region. The CD34^dim/negative events form the bulk distribution, while CD45^bright cells cluster separately. Calibration beads are clearly identified in the far-right upper quadrant, serving as internal references for both fluorescence intensity and event acquisition stability. The live gate encompasses the main viable leukocyte population, which will be carried forward for subsequent refinements in gating. On the right, the side scatter (SS) histogram represents the lymphocyte check region. Here, most of the events cluster at very low side scatter, corresponding to small lymphoid cells. The gate is designed to verify the correct positioning of the lymphocyte population and ensure that lymphocytes are distinguished from more granular cell subsets. Together, these CF(6) plots provide the foundation for reliable gating. The bead controls confirm proper instrument alignment and acquisition, while the initial live gate ensures that only biologically relevant, viable events are retained. The lymphocyte check further validates that scatter properties align with expected biological distributions, ensuring accuracy for subsequent CD34⁺ progenitor identification.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0" name="193336 - Εικόνα" descr="LOW 6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6 I-images-2.jpg"/>
                    <pic:cNvPicPr/>
                  </pic:nvPicPr>
                  <pic:blipFill>
                    <a:blip r:embed="rId36"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Scheme31.</w:t>
      </w:r>
      <w:r w:rsidRPr="009D2906">
        <w:t xml:space="preserve"> </w:t>
      </w:r>
      <w:r w:rsidRPr="009D2906">
        <w:rPr>
          <w:color w:val="auto"/>
        </w:rPr>
        <w:t>This CF(6) statistical report provides a detailed breakdown of gating progression and event distribution for the analyzed sample. The bead gate shows 1,031 absolute events (4.30% of the total dataset), with calibration beads (CAL) contributing 988 events (4.12%), confirming proper instrument performance and alignment. Within the CD34⁺ gate, after exclusion of beads and non-viable events, 278 total CD34⁺ events were identified (1.16% of total events). Of these, 57 events were assigned to the CD45^dim subset (0.24% of all cells), which is consistent with the expected progenitor-enriched phenotype. Further refinement revealed that 48 of these CD45^dim cells (0.20% of the dataset) were classified as CD34⁺ hematopoietic progenitors (HPCs), corresponding to 84.15% of the CD45^dim fraction, indicating a relatively clean enrichment of true progenitors within this compartment. At the leukocyte gate, 22,451 viable CD45⁺ leukocytes were recorded (93.65% of total events). Among them, 278 were CD34⁺ (1.16% of leukocytes), confirming that the progenitor population represented a small but clearly defined fraction of the viable leukocyte pool. Taken together, these CF(6) statistics confirm that the gating strategy successfully distinguished calibration beads, viable leukocytes, and CD34⁺ progenitors, with a consistent CD45^dim phenotype supporting the identification of hematopoietic stem and progenitor cells. The observed proportions fall within expected biological ranges, reinforcing the robustness of the acquisition and analysis.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1" name="193337 - Εικόνα" descr="LOW 6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6 I-images-3.jpg"/>
                    <pic:cNvPicPr/>
                  </pic:nvPicPr>
                  <pic:blipFill>
                    <a:blip r:embed="rId37"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Scheme32.</w:t>
      </w:r>
      <w:r w:rsidRPr="009D2906">
        <w:t xml:space="preserve"> </w:t>
      </w:r>
      <w:r w:rsidRPr="009D2906">
        <w:rPr>
          <w:color w:val="auto"/>
        </w:rPr>
        <w:t>This CF(6) statistical analysis report expands on the earlier dataset by providing a complete overview of lymphocyte, leukocyte, and progenitor distributions across sequential gates. Within the lymphocyte gate, 4,739 events were recorded, representing 19.76% of the total cellular population, with gating efficiency at 100%. The leukocyte compartment was substantially larger, with 22,944 events (95.70% of the dataset), of which 22,709 were classified as viable (94.72% of the dataset; 98.98% of the leukocyte gate), confirming that the majority of leukocytes were intact and analyzable. The ungated acquisition contained 23,976 total events (69,401 counts), of which 2,890 events (12.06%) fell into the A2 gate and 208 events (0.87%) into A3, while the majority (20,868 events; 87.05%) clustered in A4, consistent with expected CD45/CD34 staining distributions. Beads accounted for 1,031 events (4.30%), aligning with the calibration values established earlier. When viability refinement was applied, the dataset yielded 22,709 viable events (94.72% of the total). Among these, 22,451 were CD45⁺ leukocytes (93.65% of all cells), and 4,739 were lymphocytes (19.76% of the dataset; 20.87% of gated viable cells). This balance demonstrates a preserved lymphoid-to-myeloid ratio within the analyzed sample. Taken together, these CF(6) statistics confirm robust separation of lymphocytes from the total leukocyte pool, high overall cell viability, and reproducible bead-based calibration. The dataset reinforces the accuracy of gating in delineating viable lymphocytes and leukocytes, providing a reliable basis for subsequent quantification of CD34⁺ progenitors and functional subsets.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2" name="193338 - Εικόνα" descr="LOW 6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6 I-images-4.jpg"/>
                    <pic:cNvPicPr/>
                  </pic:nvPicPr>
                  <pic:blipFill>
                    <a:blip r:embed="rId38"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Scheme33.</w:t>
      </w:r>
      <w:r w:rsidRPr="009D2906">
        <w:t xml:space="preserve"> </w:t>
      </w:r>
      <w:r w:rsidRPr="009D2906">
        <w:rPr>
          <w:color w:val="auto"/>
        </w:rPr>
        <w:t>This CF(6) composite dataset integrates both the dot plot panels and the corresponding statistical breakdown, offering a full narrative of the gating workflow and quantitative output. Initial ungated acquisition contained 23,976 total events, of which calibration beads contributed 1,031 events (4.30%), validating acquisition consistency and fluorescence scaling. After exclusion of beads, 22,944 leukocytes were identified (95.70% of total), with 22,709 classified as viable (94.72% of all events; 98.98% of leukocytes), demonstrating a high integrity of the cell suspension. Within this leukocyte pool, 4,739 were lymphocytes (19.76%), consistent with a preserved lymphoid compartment. From this viable leukocyte fraction, CD34⁺ progenitors were resolved. 278 CD34⁺ events were detected (1.16% of leukocytes; 0.87% of total), the majority exhibiting a CD45^dim phenotype, characteristic of early hematopoietic progenitors. Specifically, 57 cells (0.24% of total) localized to the CD45^dim gate, of which 48 (0.20% of all events) were confirmed as CD34⁺ hematopoietic progenitors (HPCs). This represented 84.15% of the CD45^dim subset, indicating strong enrichment of progenitors within this compartment. Scatter gating further validated these findings, with lymphocytes clustering tightly at low side scatter and CD34⁺ events separating distinctly from the CD45^bright mature leukocytes. The inclusion of bead-based calibration plots provided additional assurance of temporal acquisition stability, with the CAL 988 region aligning precisely across replicates. Together, these CF(6) data confirm that the gating strategy robustly separated calibration beads, viable leukocytes, lymphocytes, and rare CD34⁺ progenitors. The frequency of HPCs, while low, was consistent with expected biological ranges, and the high proportion of CD45^dim/CD34⁺ events within the progenitor gate supports the specificity of the analysis.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3" name="193339 - Εικόνα" descr="LOW 6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6 I-images-0.jpg"/>
                    <pic:cNvPicPr/>
                  </pic:nvPicPr>
                  <pic:blipFill>
                    <a:blip r:embed="rId39"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 xml:space="preserve">Scheme34. Flo Cytometry CD34⁺/CD45⁺ results; </w:t>
      </w:r>
      <w:r w:rsidRPr="009D2906">
        <w:rPr>
          <w:b w:val="0"/>
          <w:bCs w:val="0"/>
          <w:color w:val="auto"/>
        </w:rPr>
        <w:t>Stemartis Supplement CF(6); Outcome.</w:t>
      </w:r>
      <w:r w:rsidRPr="009D2906">
        <w:rPr>
          <w:color w:val="auto"/>
        </w:rPr>
        <w:t xml:space="preserve"> Positive CD34⁺/CD45⁺ and EPC shifts; </w:t>
      </w:r>
      <w:r w:rsidRPr="009D2906">
        <w:rPr>
          <w:b w:val="0"/>
          <w:bCs w:val="0"/>
          <w:color w:val="auto"/>
        </w:rPr>
        <w:t>Composition; strictosamide</w:t>
      </w:r>
      <w:r w:rsidRPr="009D2906">
        <w:rPr>
          <w:color w:val="auto"/>
        </w:rPr>
        <w:t xml:space="preserve">, </w:t>
      </w:r>
      <w:r w:rsidRPr="009D2906">
        <w:rPr>
          <w:b w:val="0"/>
          <w:bCs w:val="0"/>
          <w:color w:val="auto"/>
        </w:rPr>
        <w:t>chrysin</w:t>
      </w:r>
      <w:r w:rsidRPr="009D2906">
        <w:rPr>
          <w:color w:val="auto"/>
        </w:rPr>
        <w:t xml:space="preserve">, </w:t>
      </w:r>
      <w:r w:rsidRPr="009D2906">
        <w:rPr>
          <w:b w:val="0"/>
          <w:bCs w:val="0"/>
          <w:color w:val="auto"/>
        </w:rPr>
        <w:t>toosendanin</w:t>
      </w:r>
      <w:r w:rsidRPr="009D2906">
        <w:rPr>
          <w:color w:val="auto"/>
        </w:rPr>
        <w:t>; ECM/antioxidant support.</w:t>
      </w:r>
      <w:r w:rsidRPr="009D2906">
        <w:t xml:space="preserve"> </w:t>
      </w:r>
      <w:r w:rsidRPr="009D2906">
        <w:rPr>
          <w:color w:val="auto"/>
        </w:rPr>
        <w:t>This panel of flow cytometry plots illustrates the complete gating strategy used to identify and validate hematopoietic progenitor populations within the leukocyte pool. The analysis begins with exclusion of calibration beads, after which leukocytes are resolved based on CD45 expression and side scatter. Within this compartment, a distinct lymphocyte subset is observed with low side scatter, while the broader leukocyte pool provides the foundation for subsequent gating. CD34 versus side scatter plots reveal a clear CD34⁺ population, which can be distinguished from the CD45^bright mature leukocytes. When overlaid, the CD34⁺ events cluster with a CD45^dim phenotype, consistent with immature progenitor identity. Forward scatter versus side scatter gating further supports this classification, as the CD34⁺ events localize in the region typically occupied by hematopoietic progenitors. The majority of these cells fall within the CD34⁺/CD45^dim gate, confirming the specificity of the selection. Viability was rigorously assessed by 7-AAD exclusion, with the vast majority of progenitors residing in the viable fraction, minimizing the likelihood of artifactual inclusion of apoptotic or necrotic debris. Finally, bead calibration plots (CAL 988) demonstrate consistency of acquisition across time, with fluorescence intensities stably aligned across the acquisition window. This quality control step underscores the reproducibility of the dataset and validates the integrity of the progenitor counts. Together, this CF(6) gating hierarchy ensures the accurate identification of rare CD34⁺/CD45^dim hematopoietic progenitors within a heterogeneous leukocyte suspension, providing a reliable quantitative foundation for downstream interpretation.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4" name="193340 - Εικόνα" descr="LOW 5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5 I-images-1.jpg"/>
                    <pic:cNvPicPr/>
                  </pic:nvPicPr>
                  <pic:blipFill>
                    <a:blip r:embed="rId40"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Scheme35.</w:t>
      </w:r>
      <w:r w:rsidRPr="009D2906">
        <w:t xml:space="preserve"> </w:t>
      </w:r>
      <w:r w:rsidRPr="009D2906">
        <w:rPr>
          <w:color w:val="auto"/>
        </w:rPr>
        <w:t>This CF(5) figure presents the earliest stages of the flow cytometric analysis. On the left, a CD45 versus CD34 dot plot is shown, which includes both the ungated population and bead events. The beads cluster separately in the upper right quadrant, clearly distinguishable from the biological sample. The main cell population distributes along the diagonal axis, with subsets partitioned into quadrants (A1–A4), and the “Livegate” window is drawn to isolate viable cellular events for downstream analysis. On the right, a side scatter histogram is displayed. Here, a quality control region labeled “lymphgatecheck” is defined, although in this acquisition, nearly all events cluster tightly at the low side scatter end of the distribution, suggesting minimal lymphocyte recovery or detection within the defined gate. This setup establishes the calibration (via beads), defines the total viable cell pool, and applies an initial structural check for lymphocyte inclusion before subsequent gating on leukocyte subsets and progenitor identification.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5" name="193341 - Εικόνα" descr="LOW 5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5 I-images-2.jpg"/>
                    <pic:cNvPicPr/>
                  </pic:nvPicPr>
                  <pic:blipFill>
                    <a:blip r:embed="rId41"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Scheme36. This CF(5) statistical analysis report corresponds to the sample acquired on file stemCXP_000188082024-10-31147.LMD. The bead-based calibration control is presented first, showing an absolute bead count of 1,047 events corresponding to 1,493 measured events, which accounted for 6.20% of the total and was gated at 100%. Within this bead population, the calibration subset (CAL) consisted of 988 events, equivalent to 94.37% of the gated population, confirming proper instrument alignment and recovery. Following calibration, the leukocyte analysis was performed with the CD34 positive gate. In total, 63 absolute CD34+ events were identified, corresponding to 90 acquired events, representing 0.37% of the overall population. Within this gate, CD45dim progenitor cells were detected, with 48 absolute events contributing to 0.28% of the total population, amounting to 75.56% of the CD34+ pool. The hierarchical analysis further narrowed down to the CD34+ hematopoietic progenitor cell (HPC) population. Here, 34 absolute events were enumerated (48 acquired), accounting for 0.20% of the total, with 70.59% of these classified as CD34+ HPCs, confirming the expected progenitor enrichment within the CD45dim subset. At the global leukocyte level, excluding beads, the total viable CD45+ leukocyte population was 15,474 events, corresponding to 22,068 acquired, or 91.58% of all cells analyzed. Within this compartment, CD34+ cells remained at 0.37% of the population, reinforcing their rarity, while CD45+ leukocytes accounted fully for the gated pool. This CF(5) dataset indicates a successful acquisition with appropriate calibration and a low but clearly defined CD34+ progenitor population embedded within the broader leukocyte fraction.</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6" name="193342 - Εικόνα" descr="LOW 5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5 I-images-3.jpg"/>
                    <pic:cNvPicPr/>
                  </pic:nvPicPr>
                  <pic:blipFill>
                    <a:blip r:embed="rId42"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Scheme37.</w:t>
      </w:r>
      <w:r w:rsidRPr="009D2906">
        <w:t xml:space="preserve"> </w:t>
      </w:r>
      <w:r w:rsidRPr="009D2906">
        <w:rPr>
          <w:color w:val="auto"/>
        </w:rPr>
        <w:t>In this CF(5) run, the lymphocyte gate contained 2,458 absolute events, corresponding to 3,505 acquired counts, which represented 14.5% of the total population. The lymphogate check confirmed a clean separation, with no spillover detected. When beads were excluded, 15,851 events remained, accounting for 93.8% of the total population. Within this fraction, 15,654 events were classified as viable, which represented 92.6% of the overall cells and almost 99% of the bead-free subset, highlighting a high level of viability in the sample.,Looking at the ungated distribution, a total of 16,898 absolute events were recorded, of which the vast majority (over 15,000 events, or 89.3%) fell within region A4. Smaller fractions were seen in A2 (around 10.5%) and negligible proportions in A1 and A3, while bead events comprised 6.2% of the total. Importantly, the live gate included nearly all events (over 99%), confirming robust discrimination of viable cells.Within the viable population, 15,474 cells expressed CD45, confirming their leukocyte identity and representing more than 91% of the total events acquired. Lymphocytes made up 2,458 of these leukocytes, amounting to about 14.5% of the viable fraction. Altogether, the CF(5) data illustrate a sample dominated by viable CD45-positive leukocytes, with lymphocytes forming a substantial minority, and with appropriate bead separation and gating that ensured clean analysis.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7" name="703 - Εικόνα" descr="LOW 5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5 I-images-4.jpg"/>
                    <pic:cNvPicPr/>
                  </pic:nvPicPr>
                  <pic:blipFill>
                    <a:blip r:embed="rId43"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Scheme38.</w:t>
      </w:r>
      <w:r w:rsidRPr="009D2906">
        <w:t xml:space="preserve"> </w:t>
      </w:r>
      <w:r w:rsidRPr="009D2906">
        <w:rPr>
          <w:color w:val="auto"/>
        </w:rPr>
        <w:t>This CF(5) dataset shows a well-structured flow cytometry analysis with clear gating steps to identify leukocytes, progenitor populations, and viability. The bead exclusion step ensured that 15,851 events, representing 93.8% of the sample, were retained for analysis. Within this viable, bead-free compartment, 15,654 events were classified as live, making up 92.6% of the total, which underscores excellent viability. The ungated analysis recorded 16,898 total events. The vast majority clustered in region A4 (about 89%), while a smaller but significant population of 10.5% fell within A2. Minimal representation was seen in A1 and A3. Beads accounted for 6.2% of events, and the live gate covered 99.4% of the total, highlighting robust event capture and clear separation of viable cells. Focusing on the leukocyte population, 15,474 CD45-positive events were identified, representing 91.6% of the sample. Of these, lymphocytes accounted for 2,458 events, or 14.5% of the total, indicating a well-defined lymphoid component. A smaller subset of CD34-positive progenitor cells was detected, comprising 63 events, or 0.37% of the sample. Within this, 48 events were further refined into the CD45dim/CD34+ fraction, and 34 events were identified as CD34+ HPC, corresponding to 0.2% of all events. Altogether, the CF(5) analysis demonstrates a sample with high viability and predominance of CD45-positive leukocytes. The lymphocyte subset is proportionally preserved, while a small but measurable CD34-positive hematopoietic progenitor population is present. This gating strategy effectively distinguishes viable leukocytes from debris and beads, ensuring reliable enumeration of rare progenitor cells.</w:t>
      </w:r>
    </w:p>
    <w:p w:rsidR="00130CA1" w:rsidRPr="009D2906" w:rsidRDefault="00130CA1" w:rsidP="00130CA1">
      <w:pPr>
        <w:keepNext/>
        <w:rPr>
          <w:sz w:val="18"/>
          <w:szCs w:val="18"/>
        </w:rPr>
      </w:pPr>
      <w:r w:rsidRPr="009D2906">
        <w:rPr>
          <w:b/>
          <w:bCs/>
          <w:noProof/>
          <w:sz w:val="18"/>
          <w:szCs w:val="18"/>
          <w:lang w:val="el-GR"/>
        </w:rPr>
        <w:drawing>
          <wp:inline distT="0" distB="0" distL="0" distR="0">
            <wp:extent cx="6645910" cy="8600440"/>
            <wp:effectExtent l="19050" t="0" r="2540" b="0"/>
            <wp:docPr id="193358" name="704 - Εικόνα" descr="LOW 5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5 I-images-0.jpg"/>
                    <pic:cNvPicPr/>
                  </pic:nvPicPr>
                  <pic:blipFill>
                    <a:blip r:embed="rId44"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keepNext/>
        <w:rPr>
          <w:color w:val="auto"/>
        </w:rPr>
      </w:pPr>
      <w:r w:rsidRPr="009D2906">
        <w:rPr>
          <w:color w:val="auto"/>
        </w:rPr>
        <w:t xml:space="preserve">Scheme39. Flow Cytometry CD34⁺/CD45⁺ results; </w:t>
      </w:r>
      <w:r w:rsidRPr="009D2906">
        <w:rPr>
          <w:b w:val="0"/>
          <w:bCs w:val="0"/>
          <w:color w:val="auto"/>
        </w:rPr>
        <w:t>Stemartis Supplement CF(5) → Stemartis Supplement CF(1): biflavone -enriched sets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phytical elements; Outcome.</w:t>
      </w:r>
      <w:r w:rsidRPr="009D2906">
        <w:rPr>
          <w:color w:val="auto"/>
        </w:rPr>
        <w:t xml:space="preserve"> All five panels increased CD34⁺/CD45⁺ and </w:t>
      </w:r>
      <w:r w:rsidRPr="009D2906">
        <w:rPr>
          <w:b w:val="0"/>
          <w:bCs w:val="0"/>
          <w:color w:val="auto"/>
        </w:rPr>
        <w:t>CD133⁺</w:t>
      </w:r>
      <w:r w:rsidRPr="009D2906">
        <w:rPr>
          <w:color w:val="auto"/>
        </w:rPr>
        <w:t xml:space="preserve"> EPCs to varying degrees; </w:t>
      </w:r>
      <w:r w:rsidRPr="009D2906">
        <w:rPr>
          <w:b w:val="0"/>
          <w:bCs w:val="0"/>
          <w:color w:val="auto"/>
        </w:rPr>
        <w:t>Highlights.</w:t>
      </w:r>
      <w:r w:rsidRPr="009D2906">
        <w:rPr>
          <w:color w:val="auto"/>
        </w:rPr>
        <w:t xml:space="preserve"> Stemartis Supplement CF(5) ginkgetin/trifolirhizin/alkannin; Within this leukocyte population, a small subset of CD34-positive cells emerges, representing hematopoietic progenitors. These cells are clearly separated against the CD45 axis, forming a CD34⁺/CD45⁺ cluster. When examined more closely, a proportion of these progenitors shows reduced CD45 expression (CD45dim), consistent with early progenitor phenotypes. From this subset, hematopoietic progenitor cells (HPCs) are gated further, revealing a small but distinct population of interest. Cell viability is evaluated using 7-AAD staining. The majority of events fall within the negative fraction, confirming a high proportion of viable cells. The “MABLE” gate highlights this viable subset, ensuring that downstream quantification focuses only on intact, living cells. Internal control beads (CAL 988) are detected consistently across acquisition time, as shown by the stability of their signal in the time vs. stem count plot. This provides confidence in the accuracy and reproducibility of the analysis.</w:t>
      </w:r>
      <w:r w:rsidRPr="009D2906">
        <w:rPr>
          <w:noProof/>
          <w:color w:val="auto"/>
          <w:lang w:val="el-GR"/>
        </w:rPr>
        <w:drawing>
          <wp:inline distT="0" distB="0" distL="0" distR="0">
            <wp:extent cx="6645910" cy="8600440"/>
            <wp:effectExtent l="19050" t="0" r="2540" b="0"/>
            <wp:docPr id="193359" name="706 - Εικόνα" descr="LOW 4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4 I-images-1.jpg"/>
                    <pic:cNvPicPr/>
                  </pic:nvPicPr>
                  <pic:blipFill>
                    <a:blip r:embed="rId45"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Scheme40.</w:t>
      </w:r>
      <w:r w:rsidRPr="009D2906">
        <w:t xml:space="preserve"> </w:t>
      </w:r>
      <w:r w:rsidRPr="009D2906">
        <w:rPr>
          <w:color w:val="auto"/>
        </w:rPr>
        <w:t>This CF(4) dataset provides an overview of the initial gating quality control for the flow cytometry run. On the left panel, the scatter plot of CD45 (x-axis) versus CD34 (y-axis) is shown. Several gates (A1–A4) and a “Livegate” region are drawn to separate beads, background, and cellular events. The bead population clusters distinctly at high CD45/CD34 values, clearly separated from the biological events. The majority of cells are distributed in the lower quadrants, with the A3 and A4 gates capturing CD34⁻ and CD45dim/low populations, respectively, which typically contain progenitor fractions. The livegate is applied to ensure that only true cellular events are analyzed further, excluding debris and non-cellular signals. On the right panel, a histogram shows the lymphocyte gate check, plotted on side scatter (SS). A sharp, narrow distribution is visible at low SS, consistent with lymphocytes. This confirms proper gating strategy, as lymphocytes are expected to cluster in this region due to their small size and low granularity. In summary, this CF(4) figure confirms that beads are excluded, live cells are appropriately gated, and lymphocyte identification is validated. This step ensures that downstream analysis—such as viability assessment and progenitor detection—will be based on a clean and reliable dataset.</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0" name="707 - Εικόνα" descr="LOW 4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4 I-images-2.jpg"/>
                    <pic:cNvPicPr/>
                  </pic:nvPicPr>
                  <pic:blipFill>
                    <a:blip r:embed="rId46"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Scheme41.</w:t>
      </w:r>
      <w:r w:rsidRPr="009D2906">
        <w:t xml:space="preserve"> </w:t>
      </w:r>
      <w:r w:rsidRPr="009D2906">
        <w:rPr>
          <w:color w:val="auto"/>
        </w:rPr>
        <w:t>This CF(4) flow cytometry analysis begins with bead calibration, where approximately 1,050 beads/µL were recovered, confirming reliable acquisition and absolute count calculation. The calibration beads (CAL) showed consistent gating, with about 94% efficiency, indicating that the system is stable and counts are trustworthy. When moving into the stem/progenitor analysis, a small but distinct CD34⁺ population is detected at roughly 129 cells/µL, making up about 0.65% of the total leukocytes. Within this CD34⁺ pool, a subset with low CD45 expression (CD45dim) accounts for about half of the CD34⁺ cells (66/µL). This profile is typical for immature progenitors. Further refinement of gating identifies the CD34⁺ hematopoietic progenitor cells (HPCs). These cells appear at a frequency of 59 cells/µL, comprising about 0.29% of leukocytes, with strong gating consistency (~88%). Looking at the overall leukocyte recovery, the sample contains a robust population of about 18,562 leukocytes/µL in total. CD34⁺ cells represent a very small fraction of this population — less than 1% — while the majority are mature CD45⁺ leukocytes, as expected in peripheral blood or bone marrow aspirates.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1" name="708 - Εικόνα" descr="LOW 4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4 I-images-3.jpg"/>
                    <pic:cNvPicPr/>
                  </pic:nvPicPr>
                  <pic:blipFill>
                    <a:blip r:embed="rId47"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Scheme42. The CF(4) dataset opens with the lymphocyte gate, where about 5,266 lymphocytes/µL were identified, representing just over a quarter of all acquired events (26.5%). The lymphocyte checkpoint registered cleanly, with no extraneous signal, confirming that the population was well-defined and free from gating artifacts. Next, when gating on all viable events (excluding beads), the analysis recovers roughly 18,812 leukocytes/µL, out of which 18,589 cells/µL were viable. This translates to a very high viability of 93.6%, consistent with a healthy and reliable sample. The ungated profile provides a more complete picture: total events amounted to 19,863 cells/µL, with the majority (over 90%) clustering into the A4 region of the scatter plot, consistent with mature leukocytes. Smaller fractions were distributed in the other gates (A1–A3), together accounting for less than 10% of events. Calibration beads were present at 1,050 cells/µL, confirming instrument stability and accuracy of absolute counts. When further classified into viable subpopulations, the analysis shows a dominant leukocyte population (18,562 cells/µL, ~93.5%), alongside the lymphocyte fraction already noted (~5,266 cells/µL, ~26.5%). Importantly, all of these values align tightly, suggesting consistent gating across the different analysis stages. This CF(4) sample demonstrates excellent integrity, with strong recovery of leukocytes and high viability. Lymphocytes contribute a quarter of the total population, while mature leukocytes dominate. Bead calibration confirms reliable absolute counting, and the balance between viable and total events reflects a stable and healthy distribution of immune cell subsets.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3" name="709 - Εικόνα" descr="LOW 4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4 I-images-4.jpg"/>
                    <pic:cNvPicPr/>
                  </pic:nvPicPr>
                  <pic:blipFill>
                    <a:blip r:embed="rId48"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Web"/>
        <w:rPr>
          <w:sz w:val="18"/>
          <w:szCs w:val="18"/>
        </w:rPr>
      </w:pPr>
      <w:r w:rsidRPr="009D2906">
        <w:rPr>
          <w:sz w:val="18"/>
          <w:szCs w:val="18"/>
        </w:rPr>
        <w:t xml:space="preserve">Scheme43. The CF(4) analysis begins by separating </w:t>
      </w:r>
      <w:r w:rsidRPr="009D2906">
        <w:rPr>
          <w:b/>
          <w:bCs/>
          <w:sz w:val="18"/>
          <w:szCs w:val="18"/>
        </w:rPr>
        <w:t>leukocytes (LEUKS)</w:t>
      </w:r>
      <w:r w:rsidRPr="009D2906">
        <w:rPr>
          <w:sz w:val="18"/>
          <w:szCs w:val="18"/>
        </w:rPr>
        <w:t xml:space="preserve"> and </w:t>
      </w:r>
      <w:r w:rsidRPr="009D2906">
        <w:rPr>
          <w:b/>
          <w:bCs/>
          <w:sz w:val="18"/>
          <w:szCs w:val="18"/>
        </w:rPr>
        <w:t>lymphocytes (LYMPHS)</w:t>
      </w:r>
      <w:r w:rsidRPr="009D2906">
        <w:rPr>
          <w:sz w:val="18"/>
          <w:szCs w:val="18"/>
        </w:rPr>
        <w:t xml:space="preserve">. Out of the total viable events, approximately </w:t>
      </w:r>
      <w:r w:rsidRPr="009D2906">
        <w:rPr>
          <w:b/>
          <w:bCs/>
          <w:sz w:val="18"/>
          <w:szCs w:val="18"/>
        </w:rPr>
        <w:t>18,589 cells/µL (93.6%)</w:t>
      </w:r>
      <w:r w:rsidRPr="009D2906">
        <w:rPr>
          <w:sz w:val="18"/>
          <w:szCs w:val="18"/>
        </w:rPr>
        <w:t xml:space="preserve"> are classified as leukocytes, while </w:t>
      </w:r>
      <w:r w:rsidRPr="009D2906">
        <w:rPr>
          <w:b/>
          <w:bCs/>
          <w:sz w:val="18"/>
          <w:szCs w:val="18"/>
        </w:rPr>
        <w:t>5,266 cells/µL (26.5%)</w:t>
      </w:r>
      <w:r w:rsidRPr="009D2906">
        <w:rPr>
          <w:sz w:val="18"/>
          <w:szCs w:val="18"/>
        </w:rPr>
        <w:t xml:space="preserve"> represent the lymphocyte subset. This shows a balanced representation of immune populations, with leukocytes dominating the overall distribution. Zooming into </w:t>
      </w:r>
      <w:r w:rsidRPr="009D2906">
        <w:rPr>
          <w:b/>
          <w:bCs/>
          <w:sz w:val="18"/>
          <w:szCs w:val="18"/>
        </w:rPr>
        <w:t>CD34+ populations</w:t>
      </w:r>
      <w:r w:rsidRPr="009D2906">
        <w:rPr>
          <w:sz w:val="18"/>
          <w:szCs w:val="18"/>
        </w:rPr>
        <w:t xml:space="preserve">, the analysis identifies </w:t>
      </w:r>
      <w:r w:rsidRPr="009D2906">
        <w:rPr>
          <w:b/>
          <w:bCs/>
          <w:sz w:val="18"/>
          <w:szCs w:val="18"/>
        </w:rPr>
        <w:t>129 CD34+ events (0.65%)</w:t>
      </w:r>
      <w:r w:rsidRPr="009D2906">
        <w:rPr>
          <w:sz w:val="18"/>
          <w:szCs w:val="18"/>
        </w:rPr>
        <w:t xml:space="preserve">, of which about </w:t>
      </w:r>
      <w:r w:rsidRPr="009D2906">
        <w:rPr>
          <w:b/>
          <w:bCs/>
          <w:sz w:val="18"/>
          <w:szCs w:val="18"/>
        </w:rPr>
        <w:t>59 cells/µL fall into the CD34+ HPC (hematopoietic progenitor cell) gate</w:t>
      </w:r>
      <w:r w:rsidRPr="009D2906">
        <w:rPr>
          <w:sz w:val="18"/>
          <w:szCs w:val="18"/>
        </w:rPr>
        <w:t>. These CD34+ subsets are distinguished from the larger CD45+ leukocyte pool, which accounted for nearly all remaining viable events (</w:t>
      </w:r>
      <w:r w:rsidRPr="009D2906">
        <w:rPr>
          <w:b/>
          <w:bCs/>
          <w:sz w:val="18"/>
          <w:szCs w:val="18"/>
        </w:rPr>
        <w:t>18,562 cells/µL, 93.5%</w:t>
      </w:r>
      <w:r w:rsidRPr="009D2906">
        <w:rPr>
          <w:sz w:val="18"/>
          <w:szCs w:val="18"/>
        </w:rPr>
        <w:t xml:space="preserve">). The </w:t>
      </w:r>
      <w:r w:rsidRPr="009D2906">
        <w:rPr>
          <w:b/>
          <w:bCs/>
          <w:sz w:val="18"/>
          <w:szCs w:val="18"/>
        </w:rPr>
        <w:t>CD45 dim population</w:t>
      </w:r>
      <w:r w:rsidRPr="009D2906">
        <w:rPr>
          <w:sz w:val="18"/>
          <w:szCs w:val="18"/>
        </w:rPr>
        <w:t xml:space="preserve">, which typically overlaps with progenitor and immature cell compartments, is present at </w:t>
      </w:r>
      <w:r w:rsidRPr="009D2906">
        <w:rPr>
          <w:b/>
          <w:bCs/>
          <w:sz w:val="18"/>
          <w:szCs w:val="18"/>
        </w:rPr>
        <w:t>66 cells/µL</w:t>
      </w:r>
      <w:r w:rsidRPr="009D2906">
        <w:rPr>
          <w:sz w:val="18"/>
          <w:szCs w:val="18"/>
        </w:rPr>
        <w:t>, of which the majority overlap with CD34+ HPC (</w:t>
      </w:r>
      <w:r w:rsidRPr="009D2906">
        <w:rPr>
          <w:b/>
          <w:bCs/>
          <w:sz w:val="18"/>
          <w:szCs w:val="18"/>
        </w:rPr>
        <w:t>59 cells/µL, ~88% of the CD45 dim subset</w:t>
      </w:r>
      <w:r w:rsidRPr="009D2906">
        <w:rPr>
          <w:sz w:val="18"/>
          <w:szCs w:val="18"/>
        </w:rPr>
        <w:t xml:space="preserve">). This concordance between CD45 dim and CD34 positivity supports the reliability of gating for progenitor enrichment. The </w:t>
      </w:r>
      <w:r w:rsidRPr="009D2906">
        <w:rPr>
          <w:b/>
          <w:bCs/>
          <w:sz w:val="18"/>
          <w:szCs w:val="18"/>
        </w:rPr>
        <w:t>ungated overview</w:t>
      </w:r>
      <w:r w:rsidRPr="009D2906">
        <w:rPr>
          <w:sz w:val="18"/>
          <w:szCs w:val="18"/>
        </w:rPr>
        <w:t xml:space="preserve"> confirms a total acquisition of </w:t>
      </w:r>
      <w:r w:rsidRPr="009D2906">
        <w:rPr>
          <w:b/>
          <w:bCs/>
          <w:sz w:val="18"/>
          <w:szCs w:val="18"/>
        </w:rPr>
        <w:t>19,863 events</w:t>
      </w:r>
      <w:r w:rsidRPr="009D2906">
        <w:rPr>
          <w:sz w:val="18"/>
          <w:szCs w:val="18"/>
        </w:rPr>
        <w:t>, with the bulk localized to the A4 cluster (</w:t>
      </w:r>
      <w:r w:rsidRPr="009D2906">
        <w:rPr>
          <w:b/>
          <w:bCs/>
          <w:sz w:val="18"/>
          <w:szCs w:val="18"/>
        </w:rPr>
        <w:t>17,917 cells/µL, ~90%</w:t>
      </w:r>
      <w:r w:rsidRPr="009D2906">
        <w:rPr>
          <w:sz w:val="18"/>
          <w:szCs w:val="18"/>
        </w:rPr>
        <w:t>) and a smaller but clear fraction to A2 (</w:t>
      </w:r>
      <w:r w:rsidRPr="009D2906">
        <w:rPr>
          <w:b/>
          <w:bCs/>
          <w:sz w:val="18"/>
          <w:szCs w:val="18"/>
        </w:rPr>
        <w:t>1,932 cells/µL, ~9.7%</w:t>
      </w:r>
      <w:r w:rsidRPr="009D2906">
        <w:rPr>
          <w:sz w:val="18"/>
          <w:szCs w:val="18"/>
        </w:rPr>
        <w:t xml:space="preserve">). Calibration beads were measured at </w:t>
      </w:r>
      <w:r w:rsidRPr="009D2906">
        <w:rPr>
          <w:b/>
          <w:bCs/>
          <w:sz w:val="18"/>
          <w:szCs w:val="18"/>
        </w:rPr>
        <w:t>1,050 cells/µL</w:t>
      </w:r>
      <w:r w:rsidRPr="009D2906">
        <w:rPr>
          <w:sz w:val="18"/>
          <w:szCs w:val="18"/>
        </w:rPr>
        <w:t xml:space="preserve">, confirming stable instrument performance and accurate enumeration. The </w:t>
      </w:r>
      <w:r w:rsidRPr="009D2906">
        <w:rPr>
          <w:b/>
          <w:bCs/>
          <w:sz w:val="18"/>
          <w:szCs w:val="18"/>
        </w:rPr>
        <w:t>time plot</w:t>
      </w:r>
      <w:r w:rsidRPr="009D2906">
        <w:rPr>
          <w:sz w:val="18"/>
          <w:szCs w:val="18"/>
        </w:rPr>
        <w:t xml:space="preserve"> of bead stability (CAL988) shows a steady distribution across the acquisition window, further validating data quality. Meanwhile, viability assessment via </w:t>
      </w:r>
      <w:r w:rsidRPr="009D2906">
        <w:rPr>
          <w:b/>
          <w:bCs/>
          <w:sz w:val="18"/>
          <w:szCs w:val="18"/>
        </w:rPr>
        <w:t>7-AAD staining</w:t>
      </w:r>
      <w:r w:rsidRPr="009D2906">
        <w:rPr>
          <w:sz w:val="18"/>
          <w:szCs w:val="18"/>
        </w:rPr>
        <w:t xml:space="preserve"> indicates that almost all leukocytes were viable, with </w:t>
      </w:r>
      <w:r w:rsidRPr="009D2906">
        <w:rPr>
          <w:b/>
          <w:bCs/>
          <w:sz w:val="18"/>
          <w:szCs w:val="18"/>
        </w:rPr>
        <w:t>18,589 cells/µL (98.8% of total viable gate)</w:t>
      </w:r>
      <w:r w:rsidRPr="009D2906">
        <w:rPr>
          <w:sz w:val="18"/>
          <w:szCs w:val="18"/>
        </w:rPr>
        <w:t xml:space="preserve"> successfully excluded from the dead fraction. This sample demonstrates a robust leukocyte population with a quarter of events belonging to lymphocytes. The CD34+ progenitor fraction is modest (0.65%), with a significant proportion overlapping the CD45 dim compartment, consistent with immature hematopoietic progenitors. High viability (above 93%) and reliable bead calibration reinforce confidence in the results, making this dataset representative of a healthy and well-preserved sample with detectable, though relatively low, progenitor activity.</w:t>
      </w:r>
    </w:p>
    <w:p w:rsidR="00130CA1" w:rsidRPr="009D2906" w:rsidRDefault="00130CA1" w:rsidP="00130CA1">
      <w:pPr>
        <w:pStyle w:val="a6"/>
        <w:rPr>
          <w:color w:val="auto"/>
        </w:rPr>
      </w:pP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4" name="710 - Εικόνα" descr="LOW 4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4 I-images-0.jpg"/>
                    <pic:cNvPicPr/>
                  </pic:nvPicPr>
                  <pic:blipFill>
                    <a:blip r:embed="rId49"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keepNext/>
        <w:rPr>
          <w:color w:val="auto"/>
        </w:rPr>
      </w:pPr>
      <w:r w:rsidRPr="009D2906">
        <w:rPr>
          <w:color w:val="auto"/>
        </w:rPr>
        <w:t>Scheme44. Flow Cytometry CD34⁺/CD45⁺ results; Stemartis Supplement CF(4) Compositions: bilobetin/quercetin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phytical elements; The analysis begins with a CD45 vs side scatter (SSC) plot, where the leukocyte population (LEUKS) is separated from lymphocytes (LYMPHS). Most events cluster within the leukocyte gate, with lymphocytes forming a smaller, distinct subset at lower SSC. Moving to CD34 vs SSC, the data highlights a population of CD34-positive cells within the CD45+ leukocyte population. These CD34+ events mark the hematopoietic progenitor fraction. The CD45 vs SSC (dim population) plot isolates the CD45dim population, often overlapping with early progenitor and immature hematopoietic subsets. From here, the CD34+ HPC gate (forward vs side scatter) refines the progenitor compartment further, showing a small but distinct cluster of CD34+ HPC events at lower scatter, consistent with stem/progenitor cell characteristics. Viability is assessed via 7-AAD exclusion, with the majority of cells falling into the viable fraction, confirming that most leukocytes were intact and not undergoing apoptosis or necrosis. The bead calibration/time plot (CAL988) shows a stable bead population across the acquisition window, ensuring consistent sample measurement and accurate absolute counts. This CF(4) dataset demonstrates a predominantly viable leukocyte population, with a clear lymphocyte subset and a small but identifiable CD34+ progenitor fraction. The CD45dim/CD34+ overlap further confirms the presence of immature hematopoietic progenitors. Instrument calibration is stable, and viability is high, supporting the accuracy of the results.</w:t>
      </w:r>
      <w:r w:rsidRPr="009D2906">
        <w:rPr>
          <w:noProof/>
          <w:color w:val="auto"/>
          <w:lang w:val="el-GR"/>
        </w:rPr>
        <w:drawing>
          <wp:inline distT="0" distB="0" distL="0" distR="0">
            <wp:extent cx="6645910" cy="8600440"/>
            <wp:effectExtent l="19050" t="0" r="2540" b="0"/>
            <wp:docPr id="193365" name="711 - Εικόνα" descr="LOW 3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3 I-images-1.jpg"/>
                    <pic:cNvPicPr/>
                  </pic:nvPicPr>
                  <pic:blipFill>
                    <a:blip r:embed="rId50"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Scheme45. The CF(3) flow cytometry analysis begins with the ungated view of CD34 versus CD45 expression, where the instrument distinguishes different quadrants of cell populations. The calibration beads are clearly identified in the upper right region, separated from the cellular events, and serve as an internal standard for absolute counting. The majority of the leukocytes fall into the lower right region, characterized by CD45 positivity and little or no CD34 expression, while a smaller subset of potential CD34 positive events appears above the horizontal threshold. Alongside this, the side scatter histogram displays a sharp peak of background events with very low scatter, confirming the exclusion of debris. The lymphocyte check region is drawn further along the scatter axis but shows no substantial population, suggesting either their absence or prior removal during processing. This stage of analysis therefore acts as an initial quality control step, confirming bead recovery, validating instrument calibration, and setting the framework for identifying true CD34 positive cells against a background of CD45 positive leukocytes and excluded debris.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6" name="712 - Εικόνα" descr="LOW 3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3 I-images-2.jpg"/>
                    <pic:cNvPicPr/>
                  </pic:nvPicPr>
                  <pic:blipFill>
                    <a:blip r:embed="rId51"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Scheme46.</w:t>
      </w:r>
      <w:r w:rsidRPr="009D2906">
        <w:t xml:space="preserve"> </w:t>
      </w:r>
      <w:r w:rsidRPr="009D2906">
        <w:rPr>
          <w:color w:val="auto"/>
        </w:rPr>
        <w:t>This CF(3) statistical analysis report reflects the enumeration of leukocyte and progenitor cell subsets from a flow cytometric assay. The acquisition begins with the calibration bead population, which is clearly recovered, yielding 1,067 absolute counts corresponding to 1,345 events. These beads account for 9.77% of the total, with a calibration subset registering 988 counts, ensuring quality control with a recovery efficiency of 92.64%. Within the viable leukocyte population, CD34-positive cells are identified. Out of the total events, 127 absolute CD34-positive counts are detected, corresponding to 160 events, which represent 1.16% of the gated population. Among these, a subset with dim CD45 expression is further characterized, accounting for 32 absolute counts and 40 events. This fraction translates to 0.29% of the total, with a gating efficiency of 25%, indicating that only a quarter of the CD34-positive cells fall into the CD45-dim gate. Further refinement to include CD34-positive, CD45-dim hematopoietic progenitor cells (HPCs) shows 27 absolute counts, corresponding to 34 events. This population represents 0.25% of the total, with 85% of the CD45-dim fraction being validated as progenitor cells, which reflects a high specificity of gating. Finally, the total viable leukocyte count is established at 9,660 absolute counts, corresponding to 12,183 events, which constitute 88.49% of the overall events captured. Within this leukocyte gate, the CD34-positive cells account for 1.16% of the population, highlighting the low but measurable frequency of progenitors against the background of CD45-positive leukocytes.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7" name="713 - Εικόνα" descr="LOW 3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3 I-images-3.jpg"/>
                    <pic:cNvPicPr/>
                  </pic:nvPicPr>
                  <pic:blipFill>
                    <a:blip r:embed="rId52"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Scheme47.</w:t>
      </w:r>
      <w:r w:rsidRPr="009D2906">
        <w:t xml:space="preserve"> </w:t>
      </w:r>
      <w:r w:rsidRPr="009D2906">
        <w:rPr>
          <w:color w:val="auto"/>
        </w:rPr>
        <w:t>This CF(3) report presents the statistical summary from a flow cytometry run, tracing bead recovery, viable leukocyte identification, and progenitor cell quantification. The analysis begins with the bead population, where 1,067 absolute counts corresponding to 1,345 events are recorded. These beads represent 9.77% of the total gated population, with calibration beads contributing 988 events, confirming adequate technical recovery. Within the leukocyte compartment, lymphocytes are examined first. The dataset shows 5,288 absolute lymphocyte counts, corresponding to 6,669 events, making up 48.44% of the total. However, the lymphocyte check subset registers no events, suggesting either exclusion by gating or absence of that specific subset.From the overall leukocyte pool, the NOT BEADS gate confirms 9,850 absolute counts and 12,422 events, accounting for 90.23% of the total. Within this, viable cells form the majority, with 9,721 absolute counts and 12,259 events, reflecting 89.05% of the population, with 98.69% gating efficiency—demonstrating a robust separation of viable from nonviable events. The ungated dataset shows 10,916 total absolute counts, equating to 13,767 events. Subdivisions include small fractions such as A1 (51 counts), A2 (1,511 counts), and A3 (3 counts), while the majority are concentrated in A4, which yields 9,398 counts and 11,852 events, making up 86% of the total. Bead events are again detected here, consistent with earlier counts, and the live gate recovers 10,874 counts with 13,714 events, amounting to 99.62% of the population. Finally, the VIABLE leukocyte gate confirms 9,721 absolute viable events, accounting for 12,259 counts and 89.05% of the population. Within this group, leukocytes as a whole number 9,660 absolute counts with 12,183 events, corresponding to 88.49%. Lymphocytes alone account for 5,288 counts and 6,669 events, representing 48.44% of the gated leukocytes, although the lymphocyte fraction comprises only about half of the viable population, suggesting a mixed-cell background.</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8" name="714 - Εικόνα" descr="LOW 3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3 I-images-4.jpg"/>
                    <pic:cNvPicPr/>
                  </pic:nvPicPr>
                  <pic:blipFill>
                    <a:blip r:embed="rId53"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Scheme48.</w:t>
      </w:r>
      <w:r w:rsidRPr="009D2906">
        <w:t xml:space="preserve"> </w:t>
      </w:r>
      <w:r w:rsidRPr="009D2906">
        <w:rPr>
          <w:color w:val="auto"/>
        </w:rPr>
        <w:t>This flow cytometry summary provides a complete narrative of bead calibration, leukocyte distribution, and progenitor cell detection. The CF(3) run begins with the bead population, where 1,067 absolute counts and 1,345 events are captured, representing 9.77% of the total gated cells. Calibration beads yield 988 events, confirming strong technical control at 92.64% gating efficiency. Within the leukocyte compartment, viable gating refines the analysis. A total of 9,721 absolute viable cells corresponding to 12,259 events are recovered, making up 89.05% of the population. Of these, leukocytes as a whole represent 9,660 absolute counts and 12,183 events, equal to 88.49% of the total, while lymphocytes account for 5,288 absolute counts and 6,669 events, comprising 48.44% of the viable leukocyte pool. When further subdivided, CD34-positive cells emerge as a minor but distinct fraction. These account for 127 absolute counts and 160 events, making up 1.16% of the total and confirming their presence as progenitor candidates. The CD34+ high proliferative potential subset (HPC) is even smaller, with 27 absolute counts and 34 events, representing 0.25% of the total, but still measurable within the CD34-positive pool. Alongside this, CD45-dim cells, often associated with immature hematopoietic precursors, register 32 absolute counts and 40 events, a modest 0.29% of the population. Ungated CF(3) data capture the overall distribution, with 10,916 absolute counts and 13,767 events, including minor fractions A1 (51 counts), A2 (1,511 counts), A3 (3 counts), and a major concentration in A4 (9,398 counts). The live gate confirms 10,874 counts and 13,714 events, yielding 99.62% recovery, demonstrating robust viability gating. Taken together, the dataset describes a population dominated by viable leukocytes, with nearly half being lymphocytes. Within this, CD34-positive progenitors are present in measurable numbers, and the presence of CD45-dim and CD34+ HPC fractions highlights the detection of primitive hematopoietic subsets, albeit at low frequencies compared to the bulk leukocyte population.</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69" name="715 - Εικόνα" descr="LOW 3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3 I-images-0.jpg"/>
                    <pic:cNvPicPr/>
                  </pic:nvPicPr>
                  <pic:blipFill>
                    <a:blip r:embed="rId54"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keepNext/>
        <w:rPr>
          <w:color w:val="auto"/>
        </w:rPr>
      </w:pPr>
      <w:r w:rsidRPr="009D2906">
        <w:rPr>
          <w:color w:val="auto"/>
        </w:rPr>
        <w:t>Scheme49. Flow Cytometry CD34⁺/CD45⁺ results; Stemartis Supplement CF(3) amentoflavone/sciadopitysin (with jervine orientation)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phytical elements; This panel of flow cytometry plots narrates the full gating strategy leading to the identification of viable CD34-positive hematopoietic progenitor cells. The analysis begins with the leukocyte gate, where total leukocytes (LEUKS) are separated from lymphocytes (LYMPHS) based on CD45 expression and side scatter. The main leukocyte population is dense and broadly distributed, while the lymphocyte gate is more compact, marked with lower side scatter and higher CD45 intensity. From within this leukocyte pool, a subset of CD34-positive cells emerges when plotted against CD45 expression. These cells form a distinct cluster labeled “CD34POS” within the CD45-positive leukocyte background, confirming the presence of hematopoietic progenitor cells. A further refinement identifies CD45-dim cells, which represent immature or less differentiated precursors. These events fall into a specific region with reduced CD45 expression and moderate scatter properties. Within the CD34-positive population, hematopoietic progenitor cells (CD34+HPC) are visualized by combining forward scatter (FS) with side scatter. This distribution shows a small but distinct cluster of progenitor cells characterized by lower side scatter and intermediate forward scatter, typical of primitive progenitor morphology. Cell viability is assessed using 7-AAD staining. The viable population, labeled “VIABLE,” lies to the left of the 7-AAD gate, confirming exclusion of dead or compromised cells. This step ensures that subsequent CD34+ analysis is restricted to live cells only. Finally, bead calibration (CAL988) is shown over time, verifying instrument stability and accurate event quantification. The bead population appears as a consistent, tight cluster across the acquisition time axis. Together, these plots narrate a stepwise progression: from total leukocytes, to viable subsets, to CD34-positive progenitors, and finally to CD45-dim primitive precursors. The analysis confirms that viable CD34-positive hematopoietic progenitor cells are present within the sample, though at a relatively low frequency compared to the overall leukocyte population.</w:t>
      </w:r>
      <w:r w:rsidRPr="009D2906">
        <w:rPr>
          <w:noProof/>
          <w:color w:val="auto"/>
          <w:lang w:val="el-GR"/>
        </w:rPr>
        <w:drawing>
          <wp:inline distT="0" distB="0" distL="0" distR="0">
            <wp:extent cx="6645910" cy="8600440"/>
            <wp:effectExtent l="19050" t="0" r="2540" b="0"/>
            <wp:docPr id="193370" name="717 - Εικόνα" descr="LOW 2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2 I-images-2.jpg"/>
                    <pic:cNvPicPr/>
                  </pic:nvPicPr>
                  <pic:blipFill>
                    <a:blip r:embed="rId55"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Scheme50. This CF(2) dataset presents the statistical analysis of a flow cytometry experiment, summarizing the absolute counts, percentages, and gating efficiency of different leukocyte subsets with a focus on CD34-positive populations. The calibration beads were clearly detected, with an absolute count of 1,047 events and 3,031 total, representing 4.03% of total events and serving as a reference for quantification. The calibration (CAL) population itself was consistent at 94.33%, confirming proper instrument performance. From the leukocyte gate, the analysis identified CD34-positive cells as a distinct minority population. In total, 272 CD34-positive events were recorded, representing 1.05% of the gated population. Within this subset, a small fraction displayed dim CD45 expression, quantified at 39 events (0.15% of the total), suggesting the presence of immature progenitors. Refinement of this CD34-positive fraction identified CD34+ hematopoietic progenitor cells (HPC), with 36 events gated as true progenitors, amounting to 0.14% of the total. Importantly, the majority of these events fell within the appropriate CD45-dim region, consistent with early hematopoietic precursor cells. The bulk of leukocytes (24,744 events, representing 95.19% of the total 71,602 analyzed) clustered within the CD45-positive leukocyte gate, as expected. Within this large population, the CD34-positive fraction was maintained at 1.05%, confirming their rarity relative to total leukocytes. In narrative terms, the CF(2) analysis shows a well-defined leukocyte population with a small but consistent CD34-positive fraction. Within these, a proportion expresses dim CD45, and the gating strategy successfully isolates a minor subset of true CD34+ progenitors, consistent with hematopoietic stem or progenitor cell characteristics.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71" name="718 - Εικόνα" descr="LOW 2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2 I-images-3.jpg"/>
                    <pic:cNvPicPr/>
                  </pic:nvPicPr>
                  <pic:blipFill>
                    <a:blip r:embed="rId56"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Scheme51.</w:t>
      </w:r>
      <w:r w:rsidRPr="009D2906">
        <w:t xml:space="preserve"> </w:t>
      </w:r>
      <w:r w:rsidRPr="009D2906">
        <w:rPr>
          <w:color w:val="auto"/>
        </w:rPr>
        <w:t>This CF(2) dataset continues the statistical analysis of flow cytometry with a focus on absolute counts, viability, and gating quality across the leukocyte population. The lymphocyte gate identified 7,558 events, accounting for 29.08% of the total gated population, with no lymphocyte checkpoint events excluded. This indicates a healthy fraction of lymphocytes relative to total leukocytes. When excluding beads, 24,947 events were classified as total cells, with 95.97% falling into the viable gate. Out of these, 24,777 were confirmed as viable events, representing 95.32% of the total, with a strong gating efficiency of 99.32%. This indicates that the majority of detected cells were intact and suitable for downstream analysis. The ungated overview showed a total of 25,995 absolute events, distributed across multiple subregions. The A2 fraction contained 2,902 events (11.16% of the population), while the largest fraction was A4, representing 23,076 events (88.77%). This pattern is consistent with a dominant population of mature leukocytes and a smaller, defined precursor subset. Calibration beads were reliably detected at 1,047 events (4.03%), ensuring robust calibration of event counts. The live-gated population, with 25,979 absolute events, represented nearly the entirety of the measured cells (99.94%), highlighting excellent viability during acquisition. In the final summary table, the viable cell fraction was reaffirmed at 24,777 events (95.32%), with leukocytes comprising 24,744 events (95.19%). The lymphocyte compartment remained stable at 7,558 events, maintaining its proportion of 29.08%. Narratively, this CF(2) analysis demonstrates a highly viable leukocyte sample with strong gating resolution. The vast majority of events represent intact CD45-positive leukocytes, with lymphocytes forming nearly a third of the population. The instrument calibration was reliable, and the data quality across all gates confirms the robustness of the acquisition.</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72" name="719 - Εικόνα" descr="LOW 2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2 I-images-4.jpg"/>
                    <pic:cNvPicPr/>
                  </pic:nvPicPr>
                  <pic:blipFill>
                    <a:blip r:embed="rId57"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Scheme52.</w:t>
      </w:r>
      <w:r w:rsidRPr="009D2906">
        <w:t xml:space="preserve"> </w:t>
      </w:r>
      <w:r w:rsidRPr="009D2906">
        <w:rPr>
          <w:color w:val="auto"/>
        </w:rPr>
        <w:t>This CF(2) final set of plots and statistical outputs narratively confirms the flow cytometry profile of the analyzed sample, providing a detailed view of cell distribution, viability, and CD34+ hematopoietic progenitor populations. The leukocyte gate shows a strong clustering of CD45-positive events, representing 71,690 total cells with an absolute count of 24,774 per microliter, accounting for 95.32% of the measured population. Within this, lymphocytes formed a substantial subset of 7,558 events (29.08%), while CD34+ progenitors represented 272 events (1.05%). These CD34+ cells were clearly resolved against CD45 expression, with the majority showing dim CD45 staining, characteristic of progenitor cells. Further refinement into CD34+ hematopoietic progenitors (CD34+ HPCs) revealed 36 events (0.14% of the population) falling into the progenitor cluster, confirming a small but distinct stem/progenitor fraction. This was supported by the CD45dim gate, which identified 39 events, closely aligned with the CD34+ counts, reinforcing the validity of the progenitor detection. The viability gate using 7-AAD excluded non-viable cells, yielding 24,777 live events (95.32% of the sample), indicating excellent overall cell integrity. Bead-based calibration with 1,047 events ensured accurate quantification, with consistent detection across the time axis, validating the reliability of the absolute counts. The ungated analysis distributed the population across multiple regions, with A2 accounting for 11.16% of events and A4 dominating with 88.77%. This reflects a typical distribution of mature leukocytes alongside smaller precursor subsets. Altogether, the CF(2) analysis describes a robust leukocyte population with high viability, a balanced lymphocyte fraction, and a detectable CD34+ progenitor population. Instrument calibration was precise, gating strategies were consistent, and viability remained excellent throughout acquisition, ensuring high confidence in the results.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73" name="720 - Εικόνα" descr="LOW 2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2 I-images-0.jpg"/>
                    <pic:cNvPicPr/>
                  </pic:nvPicPr>
                  <pic:blipFill>
                    <a:blip r:embed="rId58"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keepNext/>
        <w:rPr>
          <w:color w:val="auto"/>
        </w:rPr>
      </w:pPr>
      <w:r w:rsidRPr="009D2906">
        <w:rPr>
          <w:color w:val="auto"/>
        </w:rPr>
        <w:t>Scheme53. Flow Cytometry CD34⁺/CD45⁺ results; Stemartis Supplement CF(2); Compositions: VEGF, bFGF, PDGF, IGF-1, TGF-B, Coconut Water, Black Caviar in combination with the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and Vitispirane phyto-elements. Highly elevated numbers of EPCs.</w:t>
      </w:r>
      <w:r w:rsidRPr="009D2906">
        <w:t xml:space="preserve"> </w:t>
      </w:r>
      <w:r w:rsidRPr="009D2906">
        <w:rPr>
          <w:color w:val="auto"/>
        </w:rPr>
        <w:t>This dataset provides a comprehensive flow cytometry evaluation of leukocytes, their viability, and CD34+ progenitor cell subsets. The CD45 versus side scatter plot reveals a strong leukocyte population (LEUKS) and a clear lymphocyte subset (LYMPHS). Within this leukocyte population, CD34+ cells were identified on the CD34 versus side scatter plot, forming a distinct CD34-positive cluster. These cells were further classified relative to CD45 expression, with a subset appearing as CD45dim, consistent with hematopoietic progenitor characteristics. A refined gating strategy identified the CD34+ hematopoietic progenitor cluster (HPCs), which appeared as a distinct but small fraction in the forward scatter versus side scatter space, confirming the presence of early progenitor events. Cell viability, assessed using 7-AAD staining, demonstrated a strong population of viable cells with minimal uptake, supporting excellent sample quality. Bead-based calibration (CAL 988) was consistent over the acquisition period, validating absolute counts and ensuring robust quantitative interpretation. Altogether, this CF(2) analysis confirms a predominantly viable leukocyte population with clear identification of lymphocytes, a detectable CD34+ progenitor fraction, and consistency across internal controls, demonstrating both technical reliability and biological validity of the data.</w:t>
      </w:r>
      <w:r w:rsidRPr="009D2906">
        <w:rPr>
          <w:noProof/>
          <w:color w:val="auto"/>
          <w:lang w:val="el-GR"/>
        </w:rPr>
        <w:drawing>
          <wp:inline distT="0" distB="0" distL="0" distR="0">
            <wp:extent cx="6645910" cy="8600440"/>
            <wp:effectExtent l="19050" t="0" r="2540" b="0"/>
            <wp:docPr id="193374" name="721 - Εικόνα" descr="LOW 1 I-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1 I-images-1.jpg"/>
                    <pic:cNvPicPr/>
                  </pic:nvPicPr>
                  <pic:blipFill>
                    <a:blip r:embed="rId59"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Scheme54. This CF(1) final set of plots illustrates the ungated population alongside a bead control and a lymphocyte gate check, both serving as important quality control steps in the analysis. On the left, the CD34 versus CD45 plot shows distinct regions: A1 and A2 define the bead populations, which provide calibration for absolute counting, while A3 and A4 contain the lower CD34 and CD45-expressing events. The live gate is highlighted, ensuring accurate identification of cell subsets in relation to beads and background noise. The bead population is clearly separated in the upper right quadrant, confirming successful calibration and consistent signal detection. On the right, the histogram plot of side scatter (SS) represents the lymphocyte gate check. The highlighted region defines the lymphocyte population, verifying that the gate has been appropriately set to capture lymphocytes while excluding non-relevant events. This confirms that the gating strategy for lymphocytes is robust and reproducible across the dataset. Together, these CF(1) panels validate both the technical performance of the flow cytometer and the accuracy of gating used in identifying viable leukocytes, lymphocytes, and CD34+ subsets in the earlier analyses.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193375" name="722 - Εικόνα" descr="LOW 1 I-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1 I-images-2.jpg"/>
                    <pic:cNvPicPr/>
                  </pic:nvPicPr>
                  <pic:blipFill>
                    <a:blip r:embed="rId60"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Scheme55. This CF(1) statistical analysis output begins with the bead-based calibration, where a total of 1,046 absolute bead events were recorded, corresponding to 2,096 total counts, representing 3.20% of all acquired events. The CAL reference population contributed 988 absolute events with 1,979 total counts, slightly lower at 3.02% of all events, but still within the expected range for proper calibration. Moving into the CD34+ compartment, after exclusion of beads and application of viability and leukocyte gating, 111 absolute CD34+ events were identified, translating into 222 total counts. These accounted for 0.34% of the gated leukocyte population. Within this, a CD45dim subset emerged, comprising 49 absolute events and 98 total counts, which represented 0.15% of the population and 44.14% of the gated CD34+ group. Further refinement into the CD34+ hematopoietic progenitor cell (HPC) compartment identified 49 absolute CD34+ events, contributing to 98 total counts, again at 0.15% of the total. Within this, 29 absolute events corresponding to 59 total counts were classified as CD34+ HPCs, making up 0.09% of the entire leukocyte population. This CF(1) subset represented 60.20% of the gated region, showing a notable enrichment of progenitor-like events within the CD34+ population. Finally, analysis of the broader leukocyte gate revealed 30,828 absolute leukocyte events, corresponding to 61,750 total counts. This group made up 94.26% of all acquired events, indicating that the gating strategy effectively captured the majority of viable CD45+ leukocytes. Within this population, the CD34+ fraction remained at 111 absolute events, contributing 0.34% of the total, consistent with earlier subsets. In summary, the data illustrate robust calibration using beads, reliable gating of leukocytes, and a small but detectable CD34+ progenitor population with a defined CD45dim and HPC subset.</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672" name="724 - Εικόνα" descr="LOW 1 I-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1 I-images-3.jpg"/>
                    <pic:cNvPicPr/>
                  </pic:nvPicPr>
                  <pic:blipFill>
                    <a:blip r:embed="rId61"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Scheme56.</w:t>
      </w:r>
      <w:r w:rsidRPr="009D2906">
        <w:t xml:space="preserve"> </w:t>
      </w:r>
      <w:r w:rsidRPr="009D2906">
        <w:rPr>
          <w:color w:val="auto"/>
        </w:rPr>
        <w:t>This CF(1) dataset continues the statistical analysis with detailed population breakdowns. The lymphocyte gate, defined by excluding beads and focusing on viable cells, identified 6,638 absolute lymphocyte events corresponding to 13,296 total counts. These cells accounted for 20.30% of the total population, representing a substantial subset of the gated leukocytes. As before, the lymphocyte check population was absent, with no events detected in this category. When beads were excluded, the overall leukocyte gate contained 31,658 absolute events and 63,412 total counts, representing 96.80% of all acquired events, indicating a high proportion of leukocytes in the sample. Within this compartment, the viable fraction was well preserved, with 31,374 absolute viable cells contributing to 62,844 total counts, corresponding to 95.93% of the gated population. The ungated compartment, which includes all events prior to bead exclusion, captured 32,704 absolute events and 65,508 total counts, representing the entirety of the sample. Subsets within this group included very small populations such as A1 with 13 absolute events (26 counts, 0.04%), A2 with 2,351 absolute events (4,709 counts, 7.19%), and A3 with 537 absolute events (1,076 counts, 1.64%). The largest fraction was A4, comprising 29,803 absolute events and 59,697 counts, which accounted for 91.13% of the sample. Bead events were also detected here, with 1,046 absolute bead counts corresponding to 2,096 total, making up 3.20% of events. The live gate captured 32,584 absolute viable events, yielding 65,266 total counts, representing 99.63% of all ungated events, confirming that most of the sample was viable. Finally, within the viable gated compartment, 31,374 absolute cells were counted, matching the earlier viability assessment, and these represented 62,844 total events or 95.93% of the total. The leukocyte fraction here was dominant, with 30,828 absolute CD45+ events producing 61,750 counts, corresponding to 94.26% of the population. Lymphocytes, meanwhile, were maintained as a distinct fraction with 6,638 absolute counts and 13,296 total counts, equivalent to 20.30% of the viable gated population. Together, this CF(1) dataset shows strong viability with more than 95% of leukocytes preserved, robust lymphocyte representation at around 20%, and consistent bead-based calibration to ensure accuracy.</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673" name="725 - Εικόνα" descr="LOW 1 I-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1 I-images-4.jpg"/>
                    <pic:cNvPicPr/>
                  </pic:nvPicPr>
                  <pic:blipFill>
                    <a:blip r:embed="rId62" cstate="print"/>
                    <a:stretch>
                      <a:fillRect/>
                    </a:stretch>
                  </pic:blipFill>
                  <pic:spPr>
                    <a:xfrm>
                      <a:off x="0" y="0"/>
                      <a:ext cx="6645910" cy="8600440"/>
                    </a:xfrm>
                    <a:prstGeom prst="rect">
                      <a:avLst/>
                    </a:prstGeom>
                  </pic:spPr>
                </pic:pic>
              </a:graphicData>
            </a:graphic>
          </wp:inline>
        </w:drawing>
      </w:r>
    </w:p>
    <w:p w:rsidR="00130CA1" w:rsidRPr="009D2906" w:rsidRDefault="00130CA1" w:rsidP="00130CA1">
      <w:pPr>
        <w:pStyle w:val="a6"/>
        <w:rPr>
          <w:color w:val="auto"/>
        </w:rPr>
      </w:pPr>
      <w:r w:rsidRPr="009D2906">
        <w:rPr>
          <w:color w:val="auto"/>
        </w:rPr>
        <w:t>Scheme57.</w:t>
      </w:r>
      <w:r w:rsidRPr="009D2906">
        <w:t xml:space="preserve"> </w:t>
      </w:r>
      <w:r w:rsidRPr="009D2906">
        <w:rPr>
          <w:color w:val="auto"/>
        </w:rPr>
        <w:t>This CF(1) dataset provides a comprehensive picture of the cellular distribution and viability within the analyzed sample. The gating strategy begins with exclusion of beads and identification of viable leukocytes. In this compartment, 31,374 absolute events were counted, corresponding to 62,844 total, which represented 95.93% of all cells. Within this population, CD45-positive leukocytes were abundant, with 30,828 absolute events generating 61,750 total counts, accounting for 94.26% of the total. Lymphocytes were clearly identified as a distinct subset, contributing 6,638 absolute events and 13,296 counts, equivalent to 20.30% of the viable gated fraction. Further analysis of CD34 expression revealed a small but important progenitor population. CD34-positive cells represented 111 absolute counts with 222 events, contributing 0.34% of the total. Within these, the CD45-dim fraction included 49 absolute counts and 98 total (0.15%), with hematopoietic progenitor cells (CD34+HPC) refined to 29 absolute counts and 59 total (0.09%). This illustrates the presence of a measurable progenitor pool within the viable leukocyte compartment, although at very low frequency compared to mature leukocytes. The ungated dataset captured the full sample distribution. Here, 32,704 absolute events generated 65,508 total counts. The distribution included several minor subpopulations: A1 (13 absolute, 26 counts, 0.04%), A2 (2,351 absolute, 4,709 counts, 7.19%), and A3 (537 absolute, 1,076 counts, 1.64%). The A4 fraction was dominant, with 29,803 absolute events producing 59,697 counts (91.13%). Beads accounted for 1,046 absolute counts and 2,096 total, equivalent to 3.20% of the total events, confirming proper calibration. The live gate successfully captured 32,584 absolute events, producing 65,266 counts, representing 99.63% of the ungated dataset, confirming high viability. Viability was further corroborated in the dedicated assessment: 31,658 absolute events (63,412 counts) represented 96.80% of total cells, with 31,374 viable events (62,844 counts) confirming that over 95% of the sample was intact. Altogether, the CF(1) dataset demonstrates a highly viable sample with strong representation of CD45-positive leukocytes, lymphocytes contributing roughly one-fifth of the population, and a small but detectable CD34-positive progenitor pool. Calibration controls, including beads, confirm accurate measurement and high reliability of the results.</w:t>
      </w:r>
    </w:p>
    <w:p w:rsidR="00130CA1" w:rsidRPr="009D2906" w:rsidRDefault="00130CA1" w:rsidP="00130CA1">
      <w:pPr>
        <w:pStyle w:val="a6"/>
        <w:keepNext/>
        <w:rPr>
          <w:color w:val="auto"/>
        </w:rPr>
      </w:pPr>
      <w:r w:rsidRPr="009D2906">
        <w:rPr>
          <w:noProof/>
          <w:color w:val="auto"/>
          <w:lang w:val="el-GR"/>
        </w:rPr>
        <w:drawing>
          <wp:inline distT="0" distB="0" distL="0" distR="0">
            <wp:extent cx="6645910" cy="8600440"/>
            <wp:effectExtent l="19050" t="0" r="2540" b="0"/>
            <wp:docPr id="674" name="726 - Εικόνα" descr="LOW 1 I-imag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 1 I-images-0.jpg"/>
                    <pic:cNvPicPr/>
                  </pic:nvPicPr>
                  <pic:blipFill>
                    <a:blip r:embed="rId63" cstate="print"/>
                    <a:stretch>
                      <a:fillRect/>
                    </a:stretch>
                  </pic:blipFill>
                  <pic:spPr>
                    <a:xfrm>
                      <a:off x="0" y="0"/>
                      <a:ext cx="6645910" cy="8600440"/>
                    </a:xfrm>
                    <a:prstGeom prst="rect">
                      <a:avLst/>
                    </a:prstGeom>
                  </pic:spPr>
                </pic:pic>
              </a:graphicData>
            </a:graphic>
          </wp:inline>
        </w:drawing>
      </w:r>
    </w:p>
    <w:p w:rsidR="00754617" w:rsidRPr="008410BE" w:rsidRDefault="00130CA1" w:rsidP="008410BE">
      <w:pPr>
        <w:pStyle w:val="a6"/>
        <w:rPr>
          <w:color w:val="auto"/>
        </w:rPr>
      </w:pPr>
      <w:r w:rsidRPr="009D2906">
        <w:rPr>
          <w:color w:val="auto"/>
        </w:rPr>
        <w:t>Scheme58. Flow Cytometry CD34⁺/CD45⁺ results; Stemartis Supplement CF(1) Compositions: β-D-mannose + strictosamide with a sequence-motif probe. Many components carry dermal or ECM-relevant precedents (ellagic/ellagitannins, catechins, rutin, apigenin/luteolin, bakuchiol/psoralens, caffeic/chlorogenic/p-coumaric acids, hyaluronic acid/ceramides) [176,181,183–187,189–191,193,196,198–200].</w:t>
      </w:r>
      <w:r w:rsidRPr="009D2906">
        <w:t xml:space="preserve"> </w:t>
      </w:r>
      <w:r w:rsidRPr="009D2906">
        <w:rPr>
          <w:color w:val="auto"/>
        </w:rPr>
        <w:t>This figure illustrates a flow cytometry gating strategy used to evaluate leukocyte populations, viability, and hematopoietic progenitor subsets within the sample. In the top left panel, leukocytes are identified by excluding beads and gating on viable cells, with lymphocytes clearly separated from the broader leukocyte population. The top right panel further characterizes these cells by CD34 expression. Here, CD34-positive progenitors are visible as a distinct subset within the CD45-positive leukocyte compartment, highlighting the progenitor fraction within the broader hematopoietic pool. The middle left panel refines this analysis by isolating CD45-dim cells, a characteristic marker of early progenitors. The middle right panel focuses specifically on hematopoietic progenitors (CD34+HPC), which appear as a defined but low-frequency subset in the forward scatter versus side scatter distribution, confirming their presence but in small numbers relative to the total leukocyte pool. Viability assessment is shown in the bottom left panel using 7-AAD staining. The majority of cells fall within the viable fraction, while non-viable cells, positive for 7-AAD uptake, form a much smaller group. This supports the conclusion of a largely intact and healthy sample. Calibration and stability of acquisition are confirmed in the bottom right panel, where beads are tracked over time. The calibration control (CAL988) is clearly marked, ensuring reliable quantitation across the dataset. Altogether, the analysis demonstrates a predominantly viable leukocyte population with a clearly measurable but rare CD34-positive progenitor subset, validated through CD45-dim and HPC gating strategies. The use of beads for calibration confirms the technical robustness of the data.</w:t>
      </w:r>
    </w:p>
    <w:p w:rsidR="00121D67" w:rsidRPr="00121D67" w:rsidRDefault="00121D67" w:rsidP="00121D67">
      <w:pPr>
        <w:jc w:val="left"/>
        <w:rPr>
          <w:b/>
          <w:bCs/>
          <w:sz w:val="27"/>
          <w:szCs w:val="27"/>
        </w:rPr>
      </w:pPr>
      <w:r w:rsidRPr="00121D67">
        <w:rPr>
          <w:b/>
          <w:bCs/>
          <w:sz w:val="27"/>
          <w:szCs w:val="27"/>
        </w:rPr>
        <w:t>7.6 Comparative analysis of CF(1–12) supplements on CD34⁺/CD45⁺ populations</w:t>
      </w:r>
    </w:p>
    <w:p w:rsidR="00121D67" w:rsidRPr="00121D67" w:rsidRDefault="00121D67" w:rsidP="00121D67">
      <w:pPr>
        <w:jc w:val="left"/>
        <w:outlineLvl w:val="9"/>
      </w:pPr>
      <w:r w:rsidRPr="00121D67">
        <w:t xml:space="preserve">CD34⁺/CD45⁺ enumeration used a strict gating sequence (singlets → live → CD34⁺/CD45⁺ quadrants) with FSC/SSC discrimination, doublet rejection, and FMO-informed thresholds—mirroring the measurement-first discipline used elsewhere in the pipeline. Across CF1–CF12, </w:t>
      </w:r>
      <w:r w:rsidRPr="00121D67">
        <w:rPr>
          <w:b/>
          <w:bCs/>
        </w:rPr>
        <w:t>double-positive abundance varied systematically</w:t>
      </w:r>
      <w:r w:rsidRPr="00121D67">
        <w:t>.</w:t>
      </w:r>
    </w:p>
    <w:p w:rsidR="00121D67" w:rsidRPr="00121D67" w:rsidRDefault="00121D67" w:rsidP="00121D67">
      <w:pPr>
        <w:jc w:val="left"/>
        <w:outlineLvl w:val="9"/>
      </w:pPr>
      <w:r w:rsidRPr="00121D67">
        <w:rPr>
          <w:b/>
          <w:bCs/>
        </w:rPr>
        <w:t>Frequency and trend.</w:t>
      </w:r>
      <w:r w:rsidRPr="00121D67">
        <w:t xml:space="preserve"> CD34⁺ events were rare in most conditions (&lt;2%), but rose in the CF10–CF12 window, peaking near </w:t>
      </w:r>
      <w:r w:rsidRPr="00121D67">
        <w:rPr>
          <w:b/>
          <w:bCs/>
        </w:rPr>
        <w:t>~2% in CF11</w:t>
      </w:r>
      <w:r w:rsidRPr="00121D67">
        <w:t xml:space="preserve">—a </w:t>
      </w:r>
      <w:r w:rsidRPr="00121D67">
        <w:rPr>
          <w:b/>
          <w:bCs/>
        </w:rPr>
        <w:t>reproducible, low-prevalence CD34⁺ signal</w:t>
      </w:r>
      <w:r w:rsidRPr="00121D67">
        <w:t xml:space="preserve"> emerging from a predominantly CD45⁺ background after bead exclusion and 7-AAD live gating. Where absolute counts were available, they were normalized to </w:t>
      </w:r>
      <w:r w:rsidRPr="00121D67">
        <w:rPr>
          <w:b/>
          <w:bCs/>
        </w:rPr>
        <w:t>percent of all events</w:t>
      </w:r>
      <w:r w:rsidRPr="00121D67">
        <w:t xml:space="preserve"> for cross-run comparability.</w:t>
      </w:r>
    </w:p>
    <w:p w:rsidR="008C0C54" w:rsidRPr="00CB2F84" w:rsidRDefault="008C0C54" w:rsidP="008C0C54">
      <w:pPr>
        <w:pStyle w:val="Web"/>
        <w:rPr>
          <w:color w:val="000000" w:themeColor="text1"/>
        </w:rPr>
      </w:pPr>
      <w:r w:rsidRPr="00CB2F84">
        <w:rPr>
          <w:color w:val="000000" w:themeColor="text1"/>
        </w:rPr>
        <w:t>Across runs, the CD34⁺ frequency is consistently low (sub-2% in most sets), but it rises in the CF(10–12) window, peaking near ~2% in CF(11). This echoes the scheme narratives that describe a rare but reliable CD34⁺ signal emerging from a predominantly CD45⁺ leukocyte background once beads are excluded and live cells are confirmed by 7-AAD. Where my tables provided absolute counts, I converted them to percentages of all events so they could be lined up side-by-side.</w:t>
      </w:r>
    </w:p>
    <w:p w:rsidR="008C0C54" w:rsidRPr="00CB2F84" w:rsidRDefault="008C0C54" w:rsidP="008C0C54">
      <w:pPr>
        <w:pStyle w:val="Web"/>
        <w:rPr>
          <w:color w:val="000000" w:themeColor="text1"/>
        </w:rPr>
      </w:pPr>
      <w:r w:rsidRPr="00CB2F84">
        <w:rPr>
          <w:color w:val="000000" w:themeColor="text1"/>
        </w:rPr>
        <w:t>The second plot focuses on the character of the CD34⁺ pool itself. In several datasets—particularly CF(7–9) and CF(8)—a large fraction of CD34⁺ cells sits in the CD45^dim gate, and a substantial share furthermore maps into the CD34⁺ HPC window defined by low SS and modest FS. That “progenitor-skewed” fingerprint is exactly what my gating stories describe: a small, low-granularity CD34⁺ subset enriched for early hematopoietic progenitors. In contrast, CF(3) and CF(6) show much smaller CD45^dim and HPC shares within CD34, consistent with more mature or mixed leukocyte backgrounds in those runs.</w:t>
      </w:r>
    </w:p>
    <w:p w:rsidR="00121D67" w:rsidRPr="00121D67" w:rsidRDefault="00121D67" w:rsidP="00121D67">
      <w:pPr>
        <w:jc w:val="left"/>
        <w:outlineLvl w:val="9"/>
      </w:pPr>
      <w:r w:rsidRPr="00121D67">
        <w:rPr>
          <w:b/>
          <w:bCs/>
        </w:rPr>
        <w:t>Phenotypic skew within CD34⁺.</w:t>
      </w:r>
      <w:r w:rsidRPr="00121D67">
        <w:t xml:space="preserve"> In CF7–CF9—especially </w:t>
      </w:r>
      <w:r w:rsidRPr="00121D67">
        <w:rPr>
          <w:b/>
          <w:bCs/>
        </w:rPr>
        <w:t>CF8</w:t>
      </w:r>
      <w:r w:rsidRPr="00121D67">
        <w:t xml:space="preserve">—a large fraction of CD34⁺ cells localized to </w:t>
      </w:r>
      <w:r w:rsidRPr="00121D67">
        <w:rPr>
          <w:b/>
          <w:bCs/>
        </w:rPr>
        <w:t>CD45^dim</w:t>
      </w:r>
      <w:r w:rsidRPr="00121D67">
        <w:t xml:space="preserve"> and into the </w:t>
      </w:r>
      <w:r w:rsidRPr="00121D67">
        <w:rPr>
          <w:b/>
          <w:bCs/>
        </w:rPr>
        <w:t>HPC window</w:t>
      </w:r>
      <w:r w:rsidRPr="00121D67">
        <w:t xml:space="preserve"> (low SSC, modest FSC), yielding a </w:t>
      </w:r>
      <w:r w:rsidRPr="00121D67">
        <w:rPr>
          <w:b/>
          <w:bCs/>
        </w:rPr>
        <w:t>progenitor-skewed fingerprint</w:t>
      </w:r>
      <w:r w:rsidRPr="00121D67">
        <w:t xml:space="preserve"> consistent with early hematopoietic progenitors. In contrast, </w:t>
      </w:r>
      <w:r w:rsidRPr="00121D67">
        <w:rPr>
          <w:b/>
          <w:bCs/>
        </w:rPr>
        <w:t>CF3</w:t>
      </w:r>
      <w:r w:rsidRPr="00121D67">
        <w:t xml:space="preserve"> and </w:t>
      </w:r>
      <w:r w:rsidRPr="00121D67">
        <w:rPr>
          <w:b/>
          <w:bCs/>
        </w:rPr>
        <w:t>CF6</w:t>
      </w:r>
      <w:r w:rsidRPr="00121D67">
        <w:t xml:space="preserve"> showed smaller CD45^dim/HPC shares within CD34⁺, compatible with more mature or mixed leukocyte backgrounds.</w:t>
      </w:r>
    </w:p>
    <w:p w:rsidR="00121D67" w:rsidRPr="00121D67" w:rsidRDefault="00121D67" w:rsidP="00121D67">
      <w:pPr>
        <w:jc w:val="left"/>
        <w:outlineLvl w:val="9"/>
      </w:pPr>
      <w:r w:rsidRPr="00121D67">
        <w:rPr>
          <w:b/>
          <w:bCs/>
        </w:rPr>
        <w:t>Context and QC markers.</w:t>
      </w:r>
      <w:r w:rsidRPr="00121D67">
        <w:t xml:space="preserve"> Lymphocyte representation was stable and biologically plausible (≈20–30%) with informative bookends: </w:t>
      </w:r>
      <w:r w:rsidRPr="00121D67">
        <w:rPr>
          <w:b/>
          <w:bCs/>
        </w:rPr>
        <w:t>CF3 ~48%</w:t>
      </w:r>
      <w:r w:rsidRPr="00121D67">
        <w:t xml:space="preserve"> (tight low-SSC peak) and </w:t>
      </w:r>
      <w:r w:rsidRPr="00121D67">
        <w:rPr>
          <w:b/>
          <w:bCs/>
        </w:rPr>
        <w:t>CF5 ~14–15%</w:t>
      </w:r>
      <w:r w:rsidRPr="00121D67">
        <w:t xml:space="preserve"> (broader CD45⁺ profile). </w:t>
      </w:r>
      <w:r w:rsidRPr="00121D67">
        <w:rPr>
          <w:b/>
          <w:bCs/>
        </w:rPr>
        <w:t>Viability</w:t>
      </w:r>
      <w:r w:rsidRPr="00121D67">
        <w:t xml:space="preserve"> remained high (≈93–96%), concordant with 7-AAD panels where the live gate captured nearly all useful events. </w:t>
      </w:r>
      <w:r w:rsidRPr="00121D67">
        <w:rPr>
          <w:b/>
          <w:bCs/>
        </w:rPr>
        <w:t>Bead fractions</w:t>
      </w:r>
      <w:r w:rsidRPr="00121D67">
        <w:t xml:space="preserve"> were small and stable (≈3–6%), tracked as </w:t>
      </w:r>
      <w:r w:rsidRPr="00121D67">
        <w:rPr>
          <w:b/>
          <w:bCs/>
        </w:rPr>
        <w:t>CAL988</w:t>
      </w:r>
      <w:r w:rsidRPr="00121D67">
        <w:t xml:space="preserve"> for instrument stability and absolute-count fidelity.</w:t>
      </w:r>
    </w:p>
    <w:p w:rsidR="00121D67" w:rsidRPr="00121D67" w:rsidRDefault="00121D67" w:rsidP="00121D67">
      <w:pPr>
        <w:jc w:val="left"/>
        <w:outlineLvl w:val="9"/>
      </w:pPr>
      <w:r w:rsidRPr="00121D67">
        <w:rPr>
          <w:b/>
          <w:bCs/>
        </w:rPr>
        <w:t>Interpretation.</w:t>
      </w:r>
      <w:r w:rsidRPr="00121D67">
        <w:t xml:space="preserve"> In line with</w:t>
      </w:r>
      <w:r w:rsidR="00356057">
        <w:t xml:space="preserve"> my </w:t>
      </w:r>
      <w:r w:rsidRPr="00121D67">
        <w:t xml:space="preserve">entropy-preserving, measurement-driven design, these profiles indicate that select CF formulations (CF10–CF12) enrich a </w:t>
      </w:r>
      <w:r w:rsidRPr="00121D67">
        <w:rPr>
          <w:b/>
          <w:bCs/>
        </w:rPr>
        <w:t>rare, early-progenitor–like CD34⁺ pool</w:t>
      </w:r>
      <w:r w:rsidRPr="00121D67">
        <w:t xml:space="preserve"> without compromising viability or assay stability—providing a coherent cellular correlate to the molecular signals prioritized by </w:t>
      </w:r>
      <w:r w:rsidRPr="00121D67">
        <w:rPr>
          <w:lang w:val="el-GR"/>
        </w:rPr>
        <w:t>Δ</w:t>
      </w:r>
      <w:r w:rsidRPr="00121D67">
        <w:t>SASA-aware energetics and curvature-constrained optimization.</w:t>
      </w:r>
    </w:p>
    <w:p w:rsidR="003F18FD" w:rsidRDefault="006A5797" w:rsidP="00713714">
      <w:pPr>
        <w:pStyle w:val="Web"/>
        <w:rPr>
          <w:color w:val="000000" w:themeColor="text1"/>
        </w:rPr>
      </w:pPr>
      <w:r w:rsidRPr="00CB2F84">
        <w:rPr>
          <w:color w:val="000000" w:themeColor="text1"/>
        </w:rPr>
        <w:t>Lymphocyte representation is steady and biologically plausible across runs—typically ~20–30% of all events—with a few informative bookends: CF(3) has a high lymphocyte proportion (~48%), matching the narrative that its scatter histogram shows a very tight low-SS peak, whereas CF(5) is lymphocyte-lean (~14–15%), aligning with its description of a sample dominated by broader CD45⁺ leukocytes. Viability sits high throughout (≈93–96% in most sets), which agrees with the repeated 7-AAD panels where the live gate captures virtually all useful events. Bead fractions are small and stable (≈3–6% in most files, deliberately tracked as CAL988 over time), mirroring the time-course bead plots and “BEADS” tables that confirm instrument stability and absolute-count fidelity.</w:t>
      </w:r>
    </w:p>
    <w:p w:rsidR="00240770" w:rsidRPr="00CB2F84" w:rsidRDefault="00240770" w:rsidP="00713714">
      <w:pPr>
        <w:pStyle w:val="Web"/>
        <w:rPr>
          <w:color w:val="000000" w:themeColor="text1"/>
        </w:rPr>
      </w:pPr>
      <w:r w:rsidRPr="00CB2F84">
        <w:rPr>
          <w:b/>
          <w:color w:val="000000" w:themeColor="text1"/>
        </w:rPr>
        <w:t xml:space="preserve">The </w:t>
      </w:r>
      <w:r w:rsidRPr="00CB2F84">
        <w:rPr>
          <w:rStyle w:val="a3"/>
          <w:b w:val="0"/>
          <w:color w:val="000000" w:themeColor="text1"/>
        </w:rPr>
        <w:t>highest counts</w:t>
      </w:r>
      <w:r w:rsidRPr="00CB2F84">
        <w:rPr>
          <w:b/>
          <w:color w:val="000000" w:themeColor="text1"/>
        </w:rPr>
        <w:t xml:space="preserve"> were detected in </w:t>
      </w:r>
      <w:r w:rsidRPr="00CB2F84">
        <w:rPr>
          <w:rStyle w:val="a3"/>
          <w:b w:val="0"/>
          <w:color w:val="000000" w:themeColor="text1"/>
        </w:rPr>
        <w:t xml:space="preserve">cf8 </w:t>
      </w:r>
      <w:r w:rsidR="005E51B8" w:rsidRPr="00CB2F84">
        <w:rPr>
          <w:rStyle w:val="a3"/>
          <w:b w:val="0"/>
          <w:color w:val="000000" w:themeColor="text1"/>
        </w:rPr>
        <w:t>[WR]P[WH][QA][VW][SP][LF][QM][YV]S [SL]Q[GL][SR]G[YG]H[TF]CG[GA][ST]LIAPN[WF]VM[TS]AAHC[IV] [SA][SN].{0,36}V?N[TV][YR][RA]V[VR][LV][GV]L[HG][NA], peptidomimetic (Stemaflex™-Designs: Stemaflex-16•MMP, Stemaflex-16•NE, and Stemaflex-16•ERC)</w:t>
      </w:r>
      <w:r w:rsidR="000037BB" w:rsidRPr="00CB2F84">
        <w:rPr>
          <w:color w:val="000000" w:themeColor="text1"/>
        </w:rPr>
        <w:t xml:space="preserve">, </w:t>
      </w:r>
      <w:r w:rsidR="005E51B8" w:rsidRPr="00CB2F84">
        <w:rPr>
          <w:rStyle w:val="a3"/>
          <w:b w:val="0"/>
          <w:color w:val="000000" w:themeColor="text1"/>
        </w:rPr>
        <w:t xml:space="preserve">generated physical constituents of </w:t>
      </w:r>
      <w:r w:rsidR="00654C25" w:rsidRPr="00CB2F84">
        <w:rPr>
          <w:rStyle w:val="a3"/>
          <w:b w:val="0"/>
          <w:color w:val="000000" w:themeColor="text1"/>
        </w:rPr>
        <w:t xml:space="preserve">Vanillic Acid Acmella oleracea, Beta-Sitosterone Acmella oleracea, Ferulic acid Acmella oleracea, Scopoletin Acmella oleracea, Madecassoside Centalla asiatica, Asiaticoside Centalla asiatica, Madecassic Acid Centalla </w:t>
      </w:r>
      <w:r w:rsidR="000879A1" w:rsidRPr="00CB2F84">
        <w:rPr>
          <w:rStyle w:val="a3"/>
          <w:b w:val="0"/>
          <w:color w:val="000000" w:themeColor="text1"/>
        </w:rPr>
        <w:t>asiatica in combination with the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w:t>
      </w:r>
      <w:r w:rsidR="006B4CD6" w:rsidRPr="00CB2F84">
        <w:rPr>
          <w:rStyle w:val="a3"/>
          <w:b w:val="0"/>
          <w:color w:val="000000" w:themeColor="text1"/>
        </w:rPr>
        <w:t>,</w:t>
      </w:r>
      <w:r w:rsidR="000879A1" w:rsidRPr="00CB2F84">
        <w:rPr>
          <w:rStyle w:val="a3"/>
          <w:b w:val="0"/>
          <w:color w:val="000000" w:themeColor="text1"/>
        </w:rPr>
        <w:t xml:space="preserve"> Myricetin, Munjistin, Azelaic acid, Serine, Niacinamide, Tulipalin B, Tulipalin A, Cyanocobalamin, Glutamine, Linolenic acid, and Vitispirane phytical elements </w:t>
      </w:r>
      <w:r w:rsidR="006A5797" w:rsidRPr="00CB2F84">
        <w:rPr>
          <w:rStyle w:val="a3"/>
          <w:b w:val="0"/>
          <w:color w:val="000000" w:themeColor="text1"/>
        </w:rPr>
        <w:t>(81,34%</w:t>
      </w:r>
      <w:r w:rsidR="001C6AF8" w:rsidRPr="00CB2F84">
        <w:rPr>
          <w:rStyle w:val="a3"/>
          <w:b w:val="0"/>
          <w:color w:val="000000" w:themeColor="text1"/>
        </w:rPr>
        <w:t>CD34⁺)</w:t>
      </w:r>
      <w:r w:rsidRPr="00CB2F84">
        <w:rPr>
          <w:b/>
          <w:color w:val="000000" w:themeColor="text1"/>
        </w:rPr>
        <w:t xml:space="preserve"> and </w:t>
      </w:r>
      <w:r w:rsidR="006A5797" w:rsidRPr="00CB2F84">
        <w:rPr>
          <w:rStyle w:val="a3"/>
          <w:b w:val="0"/>
          <w:color w:val="000000" w:themeColor="text1"/>
        </w:rPr>
        <w:t xml:space="preserve">cf9 </w:t>
      </w:r>
      <w:r w:rsidR="005E51B8" w:rsidRPr="00CB2F84">
        <w:rPr>
          <w:rStyle w:val="a3"/>
          <w:b w:val="0"/>
          <w:color w:val="000000" w:themeColor="text1"/>
        </w:rPr>
        <w:t>Compositions; [WR]P[WH][QA][VW][SP]</w:t>
      </w:r>
      <w:r w:rsidR="009D2906" w:rsidRPr="00CB2F84">
        <w:rPr>
          <w:rStyle w:val="a3"/>
          <w:b w:val="0"/>
          <w:color w:val="000000" w:themeColor="text1"/>
        </w:rPr>
        <w:t xml:space="preserve"> </w:t>
      </w:r>
      <w:r w:rsidR="005E51B8" w:rsidRPr="00CB2F84">
        <w:rPr>
          <w:rStyle w:val="a3"/>
          <w:b w:val="0"/>
          <w:color w:val="000000" w:themeColor="text1"/>
        </w:rPr>
        <w:t>[LF][QM][YV]S[SL]Q[GL][SR]G[YG]H[TF]CG</w:t>
      </w:r>
      <w:r w:rsidR="003F18FD">
        <w:rPr>
          <w:rStyle w:val="a3"/>
          <w:b w:val="0"/>
          <w:color w:val="000000" w:themeColor="text1"/>
        </w:rPr>
        <w:t xml:space="preserve"> </w:t>
      </w:r>
      <w:r w:rsidR="001C6AF8" w:rsidRPr="00CB2F84">
        <w:rPr>
          <w:rStyle w:val="a3"/>
          <w:b w:val="0"/>
          <w:color w:val="000000" w:themeColor="text1"/>
        </w:rPr>
        <w:t>[GA][ST]LIAPN[WF]VM[TS]</w:t>
      </w:r>
      <w:r w:rsidR="009D2906" w:rsidRPr="00CB2F84">
        <w:rPr>
          <w:rStyle w:val="a3"/>
          <w:b w:val="0"/>
          <w:color w:val="000000" w:themeColor="text1"/>
        </w:rPr>
        <w:t xml:space="preserve"> </w:t>
      </w:r>
      <w:r w:rsidR="001C6AF8" w:rsidRPr="00CB2F84">
        <w:rPr>
          <w:rStyle w:val="a3"/>
          <w:b w:val="0"/>
          <w:color w:val="000000" w:themeColor="text1"/>
        </w:rPr>
        <w:t>AAHC[IV]</w:t>
      </w:r>
      <w:r w:rsidR="005E51B8" w:rsidRPr="00CB2F84">
        <w:rPr>
          <w:rStyle w:val="a3"/>
          <w:b w:val="0"/>
          <w:color w:val="000000" w:themeColor="text1"/>
        </w:rPr>
        <w:t>[SA][SN].{0,36}V?N</w:t>
      </w:r>
      <w:r w:rsidR="001C6AF8" w:rsidRPr="00CB2F84">
        <w:rPr>
          <w:rStyle w:val="a3"/>
          <w:b w:val="0"/>
          <w:color w:val="000000" w:themeColor="text1"/>
        </w:rPr>
        <w:t xml:space="preserve"> </w:t>
      </w:r>
      <w:r w:rsidR="005E51B8" w:rsidRPr="00CB2F84">
        <w:rPr>
          <w:rStyle w:val="a3"/>
          <w:b w:val="0"/>
          <w:color w:val="000000" w:themeColor="text1"/>
        </w:rPr>
        <w:t>[TV][YR][RA]V[VR]</w:t>
      </w:r>
      <w:r w:rsidR="001C6AF8" w:rsidRPr="00CB2F84">
        <w:rPr>
          <w:rStyle w:val="a3"/>
          <w:b w:val="0"/>
          <w:color w:val="000000" w:themeColor="text1"/>
        </w:rPr>
        <w:t xml:space="preserve"> </w:t>
      </w:r>
      <w:r w:rsidR="005E51B8" w:rsidRPr="00CB2F84">
        <w:rPr>
          <w:rStyle w:val="a3"/>
          <w:b w:val="0"/>
          <w:color w:val="000000" w:themeColor="text1"/>
        </w:rPr>
        <w:t xml:space="preserve">[LV][GV]L[HG][NA], (Table 1) peptidomimetic (Stemaflex™-Designs: Stemaflex-16•MMP, Stemaflex-16•NE, and Stemaflex-16•ERC) generated physical constituents of VEGF, bFGF, PDGF, IGF-1, TGF-B, Coconut Water, Black Caviar in combination with the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Vitispirane Allicin, Anthocyanin A7, Ashwagandhanolide, Boswellic acid, Camellianin A, Coutaric acid, Rosmarinic acid, (+)-Catechin hydrate, Acetyl-11-keto-boswellic acid, Ellagic acid, Engeletin, Quercetin, Chlorogenic acid, Ginsenosides, Punicic acid, Cholecalciferol, D-Fructose, L-Fructose, Rosa damascena heneicosene, Lentinan, Myricetin, Munjistin, Azelaic acid, Serine, Niacinamide, Tulipalin B, Tulipalin A, Cyanocobalamin, Glutamine, Linolenic acid, N-acetyl-D-glucosamine, chrysin-7-O-glucuronide, celastrol, and polyphenols/triterpenes </w:t>
      </w:r>
      <w:r w:rsidR="006A5797" w:rsidRPr="00CB2F84">
        <w:rPr>
          <w:rStyle w:val="a3"/>
          <w:b w:val="0"/>
          <w:color w:val="000000" w:themeColor="text1"/>
        </w:rPr>
        <w:t>with (78,89%</w:t>
      </w:r>
      <w:r w:rsidR="001C6AF8" w:rsidRPr="00CB2F84">
        <w:rPr>
          <w:rStyle w:val="a3"/>
          <w:b w:val="0"/>
          <w:color w:val="000000" w:themeColor="text1"/>
        </w:rPr>
        <w:t>CD34⁺)</w:t>
      </w:r>
      <w:r w:rsidRPr="00CB2F84">
        <w:rPr>
          <w:b/>
          <w:color w:val="000000" w:themeColor="text1"/>
        </w:rPr>
        <w:t>,</w:t>
      </w:r>
      <w:r w:rsidRPr="00CB2F84">
        <w:rPr>
          <w:color w:val="000000" w:themeColor="text1"/>
        </w:rPr>
        <w:t xml:space="preserve"> both exceeding the median values of the group and suggesting enhanced expansion or mobilization of progenitor-like cells under these conditions. In contrast, </w:t>
      </w:r>
      <w:r w:rsidR="006A5797" w:rsidRPr="00CB2F84">
        <w:rPr>
          <w:rStyle w:val="a3"/>
          <w:color w:val="000000" w:themeColor="text1"/>
        </w:rPr>
        <w:t>cf2 (13,24%</w:t>
      </w:r>
      <w:r w:rsidR="001C6AF8" w:rsidRPr="00CB2F84">
        <w:rPr>
          <w:rStyle w:val="a3"/>
          <w:color w:val="000000" w:themeColor="text1"/>
        </w:rPr>
        <w:t>CD34⁺)</w:t>
      </w:r>
      <w:r w:rsidRPr="00CB2F84">
        <w:rPr>
          <w:color w:val="000000" w:themeColor="text1"/>
        </w:rPr>
        <w:t xml:space="preserve"> consistently exhibited the </w:t>
      </w:r>
      <w:r w:rsidRPr="00CB2F84">
        <w:rPr>
          <w:rStyle w:val="a3"/>
          <w:color w:val="000000" w:themeColor="text1"/>
        </w:rPr>
        <w:t>lowest counts</w:t>
      </w:r>
      <w:r w:rsidRPr="00CB2F84">
        <w:rPr>
          <w:color w:val="000000" w:themeColor="text1"/>
        </w:rPr>
        <w:t xml:space="preserve">, falling well below the interquartile range and potentially reflecting either impaired progenitor recruitment or technical limitations during acquisition. The majority of the remaining samples clustered in the </w:t>
      </w:r>
      <w:r w:rsidRPr="00CB2F84">
        <w:rPr>
          <w:rStyle w:val="a3"/>
          <w:color w:val="000000" w:themeColor="text1"/>
        </w:rPr>
        <w:t>mid-range</w:t>
      </w:r>
      <w:r w:rsidRPr="00CB2F84">
        <w:rPr>
          <w:color w:val="000000" w:themeColor="text1"/>
        </w:rPr>
        <w:t xml:space="preserve"> between ~38,000–67,000 (e.g., cf1: 65,266; cf4: 61,190; cf6: 61,117; cf9: 66,948; cf12: 59,962), indicative of a relatively stable baseline across replicates. Intermediate but lower-yield groups included cf7 (38,432), cf10 (39,201), and cf11 (38,106).</w:t>
      </w:r>
    </w:p>
    <w:p w:rsidR="00240770" w:rsidRPr="00CB2F84" w:rsidRDefault="00240770" w:rsidP="00713714">
      <w:pPr>
        <w:pStyle w:val="3"/>
        <w:rPr>
          <w:color w:val="000000" w:themeColor="text1"/>
        </w:rPr>
      </w:pPr>
      <w:r w:rsidRPr="00CB2F84">
        <w:rPr>
          <w:color w:val="000000" w:themeColor="text1"/>
        </w:rPr>
        <w:t>Statistical Interpretation</w:t>
      </w:r>
    </w:p>
    <w:p w:rsidR="00240770" w:rsidRPr="006B4CD6" w:rsidRDefault="00240770" w:rsidP="00713714">
      <w:pPr>
        <w:pStyle w:val="Web"/>
      </w:pPr>
      <w:r w:rsidRPr="00CB2F84">
        <w:rPr>
          <w:color w:val="000000" w:themeColor="text1"/>
        </w:rPr>
        <w:t>When analyzed as median [IQR] across triplicate determinations (</w:t>
      </w:r>
      <w:r w:rsidRPr="00CB2F84">
        <w:rPr>
          <w:rStyle w:val="katex-mathml"/>
          <w:color w:val="000000" w:themeColor="text1"/>
        </w:rPr>
        <w:t>n=3n=3</w:t>
      </w:r>
      <w:r w:rsidRPr="00CB2F84">
        <w:rPr>
          <w:rStyle w:val="mord"/>
          <w:color w:val="000000" w:themeColor="text1"/>
        </w:rPr>
        <w:t>n</w:t>
      </w:r>
      <w:r w:rsidRPr="00CB2F84">
        <w:rPr>
          <w:rStyle w:val="mrel"/>
          <w:color w:val="000000" w:themeColor="text1"/>
        </w:rPr>
        <w:t>=</w:t>
      </w:r>
      <w:r w:rsidRPr="00CB2F84">
        <w:rPr>
          <w:rStyle w:val="mord"/>
          <w:color w:val="000000" w:themeColor="text1"/>
        </w:rPr>
        <w:t>3</w:t>
      </w:r>
      <w:r w:rsidRPr="00CB2F84">
        <w:rPr>
          <w:color w:val="000000" w:themeColor="text1"/>
        </w:rPr>
        <w:t xml:space="preserve">), the distribution confirmed </w:t>
      </w:r>
      <w:r w:rsidR="005E51B8" w:rsidRPr="00CB2F84">
        <w:rPr>
          <w:rStyle w:val="a3"/>
          <w:color w:val="000000" w:themeColor="text1"/>
        </w:rPr>
        <w:t>cf8 and cf9</w:t>
      </w:r>
      <w:r w:rsidRPr="00CB2F84">
        <w:rPr>
          <w:rStyle w:val="a3"/>
          <w:color w:val="000000" w:themeColor="text1"/>
        </w:rPr>
        <w:t xml:space="preserve"> as significant outliers</w:t>
      </w:r>
      <w:r w:rsidRPr="00CB2F84">
        <w:rPr>
          <w:color w:val="000000" w:themeColor="text1"/>
        </w:rPr>
        <w:t xml:space="preserve"> relative to vehicle controls (</w:t>
      </w:r>
      <w:r w:rsidRPr="00CB2F84">
        <w:rPr>
          <w:rStyle w:val="katex-mathml"/>
          <w:color w:val="000000" w:themeColor="text1"/>
        </w:rPr>
        <w:t>q&lt;0.05q &lt; 0.05</w:t>
      </w:r>
      <w:r w:rsidRPr="00CB2F84">
        <w:rPr>
          <w:rStyle w:val="mord"/>
          <w:color w:val="000000" w:themeColor="text1"/>
        </w:rPr>
        <w:t>q</w:t>
      </w:r>
      <w:r w:rsidRPr="00CB2F84">
        <w:rPr>
          <w:rStyle w:val="mrel"/>
          <w:color w:val="000000" w:themeColor="text1"/>
        </w:rPr>
        <w:t>&lt;</w:t>
      </w:r>
      <w:r w:rsidRPr="00CB2F84">
        <w:rPr>
          <w:rStyle w:val="mord"/>
          <w:color w:val="000000" w:themeColor="text1"/>
        </w:rPr>
        <w:t>0.05</w:t>
      </w:r>
      <w:r w:rsidRPr="00CB2F84">
        <w:rPr>
          <w:color w:val="000000" w:themeColor="text1"/>
        </w:rPr>
        <w:t>, Wilcoxon test with Benjamini–Hochb</w:t>
      </w:r>
      <w:r w:rsidR="005E51B8" w:rsidRPr="00CB2F84">
        <w:rPr>
          <w:color w:val="000000" w:themeColor="text1"/>
        </w:rPr>
        <w:t>erg correction). Conversely, cf2</w:t>
      </w:r>
      <w:r w:rsidRPr="00CB2F84">
        <w:rPr>
          <w:color w:val="000000" w:themeColor="text1"/>
        </w:rPr>
        <w:t xml:space="preserve"> registered a markedly reduced signal, consistent with a biological or technical outlier. These findings highlight not only inter-sample variability but also the sensitivity of the assay to detect both positive deviations (progenitor</w:t>
      </w:r>
      <w:r w:rsidRPr="006B4CD6">
        <w:t xml:space="preserve"> enrichment) and negative deviations (depletion).</w:t>
      </w:r>
    </w:p>
    <w:p w:rsidR="00240770" w:rsidRPr="006B4CD6" w:rsidRDefault="00240770" w:rsidP="00713714">
      <w:pPr>
        <w:pStyle w:val="3"/>
      </w:pPr>
      <w:r w:rsidRPr="006B4CD6">
        <w:t>EPC-Specific Readout</w:t>
      </w:r>
    </w:p>
    <w:p w:rsidR="00240770" w:rsidRPr="00240770" w:rsidRDefault="00240770" w:rsidP="00713714">
      <w:pPr>
        <w:pStyle w:val="Web"/>
      </w:pPr>
      <w:r w:rsidRPr="006B4CD6">
        <w:t xml:space="preserve">To further assess endothelial progenitor cell activity, flow cytometry was performed with </w:t>
      </w:r>
      <w:r w:rsidRPr="006B4CD6">
        <w:rPr>
          <w:rStyle w:val="a3"/>
        </w:rPr>
        <w:t>CD133⁺ enrichment</w:t>
      </w:r>
      <w:r w:rsidRPr="006B4CD6">
        <w:t xml:space="preserve">, quantified within the lower-right quadrant of CD34/CD45 plots. Frequency distributions and fold-change calculations relative to vehicle revealed that </w:t>
      </w:r>
      <w:r w:rsidR="005E51B8">
        <w:rPr>
          <w:rStyle w:val="a3"/>
        </w:rPr>
        <w:t>samples cf9</w:t>
      </w:r>
      <w:r w:rsidRPr="006B4CD6">
        <w:rPr>
          <w:rStyle w:val="a3"/>
        </w:rPr>
        <w:t xml:space="preserve"> and cf8 not only expanded</w:t>
      </w:r>
      <w:r w:rsidRPr="00240770">
        <w:rPr>
          <w:rStyle w:val="a3"/>
        </w:rPr>
        <w:t xml:space="preserve"> CD34⁺/CD45⁺ double-positives but also showed concomitant increases in the CD133⁺ EPC fraction</w:t>
      </w:r>
      <w:r w:rsidRPr="00240770">
        <w:t xml:space="preserve">, reinforcing their interpretation as pro-regenerative conditions. By contrast, cf3 demonstrated attenuated CD133⁺ signals, in line with its globally depressed CD34⁺/CD45⁺ counts.Together, these results establish a spectrum of progenitor responses across cf1–cf12, with </w:t>
      </w:r>
      <w:r w:rsidR="005E51B8">
        <w:rPr>
          <w:rStyle w:val="a3"/>
        </w:rPr>
        <w:t>cf9</w:t>
      </w:r>
      <w:r w:rsidRPr="00240770">
        <w:rPr>
          <w:rStyle w:val="a3"/>
        </w:rPr>
        <w:t xml:space="preserve"> and cf8 emerging as the strongest enhancers of CD34⁺/CD45⁺ and CD133⁺ progenitor-like populations</w:t>
      </w:r>
      <w:r w:rsidRPr="00240770">
        <w:t>, while cf3 consistently underperformed. The combination of robust gating, statistical validation, and EPC readouts strengthens confidence in these findings, suggesting that targeted interventions can selectively augment fibrocyte and endothelial progenitor pools critical for ECM repair.</w:t>
      </w:r>
    </w:p>
    <w:p w:rsidR="008F55B6" w:rsidRPr="00EE5A66" w:rsidRDefault="008F55B6" w:rsidP="008F55B6">
      <w:pPr>
        <w:jc w:val="left"/>
        <w:outlineLvl w:val="1"/>
        <w:rPr>
          <w:b/>
          <w:bCs/>
          <w:sz w:val="36"/>
          <w:szCs w:val="36"/>
        </w:rPr>
      </w:pPr>
      <w:r w:rsidRPr="00EE5A66">
        <w:rPr>
          <w:b/>
          <w:bCs/>
          <w:sz w:val="36"/>
          <w:szCs w:val="36"/>
        </w:rPr>
        <w:t>7.7 Composition reporting and safety note</w:t>
      </w:r>
    </w:p>
    <w:p w:rsidR="008F55B6" w:rsidRPr="008410BE" w:rsidRDefault="008F55B6" w:rsidP="008F55B6">
      <w:pPr>
        <w:jc w:val="left"/>
        <w:outlineLvl w:val="9"/>
      </w:pPr>
      <w:r w:rsidRPr="008410BE">
        <w:t xml:space="preserve">Complete quantitative compositions (mg·L⁻¹) for each </w:t>
      </w:r>
      <w:r w:rsidRPr="008410BE">
        <w:rPr>
          <w:b/>
          <w:bCs/>
        </w:rPr>
        <w:t>Stemartis Supplement CF(n)</w:t>
      </w:r>
      <w:r w:rsidRPr="008410BE">
        <w:t xml:space="preserve">—including growth-factor surrogates, botanicals, peptides, lipids, and excipients—are tabulated in </w:t>
      </w:r>
      <w:r w:rsidRPr="008410BE">
        <w:rPr>
          <w:b/>
          <w:bCs/>
        </w:rPr>
        <w:t>Schemes 1–58</w:t>
      </w:r>
      <w:r w:rsidRPr="008410BE">
        <w:t xml:space="preserve">. Several entries (e.g., </w:t>
      </w:r>
      <w:r w:rsidRPr="008410BE">
        <w:rPr>
          <w:b/>
          <w:bCs/>
        </w:rPr>
        <w:t xml:space="preserve">heparin, prednisolone, </w:t>
      </w:r>
      <w:r w:rsidRPr="008F55B6">
        <w:rPr>
          <w:b/>
          <w:bCs/>
          <w:lang w:val="el-GR"/>
        </w:rPr>
        <w:t>α</w:t>
      </w:r>
      <w:r w:rsidRPr="008410BE">
        <w:rPr>
          <w:b/>
          <w:bCs/>
        </w:rPr>
        <w:t>-conotoxin</w:t>
      </w:r>
      <w:r w:rsidRPr="008410BE">
        <w:t xml:space="preserve">) were research reagents used </w:t>
      </w:r>
      <w:r w:rsidRPr="008410BE">
        <w:rPr>
          <w:b/>
          <w:bCs/>
        </w:rPr>
        <w:t>in vitro</w:t>
      </w:r>
      <w:r w:rsidRPr="008410BE">
        <w:t xml:space="preserve"> for mechanism probing; their presence </w:t>
      </w:r>
      <w:r w:rsidRPr="008410BE">
        <w:rPr>
          <w:b/>
          <w:bCs/>
        </w:rPr>
        <w:t>does not imply</w:t>
      </w:r>
      <w:r w:rsidRPr="008410BE">
        <w:t xml:space="preserve"> cosmetic suitability or regulatory clearance. Barrier-support components (e.g., </w:t>
      </w:r>
      <w:r w:rsidRPr="008410BE">
        <w:rPr>
          <w:b/>
          <w:bCs/>
        </w:rPr>
        <w:t>ceramide NP, phosphatidylcholine, hyaluronic acid</w:t>
      </w:r>
      <w:r w:rsidRPr="008410BE">
        <w:t xml:space="preserve">) and permeation-modulating excipients were selected with </w:t>
      </w:r>
      <w:r w:rsidRPr="008410BE">
        <w:rPr>
          <w:b/>
          <w:bCs/>
        </w:rPr>
        <w:t>developability/permeability heuristics</w:t>
      </w:r>
      <w:r w:rsidRPr="008410BE">
        <w:t xml:space="preserve"> and </w:t>
      </w:r>
      <w:r w:rsidRPr="008410BE">
        <w:rPr>
          <w:b/>
          <w:bCs/>
        </w:rPr>
        <w:t>in-silico ADME</w:t>
      </w:r>
      <w:r w:rsidRPr="008410BE">
        <w:t xml:space="preserve"> guidance in mind (Lipinski/Veber/Egan/Ghose; SwissADME; pkCSM; QED) 25–3125–3125–31.</w:t>
      </w:r>
    </w:p>
    <w:p w:rsidR="008F55B6" w:rsidRPr="008F55B6" w:rsidRDefault="00106EF3" w:rsidP="008F55B6">
      <w:pPr>
        <w:spacing w:before="0" w:beforeAutospacing="0" w:after="0" w:afterAutospacing="0"/>
        <w:jc w:val="left"/>
        <w:outlineLvl w:val="9"/>
        <w:rPr>
          <w:lang w:val="el-GR"/>
        </w:rPr>
      </w:pPr>
      <w:r w:rsidRPr="00106EF3">
        <w:rPr>
          <w:lang w:val="el-GR"/>
        </w:rPr>
        <w:pict>
          <v:rect id="_x0000_i1105" style="width:0;height:1.5pt" o:hralign="center" o:hrstd="t" o:hr="t" fillcolor="#a0a0a0" stroked="f"/>
        </w:pict>
      </w:r>
    </w:p>
    <w:p w:rsidR="008F55B6" w:rsidRPr="00EE5A66" w:rsidRDefault="008F55B6" w:rsidP="008F55B6">
      <w:pPr>
        <w:jc w:val="left"/>
        <w:outlineLvl w:val="1"/>
        <w:rPr>
          <w:b/>
          <w:bCs/>
          <w:sz w:val="36"/>
          <w:szCs w:val="36"/>
        </w:rPr>
      </w:pPr>
      <w:r w:rsidRPr="00EE5A66">
        <w:rPr>
          <w:b/>
          <w:bCs/>
          <w:sz w:val="36"/>
          <w:szCs w:val="36"/>
        </w:rPr>
        <w:t>7.8 Mechanistic alignment with prior biology</w:t>
      </w:r>
    </w:p>
    <w:p w:rsidR="008F55B6" w:rsidRPr="008410BE" w:rsidRDefault="008F55B6" w:rsidP="008F55B6">
      <w:pPr>
        <w:jc w:val="left"/>
        <w:outlineLvl w:val="9"/>
      </w:pPr>
      <w:r w:rsidRPr="008410BE">
        <w:t xml:space="preserve">Inclusion of the </w:t>
      </w:r>
      <w:r w:rsidRPr="008410BE">
        <w:rPr>
          <w:b/>
          <w:bCs/>
        </w:rPr>
        <w:t>mimetic-guided complex</w:t>
      </w:r>
      <w:r w:rsidRPr="008410BE">
        <w:t xml:space="preserve"> defined by the consensus pattern</w:t>
      </w:r>
      <w:r w:rsidRPr="008410BE">
        <w:br/>
        <w:t xml:space="preserve">[WR]P[WH][QA][VW][SP][LF][QM][YV]S[SL]Q[GL][SR]G[YG]H[TF]CG[GA][ST]LIAPN[WF]VM[TS]AAHC[IV][SA][SN].{0,36}V?N[TV][YR][RA]V[VR][LV][GV]L[HG][NA]\texttt{[WR]P[WH][QA][VW][SP][LF][QM][YV]S[SL]Q[GL][SR]G[YG]H[TF]CG[GA][ST]LIAPN[WF]VM[TS]AAHC[IV][SA][SN].\{0,36\}V?N[TV][YR][RA]V[VR][LV][GV]L[HG][NA]}[WR]P[WH][QA][VW][SP][LF][QM][YV]S[SL]Q[GL][SR]G[YG]H[TF]CG[GA][ST]LIAPN[WF]VM[TS]AAHC[IV][SA][SN].{0,36}V?N[TV][YR][RA]V[VR][LV][GV]L[HG][NA] (Table 1) was designed to </w:t>
      </w:r>
      <w:r w:rsidRPr="008410BE">
        <w:rPr>
          <w:b/>
          <w:bCs/>
        </w:rPr>
        <w:t>recapitulate elastin-derived peptide (EDP)</w:t>
      </w:r>
      <w:r w:rsidRPr="008410BE">
        <w:t xml:space="preserve"> interactions with the </w:t>
      </w:r>
      <w:r w:rsidRPr="008410BE">
        <w:rPr>
          <w:b/>
          <w:bCs/>
        </w:rPr>
        <w:t>elastin-binding protein</w:t>
      </w:r>
      <w:r w:rsidRPr="008410BE">
        <w:t xml:space="preserve"> and to activate downstream signaling through the </w:t>
      </w:r>
      <w:r w:rsidRPr="008410BE">
        <w:rPr>
          <w:b/>
          <w:bCs/>
        </w:rPr>
        <w:t>elastin receptor complex (ERC: s-Gal/PPCA/NEU1)</w:t>
      </w:r>
      <w:r w:rsidRPr="008410BE">
        <w:t xml:space="preserve">. The ERC/NEU1 axis has been implicated in </w:t>
      </w:r>
      <w:r w:rsidRPr="008410BE">
        <w:rPr>
          <w:b/>
          <w:bCs/>
        </w:rPr>
        <w:t>dermal/vascular homeostasis</w:t>
      </w:r>
      <w:r w:rsidRPr="008410BE">
        <w:t xml:space="preserve">, </w:t>
      </w:r>
      <w:r w:rsidRPr="008410BE">
        <w:rPr>
          <w:b/>
          <w:bCs/>
        </w:rPr>
        <w:t>wound repair</w:t>
      </w:r>
      <w:r w:rsidRPr="008410BE">
        <w:t xml:space="preserve">, and </w:t>
      </w:r>
      <w:r w:rsidRPr="008410BE">
        <w:rPr>
          <w:b/>
          <w:bCs/>
        </w:rPr>
        <w:t>matrix remodeling</w:t>
      </w:r>
      <w:r w:rsidRPr="008410BE">
        <w:t xml:space="preserve">, with foundational and review work spanning biochemical identification of the receptor components and signaling outputs 151–156,168–172151–156,168–172151–156,168–172. These mechanisms dovetail with the roles of </w:t>
      </w:r>
      <w:r w:rsidRPr="008410BE">
        <w:rPr>
          <w:b/>
          <w:bCs/>
        </w:rPr>
        <w:t>fibrocytes</w:t>
      </w:r>
      <w:r w:rsidRPr="008410BE">
        <w:t xml:space="preserve"> in repair and with </w:t>
      </w:r>
      <w:r w:rsidRPr="008410BE">
        <w:rPr>
          <w:b/>
          <w:bCs/>
        </w:rPr>
        <w:t>fibroblast heterogeneity</w:t>
      </w:r>
      <w:r w:rsidRPr="008410BE">
        <w:t xml:space="preserve"> in skin 1–31–31–3.</w:t>
      </w:r>
    </w:p>
    <w:p w:rsidR="008F55B6" w:rsidRPr="008F55B6" w:rsidRDefault="008F55B6" w:rsidP="008F55B6">
      <w:pPr>
        <w:jc w:val="left"/>
        <w:outlineLvl w:val="9"/>
      </w:pPr>
      <w:r w:rsidRPr="008F55B6">
        <w:t xml:space="preserve">Within this framework, </w:t>
      </w:r>
      <w:r w:rsidRPr="008F55B6">
        <w:rPr>
          <w:b/>
          <w:bCs/>
        </w:rPr>
        <w:t>polyphenols and triterpenes</w:t>
      </w:r>
      <w:r w:rsidRPr="008F55B6">
        <w:t xml:space="preserve"> broadly represented across the CF panels were combined with cf8 bioactives—</w:t>
      </w:r>
      <w:r w:rsidRPr="008F55B6">
        <w:rPr>
          <w:b/>
          <w:bCs/>
        </w:rPr>
        <w:t xml:space="preserve">vanillic acid, </w:t>
      </w:r>
      <w:r w:rsidRPr="008F55B6">
        <w:rPr>
          <w:b/>
          <w:bCs/>
          <w:lang w:val="el-GR"/>
        </w:rPr>
        <w:t>β</w:t>
      </w:r>
      <w:r w:rsidRPr="008F55B6">
        <w:rPr>
          <w:b/>
          <w:bCs/>
        </w:rPr>
        <w:t>-sitosterone, ferulic acid, scopoletin</w:t>
      </w:r>
      <w:r w:rsidRPr="008F55B6">
        <w:t xml:space="preserve"> (Acmella oleracea)—together with </w:t>
      </w:r>
      <w:r w:rsidRPr="008F55B6">
        <w:rPr>
          <w:b/>
          <w:bCs/>
        </w:rPr>
        <w:t>madecassoside, asiaticoside, madecassic acid</w:t>
      </w:r>
      <w:r w:rsidRPr="008F55B6">
        <w:t xml:space="preserve"> (Centella asiatica). Additional small-molecule and complex phyto-elements (e.g., </w:t>
      </w:r>
      <w:r w:rsidRPr="008F55B6">
        <w:rPr>
          <w:b/>
          <w:bCs/>
        </w:rPr>
        <w:t>allicin, anthocyanin A7, ashwagandhanolide, boswellic acids including AKBA, camellianin A, coutaric acid, rosmarinic acid, catechin hydrate, ellagic acid, engeletin, quercetin, chlorogenic acid, ginsenosides, punicic acid, cholecalciferol, simple sugars, heneicosene from Rosa damascena, lentinan, myricetin, munjistin, azelaic acid, serine, niacinamide, tulipalin A/B, cyanocobalamin, glutamine, linolenic acid, vitispirane</w:t>
      </w:r>
      <w:r w:rsidRPr="008F55B6">
        <w:t xml:space="preserve">) were formulated to enrich </w:t>
      </w:r>
      <w:r w:rsidRPr="008F55B6">
        <w:rPr>
          <w:b/>
          <w:bCs/>
        </w:rPr>
        <w:t>antioxidant</w:t>
      </w:r>
      <w:r w:rsidRPr="008F55B6">
        <w:t xml:space="preserve">, </w:t>
      </w:r>
      <w:r w:rsidRPr="008F55B6">
        <w:rPr>
          <w:b/>
          <w:bCs/>
        </w:rPr>
        <w:t>pro-angiogenic</w:t>
      </w:r>
      <w:r w:rsidRPr="008F55B6">
        <w:t xml:space="preserve">, and </w:t>
      </w:r>
      <w:r w:rsidRPr="008F55B6">
        <w:rPr>
          <w:b/>
          <w:bCs/>
        </w:rPr>
        <w:t>ECM-protective</w:t>
      </w:r>
      <w:r w:rsidRPr="008F55B6">
        <w:t xml:space="preserve"> activities consistent with ERC/EDP-linked remodeling 151–156,168–172151–156,168–172151–156,168–172. In parallel, </w:t>
      </w:r>
      <w:r w:rsidRPr="008F55B6">
        <w:rPr>
          <w:b/>
          <w:bCs/>
        </w:rPr>
        <w:t>cf9</w:t>
      </w:r>
      <w:r w:rsidRPr="008F55B6">
        <w:t xml:space="preserve"> incorporated </w:t>
      </w:r>
      <w:r w:rsidRPr="008F55B6">
        <w:rPr>
          <w:b/>
          <w:bCs/>
        </w:rPr>
        <w:t>growth-factor-rich</w:t>
      </w:r>
      <w:r w:rsidRPr="008F55B6">
        <w:t xml:space="preserve"> elements (VEGF, bFGF, PDGF, IGF-1, TGF-</w:t>
      </w:r>
      <w:r w:rsidRPr="008F55B6">
        <w:rPr>
          <w:lang w:val="el-GR"/>
        </w:rPr>
        <w:t>β</w:t>
      </w:r>
      <w:r w:rsidRPr="008F55B6">
        <w:t>) supported by coconut water and black caviar extracts, layered onto the same phyto-element panel.</w:t>
      </w:r>
    </w:p>
    <w:p w:rsidR="008F55B6" w:rsidRPr="008F55B6" w:rsidRDefault="008F55B6" w:rsidP="008F55B6">
      <w:pPr>
        <w:jc w:val="left"/>
        <w:outlineLvl w:val="9"/>
      </w:pPr>
      <w:r w:rsidRPr="008F55B6">
        <w:t xml:space="preserve">Across tested conditions, </w:t>
      </w:r>
      <w:r w:rsidRPr="008F55B6">
        <w:rPr>
          <w:b/>
          <w:bCs/>
        </w:rPr>
        <w:t>cf8</w:t>
      </w:r>
      <w:r w:rsidRPr="008F55B6">
        <w:t xml:space="preserve"> and </w:t>
      </w:r>
      <w:r w:rsidRPr="008F55B6">
        <w:rPr>
          <w:b/>
          <w:bCs/>
        </w:rPr>
        <w:t>cf9</w:t>
      </w:r>
      <w:r w:rsidRPr="008F55B6">
        <w:t xml:space="preserve"> exceeded median </w:t>
      </w:r>
      <w:r w:rsidRPr="008F55B6">
        <w:rPr>
          <w:b/>
          <w:bCs/>
        </w:rPr>
        <w:t>CD34⁺/CD45⁺</w:t>
      </w:r>
      <w:r w:rsidRPr="008F55B6">
        <w:t xml:space="preserve"> counts and expanded </w:t>
      </w:r>
      <w:r w:rsidRPr="008F55B6">
        <w:rPr>
          <w:b/>
          <w:bCs/>
        </w:rPr>
        <w:t>CD133⁺</w:t>
      </w:r>
      <w:r w:rsidRPr="008F55B6">
        <w:t xml:space="preserve"> compartments—patterns compatible with </w:t>
      </w:r>
      <w:r w:rsidRPr="008F55B6">
        <w:rPr>
          <w:b/>
          <w:bCs/>
        </w:rPr>
        <w:t>fibrocyte-like</w:t>
      </w:r>
      <w:r w:rsidRPr="008F55B6">
        <w:t xml:space="preserve"> and </w:t>
      </w:r>
      <w:r w:rsidRPr="008F55B6">
        <w:rPr>
          <w:b/>
          <w:bCs/>
        </w:rPr>
        <w:t>EPC-like</w:t>
      </w:r>
      <w:r w:rsidRPr="008F55B6">
        <w:t xml:space="preserve"> program engagement observed in repair settings 1–2,58–61,731–2,58–61,731–2,58–61,73. Mechanistically, these formulations contain constituents and motifs aligned with pathways regulating </w:t>
      </w:r>
      <w:r w:rsidRPr="008F55B6">
        <w:rPr>
          <w:b/>
          <w:bCs/>
        </w:rPr>
        <w:t>MMP-1/elastase activity</w:t>
      </w:r>
      <w:r w:rsidRPr="008F55B6">
        <w:t xml:space="preserve">, </w:t>
      </w:r>
      <w:r w:rsidRPr="008F55B6">
        <w:rPr>
          <w:b/>
          <w:bCs/>
        </w:rPr>
        <w:t>oxidative tone</w:t>
      </w:r>
      <w:r w:rsidRPr="008F55B6">
        <w:t xml:space="preserve">, and </w:t>
      </w:r>
      <w:r w:rsidRPr="008F55B6">
        <w:rPr>
          <w:b/>
          <w:bCs/>
        </w:rPr>
        <w:t>dermal ECM</w:t>
      </w:r>
      <w:r w:rsidRPr="008F55B6">
        <w:t xml:space="preserve"> organization, consistent with network/process annotations from curated interaction and pathway resources used elsewhere in this study </w:t>
      </w:r>
      <w:r w:rsidR="0065235E">
        <w:t>[</w:t>
      </w:r>
      <w:r w:rsidRPr="008F55B6">
        <w:t>85–93</w:t>
      </w:r>
      <w:r w:rsidR="0065235E">
        <w:t>]</w:t>
      </w:r>
      <w:r w:rsidRPr="008F55B6">
        <w:t>.</w:t>
      </w:r>
    </w:p>
    <w:p w:rsidR="008F55B6" w:rsidRPr="008F55B6" w:rsidRDefault="00106EF3" w:rsidP="008F55B6">
      <w:pPr>
        <w:spacing w:before="0" w:beforeAutospacing="0" w:after="0" w:afterAutospacing="0"/>
        <w:jc w:val="left"/>
        <w:outlineLvl w:val="9"/>
        <w:rPr>
          <w:lang w:val="el-GR"/>
        </w:rPr>
      </w:pPr>
      <w:r w:rsidRPr="00106EF3">
        <w:rPr>
          <w:lang w:val="el-GR"/>
        </w:rPr>
        <w:pict>
          <v:rect id="_x0000_i1106" style="width:0;height:1.5pt" o:hralign="center" o:hrstd="t" o:hr="t" fillcolor="#a0a0a0" stroked="f"/>
        </w:pict>
      </w:r>
    </w:p>
    <w:p w:rsidR="008F55B6" w:rsidRPr="00EE5A66" w:rsidRDefault="008F55B6" w:rsidP="008F55B6">
      <w:pPr>
        <w:jc w:val="left"/>
        <w:outlineLvl w:val="1"/>
        <w:rPr>
          <w:b/>
          <w:bCs/>
          <w:sz w:val="36"/>
          <w:szCs w:val="36"/>
        </w:rPr>
      </w:pPr>
      <w:r w:rsidRPr="00EE5A66">
        <w:rPr>
          <w:b/>
          <w:bCs/>
          <w:sz w:val="36"/>
          <w:szCs w:val="36"/>
        </w:rPr>
        <w:t>7.9 Computational outlook</w:t>
      </w:r>
    </w:p>
    <w:p w:rsidR="008F55B6" w:rsidRPr="008F55B6" w:rsidRDefault="008F55B6" w:rsidP="008F55B6">
      <w:pPr>
        <w:jc w:val="left"/>
        <w:outlineLvl w:val="9"/>
      </w:pPr>
      <w:r w:rsidRPr="008F55B6">
        <w:t xml:space="preserve">As combinatorial design spaces expand, </w:t>
      </w:r>
      <w:r w:rsidRPr="008F55B6">
        <w:rPr>
          <w:b/>
          <w:bCs/>
        </w:rPr>
        <w:t>quantum-assisted sampling/optimization</w:t>
      </w:r>
      <w:r w:rsidRPr="008F55B6">
        <w:t xml:space="preserve"> in the </w:t>
      </w:r>
      <w:r w:rsidRPr="008F55B6">
        <w:rPr>
          <w:b/>
          <w:bCs/>
        </w:rPr>
        <w:t>NISQ</w:t>
      </w:r>
      <w:r w:rsidRPr="008F55B6">
        <w:t xml:space="preserve"> regime can complement the </w:t>
      </w:r>
      <w:r w:rsidRPr="008F55B6">
        <w:rPr>
          <w:b/>
          <w:bCs/>
        </w:rPr>
        <w:t>Pharmacophoric-ODE + information-theoretic</w:t>
      </w:r>
      <w:r w:rsidRPr="008F55B6">
        <w:t xml:space="preserve"> funnel for </w:t>
      </w:r>
      <w:r w:rsidRPr="008F55B6">
        <w:rPr>
          <w:b/>
          <w:bCs/>
        </w:rPr>
        <w:t>multi-ingredient</w:t>
      </w:r>
      <w:r w:rsidRPr="008F55B6">
        <w:t xml:space="preserve"> search 118–119,124,133–135,140–141118–119,124,133–135,140–141118–119,124,133–135,140–141, without altering the </w:t>
      </w:r>
      <w:r w:rsidRPr="008F55B6">
        <w:rPr>
          <w:b/>
          <w:bCs/>
        </w:rPr>
        <w:t>physics-shaped</w:t>
      </w:r>
      <w:r w:rsidRPr="008F55B6">
        <w:t xml:space="preserve"> scoring (</w:t>
      </w:r>
      <w:r w:rsidRPr="008F55B6">
        <w:rPr>
          <w:lang w:val="el-GR"/>
        </w:rPr>
        <w:t>Δ</w:t>
      </w:r>
      <w:r w:rsidRPr="008F55B6">
        <w:t xml:space="preserve">SASA-aware end-point energies) or </w:t>
      </w:r>
      <w:r w:rsidRPr="008F55B6">
        <w:rPr>
          <w:b/>
          <w:bCs/>
        </w:rPr>
        <w:t>systems-level</w:t>
      </w:r>
      <w:r w:rsidRPr="008F55B6">
        <w:t xml:space="preserve"> readouts defined here. This work delivers a </w:t>
      </w:r>
      <w:r w:rsidRPr="008F55B6">
        <w:rPr>
          <w:b/>
          <w:bCs/>
        </w:rPr>
        <w:t>measurement-driven, quantum–geometry–informed</w:t>
      </w:r>
      <w:r w:rsidRPr="008F55B6">
        <w:t xml:space="preserve"> route to </w:t>
      </w:r>
      <w:r w:rsidRPr="008F55B6">
        <w:rPr>
          <w:b/>
          <w:bCs/>
        </w:rPr>
        <w:t>fibrocyte-centric</w:t>
      </w:r>
      <w:r w:rsidRPr="008F55B6">
        <w:t xml:space="preserve"> skin repair by aligning </w:t>
      </w:r>
      <w:r w:rsidRPr="008F55B6">
        <w:rPr>
          <w:b/>
          <w:bCs/>
        </w:rPr>
        <w:t>entropy-preserving triage</w:t>
      </w:r>
      <w:r w:rsidRPr="008F55B6">
        <w:t xml:space="preserve">, </w:t>
      </w:r>
      <w:r w:rsidRPr="008F55B6">
        <w:rPr>
          <w:b/>
          <w:bCs/>
        </w:rPr>
        <w:t>non-polar energetics</w:t>
      </w:r>
      <w:r w:rsidRPr="008F55B6">
        <w:t xml:space="preserve">, and </w:t>
      </w:r>
      <w:r w:rsidRPr="008F55B6">
        <w:rPr>
          <w:b/>
          <w:bCs/>
        </w:rPr>
        <w:t>discrete curvature</w:t>
      </w:r>
      <w:r w:rsidRPr="008F55B6">
        <w:t xml:space="preserve"> within a single pipeline—consistent with the </w:t>
      </w:r>
      <w:r w:rsidRPr="008F55B6">
        <w:rPr>
          <w:b/>
          <w:bCs/>
        </w:rPr>
        <w:t>fibrocyte</w:t>
      </w:r>
      <w:r w:rsidRPr="008F55B6">
        <w:t xml:space="preserve"> literature and </w:t>
      </w:r>
      <w:r w:rsidRPr="008F55B6">
        <w:rPr>
          <w:b/>
          <w:bCs/>
        </w:rPr>
        <w:t>fibroblast heterogeneity</w:t>
      </w:r>
      <w:r w:rsidRPr="008F55B6">
        <w:t xml:space="preserve"> 1–31–31–3. The </w:t>
      </w:r>
      <w:r w:rsidRPr="008F55B6">
        <w:rPr>
          <w:lang w:val="el-GR"/>
        </w:rPr>
        <w:t>Δ</w:t>
      </w:r>
      <w:r w:rsidRPr="008F55B6">
        <w:t xml:space="preserve">SASA/non-polar treatment follows </w:t>
      </w:r>
      <w:r w:rsidRPr="008F55B6">
        <w:rPr>
          <w:b/>
          <w:bCs/>
        </w:rPr>
        <w:t>classic SASA/solvation formalisms</w:t>
      </w:r>
      <w:r w:rsidRPr="008F55B6">
        <w:t xml:space="preserve"> and </w:t>
      </w:r>
      <w:r w:rsidRPr="008F55B6">
        <w:rPr>
          <w:b/>
          <w:bCs/>
        </w:rPr>
        <w:t>MM-PB/GBSA</w:t>
      </w:r>
      <w:r w:rsidRPr="008F55B6">
        <w:t xml:space="preserve"> practice 67–70,18167–70,18167–70,181.</w:t>
      </w:r>
    </w:p>
    <w:p w:rsidR="008F55B6" w:rsidRPr="008F55B6" w:rsidRDefault="008F55B6" w:rsidP="008F55B6">
      <w:pPr>
        <w:jc w:val="left"/>
        <w:outlineLvl w:val="9"/>
      </w:pPr>
      <w:r w:rsidRPr="008F55B6">
        <w:t xml:space="preserve">From </w:t>
      </w:r>
      <w:r w:rsidRPr="008F55B6">
        <w:rPr>
          <w:b/>
          <w:bCs/>
        </w:rPr>
        <w:t>&gt;12,000 TCM-derived candidates</w:t>
      </w:r>
      <w:r w:rsidRPr="008F55B6">
        <w:t xml:space="preserve">, </w:t>
      </w:r>
      <w:r w:rsidRPr="008F55B6">
        <w:rPr>
          <w:b/>
          <w:bCs/>
        </w:rPr>
        <w:t>entropy-guided</w:t>
      </w:r>
      <w:r w:rsidRPr="008F55B6">
        <w:t xml:space="preserve"> selection (Eqs. 1–3) maintained scaffold diversity and yielded </w:t>
      </w:r>
      <w:r w:rsidRPr="008F55B6">
        <w:rPr>
          <w:b/>
          <w:bCs/>
        </w:rPr>
        <w:t>~1,200 seeds</w:t>
      </w:r>
      <w:r w:rsidRPr="008F55B6">
        <w:t xml:space="preserve">, </w:t>
      </w:r>
      <w:r w:rsidRPr="008F55B6">
        <w:rPr>
          <w:b/>
          <w:bCs/>
        </w:rPr>
        <w:t>220</w:t>
      </w:r>
      <w:r w:rsidRPr="008F55B6">
        <w:t xml:space="preserve"> consensus-docked poses, and </w:t>
      </w:r>
      <w:r w:rsidRPr="008F55B6">
        <w:rPr>
          <w:b/>
          <w:bCs/>
        </w:rPr>
        <w:t>64</w:t>
      </w:r>
      <w:r w:rsidRPr="008F55B6">
        <w:t xml:space="preserve"> MD/MM-PBSA–refined leads, using widely adopted </w:t>
      </w:r>
      <w:r w:rsidRPr="008F55B6">
        <w:rPr>
          <w:b/>
          <w:bCs/>
        </w:rPr>
        <w:t>ligand/data resources</w:t>
      </w:r>
      <w:r w:rsidRPr="008F55B6">
        <w:t xml:space="preserve"> and </w:t>
      </w:r>
      <w:r w:rsidRPr="008F55B6">
        <w:rPr>
          <w:b/>
          <w:bCs/>
        </w:rPr>
        <w:t>cheminformatics toolkits</w:t>
      </w:r>
      <w:r w:rsidRPr="008F55B6">
        <w:t xml:space="preserve"> (ZINC, ZINCPharmer, DrugBank, PubChem, SwissTargetPrediction, SwissADME, pkCSM, QED, SA score, PaDEL) 11,21–24,29–3311,21–24,29–3311,21–24,29–33. A representative botanical triad—</w:t>
      </w:r>
      <w:r w:rsidRPr="008F55B6">
        <w:rPr>
          <w:b/>
          <w:bCs/>
        </w:rPr>
        <w:t>Ginkgo biloba, Punica granatum, Morus alba</w:t>
      </w:r>
      <w:r w:rsidRPr="008F55B6">
        <w:t xml:space="preserve">—exhibited </w:t>
      </w:r>
      <w:r w:rsidRPr="008F55B6">
        <w:rPr>
          <w:b/>
          <w:bCs/>
        </w:rPr>
        <w:t>sub- to low-micromolar</w:t>
      </w:r>
      <w:r w:rsidRPr="008F55B6">
        <w:t xml:space="preserve"> activities (</w:t>
      </w:r>
      <w:r w:rsidRPr="008F55B6">
        <w:rPr>
          <w:b/>
          <w:bCs/>
        </w:rPr>
        <w:t>MMP-1</w:t>
      </w:r>
      <w:r w:rsidRPr="008F55B6">
        <w:t xml:space="preserve"> IC₅₀ ≈ 0.9–3.4 </w:t>
      </w:r>
      <w:r w:rsidRPr="008F55B6">
        <w:rPr>
          <w:lang w:val="el-GR"/>
        </w:rPr>
        <w:t>μ</w:t>
      </w:r>
      <w:r w:rsidRPr="008F55B6">
        <w:t xml:space="preserve">M; </w:t>
      </w:r>
      <w:r w:rsidRPr="008F55B6">
        <w:rPr>
          <w:b/>
          <w:bCs/>
        </w:rPr>
        <w:t>elastase</w:t>
      </w:r>
      <w:r w:rsidRPr="008F55B6">
        <w:t xml:space="preserve"> IC₅₀ ≈ 1.5–5.8 </w:t>
      </w:r>
      <w:r w:rsidRPr="008F55B6">
        <w:rPr>
          <w:lang w:val="el-GR"/>
        </w:rPr>
        <w:t>μ</w:t>
      </w:r>
      <w:r w:rsidRPr="008F55B6">
        <w:t xml:space="preserve">M) and </w:t>
      </w:r>
      <w:r w:rsidRPr="008F55B6">
        <w:rPr>
          <w:b/>
          <w:bCs/>
        </w:rPr>
        <w:t>CSI = 1.37 ± 0.09</w:t>
      </w:r>
      <w:r w:rsidRPr="008F55B6">
        <w:t xml:space="preserve"> (Eq. 11), in line with </w:t>
      </w:r>
      <w:r w:rsidRPr="008F55B6">
        <w:rPr>
          <w:b/>
          <w:bCs/>
        </w:rPr>
        <w:t>Bliss</w:t>
      </w:r>
      <w:r w:rsidRPr="008F55B6">
        <w:t xml:space="preserve"> and </w:t>
      </w:r>
      <w:r w:rsidRPr="008F55B6">
        <w:rPr>
          <w:b/>
          <w:bCs/>
        </w:rPr>
        <w:t>Chou–Talalay</w:t>
      </w:r>
      <w:r w:rsidRPr="008F55B6">
        <w:t xml:space="preserve"> combination frameworks (with Hill-type dose–response) 115–117,196–197115–117,196–197115–117,196–197. At the network scale, </w:t>
      </w:r>
      <w:r w:rsidRPr="008F55B6">
        <w:rPr>
          <w:b/>
          <w:bCs/>
        </w:rPr>
        <w:t>MRH = +4.0</w:t>
      </w:r>
      <w:r w:rsidRPr="008F55B6">
        <w:t xml:space="preserve"> and </w:t>
      </w:r>
      <w:r w:rsidRPr="008F55B6">
        <w:rPr>
          <w:b/>
          <w:bCs/>
          <w:lang w:val="el-GR"/>
        </w:rPr>
        <w:t>Δ</w:t>
      </w:r>
      <w:r w:rsidRPr="008F55B6">
        <w:rPr>
          <w:b/>
          <w:bCs/>
        </w:rPr>
        <w:t>GSE = −0.21 to −0.34 bits</w:t>
      </w:r>
      <w:r w:rsidRPr="008F55B6">
        <w:t xml:space="preserve"> (Eqs. 12–13) indicated </w:t>
      </w:r>
      <w:r w:rsidRPr="008F55B6">
        <w:rPr>
          <w:b/>
          <w:bCs/>
        </w:rPr>
        <w:t>coordinated, low-noise</w:t>
      </w:r>
      <w:r w:rsidRPr="008F55B6">
        <w:t xml:space="preserve"> pathway engagement on fibrocyte-relevant subnetworks assembled from </w:t>
      </w:r>
      <w:r w:rsidRPr="008F55B6">
        <w:rPr>
          <w:b/>
          <w:bCs/>
        </w:rPr>
        <w:t>STRING</w:t>
      </w:r>
      <w:r w:rsidRPr="008F55B6">
        <w:t xml:space="preserve">, </w:t>
      </w:r>
      <w:r w:rsidRPr="008F55B6">
        <w:rPr>
          <w:b/>
          <w:bCs/>
        </w:rPr>
        <w:t>KEGG</w:t>
      </w:r>
      <w:r w:rsidRPr="008F55B6">
        <w:t xml:space="preserve">, </w:t>
      </w:r>
      <w:r w:rsidRPr="008F55B6">
        <w:rPr>
          <w:b/>
          <w:bCs/>
        </w:rPr>
        <w:t>Reactome</w:t>
      </w:r>
      <w:r w:rsidRPr="008F55B6">
        <w:t xml:space="preserve">, and </w:t>
      </w:r>
      <w:r w:rsidRPr="008F55B6">
        <w:rPr>
          <w:b/>
          <w:bCs/>
        </w:rPr>
        <w:t>Gene Ontology</w:t>
      </w:r>
      <w:r w:rsidRPr="008F55B6">
        <w:t xml:space="preserve"> annotations 85–9385–9385–93.</w:t>
      </w:r>
    </w:p>
    <w:p w:rsidR="009460D5" w:rsidRPr="008410BE" w:rsidRDefault="009460D5" w:rsidP="009460D5">
      <w:pPr>
        <w:jc w:val="left"/>
        <w:outlineLvl w:val="0"/>
        <w:rPr>
          <w:b/>
          <w:bCs/>
          <w:kern w:val="36"/>
          <w:sz w:val="36"/>
          <w:szCs w:val="36"/>
        </w:rPr>
      </w:pPr>
      <w:r w:rsidRPr="008410BE">
        <w:rPr>
          <w:b/>
          <w:bCs/>
          <w:kern w:val="36"/>
          <w:sz w:val="36"/>
          <w:szCs w:val="36"/>
        </w:rPr>
        <w:t>9. Mathematical Foundations — Series That Stabilize and Inform</w:t>
      </w:r>
    </w:p>
    <w:p w:rsidR="009460D5" w:rsidRPr="009460D5" w:rsidRDefault="009460D5" w:rsidP="009460D5">
      <w:pPr>
        <w:jc w:val="left"/>
        <w:outlineLvl w:val="9"/>
      </w:pPr>
      <w:r w:rsidRPr="009460D5">
        <w:t>Designing in silico therapies that steer fibrocyte programs demands a computational stack that remains stable under small geometric deformations, preserves rotational symmetries, and exposes gradients that are both analytic and cheap to evaluate. The Pharmacophoric-ODE and hybrid QAOA</w:t>
      </w:r>
      <w:r w:rsidRPr="009460D5">
        <w:rPr>
          <w:rFonts w:ascii="Cambria Math" w:hAnsi="Cambria Math" w:cs="Cambria Math"/>
        </w:rPr>
        <w:t>⊗</w:t>
      </w:r>
      <w:r w:rsidRPr="009460D5">
        <w:t xml:space="preserve">PQC must therefore run atop a bedrock of special-function identities and convergent series that (i) regularize the local flow, (ii) control long-range tails, (iii) compactly encode anisotropy and curvature, and (iv) keep everything differentiable end-to-end. The point is not ornamental rigor; it is </w:t>
      </w:r>
      <w:r w:rsidRPr="009460D5">
        <w:rPr>
          <w:b/>
          <w:bCs/>
        </w:rPr>
        <w:t>measurement-aligned reliability</w:t>
      </w:r>
      <w:r w:rsidRPr="009460D5">
        <w:t>: numerical choices that map cleanly to physical observables in binding, burial, and pocket geometry, and that remain well-posed when executed on NISQ-era, GHZ-gated circuits.</w:t>
      </w:r>
    </w:p>
    <w:p w:rsidR="009460D5" w:rsidRPr="008410BE" w:rsidRDefault="009460D5" w:rsidP="009460D5">
      <w:pPr>
        <w:jc w:val="left"/>
        <w:outlineLvl w:val="1"/>
        <w:rPr>
          <w:b/>
          <w:bCs/>
          <w:sz w:val="36"/>
          <w:szCs w:val="36"/>
        </w:rPr>
      </w:pPr>
      <w:r w:rsidRPr="008410BE">
        <w:rPr>
          <w:b/>
          <w:bCs/>
          <w:sz w:val="36"/>
          <w:szCs w:val="36"/>
        </w:rPr>
        <w:t>9.1 Taylor expansions — local stability and controllable drift</w:t>
      </w:r>
    </w:p>
    <w:p w:rsidR="009460D5" w:rsidRPr="009460D5" w:rsidRDefault="009460D5" w:rsidP="009460D5">
      <w:pPr>
        <w:jc w:val="left"/>
        <w:outlineLvl w:val="9"/>
      </w:pPr>
      <w:r w:rsidRPr="009460D5">
        <w:t>At the core of every integration step sits a small, local map that nudges the state forward along the ODE. Rather than trust a black-box integrator,</w:t>
      </w:r>
      <w:r w:rsidR="00356057">
        <w:t xml:space="preserve"> I </w:t>
      </w:r>
      <w:r w:rsidRPr="009460D5">
        <w:t>expose and tune the first few terms:</w:t>
      </w:r>
    </w:p>
    <w:p w:rsidR="009460D5" w:rsidRPr="009460D5" w:rsidRDefault="009460D5" w:rsidP="009460D5">
      <w:pPr>
        <w:spacing w:before="0" w:beforeAutospacing="0" w:after="0" w:afterAutospacing="0"/>
        <w:jc w:val="left"/>
        <w:outlineLvl w:val="9"/>
      </w:pPr>
      <w:r w:rsidRPr="009460D5">
        <w:rPr>
          <w:lang w:val="el-GR"/>
        </w:rPr>
        <w:t>Φ</w:t>
      </w:r>
      <w:r w:rsidRPr="009460D5">
        <w:t>(U)=I+c1U+c2U2+O(U3)(9.1)\Phi(U) = I + c_{1}U + c_{2}U^{2} + \mathcal{O}(U^{3}) \tag{9.1}</w:t>
      </w:r>
      <w:r w:rsidRPr="009460D5">
        <w:rPr>
          <w:lang w:val="el-GR"/>
        </w:rPr>
        <w:t>Φ</w:t>
      </w:r>
      <w:r w:rsidRPr="009460D5">
        <w:t xml:space="preserve">(U)=I+c1​U+c2​U2+O(U3)(9.1) </w:t>
      </w:r>
    </w:p>
    <w:p w:rsidR="009460D5" w:rsidRPr="009460D5" w:rsidRDefault="009460D5" w:rsidP="009460D5">
      <w:pPr>
        <w:jc w:val="left"/>
        <w:outlineLvl w:val="9"/>
        <w:rPr>
          <w:lang w:val="el-GR"/>
        </w:rPr>
      </w:pPr>
      <w:r w:rsidRPr="009460D5">
        <w:t>Here UUU is the local update operator generated by the continuous vector field f</w:t>
      </w:r>
      <w:r w:rsidRPr="009460D5">
        <w:rPr>
          <w:lang w:val="el-GR"/>
        </w:rPr>
        <w:t>θ</w:t>
      </w:r>
      <w:r w:rsidRPr="009460D5">
        <w:t>f_{\theta}f</w:t>
      </w:r>
      <w:r w:rsidRPr="009460D5">
        <w:rPr>
          <w:lang w:val="el-GR"/>
        </w:rPr>
        <w:t>θ</w:t>
      </w:r>
      <w:r w:rsidRPr="009460D5">
        <w:t>​ acting on the composite state xt=(Gt,Pt,</w:t>
      </w:r>
      <w:r w:rsidRPr="009460D5">
        <w:rPr>
          <w:lang w:val="el-GR"/>
        </w:rPr>
        <w:t>Π</w:t>
      </w:r>
      <w:r w:rsidRPr="009460D5">
        <w:t>t)x_t=(G_t,P_t,\Pi_t)xt​=(Gt​,Pt​,</w:t>
      </w:r>
      <w:r w:rsidRPr="009460D5">
        <w:rPr>
          <w:lang w:val="el-GR"/>
        </w:rPr>
        <w:t>Π</w:t>
      </w:r>
      <w:r w:rsidRPr="009460D5">
        <w:t xml:space="preserve">t​). The coefficients c1,c2c_{1},c_{2}c1​,c2​ are not arbitrary; they </w:t>
      </w:r>
      <w:r w:rsidRPr="009460D5">
        <w:rPr>
          <w:b/>
          <w:bCs/>
        </w:rPr>
        <w:t>absorb grid spacing and curvature</w:t>
      </w:r>
      <w:r w:rsidRPr="009460D5">
        <w:t xml:space="preserve"> inherited from the solvent-excluded surface and the per-patch metric. </w:t>
      </w:r>
      <w:r w:rsidRPr="009460D5">
        <w:rPr>
          <w:lang w:val="el-GR"/>
        </w:rPr>
        <w:t>In practice:</w:t>
      </w:r>
    </w:p>
    <w:p w:rsidR="009460D5" w:rsidRPr="009460D5" w:rsidRDefault="009460D5" w:rsidP="008F4646">
      <w:pPr>
        <w:numPr>
          <w:ilvl w:val="0"/>
          <w:numId w:val="2"/>
        </w:numPr>
        <w:jc w:val="left"/>
        <w:outlineLvl w:val="9"/>
      </w:pPr>
      <w:r w:rsidRPr="009460D5">
        <w:t>c1c_{1}c1​ sets the effective learning-rate/step-size and adapts to local mean curvature HHH, shrinking as curvature steepens to avoid slipping off concave ridges.</w:t>
      </w:r>
    </w:p>
    <w:p w:rsidR="009460D5" w:rsidRPr="009460D5" w:rsidRDefault="009460D5" w:rsidP="008F4646">
      <w:pPr>
        <w:numPr>
          <w:ilvl w:val="0"/>
          <w:numId w:val="2"/>
        </w:numPr>
        <w:jc w:val="left"/>
        <w:outlineLvl w:val="9"/>
      </w:pPr>
      <w:r w:rsidRPr="009460D5">
        <w:t>c2c_{2}c2​ introduces a curvature-aware damping: when principal curvatures (</w:t>
      </w:r>
      <w:r w:rsidRPr="009460D5">
        <w:rPr>
          <w:lang w:val="el-GR"/>
        </w:rPr>
        <w:t>κ</w:t>
      </w:r>
      <w:r w:rsidRPr="009460D5">
        <w:t>1,</w:t>
      </w:r>
      <w:r w:rsidRPr="009460D5">
        <w:rPr>
          <w:lang w:val="el-GR"/>
        </w:rPr>
        <w:t>κ</w:t>
      </w:r>
      <w:r w:rsidRPr="009460D5">
        <w:t>2)(\kappa_1,\kappa_2)(</w:t>
      </w:r>
      <w:r w:rsidRPr="009460D5">
        <w:rPr>
          <w:lang w:val="el-GR"/>
        </w:rPr>
        <w:t>κ</w:t>
      </w:r>
      <w:r w:rsidRPr="009460D5">
        <w:t>1​,</w:t>
      </w:r>
      <w:r w:rsidRPr="009460D5">
        <w:rPr>
          <w:lang w:val="el-GR"/>
        </w:rPr>
        <w:t>κ</w:t>
      </w:r>
      <w:r w:rsidRPr="009460D5">
        <w:t>2​) are imbalanced (sharp grooves or saddles), the quadratic term reduces overshoot and suppresses oscillations in pose and graph edits.</w:t>
      </w:r>
    </w:p>
    <w:p w:rsidR="009460D5" w:rsidRPr="009460D5" w:rsidRDefault="009460D5" w:rsidP="009460D5">
      <w:pPr>
        <w:jc w:val="left"/>
        <w:outlineLvl w:val="9"/>
      </w:pPr>
      <w:r w:rsidRPr="009460D5">
        <w:t xml:space="preserve">Because </w:t>
      </w:r>
      <w:r w:rsidRPr="009460D5">
        <w:rPr>
          <w:lang w:val="el-GR"/>
        </w:rPr>
        <w:t>Φ</w:t>
      </w:r>
      <w:r w:rsidRPr="009460D5">
        <w:t>(U)\Phi(U)</w:t>
      </w:r>
      <w:r w:rsidRPr="009460D5">
        <w:rPr>
          <w:lang w:val="el-GR"/>
        </w:rPr>
        <w:t>Φ</w:t>
      </w:r>
      <w:r w:rsidRPr="009460D5">
        <w:t>(U) is used in a predictor–corrector schedule, this small expansion is enough to stabilize trajectories without paying the cost of high-order schemes—</w:t>
      </w:r>
      <w:r w:rsidRPr="009460D5">
        <w:rPr>
          <w:b/>
          <w:bCs/>
        </w:rPr>
        <w:t>crucial</w:t>
      </w:r>
      <w:r w:rsidRPr="009460D5">
        <w:t xml:space="preserve"> when each evaluation feeds a hybrid quantum learner in the loop.</w:t>
      </w:r>
    </w:p>
    <w:p w:rsidR="009460D5" w:rsidRPr="008410BE" w:rsidRDefault="009460D5" w:rsidP="009460D5">
      <w:pPr>
        <w:jc w:val="left"/>
        <w:outlineLvl w:val="1"/>
        <w:rPr>
          <w:b/>
          <w:bCs/>
          <w:sz w:val="36"/>
          <w:szCs w:val="36"/>
        </w:rPr>
      </w:pPr>
      <w:r w:rsidRPr="008410BE">
        <w:rPr>
          <w:b/>
          <w:bCs/>
          <w:sz w:val="36"/>
          <w:szCs w:val="36"/>
        </w:rPr>
        <w:t>9.2 Gamma-function resummation — taming long tails</w:t>
      </w:r>
    </w:p>
    <w:p w:rsidR="009460D5" w:rsidRPr="009460D5" w:rsidRDefault="009460D5" w:rsidP="009460D5">
      <w:pPr>
        <w:jc w:val="left"/>
        <w:outlineLvl w:val="9"/>
      </w:pPr>
      <w:r w:rsidRPr="009460D5">
        <w:t>Binding landscapes couple local chemistry to far-field electrostatics and screened dispersion. Naïve truncation of long-range kernels creates bias and oscillation.</w:t>
      </w:r>
      <w:r w:rsidR="00356057">
        <w:t xml:space="preserve"> I </w:t>
      </w:r>
      <w:r w:rsidRPr="009460D5">
        <w:t>therefore resum asymptotic tails with the Gamma-function scaffold:</w:t>
      </w:r>
    </w:p>
    <w:p w:rsidR="009460D5" w:rsidRPr="009460D5" w:rsidRDefault="009460D5" w:rsidP="009460D5">
      <w:pPr>
        <w:spacing w:before="0" w:beforeAutospacing="0" w:after="0" w:afterAutospacing="0"/>
        <w:jc w:val="left"/>
        <w:outlineLvl w:val="9"/>
      </w:pPr>
      <w:r w:rsidRPr="009460D5">
        <w:t>(−</w:t>
      </w:r>
      <w:r w:rsidRPr="009460D5">
        <w:rPr>
          <w:lang w:val="el-GR"/>
        </w:rPr>
        <w:t>Δ</w:t>
      </w:r>
      <w:r w:rsidRPr="009460D5">
        <w:t>)−</w:t>
      </w:r>
      <w:r w:rsidRPr="009460D5">
        <w:rPr>
          <w:lang w:val="el-GR"/>
        </w:rPr>
        <w:t>ω</w:t>
      </w:r>
      <w:r w:rsidRPr="009460D5">
        <w:t> </w:t>
      </w:r>
      <w:r w:rsidRPr="009460D5">
        <w:rPr>
          <w:lang w:val="el-GR"/>
        </w:rPr>
        <w:t>Γ</w:t>
      </w:r>
      <w:r w:rsidRPr="009460D5">
        <w:t>(a−</w:t>
      </w:r>
      <w:r w:rsidRPr="009460D5">
        <w:rPr>
          <w:lang w:val="el-GR"/>
        </w:rPr>
        <w:t>ω</w:t>
      </w:r>
      <w:r w:rsidRPr="009460D5">
        <w:t>) </w:t>
      </w:r>
      <w:r w:rsidRPr="009460D5">
        <w:rPr>
          <w:lang w:val="el-GR"/>
        </w:rPr>
        <w:t>Γ</w:t>
      </w:r>
      <w:r w:rsidRPr="009460D5">
        <w:t>(b−</w:t>
      </w:r>
      <w:r w:rsidRPr="009460D5">
        <w:rPr>
          <w:lang w:val="el-GR"/>
        </w:rPr>
        <w:t>ω</w:t>
      </w:r>
      <w:r w:rsidRPr="009460D5">
        <w:t>)+O(</w:t>
      </w:r>
      <w:r w:rsidRPr="009460D5">
        <w:rPr>
          <w:lang w:val="el-GR"/>
        </w:rPr>
        <w:t>Δ</w:t>
      </w:r>
      <w:r w:rsidRPr="009460D5">
        <w:t>−2)(9.2)(-\Delta)^{-\omega}\,\Gamma(a-\omega)\,\Gamma(b-\omega)+\mathcal{O}(\Delta^{-2}) \tag{9.2}(−</w:t>
      </w:r>
      <w:r w:rsidRPr="009460D5">
        <w:rPr>
          <w:lang w:val="el-GR"/>
        </w:rPr>
        <w:t>Δ</w:t>
      </w:r>
      <w:r w:rsidRPr="009460D5">
        <w:t>)−</w:t>
      </w:r>
      <w:r w:rsidRPr="009460D5">
        <w:rPr>
          <w:lang w:val="el-GR"/>
        </w:rPr>
        <w:t>ωΓ</w:t>
      </w:r>
      <w:r w:rsidRPr="009460D5">
        <w:t>(a−</w:t>
      </w:r>
      <w:r w:rsidRPr="009460D5">
        <w:rPr>
          <w:lang w:val="el-GR"/>
        </w:rPr>
        <w:t>ω</w:t>
      </w:r>
      <w:r w:rsidRPr="009460D5">
        <w:t>)</w:t>
      </w:r>
      <w:r w:rsidRPr="009460D5">
        <w:rPr>
          <w:lang w:val="el-GR"/>
        </w:rPr>
        <w:t>Γ</w:t>
      </w:r>
      <w:r w:rsidRPr="009460D5">
        <w:t>(b−</w:t>
      </w:r>
      <w:r w:rsidRPr="009460D5">
        <w:rPr>
          <w:lang w:val="el-GR"/>
        </w:rPr>
        <w:t>ω</w:t>
      </w:r>
      <w:r w:rsidRPr="009460D5">
        <w:t>)+O(</w:t>
      </w:r>
      <w:r w:rsidRPr="009460D5">
        <w:rPr>
          <w:lang w:val="el-GR"/>
        </w:rPr>
        <w:t>Δ</w:t>
      </w:r>
      <w:r w:rsidRPr="009460D5">
        <w:t xml:space="preserve">−2)(9.2) </w:t>
      </w:r>
    </w:p>
    <w:p w:rsidR="009460D5" w:rsidRPr="009460D5" w:rsidRDefault="009460D5" w:rsidP="009460D5">
      <w:pPr>
        <w:jc w:val="left"/>
        <w:outlineLvl w:val="9"/>
        <w:rPr>
          <w:lang w:val="el-GR"/>
        </w:rPr>
      </w:pPr>
      <w:r w:rsidRPr="009460D5">
        <w:t xml:space="preserve">where </w:t>
      </w:r>
      <w:r w:rsidRPr="009460D5">
        <w:rPr>
          <w:lang w:val="el-GR"/>
        </w:rPr>
        <w:t>Δ</w:t>
      </w:r>
      <w:r w:rsidRPr="009460D5">
        <w:t>\Delta</w:t>
      </w:r>
      <w:r w:rsidRPr="009460D5">
        <w:rPr>
          <w:lang w:val="el-GR"/>
        </w:rPr>
        <w:t>Δ</w:t>
      </w:r>
      <w:r w:rsidRPr="009460D5">
        <w:t xml:space="preserve"> is a Laplacian-like operator and </w:t>
      </w:r>
      <w:r w:rsidRPr="009460D5">
        <w:rPr>
          <w:lang w:val="el-GR"/>
        </w:rPr>
        <w:t>ω</w:t>
      </w:r>
      <w:r w:rsidRPr="009460D5">
        <w:t>\omega</w:t>
      </w:r>
      <w:r w:rsidRPr="009460D5">
        <w:rPr>
          <w:lang w:val="el-GR"/>
        </w:rPr>
        <w:t>ω</w:t>
      </w:r>
      <w:r w:rsidRPr="009460D5">
        <w:t xml:space="preserve"> indexes the tail exponent. </w:t>
      </w:r>
      <w:r w:rsidRPr="009460D5">
        <w:rPr>
          <w:lang w:val="el-GR"/>
        </w:rPr>
        <w:t>The effect is twofold:</w:t>
      </w:r>
    </w:p>
    <w:p w:rsidR="009460D5" w:rsidRPr="009460D5" w:rsidRDefault="009460D5" w:rsidP="008F4646">
      <w:pPr>
        <w:numPr>
          <w:ilvl w:val="0"/>
          <w:numId w:val="3"/>
        </w:numPr>
        <w:jc w:val="left"/>
        <w:outlineLvl w:val="9"/>
      </w:pPr>
      <w:r w:rsidRPr="009460D5">
        <w:rPr>
          <w:b/>
          <w:bCs/>
        </w:rPr>
        <w:t>Analytic continuation</w:t>
      </w:r>
      <w:r w:rsidRPr="009460D5">
        <w:t xml:space="preserve"> enables smooth variation of screening parameters without discontinuities at cutoffs.</w:t>
      </w:r>
    </w:p>
    <w:p w:rsidR="009460D5" w:rsidRPr="009460D5" w:rsidRDefault="009460D5" w:rsidP="008F4646">
      <w:pPr>
        <w:numPr>
          <w:ilvl w:val="0"/>
          <w:numId w:val="3"/>
        </w:numPr>
        <w:jc w:val="left"/>
        <w:outlineLvl w:val="9"/>
      </w:pPr>
      <w:r w:rsidRPr="009460D5">
        <w:rPr>
          <w:b/>
          <w:bCs/>
        </w:rPr>
        <w:t>Tail control</w:t>
      </w:r>
      <w:r w:rsidRPr="009460D5">
        <w:t xml:space="preserve"> prevents spurious reinforcement of weakly constrained degrees of freedom (e.g., distal hydrophobes) that would otherwise accumulate error over many ODE steps.</w:t>
      </w:r>
    </w:p>
    <w:p w:rsidR="009460D5" w:rsidRPr="009460D5" w:rsidRDefault="009460D5" w:rsidP="009460D5">
      <w:pPr>
        <w:jc w:val="left"/>
        <w:outlineLvl w:val="9"/>
      </w:pPr>
      <w:r w:rsidRPr="009460D5">
        <w:t xml:space="preserve">The resummed tail shows up directly in the non-polar correction and in the curvature-weighted pharmacophore kernels, keeping the </w:t>
      </w:r>
      <w:r w:rsidRPr="009460D5">
        <w:rPr>
          <w:b/>
          <w:bCs/>
          <w:lang w:val="el-GR"/>
        </w:rPr>
        <w:t>Δ</w:t>
      </w:r>
      <w:r w:rsidRPr="009460D5">
        <w:rPr>
          <w:b/>
          <w:bCs/>
        </w:rPr>
        <w:t>SASA-aware</w:t>
      </w:r>
      <w:r w:rsidRPr="009460D5">
        <w:t xml:space="preserve"> energetics aligned with physics.</w:t>
      </w:r>
    </w:p>
    <w:p w:rsidR="009460D5" w:rsidRPr="008410BE" w:rsidRDefault="009460D5" w:rsidP="009460D5">
      <w:pPr>
        <w:jc w:val="left"/>
        <w:outlineLvl w:val="1"/>
        <w:rPr>
          <w:b/>
          <w:bCs/>
          <w:sz w:val="36"/>
          <w:szCs w:val="36"/>
        </w:rPr>
      </w:pPr>
      <w:r w:rsidRPr="008410BE">
        <w:rPr>
          <w:b/>
          <w:bCs/>
          <w:sz w:val="36"/>
          <w:szCs w:val="36"/>
        </w:rPr>
        <w:t>9.3 Hypergeometric identities — gradients without noise</w:t>
      </w:r>
    </w:p>
    <w:p w:rsidR="009460D5" w:rsidRPr="009460D5" w:rsidRDefault="009460D5" w:rsidP="009460D5">
      <w:pPr>
        <w:jc w:val="left"/>
        <w:outlineLvl w:val="9"/>
      </w:pPr>
      <w:r w:rsidRPr="009460D5">
        <w:t>We prefer analytic over numerical gradients whenever possible. Pharmacophore-overlap kernels admit closed-form derivatives:</w:t>
      </w:r>
    </w:p>
    <w:p w:rsidR="009460D5" w:rsidRPr="009460D5" w:rsidRDefault="009460D5" w:rsidP="009460D5">
      <w:pPr>
        <w:spacing w:before="0" w:beforeAutospacing="0" w:after="0" w:afterAutospacing="0"/>
        <w:jc w:val="left"/>
        <w:outlineLvl w:val="9"/>
      </w:pPr>
      <w:r w:rsidRPr="009460D5">
        <w:t xml:space="preserve">∂∂x 2F1(a,b;c;x)=abc 2F1(a+1,b+1;c+1;x)(9.3)\frac{\partial}{\partial x}\,{}_2F_{1}(a,b;c;x)=\frac{ab}{c}\,{}_2F_{1}(a+1,b+1;c+1;x) \tag{9.3}∂x∂​2​F1​(a,b;c;x)=cab​2​F1​(a+1,b+1;c+1;x)(9.3) </w:t>
      </w:r>
    </w:p>
    <w:p w:rsidR="009460D5" w:rsidRPr="009460D5" w:rsidRDefault="009460D5" w:rsidP="009460D5">
      <w:pPr>
        <w:jc w:val="left"/>
        <w:outlineLvl w:val="9"/>
        <w:rPr>
          <w:lang w:val="el-GR"/>
        </w:rPr>
      </w:pPr>
      <w:r w:rsidRPr="009460D5">
        <w:t xml:space="preserve">Replacing finite differences with (9.3) removes step-size sensitivity and variance amplification. </w:t>
      </w:r>
      <w:r w:rsidRPr="009460D5">
        <w:rPr>
          <w:lang w:val="el-GR"/>
        </w:rPr>
        <w:t>In the pipeline, these derivatives drive:</w:t>
      </w:r>
    </w:p>
    <w:p w:rsidR="009460D5" w:rsidRPr="009460D5" w:rsidRDefault="009460D5" w:rsidP="008F4646">
      <w:pPr>
        <w:numPr>
          <w:ilvl w:val="0"/>
          <w:numId w:val="4"/>
        </w:numPr>
        <w:jc w:val="left"/>
        <w:outlineLvl w:val="9"/>
      </w:pPr>
      <w:r w:rsidRPr="009460D5">
        <w:rPr>
          <w:b/>
          <w:bCs/>
        </w:rPr>
        <w:t>Pose nudges</w:t>
      </w:r>
      <w:r w:rsidRPr="009460D5">
        <w:t xml:space="preserve"> toward hydrogen-bond geometry consistent with curvature, without zig-zagging or exploding gradients.</w:t>
      </w:r>
    </w:p>
    <w:p w:rsidR="009460D5" w:rsidRPr="009460D5" w:rsidRDefault="009460D5" w:rsidP="008F4646">
      <w:pPr>
        <w:numPr>
          <w:ilvl w:val="0"/>
          <w:numId w:val="4"/>
        </w:numPr>
        <w:jc w:val="left"/>
        <w:outlineLvl w:val="9"/>
      </w:pPr>
      <w:r w:rsidRPr="009460D5">
        <w:rPr>
          <w:b/>
          <w:bCs/>
        </w:rPr>
        <w:t>Feature backprop</w:t>
      </w:r>
      <w:r w:rsidRPr="009460D5">
        <w:t xml:space="preserve"> into the QAOA</w:t>
      </w:r>
      <w:r w:rsidRPr="009460D5">
        <w:rPr>
          <w:rFonts w:ascii="Cambria Math" w:hAnsi="Cambria Math" w:cs="Cambria Math"/>
        </w:rPr>
        <w:t>⊗</w:t>
      </w:r>
      <w:r w:rsidRPr="009460D5">
        <w:t>PQC, so hardware-efficient SPSA estimates are better conditioned: stochastic perturbations ride on a smoother objective, lowering variance per iteration.</w:t>
      </w:r>
    </w:p>
    <w:p w:rsidR="009460D5" w:rsidRPr="009460D5" w:rsidRDefault="009460D5" w:rsidP="009460D5">
      <w:pPr>
        <w:jc w:val="left"/>
        <w:outlineLvl w:val="9"/>
      </w:pPr>
      <w:r w:rsidRPr="009460D5">
        <w:t xml:space="preserve">In short, hypergeometric structure gives us </w:t>
      </w:r>
      <w:r w:rsidRPr="009460D5">
        <w:rPr>
          <w:b/>
          <w:bCs/>
        </w:rPr>
        <w:t>cheap, smooth forces</w:t>
      </w:r>
      <w:r w:rsidRPr="009460D5">
        <w:t xml:space="preserve"> that respect both pharmacophore logic and geometric priors.</w:t>
      </w:r>
    </w:p>
    <w:p w:rsidR="009460D5" w:rsidRPr="008410BE" w:rsidRDefault="009460D5" w:rsidP="009460D5">
      <w:pPr>
        <w:jc w:val="left"/>
        <w:outlineLvl w:val="1"/>
        <w:rPr>
          <w:b/>
          <w:bCs/>
          <w:sz w:val="36"/>
          <w:szCs w:val="36"/>
        </w:rPr>
      </w:pPr>
      <w:r w:rsidRPr="008410BE">
        <w:rPr>
          <w:b/>
          <w:bCs/>
          <w:sz w:val="36"/>
          <w:szCs w:val="36"/>
        </w:rPr>
        <w:t>9.4 Spheroidal &amp; Puiseux series — encoding anisotropy and near-contact behavior</w:t>
      </w:r>
    </w:p>
    <w:p w:rsidR="009460D5" w:rsidRPr="009460D5" w:rsidRDefault="009460D5" w:rsidP="009460D5">
      <w:pPr>
        <w:jc w:val="left"/>
        <w:outlineLvl w:val="9"/>
      </w:pPr>
      <w:r w:rsidRPr="009460D5">
        <w:t xml:space="preserve">Real pockets are not spherical wells. Grooves, clefts, and saddles induce anisotropy that naive radial expansions miss. Spheroidal series parameterize this anisotropy, while Puiseux series capture the </w:t>
      </w:r>
      <w:r w:rsidRPr="009460D5">
        <w:rPr>
          <w:b/>
          <w:bCs/>
        </w:rPr>
        <w:t>fractional-power</w:t>
      </w:r>
      <w:r w:rsidRPr="009460D5">
        <w:t xml:space="preserve"> behavior near contact and bifurcation points (e.g., when a side chain flips, or water gets expelled). A canonical example:</w:t>
      </w:r>
    </w:p>
    <w:p w:rsidR="009460D5" w:rsidRPr="009460D5" w:rsidRDefault="009460D5" w:rsidP="009460D5">
      <w:pPr>
        <w:spacing w:before="0" w:beforeAutospacing="0" w:after="0" w:afterAutospacing="0"/>
        <w:jc w:val="left"/>
        <w:outlineLvl w:val="9"/>
      </w:pPr>
      <w:r w:rsidRPr="009460D5">
        <w:t>arcsin⁡(</w:t>
      </w:r>
      <w:r w:rsidRPr="009460D5">
        <w:rPr>
          <w:lang w:val="el-GR"/>
        </w:rPr>
        <w:t>η</w:t>
      </w:r>
      <w:r w:rsidRPr="009460D5">
        <w:t>)=∑k=0∞(2k)!4k(k!)2(2k+1) </w:t>
      </w:r>
      <w:r w:rsidRPr="009460D5">
        <w:rPr>
          <w:lang w:val="el-GR"/>
        </w:rPr>
        <w:t>η</w:t>
      </w:r>
      <w:r w:rsidRPr="009460D5">
        <w:t>2k+1(9.4)\arcsin(\eta)=\sum_{k=0}^{\infty}\frac{(2k)!}{4^{k}(k!)^{2}(2k+1)}\,\eta^{2k+1} \tag{9.4}arcsin(</w:t>
      </w:r>
      <w:r w:rsidRPr="009460D5">
        <w:rPr>
          <w:lang w:val="el-GR"/>
        </w:rPr>
        <w:t>η</w:t>
      </w:r>
      <w:r w:rsidRPr="009460D5">
        <w:t>)=k=0∑∞​4k(k!)2(2k+1)(2k)!​</w:t>
      </w:r>
      <w:r w:rsidRPr="009460D5">
        <w:rPr>
          <w:lang w:val="el-GR"/>
        </w:rPr>
        <w:t>η</w:t>
      </w:r>
      <w:r w:rsidRPr="009460D5">
        <w:t xml:space="preserve">2k+1(9.4) </w:t>
      </w:r>
    </w:p>
    <w:p w:rsidR="009460D5" w:rsidRPr="009460D5" w:rsidRDefault="009460D5" w:rsidP="009460D5">
      <w:pPr>
        <w:jc w:val="left"/>
        <w:outlineLvl w:val="9"/>
      </w:pPr>
      <w:r w:rsidRPr="009460D5">
        <w:t xml:space="preserve">We use this to compute overlap angles in closed-form as contacts tighten. The upshot is practical: when ligands roll into concave, hydrated microenvironments, these expansions prevent “snap-in” discontinuities in contact metrics, keeping </w:t>
      </w:r>
      <w:r w:rsidRPr="009460D5">
        <w:rPr>
          <w:b/>
          <w:bCs/>
          <w:lang w:val="el-GR"/>
        </w:rPr>
        <w:t>Δ</w:t>
      </w:r>
      <w:r w:rsidRPr="009460D5">
        <w:rPr>
          <w:b/>
          <w:bCs/>
        </w:rPr>
        <w:t>SASA increments</w:t>
      </w:r>
      <w:r w:rsidRPr="009460D5">
        <w:t xml:space="preserve"> and hydrogen-bond orientation penalties smooth.</w:t>
      </w:r>
    </w:p>
    <w:p w:rsidR="009460D5" w:rsidRPr="008410BE" w:rsidRDefault="009460D5" w:rsidP="009460D5">
      <w:pPr>
        <w:jc w:val="left"/>
        <w:outlineLvl w:val="1"/>
        <w:rPr>
          <w:b/>
          <w:bCs/>
          <w:sz w:val="36"/>
          <w:szCs w:val="36"/>
        </w:rPr>
      </w:pPr>
      <w:r w:rsidRPr="008410BE">
        <w:rPr>
          <w:b/>
          <w:bCs/>
          <w:sz w:val="36"/>
          <w:szCs w:val="36"/>
        </w:rPr>
        <w:t>9.5 Wigner–Dm′mjD^j_{m'm}Dm′mj​ rotations — exact SO(3) equivariance</w:t>
      </w:r>
    </w:p>
    <w:p w:rsidR="009460D5" w:rsidRPr="009460D5" w:rsidRDefault="009460D5" w:rsidP="009460D5">
      <w:pPr>
        <w:jc w:val="left"/>
        <w:outlineLvl w:val="9"/>
      </w:pPr>
      <w:r w:rsidRPr="009460D5">
        <w:t>To keep rotational symmetries exact,</w:t>
      </w:r>
      <w:r w:rsidR="00356057">
        <w:t xml:space="preserve"> I </w:t>
      </w:r>
      <w:r w:rsidRPr="009460D5">
        <w:t>propagate rigid-body moves with Wigner DDD matrices,</w:t>
      </w:r>
    </w:p>
    <w:p w:rsidR="009460D5" w:rsidRPr="009460D5" w:rsidRDefault="009460D5" w:rsidP="009460D5">
      <w:pPr>
        <w:spacing w:before="0" w:beforeAutospacing="0" w:after="0" w:afterAutospacing="0"/>
        <w:jc w:val="left"/>
        <w:outlineLvl w:val="9"/>
      </w:pPr>
      <w:r w:rsidRPr="009460D5">
        <w:t>Dm′mj(</w:t>
      </w:r>
      <w:r w:rsidRPr="009460D5">
        <w:rPr>
          <w:lang w:val="el-GR"/>
        </w:rPr>
        <w:t>α</w:t>
      </w:r>
      <w:r w:rsidRPr="009460D5">
        <w:t>,</w:t>
      </w:r>
      <w:r w:rsidRPr="009460D5">
        <w:rPr>
          <w:lang w:val="el-GR"/>
        </w:rPr>
        <w:t>β</w:t>
      </w:r>
      <w:r w:rsidRPr="009460D5">
        <w:t>,</w:t>
      </w:r>
      <w:r w:rsidRPr="009460D5">
        <w:rPr>
          <w:lang w:val="el-GR"/>
        </w:rPr>
        <w:t>γ</w:t>
      </w:r>
      <w:r w:rsidRPr="009460D5">
        <w:t>)=e−im′</w:t>
      </w:r>
      <w:r w:rsidRPr="009460D5">
        <w:rPr>
          <w:lang w:val="el-GR"/>
        </w:rPr>
        <w:t>α</w:t>
      </w:r>
      <w:r w:rsidRPr="009460D5">
        <w:t> dm′mj(</w:t>
      </w:r>
      <w:r w:rsidRPr="009460D5">
        <w:rPr>
          <w:lang w:val="el-GR"/>
        </w:rPr>
        <w:t>β</w:t>
      </w:r>
      <w:r w:rsidRPr="009460D5">
        <w:t>) e−im</w:t>
      </w:r>
      <w:r w:rsidRPr="009460D5">
        <w:rPr>
          <w:lang w:val="el-GR"/>
        </w:rPr>
        <w:t>γ</w:t>
      </w:r>
      <w:r w:rsidRPr="009460D5">
        <w:t>(9.5)D^{j}_{m'm}(\alpha,\beta,\gamma)=e^{-im'\alpha}\,d^{j}_{m'm}(\beta)\,e^{-im\gamma} \tag{9.5}Dm′mj​(</w:t>
      </w:r>
      <w:r w:rsidRPr="009460D5">
        <w:rPr>
          <w:lang w:val="el-GR"/>
        </w:rPr>
        <w:t>α</w:t>
      </w:r>
      <w:r w:rsidRPr="009460D5">
        <w:t>,</w:t>
      </w:r>
      <w:r w:rsidRPr="009460D5">
        <w:rPr>
          <w:lang w:val="el-GR"/>
        </w:rPr>
        <w:t>β</w:t>
      </w:r>
      <w:r w:rsidRPr="009460D5">
        <w:t>,</w:t>
      </w:r>
      <w:r w:rsidRPr="009460D5">
        <w:rPr>
          <w:lang w:val="el-GR"/>
        </w:rPr>
        <w:t>γ</w:t>
      </w:r>
      <w:r w:rsidRPr="009460D5">
        <w:t>)=e−im′</w:t>
      </w:r>
      <w:r w:rsidRPr="009460D5">
        <w:rPr>
          <w:lang w:val="el-GR"/>
        </w:rPr>
        <w:t>α</w:t>
      </w:r>
      <w:r w:rsidRPr="009460D5">
        <w:t>dm′mj​(</w:t>
      </w:r>
      <w:r w:rsidRPr="009460D5">
        <w:rPr>
          <w:lang w:val="el-GR"/>
        </w:rPr>
        <w:t>β</w:t>
      </w:r>
      <w:r w:rsidRPr="009460D5">
        <w:t>)e−im</w:t>
      </w:r>
      <w:r w:rsidRPr="009460D5">
        <w:rPr>
          <w:lang w:val="el-GR"/>
        </w:rPr>
        <w:t>γ</w:t>
      </w:r>
      <w:r w:rsidRPr="009460D5">
        <w:t xml:space="preserve">(9.5) </w:t>
      </w:r>
    </w:p>
    <w:p w:rsidR="009460D5" w:rsidRPr="009460D5" w:rsidRDefault="009460D5" w:rsidP="009460D5">
      <w:pPr>
        <w:jc w:val="left"/>
        <w:outlineLvl w:val="9"/>
      </w:pPr>
      <w:r w:rsidRPr="009460D5">
        <w:t xml:space="preserve">This does more than honor physics; it improves </w:t>
      </w:r>
      <w:r w:rsidRPr="009460D5">
        <w:rPr>
          <w:b/>
          <w:bCs/>
        </w:rPr>
        <w:t>generalization</w:t>
      </w:r>
      <w:r w:rsidRPr="009460D5">
        <w:t>. Under SO(3)-equivariant updates, the same pharmacophoric constellation evaluated at different orientations yields identical features. That consistency carries into the quantum regressor: fewer effective degrees of freedom, lower variance under SPSA, and tighter parity on held-out sets.</w:t>
      </w:r>
    </w:p>
    <w:p w:rsidR="009460D5" w:rsidRPr="008410BE" w:rsidRDefault="009460D5" w:rsidP="009460D5">
      <w:pPr>
        <w:jc w:val="left"/>
        <w:outlineLvl w:val="1"/>
        <w:rPr>
          <w:b/>
          <w:bCs/>
          <w:sz w:val="36"/>
          <w:szCs w:val="36"/>
        </w:rPr>
      </w:pPr>
      <w:r w:rsidRPr="008410BE">
        <w:rPr>
          <w:b/>
          <w:bCs/>
          <w:sz w:val="36"/>
          <w:szCs w:val="36"/>
        </w:rPr>
        <w:t>9.6 Zernike / Jacobi polynomials — compact curvature codes</w:t>
      </w:r>
    </w:p>
    <w:p w:rsidR="009460D5" w:rsidRPr="009460D5" w:rsidRDefault="009460D5" w:rsidP="009460D5">
      <w:pPr>
        <w:jc w:val="left"/>
        <w:outlineLvl w:val="9"/>
      </w:pPr>
      <w:r w:rsidRPr="009460D5">
        <w:t>We compress local surface geometry into a small set of orthogonal coefficients:</w:t>
      </w:r>
    </w:p>
    <w:p w:rsidR="009460D5" w:rsidRPr="009460D5" w:rsidRDefault="009460D5" w:rsidP="009460D5">
      <w:pPr>
        <w:spacing w:before="0" w:beforeAutospacing="0" w:after="0" w:afterAutospacing="0"/>
        <w:jc w:val="left"/>
        <w:outlineLvl w:val="9"/>
      </w:pPr>
      <w:r w:rsidRPr="009460D5">
        <w:t>Znm(</w:t>
      </w:r>
      <w:r w:rsidRPr="009460D5">
        <w:rPr>
          <w:lang w:val="el-GR"/>
        </w:rPr>
        <w:t>ρ</w:t>
      </w:r>
      <w:r w:rsidRPr="009460D5">
        <w:t>,</w:t>
      </w:r>
      <w:r w:rsidRPr="009460D5">
        <w:rPr>
          <w:lang w:val="el-GR"/>
        </w:rPr>
        <w:t>θ</w:t>
      </w:r>
      <w:r w:rsidRPr="009460D5">
        <w:t>)=Rnm(</w:t>
      </w:r>
      <w:r w:rsidRPr="009460D5">
        <w:rPr>
          <w:lang w:val="el-GR"/>
        </w:rPr>
        <w:t>ρ</w:t>
      </w:r>
      <w:r w:rsidRPr="009460D5">
        <w:t>) eim</w:t>
      </w:r>
      <w:r w:rsidRPr="009460D5">
        <w:rPr>
          <w:lang w:val="el-GR"/>
        </w:rPr>
        <w:t>θ</w:t>
      </w:r>
      <w:r w:rsidRPr="009460D5">
        <w:t>,Pn(</w:t>
      </w:r>
      <w:r w:rsidRPr="009460D5">
        <w:rPr>
          <w:lang w:val="el-GR"/>
        </w:rPr>
        <w:t>α</w:t>
      </w:r>
      <w:r w:rsidRPr="009460D5">
        <w:t>,</w:t>
      </w:r>
      <w:r w:rsidRPr="009460D5">
        <w:rPr>
          <w:lang w:val="el-GR"/>
        </w:rPr>
        <w:t>β</w:t>
      </w:r>
      <w:r w:rsidRPr="009460D5">
        <w:t>)(x)=(</w:t>
      </w:r>
      <w:r w:rsidRPr="009460D5">
        <w:rPr>
          <w:lang w:val="el-GR"/>
        </w:rPr>
        <w:t>α</w:t>
      </w:r>
      <w:r w:rsidRPr="009460D5">
        <w:t>+1)nn!  2F1 ⁣(−n,n+</w:t>
      </w:r>
      <w:r w:rsidRPr="009460D5">
        <w:rPr>
          <w:lang w:val="el-GR"/>
        </w:rPr>
        <w:t>α</w:t>
      </w:r>
      <w:r w:rsidRPr="009460D5">
        <w:t>+</w:t>
      </w:r>
      <w:r w:rsidRPr="009460D5">
        <w:rPr>
          <w:lang w:val="el-GR"/>
        </w:rPr>
        <w:t>β</w:t>
      </w:r>
      <w:r w:rsidRPr="009460D5">
        <w:t>+1;</w:t>
      </w:r>
      <w:r w:rsidRPr="009460D5">
        <w:rPr>
          <w:lang w:val="el-GR"/>
        </w:rPr>
        <w:t>α</w:t>
      </w:r>
      <w:r w:rsidRPr="009460D5">
        <w:t>+1;1−x2)(9.6)Z^{m}_{n}(\rho,\theta)=R^{m}_{n}(\rho)\,e^{im\theta},\qquad P^{(\alpha,\beta)}_{n}(x)=\frac{(\alpha+1)_{n}}{n!}\;{}_2F_{1}\!\Big(-n,n+\alpha+\beta+1;\alpha+1;\tfrac{1-x}{2}\Big) \tag{9.6}Znm​(</w:t>
      </w:r>
      <w:r w:rsidRPr="009460D5">
        <w:rPr>
          <w:lang w:val="el-GR"/>
        </w:rPr>
        <w:t>ρ</w:t>
      </w:r>
      <w:r w:rsidRPr="009460D5">
        <w:t>,</w:t>
      </w:r>
      <w:r w:rsidRPr="009460D5">
        <w:rPr>
          <w:lang w:val="el-GR"/>
        </w:rPr>
        <w:t>θ</w:t>
      </w:r>
      <w:r w:rsidRPr="009460D5">
        <w:t>)=Rnm​(</w:t>
      </w:r>
      <w:r w:rsidRPr="009460D5">
        <w:rPr>
          <w:lang w:val="el-GR"/>
        </w:rPr>
        <w:t>ρ</w:t>
      </w:r>
      <w:r w:rsidRPr="009460D5">
        <w:t>)eim</w:t>
      </w:r>
      <w:r w:rsidRPr="009460D5">
        <w:rPr>
          <w:lang w:val="el-GR"/>
        </w:rPr>
        <w:t>θ</w:t>
      </w:r>
      <w:r w:rsidRPr="009460D5">
        <w:t>,Pn(</w:t>
      </w:r>
      <w:r w:rsidRPr="009460D5">
        <w:rPr>
          <w:lang w:val="el-GR"/>
        </w:rPr>
        <w:t>α</w:t>
      </w:r>
      <w:r w:rsidRPr="009460D5">
        <w:t>,</w:t>
      </w:r>
      <w:r w:rsidRPr="009460D5">
        <w:rPr>
          <w:lang w:val="el-GR"/>
        </w:rPr>
        <w:t>β</w:t>
      </w:r>
      <w:r w:rsidRPr="009460D5">
        <w:t>)​(x)=n!(</w:t>
      </w:r>
      <w:r w:rsidRPr="009460D5">
        <w:rPr>
          <w:lang w:val="el-GR"/>
        </w:rPr>
        <w:t>α</w:t>
      </w:r>
      <w:r w:rsidRPr="009460D5">
        <w:t>+1)n​​2​F1​(−n,n+</w:t>
      </w:r>
      <w:r w:rsidRPr="009460D5">
        <w:rPr>
          <w:lang w:val="el-GR"/>
        </w:rPr>
        <w:t>α</w:t>
      </w:r>
      <w:r w:rsidRPr="009460D5">
        <w:t>+</w:t>
      </w:r>
      <w:r w:rsidRPr="009460D5">
        <w:rPr>
          <w:lang w:val="el-GR"/>
        </w:rPr>
        <w:t>β</w:t>
      </w:r>
      <w:r w:rsidRPr="009460D5">
        <w:t>+1;</w:t>
      </w:r>
      <w:r w:rsidRPr="009460D5">
        <w:rPr>
          <w:lang w:val="el-GR"/>
        </w:rPr>
        <w:t>α</w:t>
      </w:r>
      <w:r w:rsidRPr="009460D5">
        <w:t xml:space="preserve">+1;21−x​)(9.6) </w:t>
      </w:r>
    </w:p>
    <w:p w:rsidR="009460D5" w:rsidRPr="009460D5" w:rsidRDefault="009460D5" w:rsidP="009460D5">
      <w:pPr>
        <w:jc w:val="left"/>
        <w:outlineLvl w:val="9"/>
        <w:rPr>
          <w:lang w:val="el-GR"/>
        </w:rPr>
      </w:pPr>
      <w:r w:rsidRPr="009460D5">
        <w:t xml:space="preserve">These bases unify radial and angular structure, letting us encode (H,K)(H,K)(H,K) as a </w:t>
      </w:r>
      <w:r w:rsidRPr="009460D5">
        <w:rPr>
          <w:b/>
          <w:bCs/>
        </w:rPr>
        <w:t>low-dimensional fingerprint</w:t>
      </w:r>
      <w:r w:rsidRPr="009460D5">
        <w:t xml:space="preserve"> per patch. </w:t>
      </w:r>
      <w:r w:rsidRPr="009460D5">
        <w:rPr>
          <w:lang w:val="el-GR"/>
        </w:rPr>
        <w:t>Two concrete wins follow:</w:t>
      </w:r>
    </w:p>
    <w:p w:rsidR="009460D5" w:rsidRPr="009460D5" w:rsidRDefault="009460D5" w:rsidP="008F4646">
      <w:pPr>
        <w:numPr>
          <w:ilvl w:val="0"/>
          <w:numId w:val="5"/>
        </w:numPr>
        <w:jc w:val="left"/>
        <w:outlineLvl w:val="9"/>
      </w:pPr>
      <w:r w:rsidRPr="009460D5">
        <w:rPr>
          <w:b/>
          <w:bCs/>
        </w:rPr>
        <w:t>Speed</w:t>
      </w:r>
      <w:r w:rsidRPr="009460D5">
        <w:t>: fast scoring across candidate poses with just tens of coefficients.</w:t>
      </w:r>
    </w:p>
    <w:p w:rsidR="009460D5" w:rsidRPr="009460D5" w:rsidRDefault="009460D5" w:rsidP="008F4646">
      <w:pPr>
        <w:numPr>
          <w:ilvl w:val="0"/>
          <w:numId w:val="5"/>
        </w:numPr>
        <w:jc w:val="left"/>
        <w:outlineLvl w:val="9"/>
      </w:pPr>
      <w:r w:rsidRPr="009460D5">
        <w:rPr>
          <w:b/>
          <w:bCs/>
        </w:rPr>
        <w:t>Interpretability</w:t>
      </w:r>
      <w:r w:rsidRPr="009460D5">
        <w:t xml:space="preserve">: direct inspection of which curvature modes correlate with improved </w:t>
      </w:r>
      <w:r w:rsidRPr="009460D5">
        <w:rPr>
          <w:lang w:val="el-GR"/>
        </w:rPr>
        <w:t>Δ</w:t>
      </w:r>
      <w:r w:rsidRPr="009460D5">
        <w:t>G^tot\widehat{\Delta G}_{\text{tot}}</w:t>
      </w:r>
      <w:r w:rsidRPr="009460D5">
        <w:rPr>
          <w:lang w:val="el-GR"/>
        </w:rPr>
        <w:t>Δ</w:t>
      </w:r>
      <w:r w:rsidRPr="009460D5">
        <w:t xml:space="preserve">Gtot​ after </w:t>
      </w:r>
      <w:r w:rsidRPr="009460D5">
        <w:rPr>
          <w:lang w:val="el-GR"/>
        </w:rPr>
        <w:t>Δ</w:t>
      </w:r>
      <w:r w:rsidRPr="009460D5">
        <w:t>SASA correction.</w:t>
      </w:r>
    </w:p>
    <w:p w:rsidR="009460D5" w:rsidRPr="008410BE" w:rsidRDefault="009460D5" w:rsidP="009460D5">
      <w:pPr>
        <w:jc w:val="left"/>
        <w:outlineLvl w:val="1"/>
        <w:rPr>
          <w:b/>
          <w:bCs/>
          <w:sz w:val="36"/>
          <w:szCs w:val="36"/>
        </w:rPr>
      </w:pPr>
      <w:r w:rsidRPr="008410BE">
        <w:rPr>
          <w:b/>
          <w:bCs/>
          <w:sz w:val="36"/>
          <w:szCs w:val="36"/>
        </w:rPr>
        <w:t>9.7 Appell/Lauricella functions — multichannel pharmacophore coupling</w:t>
      </w:r>
    </w:p>
    <w:p w:rsidR="009460D5" w:rsidRPr="009460D5" w:rsidRDefault="009460D5" w:rsidP="009460D5">
      <w:pPr>
        <w:jc w:val="left"/>
        <w:outlineLvl w:val="9"/>
      </w:pPr>
      <w:r w:rsidRPr="009460D5">
        <w:t xml:space="preserve">Real binding hinges on </w:t>
      </w:r>
      <w:r w:rsidRPr="009460D5">
        <w:rPr>
          <w:b/>
          <w:bCs/>
        </w:rPr>
        <w:t>coherence</w:t>
      </w:r>
      <w:r w:rsidRPr="009460D5">
        <w:t xml:space="preserve"> across donors, acceptors, and hydrophobes. Appell F1F_1F1​ gives a closed-form, bivariate coupling:</w:t>
      </w:r>
    </w:p>
    <w:p w:rsidR="009460D5" w:rsidRPr="009460D5" w:rsidRDefault="009460D5" w:rsidP="009460D5">
      <w:pPr>
        <w:spacing w:before="0" w:beforeAutospacing="0" w:after="0" w:afterAutospacing="0"/>
        <w:jc w:val="left"/>
        <w:outlineLvl w:val="9"/>
      </w:pPr>
      <w:r w:rsidRPr="009460D5">
        <w:t xml:space="preserve">F1(a;b1,b2;c;x,y)=∑m,n≥0(a)m+n(b1)m(b2)n(c)m+nm! n! xmyn(9.7)F_{1}(a;b_{1},b_{2};c;x,y)=\sum_{m,n\ge0}\frac{(a)_{m+n}(b_{1})_{m}(b_{2})_{n}}{(c)_{m+n}m!\,n!}\,x^{m}y^{n} \tag{9.7}F1​(a;b1​,b2​;c;x,y)=m,n≥0∑​(c)m+n​m!n!(a)m+n​(b1​)m​(b2​)n​​xmyn(9.7) </w:t>
      </w:r>
    </w:p>
    <w:p w:rsidR="009460D5" w:rsidRPr="009460D5" w:rsidRDefault="009460D5" w:rsidP="009460D5">
      <w:pPr>
        <w:jc w:val="left"/>
        <w:outlineLvl w:val="9"/>
      </w:pPr>
      <w:r w:rsidRPr="009460D5">
        <w:t>We use this to (i) propagate partial derivatives jointly across channels, and (ii) regularize imbalanced constellations (e.g., over-polar donors without complementary hydrophobes). Closed-form multichannel partials remove “see-saw” instabilities in the ODE that otherwise occur when one channel updates faster than the others.</w:t>
      </w:r>
    </w:p>
    <w:p w:rsidR="009460D5" w:rsidRPr="008410BE" w:rsidRDefault="009460D5" w:rsidP="009460D5">
      <w:pPr>
        <w:jc w:val="left"/>
        <w:outlineLvl w:val="1"/>
        <w:rPr>
          <w:b/>
          <w:bCs/>
          <w:sz w:val="36"/>
          <w:szCs w:val="36"/>
        </w:rPr>
      </w:pPr>
      <w:r w:rsidRPr="008410BE">
        <w:rPr>
          <w:b/>
          <w:bCs/>
          <w:sz w:val="36"/>
          <w:szCs w:val="36"/>
        </w:rPr>
        <w:t>9.8 Heun equations — screened, multi-singular pocket physics</w:t>
      </w:r>
    </w:p>
    <w:p w:rsidR="009460D5" w:rsidRPr="009460D5" w:rsidRDefault="009460D5" w:rsidP="009460D5">
      <w:pPr>
        <w:jc w:val="left"/>
        <w:outlineLvl w:val="9"/>
      </w:pPr>
      <w:r w:rsidRPr="009460D5">
        <w:t>Screened interactions in pockets lead naturally to Heun-class ODEs with four regular singular points:</w:t>
      </w:r>
    </w:p>
    <w:p w:rsidR="009460D5" w:rsidRPr="009460D5" w:rsidRDefault="009460D5" w:rsidP="009460D5">
      <w:pPr>
        <w:spacing w:before="0" w:beforeAutospacing="0" w:after="0" w:afterAutospacing="0"/>
        <w:jc w:val="left"/>
        <w:outlineLvl w:val="9"/>
      </w:pPr>
      <w:r w:rsidRPr="009460D5">
        <w:t>y′′+(</w:t>
      </w:r>
      <w:r w:rsidRPr="009460D5">
        <w:rPr>
          <w:lang w:val="el-GR"/>
        </w:rPr>
        <w:t>α</w:t>
      </w:r>
      <w:r w:rsidRPr="009460D5">
        <w:t>+</w:t>
      </w:r>
      <w:r w:rsidRPr="009460D5">
        <w:rPr>
          <w:lang w:val="el-GR"/>
        </w:rPr>
        <w:t>β</w:t>
      </w:r>
      <w:r w:rsidRPr="009460D5">
        <w:t>+1z+</w:t>
      </w:r>
      <w:r w:rsidRPr="009460D5">
        <w:rPr>
          <w:lang w:val="el-GR"/>
        </w:rPr>
        <w:t>γ</w:t>
      </w:r>
      <w:r w:rsidRPr="009460D5">
        <w:t>+1z−1)y′+</w:t>
      </w:r>
      <w:r w:rsidRPr="009460D5">
        <w:rPr>
          <w:lang w:val="el-GR"/>
        </w:rPr>
        <w:t>μ</w:t>
      </w:r>
      <w:r w:rsidRPr="009460D5">
        <w:t>z+</w:t>
      </w:r>
      <w:r w:rsidRPr="009460D5">
        <w:rPr>
          <w:lang w:val="el-GR"/>
        </w:rPr>
        <w:t>ν</w:t>
      </w:r>
      <w:r w:rsidRPr="009460D5">
        <w:t>z(z−1) y=0(9.8)y''+\Big(\alpha+\frac{\beta+1}{z}+\frac{\gamma+1}{z-1}\Big)y' +\frac{\mu z+\nu}{z(z-1)}\,y=0 \tag{9.8}y′′+(</w:t>
      </w:r>
      <w:r w:rsidRPr="009460D5">
        <w:rPr>
          <w:lang w:val="el-GR"/>
        </w:rPr>
        <w:t>α</w:t>
      </w:r>
      <w:r w:rsidRPr="009460D5">
        <w:t>+z</w:t>
      </w:r>
      <w:r w:rsidRPr="009460D5">
        <w:rPr>
          <w:lang w:val="el-GR"/>
        </w:rPr>
        <w:t>β</w:t>
      </w:r>
      <w:r w:rsidRPr="009460D5">
        <w:t>+1​+z−1</w:t>
      </w:r>
      <w:r w:rsidRPr="009460D5">
        <w:rPr>
          <w:lang w:val="el-GR"/>
        </w:rPr>
        <w:t>γ</w:t>
      </w:r>
      <w:r w:rsidRPr="009460D5">
        <w:t>+1​)y′+z(z−1)</w:t>
      </w:r>
      <w:r w:rsidRPr="009460D5">
        <w:rPr>
          <w:lang w:val="el-GR"/>
        </w:rPr>
        <w:t>μ</w:t>
      </w:r>
      <w:r w:rsidRPr="009460D5">
        <w:t>z+</w:t>
      </w:r>
      <w:r w:rsidRPr="009460D5">
        <w:rPr>
          <w:lang w:val="el-GR"/>
        </w:rPr>
        <w:t>ν</w:t>
      </w:r>
      <w:r w:rsidRPr="009460D5">
        <w:t xml:space="preserve">​y=0(9.8) </w:t>
      </w:r>
    </w:p>
    <w:p w:rsidR="009460D5" w:rsidRPr="009460D5" w:rsidRDefault="009460D5" w:rsidP="009460D5">
      <w:pPr>
        <w:jc w:val="left"/>
        <w:outlineLvl w:val="9"/>
      </w:pPr>
      <w:r w:rsidRPr="009460D5">
        <w:t xml:space="preserve">Near singularities, naive integration either stalls or diverges. By combining the </w:t>
      </w:r>
      <w:r w:rsidRPr="009460D5">
        <w:rPr>
          <w:b/>
          <w:bCs/>
        </w:rPr>
        <w:t>Gamma resummations</w:t>
      </w:r>
      <w:r w:rsidRPr="009460D5">
        <w:t xml:space="preserve"> (9.2) and the </w:t>
      </w:r>
      <w:r w:rsidRPr="009460D5">
        <w:rPr>
          <w:b/>
          <w:bCs/>
        </w:rPr>
        <w:t>hypergeometric derivatives</w:t>
      </w:r>
      <w:r w:rsidRPr="009460D5">
        <w:t xml:space="preserve"> (9.3),</w:t>
      </w:r>
      <w:r w:rsidR="00356057">
        <w:t xml:space="preserve"> I </w:t>
      </w:r>
      <w:r w:rsidRPr="009460D5">
        <w:t xml:space="preserve">obtain stable local solutions and patch them across regions. The effect is visible at runtime: pose evolution remains </w:t>
      </w:r>
      <w:r w:rsidRPr="009460D5">
        <w:rPr>
          <w:b/>
          <w:bCs/>
        </w:rPr>
        <w:t>graceful</w:t>
      </w:r>
      <w:r w:rsidRPr="009460D5">
        <w:t xml:space="preserve"> as a ligand crosses hydration shells or navigates narrow sub-sites.</w:t>
      </w:r>
    </w:p>
    <w:p w:rsidR="009460D5" w:rsidRPr="008410BE" w:rsidRDefault="009460D5" w:rsidP="009460D5">
      <w:pPr>
        <w:jc w:val="left"/>
        <w:outlineLvl w:val="1"/>
        <w:rPr>
          <w:b/>
          <w:bCs/>
          <w:sz w:val="36"/>
          <w:szCs w:val="36"/>
        </w:rPr>
      </w:pPr>
      <w:r w:rsidRPr="008410BE">
        <w:rPr>
          <w:b/>
          <w:bCs/>
          <w:sz w:val="36"/>
          <w:szCs w:val="36"/>
        </w:rPr>
        <w:t>9.9 Variational analogy — ADM 3+1 split for capacity control</w:t>
      </w:r>
    </w:p>
    <w:p w:rsidR="009460D5" w:rsidRPr="009460D5" w:rsidRDefault="009460D5" w:rsidP="009460D5">
      <w:pPr>
        <w:jc w:val="left"/>
        <w:outlineLvl w:val="9"/>
      </w:pPr>
      <w:r w:rsidRPr="009460D5">
        <w:t>We treat time-like ODE flow separately from space-like geometry using a 3+1 split:</w:t>
      </w:r>
    </w:p>
    <w:p w:rsidR="009460D5" w:rsidRPr="009460D5" w:rsidRDefault="009460D5" w:rsidP="009460D5">
      <w:pPr>
        <w:spacing w:before="0" w:beforeAutospacing="0" w:after="0" w:afterAutospacing="0"/>
        <w:jc w:val="left"/>
        <w:outlineLvl w:val="9"/>
      </w:pPr>
      <w:r w:rsidRPr="009460D5">
        <w:t>ds2=−</w:t>
      </w:r>
      <w:r w:rsidRPr="009460D5">
        <w:rPr>
          <w:lang w:val="el-GR"/>
        </w:rPr>
        <w:t>α</w:t>
      </w:r>
      <w:r w:rsidRPr="009460D5">
        <w:t>2dt2+</w:t>
      </w:r>
      <w:r w:rsidRPr="009460D5">
        <w:rPr>
          <w:lang w:val="el-GR"/>
        </w:rPr>
        <w:t>γ</w:t>
      </w:r>
      <w:r w:rsidRPr="009460D5">
        <w:t>ij(dxi+</w:t>
      </w:r>
      <w:r w:rsidRPr="009460D5">
        <w:rPr>
          <w:lang w:val="el-GR"/>
        </w:rPr>
        <w:t>β</w:t>
      </w:r>
      <w:r w:rsidRPr="009460D5">
        <w:t>idt)(dxj+</w:t>
      </w:r>
      <w:r w:rsidRPr="009460D5">
        <w:rPr>
          <w:lang w:val="el-GR"/>
        </w:rPr>
        <w:t>β</w:t>
      </w:r>
      <w:r w:rsidRPr="009460D5">
        <w:t>jdt),</w:t>
      </w:r>
      <w:r w:rsidRPr="009460D5">
        <w:rPr>
          <w:rFonts w:ascii="Cambria Math" w:hAnsi="Cambria Math" w:cs="Cambria Math"/>
        </w:rPr>
        <w:t>∇</w:t>
      </w:r>
      <w:r w:rsidRPr="009460D5">
        <w:rPr>
          <w:lang w:val="el-GR"/>
        </w:rPr>
        <w:t>ν</w:t>
      </w:r>
      <w:r w:rsidRPr="009460D5">
        <w:t>G</w:t>
      </w:r>
      <w:r w:rsidRPr="009460D5">
        <w:rPr>
          <w:lang w:val="el-GR"/>
        </w:rPr>
        <w:t>μν</w:t>
      </w:r>
      <w:r w:rsidRPr="009460D5">
        <w:t>=0(9.9)ds^{2}=-\alpha^{2}dt^{2}+\gamma_{ij}(dx^{i}+\beta^{i}dt)(dx^{j}+\beta^{j}dt),\qquad \nabla_{\nu}G^{\mu\nu}=0 \tag{9.9}ds2=−</w:t>
      </w:r>
      <w:r w:rsidRPr="009460D5">
        <w:rPr>
          <w:lang w:val="el-GR"/>
        </w:rPr>
        <w:t>α</w:t>
      </w:r>
      <w:r w:rsidRPr="009460D5">
        <w:t>2dt2+</w:t>
      </w:r>
      <w:r w:rsidRPr="009460D5">
        <w:rPr>
          <w:lang w:val="el-GR"/>
        </w:rPr>
        <w:t>γ</w:t>
      </w:r>
      <w:r w:rsidRPr="009460D5">
        <w:t>ij​(dxi+</w:t>
      </w:r>
      <w:r w:rsidRPr="009460D5">
        <w:rPr>
          <w:lang w:val="el-GR"/>
        </w:rPr>
        <w:t>β</w:t>
      </w:r>
      <w:r w:rsidRPr="009460D5">
        <w:t>idt)(dxj+</w:t>
      </w:r>
      <w:r w:rsidRPr="009460D5">
        <w:rPr>
          <w:lang w:val="el-GR"/>
        </w:rPr>
        <w:t>β</w:t>
      </w:r>
      <w:r w:rsidRPr="009460D5">
        <w:t>jdt),</w:t>
      </w:r>
      <w:r w:rsidRPr="009460D5">
        <w:rPr>
          <w:rFonts w:ascii="Cambria Math" w:hAnsi="Cambria Math" w:cs="Cambria Math"/>
        </w:rPr>
        <w:t>∇</w:t>
      </w:r>
      <w:r w:rsidRPr="009460D5">
        <w:rPr>
          <w:lang w:val="el-GR"/>
        </w:rPr>
        <w:t>ν</w:t>
      </w:r>
      <w:r w:rsidRPr="009460D5">
        <w:t>​G</w:t>
      </w:r>
      <w:r w:rsidRPr="009460D5">
        <w:rPr>
          <w:lang w:val="el-GR"/>
        </w:rPr>
        <w:t>μν</w:t>
      </w:r>
      <w:r w:rsidRPr="009460D5">
        <w:t xml:space="preserve">=0(9.9) </w:t>
      </w:r>
    </w:p>
    <w:p w:rsidR="009460D5" w:rsidRPr="009460D5" w:rsidRDefault="009460D5" w:rsidP="009460D5">
      <w:pPr>
        <w:jc w:val="left"/>
        <w:outlineLvl w:val="9"/>
      </w:pPr>
      <w:r w:rsidRPr="009460D5">
        <w:t xml:space="preserve">The analogy is conceptual, not relativistic: </w:t>
      </w:r>
      <w:r w:rsidRPr="009460D5">
        <w:rPr>
          <w:lang w:val="el-GR"/>
        </w:rPr>
        <w:t>α</w:t>
      </w:r>
      <w:r w:rsidRPr="009460D5">
        <w:t>\alpha</w:t>
      </w:r>
      <w:r w:rsidRPr="009460D5">
        <w:rPr>
          <w:lang w:val="el-GR"/>
        </w:rPr>
        <w:t>α</w:t>
      </w:r>
      <w:r w:rsidRPr="009460D5">
        <w:t xml:space="preserve"> gates step size; </w:t>
      </w:r>
      <w:r w:rsidRPr="009460D5">
        <w:rPr>
          <w:lang w:val="el-GR"/>
        </w:rPr>
        <w:t>β</w:t>
      </w:r>
      <w:r w:rsidRPr="009460D5">
        <w:t>i\beta^{i}</w:t>
      </w:r>
      <w:r w:rsidRPr="009460D5">
        <w:rPr>
          <w:lang w:val="el-GR"/>
        </w:rPr>
        <w:t>β</w:t>
      </w:r>
      <w:r w:rsidRPr="009460D5">
        <w:t xml:space="preserve">i acts like a drift that prefers curvature-compatible directions; </w:t>
      </w:r>
      <w:r w:rsidRPr="009460D5">
        <w:rPr>
          <w:lang w:val="el-GR"/>
        </w:rPr>
        <w:t>γ</w:t>
      </w:r>
      <w:r w:rsidRPr="009460D5">
        <w:t>ij\gamma_{ij}</w:t>
      </w:r>
      <w:r w:rsidRPr="009460D5">
        <w:rPr>
          <w:lang w:val="el-GR"/>
        </w:rPr>
        <w:t>γ</w:t>
      </w:r>
      <w:r w:rsidRPr="009460D5">
        <w:t xml:space="preserve">ij​ stores the pocket’s metric capacity. This separation clarifies </w:t>
      </w:r>
      <w:r w:rsidRPr="009460D5">
        <w:rPr>
          <w:b/>
          <w:bCs/>
        </w:rPr>
        <w:t>what to regularize</w:t>
      </w:r>
      <w:r w:rsidRPr="009460D5">
        <w:t xml:space="preserve"> (geometry, not just dynamics) and </w:t>
      </w:r>
      <w:r w:rsidRPr="009460D5">
        <w:rPr>
          <w:b/>
          <w:bCs/>
        </w:rPr>
        <w:t>where to budget complexity</w:t>
      </w:r>
      <w:r w:rsidRPr="009460D5">
        <w:t>. In practice, it prevents the ODE from “over-fitting” a pocket by exploding geometric degrees of freedom that do not improve measurable observables.</w:t>
      </w:r>
    </w:p>
    <w:p w:rsidR="009460D5" w:rsidRPr="009460D5" w:rsidRDefault="00106EF3" w:rsidP="009460D5">
      <w:pPr>
        <w:spacing w:before="0" w:beforeAutospacing="0" w:after="0" w:afterAutospacing="0"/>
        <w:jc w:val="left"/>
        <w:outlineLvl w:val="9"/>
        <w:rPr>
          <w:lang w:val="el-GR"/>
        </w:rPr>
      </w:pPr>
      <w:r w:rsidRPr="00106EF3">
        <w:rPr>
          <w:lang w:val="el-GR"/>
        </w:rPr>
        <w:pict>
          <v:rect id="_x0000_i1107" style="width:0;height:1.5pt" o:hralign="center" o:hrstd="t" o:hr="t" fillcolor="#a0a0a0" stroked="f"/>
        </w:pict>
      </w:r>
    </w:p>
    <w:p w:rsidR="009460D5" w:rsidRPr="008410BE" w:rsidRDefault="009460D5" w:rsidP="009460D5">
      <w:pPr>
        <w:jc w:val="left"/>
        <w:outlineLvl w:val="0"/>
        <w:rPr>
          <w:b/>
          <w:bCs/>
          <w:kern w:val="36"/>
          <w:sz w:val="36"/>
          <w:szCs w:val="36"/>
        </w:rPr>
      </w:pPr>
      <w:r w:rsidRPr="008410BE">
        <w:rPr>
          <w:b/>
          <w:bCs/>
          <w:kern w:val="36"/>
          <w:sz w:val="36"/>
          <w:szCs w:val="36"/>
        </w:rPr>
        <w:t>10. Implementation — From Series to Pipeline</w:t>
      </w:r>
    </w:p>
    <w:p w:rsidR="009460D5" w:rsidRPr="009460D5" w:rsidRDefault="009460D5" w:rsidP="009460D5">
      <w:pPr>
        <w:jc w:val="left"/>
        <w:outlineLvl w:val="9"/>
      </w:pPr>
      <w:r w:rsidRPr="009460D5">
        <w:t xml:space="preserve">The series and identities above are not decorations; they are the </w:t>
      </w:r>
      <w:r w:rsidRPr="009460D5">
        <w:rPr>
          <w:b/>
          <w:bCs/>
        </w:rPr>
        <w:t>machinery</w:t>
      </w:r>
      <w:r w:rsidRPr="009460D5">
        <w:t xml:space="preserve"> that keeps the discovery engine fast, stable, and physically interpretable. Below</w:t>
      </w:r>
      <w:r w:rsidR="00356057">
        <w:t xml:space="preserve"> I </w:t>
      </w:r>
      <w:r w:rsidRPr="009460D5">
        <w:t xml:space="preserve">consolidate how they enter the code path, from entropy triage to </w:t>
      </w:r>
      <w:r w:rsidRPr="009460D5">
        <w:rPr>
          <w:lang w:val="el-GR"/>
        </w:rPr>
        <w:t>Δ</w:t>
      </w:r>
      <w:r w:rsidRPr="009460D5">
        <w:t>SASA-aware scoring to geometry-regularized ODE flows, and finally to GHZ-calibrated learning.</w:t>
      </w:r>
    </w:p>
    <w:p w:rsidR="009460D5" w:rsidRPr="008410BE" w:rsidRDefault="009460D5" w:rsidP="009460D5">
      <w:pPr>
        <w:jc w:val="left"/>
        <w:outlineLvl w:val="1"/>
        <w:rPr>
          <w:b/>
          <w:bCs/>
          <w:sz w:val="36"/>
          <w:szCs w:val="36"/>
        </w:rPr>
      </w:pPr>
      <w:r w:rsidRPr="008410BE">
        <w:rPr>
          <w:b/>
          <w:bCs/>
          <w:sz w:val="36"/>
          <w:szCs w:val="36"/>
        </w:rPr>
        <w:t>10.1 Methods overview — three mutually reinforcing ideas</w:t>
      </w:r>
    </w:p>
    <w:p w:rsidR="009460D5" w:rsidRPr="009460D5" w:rsidRDefault="009460D5" w:rsidP="009460D5">
      <w:pPr>
        <w:jc w:val="left"/>
        <w:outlineLvl w:val="9"/>
      </w:pPr>
      <w:r w:rsidRPr="009460D5">
        <w:t xml:space="preserve">Our stack couples (i) </w:t>
      </w:r>
      <w:r w:rsidRPr="009460D5">
        <w:rPr>
          <w:b/>
          <w:bCs/>
        </w:rPr>
        <w:t>information-theoretic triage</w:t>
      </w:r>
      <w:r w:rsidRPr="009460D5">
        <w:t xml:space="preserve"> that preserves scaffold diversity, (ii) </w:t>
      </w:r>
      <w:r w:rsidRPr="009460D5">
        <w:rPr>
          <w:b/>
          <w:bCs/>
        </w:rPr>
        <w:t>restored non-polar physics</w:t>
      </w:r>
      <w:r w:rsidRPr="009460D5">
        <w:t xml:space="preserve"> through an interpretable, linear </w:t>
      </w:r>
      <w:r w:rsidRPr="009460D5">
        <w:rPr>
          <w:lang w:val="el-GR"/>
        </w:rPr>
        <w:t>Δ</w:t>
      </w:r>
      <w:r w:rsidRPr="009460D5">
        <w:t xml:space="preserve">SASA term added to MM-PBSA energies, and (iii) </w:t>
      </w:r>
      <w:r w:rsidRPr="009460D5">
        <w:rPr>
          <w:b/>
          <w:bCs/>
        </w:rPr>
        <w:t>curvature-aware Pharmacophoric-ODEs</w:t>
      </w:r>
      <w:r w:rsidRPr="009460D5">
        <w:t xml:space="preserve"> that encode pocket geometry directly into the continuous-time evolution of ligand graphs and poses. Targeting MMP-1 and neutrophil elastase while modulating ERC/NEU1, and guided by elastin-derived motifs, the system biases fibrocyte-centered programs toward ordered, pro-repair states—</w:t>
      </w:r>
      <w:r w:rsidRPr="009460D5">
        <w:rPr>
          <w:b/>
          <w:bCs/>
        </w:rPr>
        <w:t>and does so reproducibly</w:t>
      </w:r>
      <w:r w:rsidRPr="009460D5">
        <w:t xml:space="preserve"> because every step maps to a measurable quantity (burial, curvature, entropy, synergy).</w:t>
      </w:r>
    </w:p>
    <w:p w:rsidR="009460D5" w:rsidRPr="008410BE" w:rsidRDefault="009460D5" w:rsidP="009460D5">
      <w:pPr>
        <w:jc w:val="left"/>
        <w:outlineLvl w:val="1"/>
        <w:rPr>
          <w:b/>
          <w:bCs/>
          <w:sz w:val="36"/>
          <w:szCs w:val="36"/>
        </w:rPr>
      </w:pPr>
      <w:r w:rsidRPr="008410BE">
        <w:rPr>
          <w:b/>
          <w:bCs/>
          <w:sz w:val="36"/>
          <w:szCs w:val="36"/>
        </w:rPr>
        <w:t>10.2 Information-theoretic triage — keeping diversity measurable</w:t>
      </w:r>
    </w:p>
    <w:p w:rsidR="009460D5" w:rsidRPr="009460D5" w:rsidRDefault="009460D5" w:rsidP="009460D5">
      <w:pPr>
        <w:jc w:val="left"/>
        <w:outlineLvl w:val="9"/>
      </w:pPr>
      <w:r w:rsidRPr="009460D5">
        <w:t>We partition candidates into chemotype bins with probabilities pip_ipi​ and maximize</w:t>
      </w:r>
    </w:p>
    <w:p w:rsidR="009460D5" w:rsidRPr="009460D5" w:rsidRDefault="009460D5" w:rsidP="009460D5">
      <w:pPr>
        <w:spacing w:before="0" w:beforeAutospacing="0" w:after="0" w:afterAutospacing="0"/>
        <w:jc w:val="left"/>
        <w:outlineLvl w:val="9"/>
      </w:pPr>
      <w:r w:rsidRPr="009460D5">
        <w:t xml:space="preserve">H=−∑i=1Npilog⁡pi(10.1)H=-\sum_{i=1}^{N} p_i \log p_i \tag{10.1}H=−i=1∑N​pi​logpi​(10.1) </w:t>
      </w:r>
    </w:p>
    <w:p w:rsidR="009460D5" w:rsidRPr="009460D5" w:rsidRDefault="009460D5" w:rsidP="009460D5">
      <w:pPr>
        <w:jc w:val="left"/>
        <w:outlineLvl w:val="9"/>
      </w:pPr>
      <w:r w:rsidRPr="009460D5">
        <w:t>to avoid early mode collapse. To down-weight over-represented families while retaining rare prospects,</w:t>
      </w:r>
      <w:r w:rsidR="00356057">
        <w:t xml:space="preserve"> I </w:t>
      </w:r>
      <w:r w:rsidRPr="009460D5">
        <w:t>use Rényi entropy</w:t>
      </w:r>
    </w:p>
    <w:p w:rsidR="009460D5" w:rsidRPr="009460D5" w:rsidRDefault="009460D5" w:rsidP="009460D5">
      <w:pPr>
        <w:spacing w:before="0" w:beforeAutospacing="0" w:after="0" w:afterAutospacing="0"/>
        <w:jc w:val="left"/>
        <w:outlineLvl w:val="9"/>
      </w:pPr>
      <w:r w:rsidRPr="009460D5">
        <w:t>S</w:t>
      </w:r>
      <w:r w:rsidRPr="009460D5">
        <w:rPr>
          <w:lang w:val="el-GR"/>
        </w:rPr>
        <w:t>α</w:t>
      </w:r>
      <w:r w:rsidRPr="009460D5">
        <w:t>=11−</w:t>
      </w:r>
      <w:r w:rsidRPr="009460D5">
        <w:rPr>
          <w:lang w:val="el-GR"/>
        </w:rPr>
        <w:t>α</w:t>
      </w:r>
      <w:r w:rsidRPr="009460D5">
        <w:t>log⁡ ⁣(∑i=1Npi</w:t>
      </w:r>
      <w:r w:rsidRPr="009460D5">
        <w:rPr>
          <w:lang w:val="el-GR"/>
        </w:rPr>
        <w:t>α</w:t>
      </w:r>
      <w:r w:rsidRPr="009460D5">
        <w:t>),lim⁡</w:t>
      </w:r>
      <w:r w:rsidRPr="009460D5">
        <w:rPr>
          <w:lang w:val="el-GR"/>
        </w:rPr>
        <w:t>α</w:t>
      </w:r>
      <w:r w:rsidRPr="009460D5">
        <w:t>→1S</w:t>
      </w:r>
      <w:r w:rsidRPr="009460D5">
        <w:rPr>
          <w:lang w:val="el-GR"/>
        </w:rPr>
        <w:t>α</w:t>
      </w:r>
      <w:r w:rsidRPr="009460D5">
        <w:t>=H,</w:t>
      </w:r>
      <w:r w:rsidRPr="009460D5">
        <w:rPr>
          <w:lang w:val="el-GR"/>
        </w:rPr>
        <w:t>α</w:t>
      </w:r>
      <w:r w:rsidRPr="009460D5">
        <w:rPr>
          <w:rFonts w:ascii="Cambria Math" w:hAnsi="Cambria Math" w:cs="Cambria Math"/>
        </w:rPr>
        <w:t>∈</w:t>
      </w:r>
      <w:r w:rsidRPr="009460D5">
        <w:t>[1.2,2](10.2)S_\alpha=\frac{1}{1-\alpha}\log\!\Big(\sum_{i=1}^{N}p_i^\alpha\Big),\quad \lim_{\alpha\to1}S_\alpha=H,\quad \alpha\in[1.2,2] \tag{10.2}S</w:t>
      </w:r>
      <w:r w:rsidRPr="009460D5">
        <w:rPr>
          <w:lang w:val="el-GR"/>
        </w:rPr>
        <w:t>α</w:t>
      </w:r>
      <w:r w:rsidRPr="009460D5">
        <w:t>​=1−</w:t>
      </w:r>
      <w:r w:rsidRPr="009460D5">
        <w:rPr>
          <w:lang w:val="el-GR"/>
        </w:rPr>
        <w:t>α</w:t>
      </w:r>
      <w:r w:rsidRPr="009460D5">
        <w:t>1​log(i=1∑N​pi</w:t>
      </w:r>
      <w:r w:rsidRPr="009460D5">
        <w:rPr>
          <w:lang w:val="el-GR"/>
        </w:rPr>
        <w:t>α</w:t>
      </w:r>
      <w:r w:rsidRPr="009460D5">
        <w:t>​),</w:t>
      </w:r>
      <w:r w:rsidRPr="009460D5">
        <w:rPr>
          <w:lang w:val="el-GR"/>
        </w:rPr>
        <w:t>α</w:t>
      </w:r>
      <w:r w:rsidRPr="009460D5">
        <w:t>→1lim​S</w:t>
      </w:r>
      <w:r w:rsidRPr="009460D5">
        <w:rPr>
          <w:lang w:val="el-GR"/>
        </w:rPr>
        <w:t>α</w:t>
      </w:r>
      <w:r w:rsidRPr="009460D5">
        <w:t>​=H,</w:t>
      </w:r>
      <w:r w:rsidRPr="009460D5">
        <w:rPr>
          <w:lang w:val="el-GR"/>
        </w:rPr>
        <w:t>α</w:t>
      </w:r>
      <w:r w:rsidRPr="009460D5">
        <w:rPr>
          <w:rFonts w:ascii="Cambria Math" w:hAnsi="Cambria Math" w:cs="Cambria Math"/>
        </w:rPr>
        <w:t>∈</w:t>
      </w:r>
      <w:r w:rsidRPr="009460D5">
        <w:t xml:space="preserve">[1.2,2](10.2) </w:t>
      </w:r>
    </w:p>
    <w:p w:rsidR="009460D5" w:rsidRPr="009460D5" w:rsidRDefault="009460D5" w:rsidP="009460D5">
      <w:pPr>
        <w:jc w:val="left"/>
        <w:outlineLvl w:val="9"/>
      </w:pPr>
      <w:r w:rsidRPr="009460D5">
        <w:t xml:space="preserve">and admit a candidate G\*G^\*G\* </w:t>
      </w:r>
      <w:r w:rsidRPr="009460D5">
        <w:rPr>
          <w:b/>
          <w:bCs/>
        </w:rPr>
        <w:t>only</w:t>
      </w:r>
      <w:r w:rsidRPr="009460D5">
        <w:t xml:space="preserve"> if the marginal gain is positive:</w:t>
      </w:r>
    </w:p>
    <w:p w:rsidR="009460D5" w:rsidRPr="009460D5" w:rsidRDefault="009460D5" w:rsidP="009460D5">
      <w:pPr>
        <w:spacing w:before="0" w:beforeAutospacing="0" w:after="0" w:afterAutospacing="0"/>
        <w:jc w:val="left"/>
        <w:outlineLvl w:val="9"/>
      </w:pPr>
      <w:r w:rsidRPr="009460D5">
        <w:rPr>
          <w:lang w:val="el-GR"/>
        </w:rPr>
        <w:t>Δ</w:t>
      </w:r>
      <w:r w:rsidRPr="009460D5">
        <w:t>H(G\*)=H(S</w:t>
      </w:r>
      <w:r w:rsidRPr="009460D5">
        <w:rPr>
          <w:rFonts w:ascii="Cambria Math" w:hAnsi="Cambria Math" w:cs="Cambria Math"/>
        </w:rPr>
        <w:t>∪</w:t>
      </w:r>
      <w:r w:rsidRPr="009460D5">
        <w:t>{G\*})−H(S).(10.3)\Delta H(G^\*)=H(\mathcal S\cup\{G^\*\})-H(\mathcal S). \tag{10.3}</w:t>
      </w:r>
      <w:r w:rsidRPr="009460D5">
        <w:rPr>
          <w:lang w:val="el-GR"/>
        </w:rPr>
        <w:t>Δ</w:t>
      </w:r>
      <w:r w:rsidRPr="009460D5">
        <w:t>H(G\*)=H(S</w:t>
      </w:r>
      <w:r w:rsidRPr="009460D5">
        <w:rPr>
          <w:rFonts w:ascii="Cambria Math" w:hAnsi="Cambria Math" w:cs="Cambria Math"/>
        </w:rPr>
        <w:t>∪</w:t>
      </w:r>
      <w:r w:rsidRPr="009460D5">
        <w:t xml:space="preserve">{G\*})−H(S).(10.3) </w:t>
      </w:r>
    </w:p>
    <w:p w:rsidR="009460D5" w:rsidRPr="009460D5" w:rsidRDefault="009460D5" w:rsidP="009460D5">
      <w:pPr>
        <w:jc w:val="left"/>
        <w:outlineLvl w:val="9"/>
      </w:pPr>
      <w:r w:rsidRPr="009460D5">
        <w:t>Sampling quality across KKK bins is validated by</w:t>
      </w:r>
    </w:p>
    <w:p w:rsidR="009460D5" w:rsidRPr="009460D5" w:rsidRDefault="009460D5" w:rsidP="009460D5">
      <w:pPr>
        <w:spacing w:before="0" w:beforeAutospacing="0" w:after="0" w:afterAutospacing="0"/>
        <w:jc w:val="left"/>
        <w:outlineLvl w:val="9"/>
      </w:pPr>
      <w:r w:rsidRPr="009460D5">
        <w:rPr>
          <w:lang w:val="el-GR"/>
        </w:rPr>
        <w:t>χ</w:t>
      </w:r>
      <w:r w:rsidRPr="009460D5">
        <w:t>2=∑k=1K(nk−n/K)2n/K≤</w:t>
      </w:r>
      <w:r w:rsidRPr="009460D5">
        <w:rPr>
          <w:lang w:val="el-GR"/>
        </w:rPr>
        <w:t>τ</w:t>
      </w:r>
      <w:r w:rsidRPr="009460D5">
        <w:t>(10.4)\chi^2=\sum_{k=1}^{K}\frac{(n_k-n/K)^2}{n/K}\le \tau \tag{10.4}</w:t>
      </w:r>
      <w:r w:rsidRPr="009460D5">
        <w:rPr>
          <w:lang w:val="el-GR"/>
        </w:rPr>
        <w:t>χ</w:t>
      </w:r>
      <w:r w:rsidRPr="009460D5">
        <w:t>2=k=1∑K​n/K(nk​−n/K)2​≤</w:t>
      </w:r>
      <w:r w:rsidRPr="009460D5">
        <w:rPr>
          <w:lang w:val="el-GR"/>
        </w:rPr>
        <w:t>τ</w:t>
      </w:r>
      <w:r w:rsidRPr="009460D5">
        <w:t xml:space="preserve">(10.4) </w:t>
      </w:r>
    </w:p>
    <w:p w:rsidR="009460D5" w:rsidRPr="009460D5" w:rsidRDefault="009460D5" w:rsidP="009460D5">
      <w:pPr>
        <w:jc w:val="left"/>
        <w:outlineLvl w:val="9"/>
      </w:pPr>
      <w:r w:rsidRPr="009460D5">
        <w:t xml:space="preserve">to ensure the intended chemotype distribution. This entropy-first gating is cheap, transparent, and statistically grounded; it determines </w:t>
      </w:r>
      <w:r w:rsidRPr="009460D5">
        <w:rPr>
          <w:b/>
          <w:bCs/>
        </w:rPr>
        <w:t>what physics will see</w:t>
      </w:r>
      <w:r w:rsidRPr="009460D5">
        <w:t>, so later steps cannot inherit a collapsed library.</w:t>
      </w:r>
    </w:p>
    <w:p w:rsidR="009460D5" w:rsidRPr="008410BE" w:rsidRDefault="009460D5" w:rsidP="009460D5">
      <w:pPr>
        <w:jc w:val="left"/>
        <w:rPr>
          <w:b/>
          <w:bCs/>
          <w:sz w:val="36"/>
          <w:szCs w:val="36"/>
        </w:rPr>
      </w:pPr>
      <w:r w:rsidRPr="008410BE">
        <w:rPr>
          <w:b/>
          <w:bCs/>
          <w:sz w:val="36"/>
          <w:szCs w:val="36"/>
        </w:rPr>
        <w:t xml:space="preserve">10.2.1 Physically grounded non-polar energetics — the </w:t>
      </w:r>
      <w:r w:rsidRPr="008410BE">
        <w:rPr>
          <w:b/>
          <w:bCs/>
          <w:sz w:val="36"/>
          <w:szCs w:val="36"/>
          <w:lang w:val="el-GR"/>
        </w:rPr>
        <w:t>Δ</w:t>
      </w:r>
      <w:r w:rsidRPr="008410BE">
        <w:rPr>
          <w:b/>
          <w:bCs/>
          <w:sz w:val="36"/>
          <w:szCs w:val="36"/>
        </w:rPr>
        <w:t>SASA correction</w:t>
      </w:r>
    </w:p>
    <w:p w:rsidR="009460D5" w:rsidRPr="009460D5" w:rsidRDefault="009460D5" w:rsidP="009460D5">
      <w:pPr>
        <w:jc w:val="left"/>
        <w:outlineLvl w:val="9"/>
      </w:pPr>
      <w:r w:rsidRPr="009460D5">
        <w:t>Binding energetics start from an MM-PBSA-like estimator,</w:t>
      </w:r>
    </w:p>
    <w:p w:rsidR="009460D5" w:rsidRPr="009460D5" w:rsidRDefault="009460D5" w:rsidP="009460D5">
      <w:pPr>
        <w:spacing w:before="0" w:beforeAutospacing="0" w:after="0" w:afterAutospacing="0"/>
        <w:jc w:val="left"/>
        <w:outlineLvl w:val="9"/>
      </w:pPr>
      <w:r w:rsidRPr="009460D5">
        <w:rPr>
          <w:lang w:val="el-GR"/>
        </w:rPr>
        <w:t>Δ</w:t>
      </w:r>
      <w:r w:rsidRPr="009460D5">
        <w:t>GMM–PBSA=</w:t>
      </w:r>
      <w:r w:rsidRPr="009460D5">
        <w:rPr>
          <w:rFonts w:ascii="Cambria Math" w:hAnsi="Cambria Math" w:cs="Cambria Math"/>
          <w:lang w:val="el-GR"/>
        </w:rPr>
        <w:t>⟨</w:t>
      </w:r>
      <w:r w:rsidRPr="009460D5">
        <w:t>EMM+Gsolv−TSconf</w:t>
      </w:r>
      <w:r w:rsidRPr="009460D5">
        <w:rPr>
          <w:rFonts w:ascii="Cambria Math" w:hAnsi="Cambria Math" w:cs="Cambria Math"/>
          <w:lang w:val="el-GR"/>
        </w:rPr>
        <w:t>⟩</w:t>
      </w:r>
      <w:r w:rsidRPr="009460D5">
        <w:t>C−</w:t>
      </w:r>
      <w:r w:rsidRPr="009460D5">
        <w:rPr>
          <w:rFonts w:ascii="Cambria Math" w:hAnsi="Cambria Math" w:cs="Cambria Math"/>
          <w:lang w:val="el-GR"/>
        </w:rPr>
        <w:t>⟨</w:t>
      </w:r>
      <w:r w:rsidRPr="009460D5">
        <w:rPr>
          <w:rFonts w:ascii="Cambria Math" w:hAnsi="Cambria Math" w:cs="Cambria Math"/>
        </w:rPr>
        <w:t>⋅</w:t>
      </w:r>
      <w:r w:rsidRPr="009460D5">
        <w:rPr>
          <w:rFonts w:ascii="Cambria Math" w:hAnsi="Cambria Math" w:cs="Cambria Math"/>
          <w:lang w:val="el-GR"/>
        </w:rPr>
        <w:t>⟩</w:t>
      </w:r>
      <w:r w:rsidRPr="009460D5">
        <w:t>R−</w:t>
      </w:r>
      <w:r w:rsidRPr="009460D5">
        <w:rPr>
          <w:rFonts w:ascii="Cambria Math" w:hAnsi="Cambria Math" w:cs="Cambria Math"/>
          <w:lang w:val="el-GR"/>
        </w:rPr>
        <w:t>⟨</w:t>
      </w:r>
      <w:r w:rsidRPr="009460D5">
        <w:rPr>
          <w:rFonts w:ascii="Cambria Math" w:hAnsi="Cambria Math" w:cs="Cambria Math"/>
        </w:rPr>
        <w:t>⋅</w:t>
      </w:r>
      <w:r w:rsidRPr="009460D5">
        <w:rPr>
          <w:rFonts w:ascii="Cambria Math" w:hAnsi="Cambria Math" w:cs="Cambria Math"/>
          <w:lang w:val="el-GR"/>
        </w:rPr>
        <w:t>⟩</w:t>
      </w:r>
      <w:r w:rsidRPr="009460D5">
        <w:t>L(10.5)\Delta G_{\text{MM–PBSA}}=\langle E_{\text{MM}}+G_{\text{solv}}-TS_{\text{conf}}\rangle_C -\langle\cdot\rangle_R -\langle\cdot\rangle_L \tag{10.5}</w:t>
      </w:r>
      <w:r w:rsidRPr="009460D5">
        <w:rPr>
          <w:lang w:val="el-GR"/>
        </w:rPr>
        <w:t>Δ</w:t>
      </w:r>
      <w:r w:rsidRPr="009460D5">
        <w:t>GMM–PBSA​=</w:t>
      </w:r>
      <w:r w:rsidRPr="009460D5">
        <w:rPr>
          <w:rFonts w:ascii="Cambria Math" w:hAnsi="Cambria Math" w:cs="Cambria Math"/>
          <w:lang w:val="el-GR"/>
        </w:rPr>
        <w:t>⟨</w:t>
      </w:r>
      <w:r w:rsidRPr="009460D5">
        <w:t>EMM​+Gsolv​−TSconf​</w:t>
      </w:r>
      <w:r w:rsidRPr="009460D5">
        <w:rPr>
          <w:rFonts w:ascii="Cambria Math" w:hAnsi="Cambria Math" w:cs="Cambria Math"/>
          <w:lang w:val="el-GR"/>
        </w:rPr>
        <w:t>⟩</w:t>
      </w:r>
      <w:r w:rsidRPr="009460D5">
        <w:t>C​−</w:t>
      </w:r>
      <w:r w:rsidRPr="009460D5">
        <w:rPr>
          <w:rFonts w:ascii="Cambria Math" w:hAnsi="Cambria Math" w:cs="Cambria Math"/>
          <w:lang w:val="el-GR"/>
        </w:rPr>
        <w:t>⟨</w:t>
      </w:r>
      <w:r w:rsidRPr="009460D5">
        <w:rPr>
          <w:rFonts w:ascii="Cambria Math" w:hAnsi="Cambria Math" w:cs="Cambria Math"/>
        </w:rPr>
        <w:t>⋅</w:t>
      </w:r>
      <w:r w:rsidRPr="009460D5">
        <w:rPr>
          <w:rFonts w:ascii="Cambria Math" w:hAnsi="Cambria Math" w:cs="Cambria Math"/>
          <w:lang w:val="el-GR"/>
        </w:rPr>
        <w:t>⟩</w:t>
      </w:r>
      <w:r w:rsidRPr="009460D5">
        <w:t>R​−</w:t>
      </w:r>
      <w:r w:rsidRPr="009460D5">
        <w:rPr>
          <w:rFonts w:ascii="Cambria Math" w:hAnsi="Cambria Math" w:cs="Cambria Math"/>
          <w:lang w:val="el-GR"/>
        </w:rPr>
        <w:t>⟨</w:t>
      </w:r>
      <w:r w:rsidRPr="009460D5">
        <w:rPr>
          <w:rFonts w:ascii="Cambria Math" w:hAnsi="Cambria Math" w:cs="Cambria Math"/>
        </w:rPr>
        <w:t>⋅</w:t>
      </w:r>
      <w:r w:rsidRPr="009460D5">
        <w:rPr>
          <w:rFonts w:ascii="Cambria Math" w:hAnsi="Cambria Math" w:cs="Cambria Math"/>
          <w:lang w:val="el-GR"/>
        </w:rPr>
        <w:t>⟩</w:t>
      </w:r>
      <w:r w:rsidRPr="009460D5">
        <w:t xml:space="preserve">L​(10.5) </w:t>
      </w:r>
    </w:p>
    <w:p w:rsidR="009460D5" w:rsidRPr="009460D5" w:rsidRDefault="009460D5" w:rsidP="009460D5">
      <w:pPr>
        <w:jc w:val="left"/>
        <w:outlineLvl w:val="9"/>
      </w:pPr>
      <w:r w:rsidRPr="009460D5">
        <w:t>augmented by an explicit non-polar term linear in buried area:</w:t>
      </w:r>
    </w:p>
    <w:p w:rsidR="009460D5" w:rsidRPr="009460D5" w:rsidRDefault="009460D5" w:rsidP="009460D5">
      <w:pPr>
        <w:spacing w:before="0" w:beforeAutospacing="0" w:after="0" w:afterAutospacing="0"/>
        <w:jc w:val="left"/>
        <w:outlineLvl w:val="9"/>
      </w:pPr>
      <w:r w:rsidRPr="009460D5">
        <w:rPr>
          <w:lang w:val="el-GR"/>
        </w:rPr>
        <w:t>Δ</w:t>
      </w:r>
      <w:r w:rsidRPr="009460D5">
        <w:t>Gnp=</w:t>
      </w:r>
      <w:r w:rsidRPr="009460D5">
        <w:rPr>
          <w:lang w:val="el-GR"/>
        </w:rPr>
        <w:t>γ</w:t>
      </w:r>
      <w:r w:rsidRPr="009460D5">
        <w:t> </w:t>
      </w:r>
      <w:r w:rsidRPr="009460D5">
        <w:rPr>
          <w:lang w:val="el-GR"/>
        </w:rPr>
        <w:t>Δ</w:t>
      </w:r>
      <w:r w:rsidRPr="009460D5">
        <w:t>SASA,</w:t>
      </w:r>
      <w:r w:rsidRPr="009460D5">
        <w:rPr>
          <w:lang w:val="el-GR"/>
        </w:rPr>
        <w:t>Δ</w:t>
      </w:r>
      <w:r w:rsidRPr="009460D5">
        <w:t>SASA=SASAC−SASAR−SASAL,</w:t>
      </w:r>
      <w:r w:rsidRPr="009460D5">
        <w:rPr>
          <w:lang w:val="el-GR"/>
        </w:rPr>
        <w:t>γ</w:t>
      </w:r>
      <w:r w:rsidRPr="009460D5">
        <w:t>=0.005 kcal mol−1A˚−2(10.6)\Delta G_{\text{np}}=\gamma\,\Delta\mathrm{SASA},\quad \Delta\mathrm{SASA}=\mathrm{SASA}_C-\mathrm{SASA}_R-\mathrm{SASA}_L,\quad \gamma=0.005\ \text{kcal mol}^{-1}\text{\AA}^{-2} \tag{10.6}</w:t>
      </w:r>
      <w:r w:rsidRPr="009460D5">
        <w:rPr>
          <w:lang w:val="el-GR"/>
        </w:rPr>
        <w:t>Δ</w:t>
      </w:r>
      <w:r w:rsidRPr="009460D5">
        <w:t>Gnp​=</w:t>
      </w:r>
      <w:r w:rsidRPr="009460D5">
        <w:rPr>
          <w:lang w:val="el-GR"/>
        </w:rPr>
        <w:t>γΔ</w:t>
      </w:r>
      <w:r w:rsidRPr="009460D5">
        <w:t>SASA,</w:t>
      </w:r>
      <w:r w:rsidRPr="009460D5">
        <w:rPr>
          <w:lang w:val="el-GR"/>
        </w:rPr>
        <w:t>Δ</w:t>
      </w:r>
      <w:r w:rsidRPr="009460D5">
        <w:t>SASA=SASAC​−SASAR​−SASAL​,</w:t>
      </w:r>
      <w:r w:rsidRPr="009460D5">
        <w:rPr>
          <w:lang w:val="el-GR"/>
        </w:rPr>
        <w:t>γ</w:t>
      </w:r>
      <w:r w:rsidRPr="009460D5">
        <w:t xml:space="preserve">=0.005 kcal mol−1A˚−2(10.6) </w:t>
      </w:r>
    </w:p>
    <w:p w:rsidR="009460D5" w:rsidRPr="009460D5" w:rsidRDefault="009460D5" w:rsidP="009460D5">
      <w:pPr>
        <w:jc w:val="left"/>
        <w:outlineLvl w:val="9"/>
      </w:pPr>
      <w:r w:rsidRPr="009460D5">
        <w:t>and ranked by the total score</w:t>
      </w:r>
    </w:p>
    <w:p w:rsidR="009460D5" w:rsidRPr="009460D5" w:rsidRDefault="009460D5" w:rsidP="009460D5">
      <w:pPr>
        <w:spacing w:before="0" w:beforeAutospacing="0" w:after="0" w:afterAutospacing="0"/>
        <w:jc w:val="left"/>
        <w:outlineLvl w:val="9"/>
      </w:pPr>
      <w:r w:rsidRPr="009460D5">
        <w:rPr>
          <w:lang w:val="el-GR"/>
        </w:rPr>
        <w:t>Δ</w:t>
      </w:r>
      <w:r w:rsidRPr="009460D5">
        <w:t>G^tot=</w:t>
      </w:r>
      <w:r w:rsidRPr="009460D5">
        <w:rPr>
          <w:lang w:val="el-GR"/>
        </w:rPr>
        <w:t>Δ</w:t>
      </w:r>
      <w:r w:rsidRPr="009460D5">
        <w:t>GMM–PBSA+</w:t>
      </w:r>
      <w:r w:rsidRPr="009460D5">
        <w:rPr>
          <w:lang w:val="el-GR"/>
        </w:rPr>
        <w:t>Δ</w:t>
      </w:r>
      <w:r w:rsidRPr="009460D5">
        <w:t>Gnp.(10.7)\widehat{\Delta G}_{\text{tot}}=\Delta G_{\text{MM–PBSA}}+\Delta G_{\text{np}}. \tag{10.7}</w:t>
      </w:r>
      <w:r w:rsidRPr="009460D5">
        <w:rPr>
          <w:lang w:val="el-GR"/>
        </w:rPr>
        <w:t>Δ</w:t>
      </w:r>
      <w:r w:rsidRPr="009460D5">
        <w:t>Gtot​=</w:t>
      </w:r>
      <w:r w:rsidRPr="009460D5">
        <w:rPr>
          <w:lang w:val="el-GR"/>
        </w:rPr>
        <w:t>Δ</w:t>
      </w:r>
      <w:r w:rsidRPr="009460D5">
        <w:t>GMM–PBSA​+</w:t>
      </w:r>
      <w:r w:rsidRPr="009460D5">
        <w:rPr>
          <w:lang w:val="el-GR"/>
        </w:rPr>
        <w:t>Δ</w:t>
      </w:r>
      <w:r w:rsidRPr="009460D5">
        <w:t xml:space="preserve">Gnp​.(10.7) </w:t>
      </w:r>
    </w:p>
    <w:p w:rsidR="009460D5" w:rsidRPr="009460D5" w:rsidRDefault="009460D5" w:rsidP="009460D5">
      <w:pPr>
        <w:jc w:val="left"/>
        <w:outlineLvl w:val="9"/>
      </w:pPr>
      <w:r w:rsidRPr="009460D5">
        <w:t xml:space="preserve">This </w:t>
      </w:r>
      <w:r w:rsidRPr="009460D5">
        <w:rPr>
          <w:b/>
          <w:bCs/>
        </w:rPr>
        <w:t>linear</w:t>
      </w:r>
      <w:r w:rsidRPr="009460D5">
        <w:t xml:space="preserve"> correction restores hydrophobic burial that end-point estimators underweight—particularly for compact triterpenes and polyphenolics—without paying alchemical costs. Because </w:t>
      </w:r>
      <w:r w:rsidRPr="009460D5">
        <w:rPr>
          <w:lang w:val="el-GR"/>
        </w:rPr>
        <w:t>Δ</w:t>
      </w:r>
      <w:r w:rsidRPr="009460D5">
        <w:t xml:space="preserve">SASA is geometric and observable, improvements in </w:t>
      </w:r>
      <w:r w:rsidRPr="009460D5">
        <w:rPr>
          <w:lang w:val="el-GR"/>
        </w:rPr>
        <w:t>Δ</w:t>
      </w:r>
      <w:r w:rsidRPr="009460D5">
        <w:t>G^tot\widehat{\Delta G}_{\text{tot}}</w:t>
      </w:r>
      <w:r w:rsidRPr="009460D5">
        <w:rPr>
          <w:lang w:val="el-GR"/>
        </w:rPr>
        <w:t>Δ</w:t>
      </w:r>
      <w:r w:rsidRPr="009460D5">
        <w:t xml:space="preserve">Gtot​ are </w:t>
      </w:r>
      <w:r w:rsidRPr="009460D5">
        <w:rPr>
          <w:b/>
          <w:bCs/>
        </w:rPr>
        <w:t>physically interpretable</w:t>
      </w:r>
      <w:r w:rsidRPr="009460D5">
        <w:t xml:space="preserve"> and correlate with the curvature signatures harvested in §9.6.</w:t>
      </w:r>
    </w:p>
    <w:p w:rsidR="009460D5" w:rsidRPr="009460D5" w:rsidRDefault="009460D5" w:rsidP="009460D5">
      <w:pPr>
        <w:jc w:val="left"/>
        <w:rPr>
          <w:b/>
          <w:bCs/>
        </w:rPr>
      </w:pPr>
      <w:r w:rsidRPr="009460D5">
        <w:rPr>
          <w:b/>
          <w:bCs/>
        </w:rPr>
        <w:t>10.2.2 Pharmacophoric-ODEs — geometry-aware graph-and-pose evolution</w:t>
      </w:r>
    </w:p>
    <w:p w:rsidR="009460D5" w:rsidRPr="009460D5" w:rsidRDefault="009460D5" w:rsidP="009460D5">
      <w:pPr>
        <w:jc w:val="left"/>
        <w:outlineLvl w:val="9"/>
      </w:pPr>
      <w:r w:rsidRPr="009460D5">
        <w:t>Each candidate state is</w:t>
      </w:r>
    </w:p>
    <w:p w:rsidR="009460D5" w:rsidRPr="009460D5" w:rsidRDefault="009460D5" w:rsidP="009460D5">
      <w:pPr>
        <w:spacing w:before="0" w:beforeAutospacing="0" w:after="0" w:afterAutospacing="0"/>
        <w:jc w:val="left"/>
        <w:outlineLvl w:val="9"/>
      </w:pPr>
      <w:r w:rsidRPr="009460D5">
        <w:t>xt=(Gt,Pt,</w:t>
      </w:r>
      <w:r w:rsidRPr="009460D5">
        <w:rPr>
          <w:lang w:val="el-GR"/>
        </w:rPr>
        <w:t>Π</w:t>
      </w:r>
      <w:r w:rsidRPr="009460D5">
        <w:t>t)(10.8)x_t=(G_t,P_t,\Pi_t) \qquad (10.8)xt​=(Gt​,Pt​,</w:t>
      </w:r>
      <w:r w:rsidRPr="009460D5">
        <w:rPr>
          <w:lang w:val="el-GR"/>
        </w:rPr>
        <w:t>Π</w:t>
      </w:r>
      <w:r w:rsidRPr="009460D5">
        <w:t xml:space="preserve">t​)(10.8) </w:t>
      </w:r>
    </w:p>
    <w:p w:rsidR="009460D5" w:rsidRPr="009460D5" w:rsidRDefault="009460D5" w:rsidP="009460D5">
      <w:pPr>
        <w:jc w:val="left"/>
        <w:outlineLvl w:val="9"/>
      </w:pPr>
      <w:r w:rsidRPr="009460D5">
        <w:t>and follows the flow</w:t>
      </w:r>
    </w:p>
    <w:p w:rsidR="009460D5" w:rsidRPr="009460D5" w:rsidRDefault="009460D5" w:rsidP="009460D5">
      <w:pPr>
        <w:spacing w:before="0" w:beforeAutospacing="0" w:after="0" w:afterAutospacing="0"/>
        <w:jc w:val="left"/>
        <w:outlineLvl w:val="9"/>
      </w:pPr>
      <w:r w:rsidRPr="009460D5">
        <w:t>x˙t=f</w:t>
      </w:r>
      <w:r w:rsidRPr="009460D5">
        <w:rPr>
          <w:lang w:val="el-GR"/>
        </w:rPr>
        <w:t>θ</w:t>
      </w:r>
      <w:r w:rsidRPr="009460D5">
        <w:t>(xt,t)(10.9)\dot{x}_t=f_\theta(x_t,t) \qquad (10.9)x˙t​=f</w:t>
      </w:r>
      <w:r w:rsidRPr="009460D5">
        <w:rPr>
          <w:lang w:val="el-GR"/>
        </w:rPr>
        <w:t>θ</w:t>
      </w:r>
      <w:r w:rsidRPr="009460D5">
        <w:t xml:space="preserve">​(xt​,t)(10.9) </w:t>
      </w:r>
    </w:p>
    <w:p w:rsidR="009460D5" w:rsidRPr="009460D5" w:rsidRDefault="009460D5" w:rsidP="009460D5">
      <w:pPr>
        <w:jc w:val="left"/>
        <w:outlineLvl w:val="9"/>
      </w:pPr>
      <w:r w:rsidRPr="009460D5">
        <w:t>with projection after each step to enforce chemical validity (valence, ring templates, charge). Pocket geometry enters via principal curvatures (</w:t>
      </w:r>
      <w:r w:rsidRPr="009460D5">
        <w:rPr>
          <w:lang w:val="el-GR"/>
        </w:rPr>
        <w:t>κ</w:t>
      </w:r>
      <w:r w:rsidRPr="009460D5">
        <w:t>1,</w:t>
      </w:r>
      <w:r w:rsidRPr="009460D5">
        <w:rPr>
          <w:lang w:val="el-GR"/>
        </w:rPr>
        <w:t>κ</w:t>
      </w:r>
      <w:r w:rsidRPr="009460D5">
        <w:t>2)(\kappa_1,\kappa_2)(</w:t>
      </w:r>
      <w:r w:rsidRPr="009460D5">
        <w:rPr>
          <w:lang w:val="el-GR"/>
        </w:rPr>
        <w:t>κ</w:t>
      </w:r>
      <w:r w:rsidRPr="009460D5">
        <w:t>1​,</w:t>
      </w:r>
      <w:r w:rsidRPr="009460D5">
        <w:rPr>
          <w:lang w:val="el-GR"/>
        </w:rPr>
        <w:t>κ</w:t>
      </w:r>
      <w:r w:rsidRPr="009460D5">
        <w:t>2​), with mean and Gaussian curvatures biasing the flow toward concave, hydrated regions that favor burial and cooperative water displacement.</w:t>
      </w:r>
      <w:r w:rsidR="00356057">
        <w:t xml:space="preserve"> I </w:t>
      </w:r>
      <w:r w:rsidRPr="009460D5">
        <w:t>minimize a composite objective,</w:t>
      </w:r>
    </w:p>
    <w:p w:rsidR="009460D5" w:rsidRPr="009460D5" w:rsidRDefault="009460D5" w:rsidP="009460D5">
      <w:pPr>
        <w:spacing w:before="0" w:beforeAutospacing="0" w:after="0" w:afterAutospacing="0"/>
        <w:jc w:val="left"/>
        <w:outlineLvl w:val="9"/>
      </w:pPr>
      <w:r w:rsidRPr="009460D5">
        <w:t>L=</w:t>
      </w:r>
      <w:r w:rsidRPr="009460D5">
        <w:rPr>
          <w:lang w:val="el-GR"/>
        </w:rPr>
        <w:t>λ</w:t>
      </w:r>
      <w:r w:rsidRPr="009460D5">
        <w:t>phys</w:t>
      </w:r>
      <w:r w:rsidRPr="009460D5">
        <w:rPr>
          <w:lang w:val="el-GR"/>
        </w:rPr>
        <w:t>Δ</w:t>
      </w:r>
      <w:r w:rsidRPr="009460D5">
        <w:t>G^MM/GBSA+</w:t>
      </w:r>
      <w:r w:rsidRPr="009460D5">
        <w:rPr>
          <w:lang w:val="el-GR"/>
        </w:rPr>
        <w:t>λ</w:t>
      </w:r>
      <w:r w:rsidRPr="009460D5">
        <w:t>ph4ℓph4+</w:t>
      </w:r>
      <w:r w:rsidRPr="009460D5">
        <w:rPr>
          <w:lang w:val="el-GR"/>
        </w:rPr>
        <w:t>λ</w:t>
      </w:r>
      <w:r w:rsidRPr="009460D5">
        <w:t>infoS</w:t>
      </w:r>
      <w:r w:rsidRPr="009460D5">
        <w:rPr>
          <w:lang w:val="el-GR"/>
        </w:rPr>
        <w:t>α</w:t>
      </w:r>
      <w:r w:rsidRPr="009460D5">
        <w:t>+</w:t>
      </w:r>
      <w:r w:rsidRPr="009460D5">
        <w:rPr>
          <w:lang w:val="el-GR"/>
        </w:rPr>
        <w:t>λ</w:t>
      </w:r>
      <w:r w:rsidRPr="009460D5">
        <w:t>chemℓADMET/SA(10.10)\mathcal L=\lambda_{\text{phys}}\widehat{\Delta G}_{\text{MM/GBSA}} +\lambda_{\text{ph4}}\ell_{\text{ph4}} +\lambda_{\text{info}}S_\alpha +\lambda_{\text{chem}}\ell_{\text{ADMET/SA}} \tag{10.10}L=</w:t>
      </w:r>
      <w:r w:rsidRPr="009460D5">
        <w:rPr>
          <w:lang w:val="el-GR"/>
        </w:rPr>
        <w:t>λ</w:t>
      </w:r>
      <w:r w:rsidRPr="009460D5">
        <w:t>phys​</w:t>
      </w:r>
      <w:r w:rsidRPr="009460D5">
        <w:rPr>
          <w:lang w:val="el-GR"/>
        </w:rPr>
        <w:t>Δ</w:t>
      </w:r>
      <w:r w:rsidRPr="009460D5">
        <w:t>GMM/GBSA​+</w:t>
      </w:r>
      <w:r w:rsidRPr="009460D5">
        <w:rPr>
          <w:lang w:val="el-GR"/>
        </w:rPr>
        <w:t>λ</w:t>
      </w:r>
      <w:r w:rsidRPr="009460D5">
        <w:t>ph4​ℓph4​+</w:t>
      </w:r>
      <w:r w:rsidRPr="009460D5">
        <w:rPr>
          <w:lang w:val="el-GR"/>
        </w:rPr>
        <w:t>λ</w:t>
      </w:r>
      <w:r w:rsidRPr="009460D5">
        <w:t>info​S</w:t>
      </w:r>
      <w:r w:rsidRPr="009460D5">
        <w:rPr>
          <w:lang w:val="el-GR"/>
        </w:rPr>
        <w:t>α</w:t>
      </w:r>
      <w:r w:rsidRPr="009460D5">
        <w:t>​+</w:t>
      </w:r>
      <w:r w:rsidRPr="009460D5">
        <w:rPr>
          <w:lang w:val="el-GR"/>
        </w:rPr>
        <w:t>λ</w:t>
      </w:r>
      <w:r w:rsidRPr="009460D5">
        <w:t xml:space="preserve">chem​ℓADMET/SA​(10.10) </w:t>
      </w:r>
    </w:p>
    <w:p w:rsidR="009460D5" w:rsidRPr="009460D5" w:rsidRDefault="009460D5" w:rsidP="009460D5">
      <w:pPr>
        <w:jc w:val="left"/>
        <w:outlineLvl w:val="9"/>
      </w:pPr>
      <w:r w:rsidRPr="009460D5">
        <w:t>so the ODE seeks poses that are simultaneously energetically plausible, pharmacophore-consistent, diversity-preserving, and developable.</w:t>
      </w:r>
    </w:p>
    <w:p w:rsidR="009460D5" w:rsidRPr="009460D5" w:rsidRDefault="009460D5" w:rsidP="009460D5">
      <w:pPr>
        <w:jc w:val="left"/>
        <w:outlineLvl w:val="9"/>
        <w:rPr>
          <w:lang w:val="el-GR"/>
        </w:rPr>
      </w:pPr>
      <w:r w:rsidRPr="009460D5">
        <w:rPr>
          <w:b/>
          <w:bCs/>
          <w:lang w:val="el-GR"/>
        </w:rPr>
        <w:t>Where the series matter.</w:t>
      </w:r>
    </w:p>
    <w:p w:rsidR="009460D5" w:rsidRPr="009460D5" w:rsidRDefault="009460D5" w:rsidP="008F4646">
      <w:pPr>
        <w:numPr>
          <w:ilvl w:val="0"/>
          <w:numId w:val="6"/>
        </w:numPr>
        <w:jc w:val="left"/>
        <w:outlineLvl w:val="9"/>
      </w:pPr>
      <w:r w:rsidRPr="009460D5">
        <w:t xml:space="preserve">Taylor </w:t>
      </w:r>
      <w:r w:rsidRPr="009460D5">
        <w:rPr>
          <w:lang w:val="el-GR"/>
        </w:rPr>
        <w:t>Φ</w:t>
      </w:r>
      <w:r w:rsidRPr="009460D5">
        <w:t>(U)\Phi(U)</w:t>
      </w:r>
      <w:r w:rsidRPr="009460D5">
        <w:rPr>
          <w:lang w:val="el-GR"/>
        </w:rPr>
        <w:t>Φ</w:t>
      </w:r>
      <w:r w:rsidRPr="009460D5">
        <w:t>(U) (9.1): predictor–corrector stability with curvature-aware damping.</w:t>
      </w:r>
    </w:p>
    <w:p w:rsidR="009460D5" w:rsidRPr="009460D5" w:rsidRDefault="009460D5" w:rsidP="008F4646">
      <w:pPr>
        <w:numPr>
          <w:ilvl w:val="0"/>
          <w:numId w:val="6"/>
        </w:numPr>
        <w:jc w:val="left"/>
        <w:outlineLvl w:val="9"/>
      </w:pPr>
      <w:r w:rsidRPr="009460D5">
        <w:t>Hypergeometric (9.3) &amp; Appell (9.7): closed-form gradients across single and coupled pharmacophore channels.</w:t>
      </w:r>
    </w:p>
    <w:p w:rsidR="009460D5" w:rsidRPr="009460D5" w:rsidRDefault="009460D5" w:rsidP="008F4646">
      <w:pPr>
        <w:numPr>
          <w:ilvl w:val="0"/>
          <w:numId w:val="6"/>
        </w:numPr>
        <w:jc w:val="left"/>
        <w:outlineLvl w:val="9"/>
      </w:pPr>
      <w:r w:rsidRPr="009460D5">
        <w:t xml:space="preserve">Spheroidal/Puiseux (9.4): smooth near-contact transitions, avoiding discretization shock as </w:t>
      </w:r>
      <w:r w:rsidRPr="009460D5">
        <w:rPr>
          <w:lang w:val="el-GR"/>
        </w:rPr>
        <w:t>Δ</w:t>
      </w:r>
      <w:r w:rsidRPr="009460D5">
        <w:t>SASA changes.</w:t>
      </w:r>
    </w:p>
    <w:p w:rsidR="009460D5" w:rsidRPr="009460D5" w:rsidRDefault="009460D5" w:rsidP="008F4646">
      <w:pPr>
        <w:numPr>
          <w:ilvl w:val="0"/>
          <w:numId w:val="6"/>
        </w:numPr>
        <w:jc w:val="left"/>
        <w:outlineLvl w:val="9"/>
      </w:pPr>
      <w:r w:rsidRPr="009460D5">
        <w:t>Wigner DDD (9.5): exact SO(3) equivariance of features and gradients.</w:t>
      </w:r>
    </w:p>
    <w:p w:rsidR="009460D5" w:rsidRPr="009460D5" w:rsidRDefault="009460D5" w:rsidP="008F4646">
      <w:pPr>
        <w:numPr>
          <w:ilvl w:val="0"/>
          <w:numId w:val="6"/>
        </w:numPr>
        <w:jc w:val="left"/>
        <w:outlineLvl w:val="9"/>
      </w:pPr>
      <w:r w:rsidRPr="009460D5">
        <w:t>Zernike/Jacobi (9.6): compact curvature fingerprints injected as features and regularizers.</w:t>
      </w:r>
    </w:p>
    <w:p w:rsidR="009460D5" w:rsidRPr="009460D5" w:rsidRDefault="009460D5" w:rsidP="009460D5">
      <w:pPr>
        <w:jc w:val="left"/>
        <w:outlineLvl w:val="1"/>
        <w:rPr>
          <w:b/>
          <w:bCs/>
        </w:rPr>
      </w:pPr>
      <w:r w:rsidRPr="009460D5">
        <w:rPr>
          <w:b/>
          <w:bCs/>
        </w:rPr>
        <w:t>10.3 Systems-level readouts — anchoring mechanism in observables</w:t>
      </w:r>
    </w:p>
    <w:p w:rsidR="009460D5" w:rsidRPr="009460D5" w:rsidRDefault="009460D5" w:rsidP="009460D5">
      <w:pPr>
        <w:jc w:val="left"/>
        <w:outlineLvl w:val="9"/>
      </w:pPr>
      <w:r w:rsidRPr="009460D5">
        <w:t>At the cocktail level,</w:t>
      </w:r>
      <w:r w:rsidR="00356057">
        <w:t xml:space="preserve"> I </w:t>
      </w:r>
      <w:r w:rsidRPr="009460D5">
        <w:t>compute Bliss-predicted efficacy and synergy:</w:t>
      </w:r>
    </w:p>
    <w:p w:rsidR="009460D5" w:rsidRPr="009460D5" w:rsidRDefault="009460D5" w:rsidP="009460D5">
      <w:pPr>
        <w:spacing w:before="0" w:beforeAutospacing="0" w:after="0" w:afterAutospacing="0"/>
        <w:jc w:val="left"/>
        <w:outlineLvl w:val="9"/>
      </w:pPr>
      <w:r w:rsidRPr="009460D5">
        <w:t xml:space="preserve">Epred=1−(1−EA)(1−EB)(1−EC),CSI=EobsEpred(10.11)E_{\text{pred}}=1-(1-E_A)(1-E_B)(1-E_C),\qquad \text{CSI}=\frac{E_{\text{obs}}}{E_{\text{pred}}} \tag{10.11}Epred​=1−(1−EA​)(1−EB​)(1−EC​),CSI=Epred​Eobs​​(10.11) </w:t>
      </w:r>
    </w:p>
    <w:p w:rsidR="009460D5" w:rsidRPr="009460D5" w:rsidRDefault="009460D5" w:rsidP="009460D5">
      <w:pPr>
        <w:jc w:val="left"/>
        <w:outlineLvl w:val="9"/>
      </w:pPr>
      <w:r w:rsidRPr="009460D5">
        <w:t>so CSI&gt;1 signals supra-additivity.</w:t>
      </w:r>
      <w:r w:rsidR="00356057">
        <w:t xml:space="preserve"> I </w:t>
      </w:r>
      <w:r w:rsidRPr="009460D5">
        <w:t>then summarize single-cell plasticity by Mean Residual Heterogeneity,</w:t>
      </w:r>
    </w:p>
    <w:p w:rsidR="009460D5" w:rsidRPr="009460D5" w:rsidRDefault="009460D5" w:rsidP="009460D5">
      <w:pPr>
        <w:spacing w:before="0" w:beforeAutospacing="0" w:after="0" w:afterAutospacing="0"/>
        <w:jc w:val="left"/>
        <w:outlineLvl w:val="9"/>
      </w:pPr>
      <w:r w:rsidRPr="009460D5">
        <w:t>MRH=Hbulk−</w:t>
      </w:r>
      <w:r w:rsidRPr="009460D5">
        <w:rPr>
          <w:lang w:val="el-GR"/>
        </w:rPr>
        <w:t>μσ</w:t>
      </w:r>
      <w:r w:rsidRPr="009460D5">
        <w:t>(10.12)\text{MRH}=\frac{H_{\text{bulk}}-\mu}{\sigma} \tag{10.12}MRH=</w:t>
      </w:r>
      <w:r w:rsidRPr="009460D5">
        <w:rPr>
          <w:lang w:val="el-GR"/>
        </w:rPr>
        <w:t>σ</w:t>
      </w:r>
      <w:r w:rsidRPr="009460D5">
        <w:t>Hbulk​−</w:t>
      </w:r>
      <w:r w:rsidRPr="009460D5">
        <w:rPr>
          <w:lang w:val="el-GR"/>
        </w:rPr>
        <w:t>μ</w:t>
      </w:r>
      <w:r w:rsidRPr="009460D5">
        <w:t xml:space="preserve">​(10.12) </w:t>
      </w:r>
    </w:p>
    <w:p w:rsidR="009460D5" w:rsidRPr="009460D5" w:rsidRDefault="009460D5" w:rsidP="009460D5">
      <w:pPr>
        <w:jc w:val="left"/>
        <w:outlineLvl w:val="9"/>
      </w:pPr>
      <w:r w:rsidRPr="009460D5">
        <w:t>and track ECM/fibrocyte network complexity via Graph Structural Entropy,</w:t>
      </w:r>
    </w:p>
    <w:p w:rsidR="009460D5" w:rsidRPr="009460D5" w:rsidRDefault="009460D5" w:rsidP="009460D5">
      <w:pPr>
        <w:spacing w:before="0" w:beforeAutospacing="0" w:after="0" w:afterAutospacing="0"/>
        <w:jc w:val="left"/>
        <w:outlineLvl w:val="9"/>
      </w:pPr>
      <w:r w:rsidRPr="009460D5">
        <w:t>GSE=−∑v</w:t>
      </w:r>
      <w:r w:rsidRPr="009460D5">
        <w:rPr>
          <w:lang w:val="el-GR"/>
        </w:rPr>
        <w:t>π</w:t>
      </w:r>
      <w:r w:rsidRPr="009460D5">
        <w:t>vlog⁡</w:t>
      </w:r>
      <w:r w:rsidRPr="009460D5">
        <w:rPr>
          <w:lang w:val="el-GR"/>
        </w:rPr>
        <w:t>π</w:t>
      </w:r>
      <w:r w:rsidRPr="009460D5">
        <w:t>v,</w:t>
      </w:r>
      <w:r w:rsidRPr="009460D5">
        <w:rPr>
          <w:lang w:val="el-GR"/>
        </w:rPr>
        <w:t>Δ</w:t>
      </w:r>
      <w:r w:rsidRPr="009460D5">
        <w:t>GSE=GSEtreat−GSEctrl.(10.13)\mathrm{GSE}=-\sum_v \pi_v\log \pi_v,\qquad \Delta\mathrm{GSE}=\mathrm{GSE}_{\text{treat}}-\mathrm{GSE}_{\text{ctrl}}. \tag{10.13}GSE=−v∑​</w:t>
      </w:r>
      <w:r w:rsidRPr="009460D5">
        <w:rPr>
          <w:lang w:val="el-GR"/>
        </w:rPr>
        <w:t>π</w:t>
      </w:r>
      <w:r w:rsidRPr="009460D5">
        <w:t>v​log</w:t>
      </w:r>
      <w:r w:rsidRPr="009460D5">
        <w:rPr>
          <w:lang w:val="el-GR"/>
        </w:rPr>
        <w:t>π</w:t>
      </w:r>
      <w:r w:rsidRPr="009460D5">
        <w:t>v​,</w:t>
      </w:r>
      <w:r w:rsidRPr="009460D5">
        <w:rPr>
          <w:lang w:val="el-GR"/>
        </w:rPr>
        <w:t>Δ</w:t>
      </w:r>
      <w:r w:rsidRPr="009460D5">
        <w:t xml:space="preserve">GSE=GSEtreat​−GSEctrl​.(10.13) </w:t>
      </w:r>
    </w:p>
    <w:p w:rsidR="009460D5" w:rsidRPr="009460D5" w:rsidRDefault="009460D5" w:rsidP="009460D5">
      <w:pPr>
        <w:jc w:val="left"/>
        <w:outlineLvl w:val="9"/>
      </w:pPr>
      <w:r w:rsidRPr="009460D5">
        <w:t xml:space="preserve">A desirable regime—a signature of </w:t>
      </w:r>
      <w:r w:rsidRPr="009460D5">
        <w:rPr>
          <w:b/>
          <w:bCs/>
        </w:rPr>
        <w:t>coherent multi-target control</w:t>
      </w:r>
      <w:r w:rsidRPr="009460D5">
        <w:t xml:space="preserve">—shows CSI↑, MRH↑, and </w:t>
      </w:r>
      <w:r w:rsidRPr="009460D5">
        <w:rPr>
          <w:lang w:val="el-GR"/>
        </w:rPr>
        <w:t>Δ</w:t>
      </w:r>
      <w:r w:rsidRPr="009460D5">
        <w:t xml:space="preserve">GSE↓. The math of §9 supports this by ensuring that the micro-level (burial, curvature, pharmacophore coherence) evolves smoothly enough to </w:t>
      </w:r>
      <w:r w:rsidRPr="009460D5">
        <w:rPr>
          <w:b/>
          <w:bCs/>
        </w:rPr>
        <w:t>aggregate</w:t>
      </w:r>
      <w:r w:rsidRPr="009460D5">
        <w:t xml:space="preserve"> into low-noise network-level readouts.</w:t>
      </w:r>
    </w:p>
    <w:p w:rsidR="009460D5" w:rsidRPr="009460D5" w:rsidRDefault="009460D5" w:rsidP="009460D5">
      <w:pPr>
        <w:jc w:val="left"/>
        <w:rPr>
          <w:b/>
          <w:bCs/>
        </w:rPr>
      </w:pPr>
      <w:r w:rsidRPr="009460D5">
        <w:rPr>
          <w:b/>
          <w:bCs/>
        </w:rPr>
        <w:t>10.3.1 Network geometry, matter, and Abelian gauge fields — capacity as a first-class citizen</w:t>
      </w:r>
    </w:p>
    <w:p w:rsidR="009460D5" w:rsidRPr="009460D5" w:rsidRDefault="009460D5" w:rsidP="009460D5">
      <w:pPr>
        <w:jc w:val="left"/>
        <w:outlineLvl w:val="9"/>
      </w:pPr>
      <w:r w:rsidRPr="009460D5">
        <w:t>We place topological spinors on 0-, 1-, and 2-cells and evolve them under a Dirac operator DDD with Gauss–Bonnet Laplacian LLL. The cell-graded time-direction operator</w:t>
      </w:r>
    </w:p>
    <w:p w:rsidR="009460D5" w:rsidRPr="009460D5" w:rsidRDefault="009460D5" w:rsidP="009460D5">
      <w:pPr>
        <w:spacing w:before="0" w:beforeAutospacing="0" w:after="0" w:afterAutospacing="0"/>
        <w:jc w:val="left"/>
        <w:outlineLvl w:val="9"/>
      </w:pPr>
      <w:r w:rsidRPr="009460D5">
        <w:rPr>
          <w:lang w:val="el-GR"/>
        </w:rPr>
        <w:t>γ</w:t>
      </w:r>
      <w:r w:rsidRPr="009460D5">
        <w:t>0=diag(IN0,−IN1,IN2)(10.14)\gamma_{0}=\mathrm{diag}(I_{N_0},-I_{N_1},I_{N_2}) \tag{10.14}</w:t>
      </w:r>
      <w:r w:rsidRPr="009460D5">
        <w:rPr>
          <w:lang w:val="el-GR"/>
        </w:rPr>
        <w:t>γ</w:t>
      </w:r>
      <w:r w:rsidRPr="009460D5">
        <w:t xml:space="preserve">0​=diag(IN0​​,−IN1​​,IN2​​)(10.14) </w:t>
      </w:r>
    </w:p>
    <w:p w:rsidR="009460D5" w:rsidRPr="009460D5" w:rsidRDefault="009460D5" w:rsidP="009460D5">
      <w:pPr>
        <w:jc w:val="left"/>
        <w:outlineLvl w:val="9"/>
      </w:pPr>
      <w:r w:rsidRPr="009460D5">
        <w:t>and the weighted exterior derivative</w:t>
      </w:r>
    </w:p>
    <w:p w:rsidR="009460D5" w:rsidRPr="009460D5" w:rsidRDefault="009460D5" w:rsidP="009460D5">
      <w:pPr>
        <w:spacing w:before="0" w:beforeAutospacing="0" w:after="0" w:afterAutospacing="0"/>
        <w:jc w:val="left"/>
        <w:outlineLvl w:val="9"/>
      </w:pPr>
      <w:r w:rsidRPr="009460D5">
        <w:t xml:space="preserve">d=G−1/2(000B(A)[1]†000B(A)[2]†0)G1/2,D=d+d†,D2=L(10.15)d=G^{-1/2} \begin{pmatrix} 0&amp;0&amp;0\\ B^{[1]\dagger}_{(A)}&amp;0&amp;0\\ 0&amp;B^{[2]\dagger}_{(A)}&amp;0 \end{pmatrix} G^{1/2},\quad D=d+d^\dagger,\quad D^{2}=L \tag{10.15}d=G−1/2​0B(A)[1]†​0​00B(A)[2]†​​000​​G1/2,D=d+d†,D2=L(10.15) </w:t>
      </w:r>
    </w:p>
    <w:p w:rsidR="009460D5" w:rsidRPr="009460D5" w:rsidRDefault="009460D5" w:rsidP="009460D5">
      <w:pPr>
        <w:jc w:val="left"/>
        <w:outlineLvl w:val="9"/>
      </w:pPr>
      <w:r w:rsidRPr="009460D5">
        <w:t xml:space="preserve">lead to a </w:t>
      </w:r>
      <w:r w:rsidRPr="009460D5">
        <w:rPr>
          <w:b/>
          <w:bCs/>
        </w:rPr>
        <w:t>stationarity</w:t>
      </w:r>
      <w:r w:rsidRPr="009460D5">
        <w:t xml:space="preserve"> condition linking metric capacity to matter and information,</w:t>
      </w:r>
    </w:p>
    <w:p w:rsidR="009460D5" w:rsidRPr="009460D5" w:rsidRDefault="009460D5" w:rsidP="009460D5">
      <w:pPr>
        <w:spacing w:before="0" w:beforeAutospacing="0" w:after="0" w:afterAutospacing="0"/>
        <w:jc w:val="left"/>
        <w:outlineLvl w:val="9"/>
      </w:pPr>
      <w:r w:rsidRPr="009460D5">
        <w:rPr>
          <w:lang w:val="el-GR"/>
        </w:rPr>
        <w:t>σ</w:t>
      </w:r>
      <w:r w:rsidRPr="009460D5">
        <w:t>G−1+ln⁡G=T(matter,A;G).(10.16)\sigma G^{-1}+\ln G = T(\text{matter},A;G). \tag{10.16}</w:t>
      </w:r>
      <w:r w:rsidRPr="009460D5">
        <w:rPr>
          <w:lang w:val="el-GR"/>
        </w:rPr>
        <w:t>σ</w:t>
      </w:r>
      <w:r w:rsidRPr="009460D5">
        <w:t xml:space="preserve">G−1+lnG=T(matter,A;G).(10.16) </w:t>
      </w:r>
    </w:p>
    <w:p w:rsidR="009460D5" w:rsidRPr="009460D5" w:rsidRDefault="009460D5" w:rsidP="009460D5">
      <w:pPr>
        <w:jc w:val="left"/>
        <w:outlineLvl w:val="9"/>
      </w:pPr>
      <w:r w:rsidRPr="009460D5">
        <w:t xml:space="preserve">Operationally, this provides a </w:t>
      </w:r>
      <w:r w:rsidRPr="009460D5">
        <w:rPr>
          <w:b/>
          <w:bCs/>
        </w:rPr>
        <w:t>geometry-level regularizer</w:t>
      </w:r>
      <w:r w:rsidRPr="009460D5">
        <w:t>: Trln⁡G\mathrm{Tr}\ln GTrlnG penalizes over-capacity geometries, aligning the ODE’s inductive bias with pocket physics and preventing feature over-squashing in curvature-rich regions.</w:t>
      </w:r>
    </w:p>
    <w:p w:rsidR="009460D5" w:rsidRPr="009460D5" w:rsidRDefault="009460D5" w:rsidP="009460D5">
      <w:pPr>
        <w:jc w:val="left"/>
        <w:rPr>
          <w:b/>
          <w:bCs/>
        </w:rPr>
      </w:pPr>
      <w:r w:rsidRPr="009460D5">
        <w:rPr>
          <w:b/>
          <w:bCs/>
        </w:rPr>
        <w:t>10.3.2 Geometry as a regularizer of design — masks, curvature, and entropy in harmony</w:t>
      </w:r>
    </w:p>
    <w:p w:rsidR="009460D5" w:rsidRPr="009460D5" w:rsidRDefault="009460D5" w:rsidP="009460D5">
      <w:pPr>
        <w:jc w:val="left"/>
        <w:outlineLvl w:val="9"/>
      </w:pPr>
      <w:r w:rsidRPr="009460D5">
        <w:t xml:space="preserve">We implement incidence-limited coupling with locality masks </w:t>
      </w:r>
      <w:r w:rsidRPr="009460D5">
        <w:rPr>
          <w:lang w:val="el-GR"/>
        </w:rPr>
        <w:t>η</w:t>
      </w:r>
      <w:r w:rsidRPr="009460D5">
        <w:t>[n]\eta^{[n]}</w:t>
      </w:r>
      <w:r w:rsidRPr="009460D5">
        <w:rPr>
          <w:lang w:val="el-GR"/>
        </w:rPr>
        <w:t>η</w:t>
      </w:r>
      <w:r w:rsidRPr="009460D5">
        <w:t xml:space="preserve">[n] and orientation-aware phases </w:t>
      </w:r>
      <w:r w:rsidRPr="009460D5">
        <w:rPr>
          <w:lang w:val="el-GR"/>
        </w:rPr>
        <w:t>θ</w:t>
      </w:r>
      <w:r w:rsidRPr="009460D5">
        <w:t>\theta</w:t>
      </w:r>
      <w:r w:rsidRPr="009460D5">
        <w:rPr>
          <w:lang w:val="el-GR"/>
        </w:rPr>
        <w:t>θ</w:t>
      </w:r>
      <w:r w:rsidRPr="009460D5">
        <w:t>, mirroring pharmacophoric reach. Curvature operators RRR and field strengths F</w:t>
      </w:r>
      <w:r w:rsidRPr="009460D5">
        <w:rPr>
          <w:lang w:val="el-GR"/>
        </w:rPr>
        <w:t>μν</w:t>
      </w:r>
      <w:r w:rsidRPr="009460D5">
        <w:t>F_{\mu\nu}F</w:t>
      </w:r>
      <w:r w:rsidRPr="009460D5">
        <w:rPr>
          <w:lang w:val="el-GR"/>
        </w:rPr>
        <w:t>μν</w:t>
      </w:r>
      <w:r w:rsidRPr="009460D5">
        <w:t xml:space="preserve">​ suppress incoherent directional couplings; the ODE flow naturally bends toward concave, hydrated niches where </w:t>
      </w:r>
      <w:r w:rsidRPr="009460D5">
        <w:rPr>
          <w:lang w:val="el-GR"/>
        </w:rPr>
        <w:t>Δ</w:t>
      </w:r>
      <w:r w:rsidRPr="009460D5">
        <w:t xml:space="preserve">SASA increases with minimal penalty to hydrogen-bond geometry. Upstream, entropy triage preserves chemotype breadth; downstream, the action’s information geometry constrains capacity—together they avoid both </w:t>
      </w:r>
      <w:r w:rsidRPr="009460D5">
        <w:rPr>
          <w:b/>
          <w:bCs/>
        </w:rPr>
        <w:t>mode collapse</w:t>
      </w:r>
      <w:r w:rsidRPr="009460D5">
        <w:t xml:space="preserve"> and </w:t>
      </w:r>
      <w:r w:rsidRPr="009460D5">
        <w:rPr>
          <w:b/>
          <w:bCs/>
        </w:rPr>
        <w:t>over-complexity</w:t>
      </w:r>
      <w:r w:rsidRPr="009460D5">
        <w:t>.</w:t>
      </w:r>
    </w:p>
    <w:p w:rsidR="009460D5" w:rsidRPr="009460D5" w:rsidRDefault="009460D5" w:rsidP="009460D5">
      <w:pPr>
        <w:jc w:val="left"/>
        <w:rPr>
          <w:b/>
          <w:bCs/>
        </w:rPr>
      </w:pPr>
      <w:r w:rsidRPr="009460D5">
        <w:rPr>
          <w:b/>
          <w:bCs/>
        </w:rPr>
        <w:t>10.3.3 Designed chemotypes and the TCM context — exemplars, not exceptions</w:t>
      </w:r>
    </w:p>
    <w:p w:rsidR="009460D5" w:rsidRPr="009460D5" w:rsidRDefault="009460D5" w:rsidP="009460D5">
      <w:pPr>
        <w:jc w:val="left"/>
        <w:outlineLvl w:val="9"/>
      </w:pPr>
      <w:r w:rsidRPr="009460D5">
        <w:t>From a polyhydroxylated seed,</w:t>
      </w:r>
      <w:r w:rsidR="00356057">
        <w:t xml:space="preserve"> I </w:t>
      </w:r>
      <w:r w:rsidRPr="009460D5">
        <w:t xml:space="preserve">explored: (i) an MMP-1-biased hydroxamate, (ii) an elastase </w:t>
      </w:r>
      <w:r w:rsidRPr="009460D5">
        <w:rPr>
          <w:lang w:val="el-GR"/>
        </w:rPr>
        <w:t>γ</w:t>
      </w:r>
      <w:r w:rsidRPr="009460D5">
        <w:t>-lactam sitter, (iii) a proline-like ERC mimetic, and (iv) a peptide-mimetic matching the ERC/NEU1 consensus</w:t>
      </w:r>
    </w:p>
    <w:p w:rsidR="009460D5" w:rsidRPr="009460D5" w:rsidRDefault="009460D5" w:rsidP="009460D5">
      <w:pPr>
        <w:spacing w:before="0" w:beforeAutospacing="0" w:after="0" w:afterAutospacing="0"/>
        <w:jc w:val="left"/>
        <w:outlineLvl w:val="9"/>
      </w:pPr>
      <w:r w:rsidRPr="009460D5">
        <w:t xml:space="preserve">[WR]P[WH][QA][VW][SP][LF][QM][YV]S[SL]Q[GL][SR]G[YG]H[TF]CG[GA][ST]LIAPN[WF]VM[TS]AAHC[IV][SA][SN].{0,36}V?N[TV][YR][RA]V[VR][LV][GV]L[HG][NA]\texttt{[WR]P[WH][QA][VW][SP][LF][QM][YV]S[SL]Q[GL][SR]G[YG]H[TF]CG[GA][ST]LIAPN[WF]VM[TS]AAHC[IV][SA][SN].\{0,36\}V?N[TV][YR][RA]V[VR][LV][GV]L[HG][NA]}[WR]P[WH][QA][VW][SP][LF][QM][YV]S[SL]Q[GL][SR]G[YG]H[TF]CG[GA][ST]LIAPN[WF]VM[TS]AAHC[IV][SA][SN].{0,36}V?N[TV][YR][RA]V[VR][LV][GV]L[HG][NA] </w:t>
      </w:r>
    </w:p>
    <w:p w:rsidR="009460D5" w:rsidRPr="009460D5" w:rsidRDefault="009460D5" w:rsidP="009460D5">
      <w:pPr>
        <w:jc w:val="left"/>
        <w:outlineLvl w:val="9"/>
      </w:pPr>
      <w:r w:rsidRPr="009460D5">
        <w:t xml:space="preserve">as a scaffold. The same geometric and special-function machinery governs </w:t>
      </w:r>
      <w:r w:rsidRPr="009460D5">
        <w:rPr>
          <w:b/>
          <w:bCs/>
        </w:rPr>
        <w:t>all</w:t>
      </w:r>
      <w:r w:rsidRPr="009460D5">
        <w:t xml:space="preserve"> four: compact curvature codes via Zernike/Jacobi, smooth near-contact behavior via Puiseux, and exact SO(3) equivariance via Wigner DDD. Consensus docking, short MD, </w:t>
      </w:r>
      <w:r w:rsidRPr="009460D5">
        <w:rPr>
          <w:lang w:val="el-GR"/>
        </w:rPr>
        <w:t>Δ</w:t>
      </w:r>
      <w:r w:rsidRPr="009460D5">
        <w:t xml:space="preserve">SASA-corrected scoring, and ADMET filters then promote compact, well-burying hits that are consistent with </w:t>
      </w:r>
      <w:r w:rsidRPr="009460D5">
        <w:rPr>
          <w:b/>
          <w:bCs/>
        </w:rPr>
        <w:t>measurable</w:t>
      </w:r>
      <w:r w:rsidRPr="009460D5">
        <w:t xml:space="preserve"> improvements in CSI/MRH/</w:t>
      </w:r>
      <w:r w:rsidRPr="009460D5">
        <w:rPr>
          <w:lang w:val="el-GR"/>
        </w:rPr>
        <w:t>Δ</w:t>
      </w:r>
      <w:r w:rsidRPr="009460D5">
        <w:t>GSE.</w:t>
      </w:r>
    </w:p>
    <w:p w:rsidR="009460D5" w:rsidRPr="009460D5" w:rsidRDefault="009460D5" w:rsidP="009460D5">
      <w:pPr>
        <w:jc w:val="left"/>
        <w:outlineLvl w:val="1"/>
        <w:rPr>
          <w:b/>
          <w:bCs/>
        </w:rPr>
      </w:pPr>
      <w:r w:rsidRPr="009460D5">
        <w:rPr>
          <w:b/>
          <w:bCs/>
        </w:rPr>
        <w:t>10.4 Practical mechanics — how it all runs in code</w:t>
      </w:r>
    </w:p>
    <w:p w:rsidR="009460D5" w:rsidRPr="009460D5" w:rsidRDefault="009460D5" w:rsidP="009460D5">
      <w:pPr>
        <w:jc w:val="left"/>
        <w:outlineLvl w:val="9"/>
      </w:pPr>
      <w:r w:rsidRPr="009460D5">
        <w:rPr>
          <w:b/>
          <w:bCs/>
        </w:rPr>
        <w:t>State &amp; constraints.</w:t>
      </w:r>
      <w:r w:rsidRPr="009460D5">
        <w:br/>
        <w:t>Maintain xt=(Gt,Pt,</w:t>
      </w:r>
      <w:r w:rsidRPr="009460D5">
        <w:rPr>
          <w:lang w:val="el-GR"/>
        </w:rPr>
        <w:t>Π</w:t>
      </w:r>
      <w:r w:rsidRPr="009460D5">
        <w:t>t)x_t=(G_t,P_t,\Pi_t)xt​=(Gt​,Pt​,</w:t>
      </w:r>
      <w:r w:rsidRPr="009460D5">
        <w:rPr>
          <w:lang w:val="el-GR"/>
        </w:rPr>
        <w:t>Π</w:t>
      </w:r>
      <w:r w:rsidRPr="009460D5">
        <w:t>t​) with strict projection to chemical validity (valence, ring templates, charge). Graph edits expose exit vectors constrained by motif-derived soft rules.</w:t>
      </w:r>
    </w:p>
    <w:p w:rsidR="009460D5" w:rsidRPr="009460D5" w:rsidRDefault="009460D5" w:rsidP="009460D5">
      <w:pPr>
        <w:jc w:val="left"/>
        <w:outlineLvl w:val="9"/>
      </w:pPr>
      <w:r w:rsidRPr="009460D5">
        <w:rPr>
          <w:b/>
          <w:bCs/>
        </w:rPr>
        <w:t>Rotations &amp; symmetry.</w:t>
      </w:r>
      <w:r w:rsidRPr="009460D5">
        <w:br/>
        <w:t>Use quaternion or axis–angle updates, but propagate features with Wigner–DDD (9.5) to keep equivariance exact across the stack, including the quantum features.</w:t>
      </w:r>
    </w:p>
    <w:p w:rsidR="009460D5" w:rsidRPr="009460D5" w:rsidRDefault="009460D5" w:rsidP="009460D5">
      <w:pPr>
        <w:jc w:val="left"/>
        <w:outlineLvl w:val="9"/>
      </w:pPr>
      <w:r w:rsidRPr="009460D5">
        <w:rPr>
          <w:b/>
          <w:bCs/>
        </w:rPr>
        <w:t>Geometry mapping.</w:t>
      </w:r>
      <w:r w:rsidRPr="009460D5">
        <w:br/>
        <w:t>Compute solvent-excluded surfaces; derive H,KH,KH,K; compress patches with Zernike/Jacobi (9.6). These coefficients condition both the ODE and the QAOA</w:t>
      </w:r>
      <w:r w:rsidRPr="009460D5">
        <w:rPr>
          <w:rFonts w:ascii="Cambria Math" w:hAnsi="Cambria Math" w:cs="Cambria Math"/>
        </w:rPr>
        <w:t>⊗</w:t>
      </w:r>
      <w:r w:rsidRPr="009460D5">
        <w:t>PQC as low-variance features.</w:t>
      </w:r>
    </w:p>
    <w:p w:rsidR="009460D5" w:rsidRPr="009460D5" w:rsidRDefault="009460D5" w:rsidP="009460D5">
      <w:pPr>
        <w:jc w:val="left"/>
        <w:outlineLvl w:val="9"/>
      </w:pPr>
      <w:r w:rsidRPr="009460D5">
        <w:rPr>
          <w:b/>
          <w:bCs/>
        </w:rPr>
        <w:t>Numerics.</w:t>
      </w:r>
      <w:r w:rsidRPr="009460D5">
        <w:br/>
        <w:t xml:space="preserve">Integrate with adaptive RK45 wrapped in the predictor–corrector </w:t>
      </w:r>
      <w:r w:rsidRPr="009460D5">
        <w:rPr>
          <w:lang w:val="el-GR"/>
        </w:rPr>
        <w:t>Φ</w:t>
      </w:r>
      <w:r w:rsidRPr="009460D5">
        <w:t>(U)\Phi(U)</w:t>
      </w:r>
      <w:r w:rsidRPr="009460D5">
        <w:rPr>
          <w:lang w:val="el-GR"/>
        </w:rPr>
        <w:t>Φ</w:t>
      </w:r>
      <w:r w:rsidRPr="009460D5">
        <w:t>(U) (9.1). Where kernels are screened or multi-singular, switch to Heun-stabilized updates (9.8). Replace finite differences with hypergeometric/Appell derivatives (9.3, 9.7) to control gradient noise under SPSA.</w:t>
      </w:r>
    </w:p>
    <w:p w:rsidR="009460D5" w:rsidRPr="009460D5" w:rsidRDefault="009460D5" w:rsidP="009460D5">
      <w:pPr>
        <w:jc w:val="left"/>
        <w:outlineLvl w:val="9"/>
      </w:pPr>
      <w:r w:rsidRPr="009460D5">
        <w:rPr>
          <w:b/>
          <w:bCs/>
        </w:rPr>
        <w:t>Selection &amp; fairness.</w:t>
      </w:r>
      <w:r w:rsidRPr="009460D5">
        <w:br/>
        <w:t>Hash candidates to chemotype bins; apply HHH, S</w:t>
      </w:r>
      <w:r w:rsidRPr="009460D5">
        <w:rPr>
          <w:lang w:val="el-GR"/>
        </w:rPr>
        <w:t>α</w:t>
      </w:r>
      <w:r w:rsidRPr="009460D5">
        <w:t>S_\alphaS</w:t>
      </w:r>
      <w:r w:rsidRPr="009460D5">
        <w:rPr>
          <w:lang w:val="el-GR"/>
        </w:rPr>
        <w:t>α</w:t>
      </w:r>
      <w:r w:rsidRPr="009460D5">
        <w:t xml:space="preserve">​, and </w:t>
      </w:r>
      <w:r w:rsidRPr="009460D5">
        <w:rPr>
          <w:lang w:val="el-GR"/>
        </w:rPr>
        <w:t>χ</w:t>
      </w:r>
      <w:r w:rsidRPr="009460D5">
        <w:t>2\chi^2</w:t>
      </w:r>
      <w:r w:rsidRPr="009460D5">
        <w:rPr>
          <w:lang w:val="el-GR"/>
        </w:rPr>
        <w:t>χ</w:t>
      </w:r>
      <w:r w:rsidRPr="009460D5">
        <w:t>2 (10.1–10.4) at each batch to prevent drift toward over-represented scaffolds as the ODE preferentially finds concave sites.</w:t>
      </w:r>
    </w:p>
    <w:p w:rsidR="009460D5" w:rsidRPr="009460D5" w:rsidRDefault="009460D5" w:rsidP="009460D5">
      <w:pPr>
        <w:jc w:val="left"/>
        <w:outlineLvl w:val="9"/>
      </w:pPr>
      <w:r w:rsidRPr="009460D5">
        <w:rPr>
          <w:b/>
          <w:bCs/>
        </w:rPr>
        <w:t xml:space="preserve">Docking→MD→MM–PB/GBSA + </w:t>
      </w:r>
      <w:r w:rsidRPr="009460D5">
        <w:rPr>
          <w:b/>
          <w:bCs/>
          <w:lang w:val="el-GR"/>
        </w:rPr>
        <w:t>Δ</w:t>
      </w:r>
      <w:r w:rsidRPr="009460D5">
        <w:rPr>
          <w:b/>
          <w:bCs/>
        </w:rPr>
        <w:t>SASA.</w:t>
      </w:r>
      <w:r w:rsidRPr="009460D5">
        <w:br/>
        <w:t xml:space="preserve">Harmonize engines, compute </w:t>
      </w:r>
      <w:r w:rsidRPr="009460D5">
        <w:rPr>
          <w:lang w:val="el-GR"/>
        </w:rPr>
        <w:t>Δ</w:t>
      </w:r>
      <w:r w:rsidRPr="009460D5">
        <w:t>GMM–PBSA\Delta G_{\text{MM–PBSA}}</w:t>
      </w:r>
      <w:r w:rsidRPr="009460D5">
        <w:rPr>
          <w:lang w:val="el-GR"/>
        </w:rPr>
        <w:t>Δ</w:t>
      </w:r>
      <w:r w:rsidRPr="009460D5">
        <w:t xml:space="preserve">GMM–PBSA​ (10.5), add </w:t>
      </w:r>
      <w:r w:rsidRPr="009460D5">
        <w:rPr>
          <w:lang w:val="el-GR"/>
        </w:rPr>
        <w:t>Δ</w:t>
      </w:r>
      <w:r w:rsidRPr="009460D5">
        <w:t>Gnp=</w:t>
      </w:r>
      <w:r w:rsidRPr="009460D5">
        <w:rPr>
          <w:lang w:val="el-GR"/>
        </w:rPr>
        <w:t>γ</w:t>
      </w:r>
      <w:r w:rsidRPr="009460D5">
        <w:t> </w:t>
      </w:r>
      <w:r w:rsidRPr="009460D5">
        <w:rPr>
          <w:lang w:val="el-GR"/>
        </w:rPr>
        <w:t>Δ</w:t>
      </w:r>
      <w:r w:rsidRPr="009460D5">
        <w:t>SASA\Delta G_{\text{np}}=\gamma\,\Delta\mathrm{SASA}</w:t>
      </w:r>
      <w:r w:rsidRPr="009460D5">
        <w:rPr>
          <w:lang w:val="el-GR"/>
        </w:rPr>
        <w:t>Δ</w:t>
      </w:r>
      <w:r w:rsidRPr="009460D5">
        <w:t>Gnp​=</w:t>
      </w:r>
      <w:r w:rsidRPr="009460D5">
        <w:rPr>
          <w:lang w:val="el-GR"/>
        </w:rPr>
        <w:t>γΔ</w:t>
      </w:r>
      <w:r w:rsidRPr="009460D5">
        <w:t xml:space="preserve">SASA (10.6), and rank by </w:t>
      </w:r>
      <w:r w:rsidRPr="009460D5">
        <w:rPr>
          <w:lang w:val="el-GR"/>
        </w:rPr>
        <w:t>Δ</w:t>
      </w:r>
      <w:r w:rsidRPr="009460D5">
        <w:t>G^tot\widehat{\Delta G}_{\text{tot}}</w:t>
      </w:r>
      <w:r w:rsidRPr="009460D5">
        <w:rPr>
          <w:lang w:val="el-GR"/>
        </w:rPr>
        <w:t>Δ</w:t>
      </w:r>
      <w:r w:rsidRPr="009460D5">
        <w:t xml:space="preserve">Gtot​ (10.7). Because </w:t>
      </w:r>
      <w:r w:rsidRPr="009460D5">
        <w:rPr>
          <w:lang w:val="el-GR"/>
        </w:rPr>
        <w:t>Δ</w:t>
      </w:r>
      <w:r w:rsidRPr="009460D5">
        <w:t xml:space="preserve">SASA is geometric, its contribution can be </w:t>
      </w:r>
      <w:r w:rsidRPr="009460D5">
        <w:rPr>
          <w:b/>
          <w:bCs/>
        </w:rPr>
        <w:t>audited</w:t>
      </w:r>
      <w:r w:rsidRPr="009460D5">
        <w:t xml:space="preserve"> patch-wise and tied back to curvature fingerprints.</w:t>
      </w:r>
    </w:p>
    <w:p w:rsidR="009460D5" w:rsidRPr="009460D5" w:rsidRDefault="009460D5" w:rsidP="009460D5">
      <w:pPr>
        <w:jc w:val="left"/>
        <w:outlineLvl w:val="9"/>
      </w:pPr>
      <w:r w:rsidRPr="009460D5">
        <w:rPr>
          <w:b/>
          <w:bCs/>
        </w:rPr>
        <w:t>Biology-aware conditioning.</w:t>
      </w:r>
      <w:r w:rsidRPr="009460D5">
        <w:br/>
        <w:t xml:space="preserve">Use the ERC consensus to bias pharmacophore masks and to assemble peptide–polyphenol cofactors that stabilize </w:t>
      </w:r>
      <w:r w:rsidRPr="009460D5">
        <w:rPr>
          <w:lang w:val="el-GR"/>
        </w:rPr>
        <w:t>Δ</w:t>
      </w:r>
      <w:r w:rsidRPr="009460D5">
        <w:t>SASA-supported poses (e.g., Stemaflex-like complexes). The same features feed the quantum model.</w:t>
      </w:r>
    </w:p>
    <w:p w:rsidR="009460D5" w:rsidRPr="009460D5" w:rsidRDefault="009460D5" w:rsidP="009460D5">
      <w:pPr>
        <w:jc w:val="left"/>
        <w:outlineLvl w:val="9"/>
      </w:pPr>
      <w:r w:rsidRPr="009460D5">
        <w:rPr>
          <w:b/>
          <w:bCs/>
        </w:rPr>
        <w:t>Quantum fidelity gate.</w:t>
      </w:r>
      <w:r w:rsidRPr="009460D5">
        <w:br/>
        <w:t xml:space="preserve">Before training, run the digitized-adiabatic GHZ routine; reject circuits that miss von Neumann-entropy or GHZ-witness thresholds. Only </w:t>
      </w:r>
      <w:r w:rsidRPr="009460D5">
        <w:rPr>
          <w:b/>
          <w:bCs/>
        </w:rPr>
        <w:t>GHZ-validated</w:t>
      </w:r>
      <w:r w:rsidRPr="009460D5">
        <w:t xml:space="preserve"> circuits proceed to SPSA, which then benefits from the analytic gradients and compact curvature features engineered above.</w:t>
      </w:r>
    </w:p>
    <w:p w:rsidR="009460D5" w:rsidRPr="009460D5" w:rsidRDefault="009460D5" w:rsidP="009460D5">
      <w:pPr>
        <w:jc w:val="left"/>
        <w:outlineLvl w:val="9"/>
      </w:pPr>
      <w:r w:rsidRPr="009460D5">
        <w:rPr>
          <w:b/>
          <w:bCs/>
        </w:rPr>
        <w:t>Systems corroboration.</w:t>
      </w:r>
      <w:r w:rsidRPr="009460D5">
        <w:br/>
        <w:t xml:space="preserve">Readouts—CSI, MRH, </w:t>
      </w:r>
      <w:r w:rsidRPr="009460D5">
        <w:rPr>
          <w:lang w:val="el-GR"/>
        </w:rPr>
        <w:t>Δ</w:t>
      </w:r>
      <w:r w:rsidRPr="009460D5">
        <w:t xml:space="preserve">GSE (10.11–10.13)—close the loop. Gains in </w:t>
      </w:r>
      <w:r w:rsidRPr="009460D5">
        <w:rPr>
          <w:lang w:val="el-GR"/>
        </w:rPr>
        <w:t>Δ</w:t>
      </w:r>
      <w:r w:rsidRPr="009460D5">
        <w:t>G^tot\widehat{\Delta G}_{\text{tot}}</w:t>
      </w:r>
      <w:r w:rsidRPr="009460D5">
        <w:rPr>
          <w:lang w:val="el-GR"/>
        </w:rPr>
        <w:t>Δ</w:t>
      </w:r>
      <w:r w:rsidRPr="009460D5">
        <w:t xml:space="preserve">Gtot​ associated with specific curvature modes should co-vary with CSI↑ and </w:t>
      </w:r>
      <w:r w:rsidRPr="009460D5">
        <w:rPr>
          <w:lang w:val="el-GR"/>
        </w:rPr>
        <w:t>Δ</w:t>
      </w:r>
      <w:r w:rsidRPr="009460D5">
        <w:t xml:space="preserve">GSE↓; if not, the pipeline flags a </w:t>
      </w:r>
      <w:r w:rsidRPr="009460D5">
        <w:rPr>
          <w:b/>
          <w:bCs/>
        </w:rPr>
        <w:t>geometry/biology mismatch</w:t>
      </w:r>
      <w:r w:rsidRPr="009460D5">
        <w:t xml:space="preserve"> for inspection.</w:t>
      </w:r>
    </w:p>
    <w:p w:rsidR="009460D5" w:rsidRPr="009460D5" w:rsidRDefault="00106EF3" w:rsidP="009460D5">
      <w:pPr>
        <w:spacing w:before="0" w:beforeAutospacing="0" w:after="0" w:afterAutospacing="0"/>
        <w:jc w:val="left"/>
        <w:outlineLvl w:val="9"/>
        <w:rPr>
          <w:lang w:val="el-GR"/>
        </w:rPr>
      </w:pPr>
      <w:r w:rsidRPr="00106EF3">
        <w:rPr>
          <w:lang w:val="el-GR"/>
        </w:rPr>
        <w:pict>
          <v:rect id="_x0000_i1108" style="width:0;height:1.5pt" o:hralign="center" o:hrstd="t" o:hr="t" fillcolor="#a0a0a0" stroked="f"/>
        </w:pict>
      </w:r>
    </w:p>
    <w:p w:rsidR="009460D5" w:rsidRPr="009460D5" w:rsidRDefault="009460D5" w:rsidP="009460D5">
      <w:pPr>
        <w:jc w:val="left"/>
        <w:outlineLvl w:val="1"/>
        <w:rPr>
          <w:b/>
          <w:bCs/>
        </w:rPr>
      </w:pPr>
      <w:r w:rsidRPr="009460D5">
        <w:rPr>
          <w:b/>
          <w:bCs/>
        </w:rPr>
        <w:t>Failure modes and how the series avert them</w:t>
      </w:r>
    </w:p>
    <w:p w:rsidR="009460D5" w:rsidRPr="009460D5" w:rsidRDefault="009460D5" w:rsidP="008F4646">
      <w:pPr>
        <w:numPr>
          <w:ilvl w:val="0"/>
          <w:numId w:val="7"/>
        </w:numPr>
        <w:jc w:val="left"/>
        <w:outlineLvl w:val="9"/>
      </w:pPr>
      <w:r w:rsidRPr="009460D5">
        <w:rPr>
          <w:b/>
          <w:bCs/>
        </w:rPr>
        <w:t>Pose jitter and gradient noise.</w:t>
      </w:r>
      <w:r w:rsidRPr="009460D5">
        <w:t xml:space="preserve"> Finite-difference forces amplify variance; hypergeometric/Appell derivatives neutralize the issue.</w:t>
      </w:r>
    </w:p>
    <w:p w:rsidR="009460D5" w:rsidRPr="009460D5" w:rsidRDefault="009460D5" w:rsidP="008F4646">
      <w:pPr>
        <w:numPr>
          <w:ilvl w:val="0"/>
          <w:numId w:val="7"/>
        </w:numPr>
        <w:jc w:val="left"/>
        <w:outlineLvl w:val="9"/>
      </w:pPr>
      <w:r w:rsidRPr="009460D5">
        <w:rPr>
          <w:b/>
          <w:bCs/>
        </w:rPr>
        <w:t>Rotational inconsistency.</w:t>
      </w:r>
      <w:r w:rsidRPr="009460D5">
        <w:t xml:space="preserve"> Naive feature rotation leaks orientation bias; Wigner DDD enforces exact equivariance.</w:t>
      </w:r>
    </w:p>
    <w:p w:rsidR="009460D5" w:rsidRPr="009460D5" w:rsidRDefault="009460D5" w:rsidP="008F4646">
      <w:pPr>
        <w:numPr>
          <w:ilvl w:val="0"/>
          <w:numId w:val="7"/>
        </w:numPr>
        <w:jc w:val="left"/>
        <w:outlineLvl w:val="9"/>
      </w:pPr>
      <w:r w:rsidRPr="009460D5">
        <w:rPr>
          <w:b/>
          <w:bCs/>
        </w:rPr>
        <w:t>Tail mis-weighting.</w:t>
      </w:r>
      <w:r w:rsidRPr="009460D5">
        <w:t xml:space="preserve"> Truncated long-range kernels spuriously reward diffuse hydrophobes; Gamma resummation repairs the tail.</w:t>
      </w:r>
    </w:p>
    <w:p w:rsidR="009460D5" w:rsidRPr="009460D5" w:rsidRDefault="009460D5" w:rsidP="008F4646">
      <w:pPr>
        <w:numPr>
          <w:ilvl w:val="0"/>
          <w:numId w:val="7"/>
        </w:numPr>
        <w:jc w:val="left"/>
        <w:outlineLvl w:val="9"/>
      </w:pPr>
      <w:r w:rsidRPr="009460D5">
        <w:rPr>
          <w:b/>
          <w:bCs/>
        </w:rPr>
        <w:t>Contact discontinuities.</w:t>
      </w:r>
      <w:r w:rsidRPr="009460D5">
        <w:t xml:space="preserve"> Hard thresholds cause </w:t>
      </w:r>
      <w:r w:rsidRPr="009460D5">
        <w:rPr>
          <w:lang w:val="el-GR"/>
        </w:rPr>
        <w:t>Δ</w:t>
      </w:r>
      <w:r w:rsidRPr="009460D5">
        <w:t>SASA jumps; spheroidal/Puiseux expansions smooth the overlap angle.</w:t>
      </w:r>
    </w:p>
    <w:p w:rsidR="009460D5" w:rsidRPr="009460D5" w:rsidRDefault="009460D5" w:rsidP="008F4646">
      <w:pPr>
        <w:numPr>
          <w:ilvl w:val="0"/>
          <w:numId w:val="7"/>
        </w:numPr>
        <w:jc w:val="left"/>
        <w:outlineLvl w:val="9"/>
      </w:pPr>
      <w:r w:rsidRPr="009460D5">
        <w:rPr>
          <w:b/>
          <w:bCs/>
        </w:rPr>
        <w:t>Capacity blow-up.</w:t>
      </w:r>
      <w:r w:rsidRPr="009460D5">
        <w:t xml:space="preserve"> Over-parameterized geometry overfits a pocket; the Gauss–Bonnet/metric-capacity terms and ADM split bound complexity where it matters.</w:t>
      </w:r>
    </w:p>
    <w:p w:rsidR="009460D5" w:rsidRPr="009460D5" w:rsidRDefault="00106EF3" w:rsidP="009460D5">
      <w:pPr>
        <w:spacing w:before="0" w:beforeAutospacing="0" w:after="0" w:afterAutospacing="0"/>
        <w:jc w:val="left"/>
        <w:outlineLvl w:val="9"/>
        <w:rPr>
          <w:lang w:val="el-GR"/>
        </w:rPr>
      </w:pPr>
      <w:r w:rsidRPr="00106EF3">
        <w:rPr>
          <w:lang w:val="el-GR"/>
        </w:rPr>
        <w:pict>
          <v:rect id="_x0000_i1109" style="width:0;height:1.5pt" o:hralign="center" o:hrstd="t" o:hr="t" fillcolor="#a0a0a0" stroked="f"/>
        </w:pict>
      </w:r>
    </w:p>
    <w:p w:rsidR="009460D5" w:rsidRPr="009460D5" w:rsidRDefault="009460D5" w:rsidP="009460D5">
      <w:pPr>
        <w:jc w:val="left"/>
        <w:outlineLvl w:val="1"/>
        <w:rPr>
          <w:b/>
          <w:bCs/>
        </w:rPr>
      </w:pPr>
      <w:r w:rsidRPr="009460D5">
        <w:rPr>
          <w:b/>
          <w:bCs/>
        </w:rPr>
        <w:t>What this buys us in practice</w:t>
      </w:r>
    </w:p>
    <w:p w:rsidR="009460D5" w:rsidRPr="009460D5" w:rsidRDefault="009460D5" w:rsidP="008F4646">
      <w:pPr>
        <w:numPr>
          <w:ilvl w:val="0"/>
          <w:numId w:val="8"/>
        </w:numPr>
        <w:jc w:val="left"/>
        <w:outlineLvl w:val="9"/>
      </w:pPr>
      <w:r w:rsidRPr="009460D5">
        <w:rPr>
          <w:b/>
          <w:bCs/>
        </w:rPr>
        <w:t>Speed with fidelity.</w:t>
      </w:r>
      <w:r w:rsidRPr="009460D5">
        <w:t xml:space="preserve"> Orthogonal curvature codes shrink pocket information to tens of coefficients, making fast, repeated scoring realistic across thousands of poses.</w:t>
      </w:r>
    </w:p>
    <w:p w:rsidR="009460D5" w:rsidRPr="009460D5" w:rsidRDefault="009460D5" w:rsidP="008F4646">
      <w:pPr>
        <w:numPr>
          <w:ilvl w:val="0"/>
          <w:numId w:val="8"/>
        </w:numPr>
        <w:jc w:val="left"/>
        <w:outlineLvl w:val="9"/>
      </w:pPr>
      <w:r w:rsidRPr="009460D5">
        <w:rPr>
          <w:b/>
          <w:bCs/>
        </w:rPr>
        <w:t>Traceability.</w:t>
      </w:r>
      <w:r w:rsidRPr="009460D5">
        <w:t xml:space="preserve"> Every improvement in </w:t>
      </w:r>
      <w:r w:rsidRPr="009460D5">
        <w:rPr>
          <w:lang w:val="el-GR"/>
        </w:rPr>
        <w:t>Δ</w:t>
      </w:r>
      <w:r w:rsidRPr="009460D5">
        <w:t>G^tot\widehat{\Delta G}_{\text{tot}}</w:t>
      </w:r>
      <w:r w:rsidRPr="009460D5">
        <w:rPr>
          <w:lang w:val="el-GR"/>
        </w:rPr>
        <w:t>Δ</w:t>
      </w:r>
      <w:r w:rsidRPr="009460D5">
        <w:t xml:space="preserve">Gtot​ can be traced to </w:t>
      </w:r>
      <w:r w:rsidRPr="009460D5">
        <w:rPr>
          <w:b/>
          <w:bCs/>
        </w:rPr>
        <w:t>which</w:t>
      </w:r>
      <w:r w:rsidRPr="009460D5">
        <w:t xml:space="preserve"> curvature modes and </w:t>
      </w:r>
      <w:r w:rsidRPr="009460D5">
        <w:rPr>
          <w:b/>
          <w:bCs/>
        </w:rPr>
        <w:t>which</w:t>
      </w:r>
      <w:r w:rsidRPr="009460D5">
        <w:t xml:space="preserve"> pharmacophore channels changed—an audit trail that is rare in SBDD pipelines.</w:t>
      </w:r>
    </w:p>
    <w:p w:rsidR="009460D5" w:rsidRPr="009460D5" w:rsidRDefault="009460D5" w:rsidP="008F4646">
      <w:pPr>
        <w:numPr>
          <w:ilvl w:val="0"/>
          <w:numId w:val="8"/>
        </w:numPr>
        <w:jc w:val="left"/>
        <w:outlineLvl w:val="9"/>
      </w:pPr>
      <w:r w:rsidRPr="009460D5">
        <w:rPr>
          <w:b/>
          <w:bCs/>
        </w:rPr>
        <w:t>Hardware synergy.</w:t>
      </w:r>
      <w:r w:rsidRPr="009460D5">
        <w:t xml:space="preserve"> GHZ-gated circuits see lower-variance objectives and more compact features, so SPSA converges in a few dozen steps rather than hundreds, without hidden bias from rotational artifacts.</w:t>
      </w:r>
    </w:p>
    <w:p w:rsidR="009460D5" w:rsidRPr="009460D5" w:rsidRDefault="009460D5" w:rsidP="008F4646">
      <w:pPr>
        <w:numPr>
          <w:ilvl w:val="0"/>
          <w:numId w:val="8"/>
        </w:numPr>
        <w:jc w:val="left"/>
        <w:outlineLvl w:val="9"/>
      </w:pPr>
      <w:r w:rsidRPr="009460D5">
        <w:rPr>
          <w:b/>
          <w:bCs/>
        </w:rPr>
        <w:t>Mechanistic coherence.</w:t>
      </w:r>
      <w:r w:rsidRPr="009460D5">
        <w:t xml:space="preserve"> Micro-level physics (burial, curvature, H-bond geometry) predicts macro-level order (CSI↑, MRH↑, </w:t>
      </w:r>
      <w:r w:rsidRPr="009460D5">
        <w:rPr>
          <w:lang w:val="el-GR"/>
        </w:rPr>
        <w:t>Δ</w:t>
      </w:r>
      <w:r w:rsidRPr="009460D5">
        <w:t>GSE↓), which is precisely the pattern observed in fibrocyte/EPC-linked readouts.</w:t>
      </w:r>
    </w:p>
    <w:p w:rsidR="009460D5" w:rsidRPr="009460D5" w:rsidRDefault="00106EF3" w:rsidP="009460D5">
      <w:pPr>
        <w:spacing w:before="0" w:beforeAutospacing="0" w:after="0" w:afterAutospacing="0"/>
        <w:jc w:val="left"/>
        <w:outlineLvl w:val="9"/>
        <w:rPr>
          <w:lang w:val="el-GR"/>
        </w:rPr>
      </w:pPr>
      <w:r w:rsidRPr="00106EF3">
        <w:rPr>
          <w:lang w:val="el-GR"/>
        </w:rPr>
        <w:pict>
          <v:rect id="_x0000_i1110" style="width:0;height:1.5pt" o:hralign="center" o:hrstd="t" o:hr="t" fillcolor="#a0a0a0" stroked="f"/>
        </w:pict>
      </w:r>
    </w:p>
    <w:p w:rsidR="009460D5" w:rsidRPr="009460D5" w:rsidRDefault="009460D5" w:rsidP="009460D5">
      <w:pPr>
        <w:jc w:val="left"/>
        <w:outlineLvl w:val="1"/>
        <w:rPr>
          <w:b/>
          <w:bCs/>
        </w:rPr>
      </w:pPr>
      <w:r w:rsidRPr="009460D5">
        <w:rPr>
          <w:b/>
          <w:bCs/>
        </w:rPr>
        <w:t>Outlook</w:t>
      </w:r>
    </w:p>
    <w:p w:rsidR="009460D5" w:rsidRPr="009460D5" w:rsidRDefault="009460D5" w:rsidP="009460D5">
      <w:pPr>
        <w:jc w:val="left"/>
        <w:outlineLvl w:val="9"/>
      </w:pPr>
      <w:r w:rsidRPr="009460D5">
        <w:t>As libraries grow and combinatorics explode, the value of compact, analytic structure compounds. The same series (hypergeometric/Appell), orthogonal polynomials (Zernike/Jacobi), and symmetry tools (Wigner DDD) scale linearly in feature count yet keep model behavior smooth and auditable. On the quantum side, GHZ calibration remains</w:t>
      </w:r>
      <w:r w:rsidR="00356057">
        <w:t xml:space="preserve"> my </w:t>
      </w:r>
      <w:r w:rsidRPr="009460D5">
        <w:t xml:space="preserve">fidelity gate; on the classical side, </w:t>
      </w:r>
      <w:r w:rsidRPr="009460D5">
        <w:rPr>
          <w:lang w:val="el-GR"/>
        </w:rPr>
        <w:t>Δ</w:t>
      </w:r>
      <w:r w:rsidRPr="009460D5">
        <w:t>SASA-aware physics remains</w:t>
      </w:r>
      <w:r w:rsidR="00356057">
        <w:t xml:space="preserve"> my </w:t>
      </w:r>
      <w:r w:rsidRPr="009460D5">
        <w:t xml:space="preserve">interpretability anchor. Together they make a </w:t>
      </w:r>
      <w:r w:rsidRPr="009460D5">
        <w:rPr>
          <w:b/>
          <w:bCs/>
        </w:rPr>
        <w:t>measurement-driven, curvature-regularized, quantum-assisted</w:t>
      </w:r>
      <w:r w:rsidRPr="009460D5">
        <w:t xml:space="preserve"> path from noisy phytochemical space to fibrocyte-centric, testable designs—exactly the posture required for reliable, translational progress in ECM repair.</w:t>
      </w:r>
    </w:p>
    <w:p w:rsidR="003A0A86" w:rsidRPr="00CA5AD9" w:rsidRDefault="003A0A86" w:rsidP="003A0A86">
      <w:pPr>
        <w:jc w:val="left"/>
        <w:outlineLvl w:val="0"/>
        <w:rPr>
          <w:b/>
          <w:bCs/>
          <w:kern w:val="36"/>
          <w:sz w:val="36"/>
          <w:szCs w:val="36"/>
        </w:rPr>
      </w:pPr>
      <w:r w:rsidRPr="00CA5AD9">
        <w:rPr>
          <w:b/>
          <w:bCs/>
          <w:kern w:val="36"/>
          <w:sz w:val="36"/>
          <w:szCs w:val="36"/>
        </w:rPr>
        <w:t>12. Validations via a Multi-Tiered Experimental–Computational Program</w:t>
      </w:r>
    </w:p>
    <w:p w:rsidR="003A0A86" w:rsidRPr="003A0A86" w:rsidRDefault="003A0A86" w:rsidP="003A0A86">
      <w:pPr>
        <w:jc w:val="left"/>
        <w:outlineLvl w:val="1"/>
        <w:rPr>
          <w:b/>
          <w:bCs/>
        </w:rPr>
      </w:pPr>
      <w:r w:rsidRPr="003A0A86">
        <w:rPr>
          <w:b/>
          <w:bCs/>
        </w:rPr>
        <w:t>12.0 Rationale and design of the evidence ladder</w:t>
      </w:r>
    </w:p>
    <w:p w:rsidR="003A0A86" w:rsidRPr="003A0A86" w:rsidRDefault="003A0A86" w:rsidP="003A0A86">
      <w:pPr>
        <w:jc w:val="left"/>
        <w:outlineLvl w:val="9"/>
        <w:rPr>
          <w:lang w:val="el-GR"/>
        </w:rPr>
      </w:pPr>
      <w:r w:rsidRPr="003A0A86">
        <w:t xml:space="preserve">We validated the designed complexes by climbing a deliberately layered evidence ladder that ties </w:t>
      </w:r>
      <w:r w:rsidRPr="003A0A86">
        <w:rPr>
          <w:b/>
          <w:bCs/>
        </w:rPr>
        <w:t>molecular biophysics → cellular phenotypes → systems-level order</w:t>
      </w:r>
      <w:r w:rsidRPr="003A0A86">
        <w:t xml:space="preserve"> and loops back to </w:t>
      </w:r>
      <w:r w:rsidRPr="003A0A86">
        <w:rPr>
          <w:b/>
          <w:bCs/>
        </w:rPr>
        <w:t>model corrections</w:t>
      </w:r>
      <w:r w:rsidRPr="003A0A86">
        <w:t xml:space="preserve">. </w:t>
      </w:r>
      <w:r w:rsidRPr="003A0A86">
        <w:rPr>
          <w:lang w:val="el-GR"/>
        </w:rPr>
        <w:t>The ladder has six rungs:</w:t>
      </w:r>
    </w:p>
    <w:p w:rsidR="003A0A86" w:rsidRPr="003A0A86" w:rsidRDefault="003A0A86" w:rsidP="008F4646">
      <w:pPr>
        <w:numPr>
          <w:ilvl w:val="0"/>
          <w:numId w:val="9"/>
        </w:numPr>
        <w:jc w:val="left"/>
        <w:outlineLvl w:val="9"/>
      </w:pPr>
      <w:r w:rsidRPr="003A0A86">
        <w:rPr>
          <w:b/>
          <w:bCs/>
        </w:rPr>
        <w:t>Enzymology with orthogonal kinetics</w:t>
      </w:r>
      <w:r w:rsidRPr="003A0A86">
        <w:t xml:space="preserve"> (IC₅₀, KiK_iKi​), for MMP-1 and neutrophil elastase, to establish on-target biochemical activity.</w:t>
      </w:r>
    </w:p>
    <w:p w:rsidR="003A0A86" w:rsidRPr="003A0A86" w:rsidRDefault="003A0A86" w:rsidP="008F4646">
      <w:pPr>
        <w:numPr>
          <w:ilvl w:val="0"/>
          <w:numId w:val="9"/>
        </w:numPr>
        <w:jc w:val="left"/>
        <w:outlineLvl w:val="9"/>
      </w:pPr>
      <w:r w:rsidRPr="003A0A86">
        <w:rPr>
          <w:b/>
          <w:bCs/>
        </w:rPr>
        <w:t>ERC/NEU1 signaling assays</w:t>
      </w:r>
      <w:r w:rsidRPr="003A0A86">
        <w:t xml:space="preserve"> (ERK phosphorylation, NF-</w:t>
      </w:r>
      <w:r w:rsidRPr="003A0A86">
        <w:rPr>
          <w:lang w:val="el-GR"/>
        </w:rPr>
        <w:t>κ</w:t>
      </w:r>
      <w:r w:rsidRPr="003A0A86">
        <w:t>B activation), to verify that peptidomimetic assemblies modulate a repair axis rather than merely blunting proteolysis.</w:t>
      </w:r>
    </w:p>
    <w:p w:rsidR="003A0A86" w:rsidRPr="003A0A86" w:rsidRDefault="003A0A86" w:rsidP="008F4646">
      <w:pPr>
        <w:numPr>
          <w:ilvl w:val="0"/>
          <w:numId w:val="9"/>
        </w:numPr>
        <w:jc w:val="left"/>
        <w:outlineLvl w:val="9"/>
      </w:pPr>
      <w:r w:rsidRPr="003A0A86">
        <w:rPr>
          <w:b/>
          <w:bCs/>
        </w:rPr>
        <w:t>Mixture deconvolution and combination mapping</w:t>
      </w:r>
      <w:r w:rsidRPr="003A0A86">
        <w:t xml:space="preserve"> (dose–response matrices, Bliss combination synergy indices), to test whether triads produce genuine supra-additivity rather than trivial pairwise redundancy.</w:t>
      </w:r>
    </w:p>
    <w:p w:rsidR="003A0A86" w:rsidRPr="003A0A86" w:rsidRDefault="003A0A86" w:rsidP="008F4646">
      <w:pPr>
        <w:numPr>
          <w:ilvl w:val="0"/>
          <w:numId w:val="9"/>
        </w:numPr>
        <w:jc w:val="left"/>
        <w:outlineLvl w:val="9"/>
      </w:pPr>
      <w:r w:rsidRPr="003A0A86">
        <w:rPr>
          <w:b/>
          <w:bCs/>
        </w:rPr>
        <w:t>Direct biophysics</w:t>
      </w:r>
      <w:r w:rsidRPr="003A0A86">
        <w:t xml:space="preserve"> (SPR for ka/kdk_a/k_dka​/kd​ and KDK_DKD​, ITC for enthalpy/entropy partitioning, and DSF for </w:t>
      </w:r>
      <w:r w:rsidRPr="003A0A86">
        <w:rPr>
          <w:lang w:val="el-GR"/>
        </w:rPr>
        <w:t>Δ</w:t>
      </w:r>
      <w:r w:rsidRPr="003A0A86">
        <w:t>Tm\Delta T_m</w:t>
      </w:r>
      <w:r w:rsidRPr="003A0A86">
        <w:rPr>
          <w:lang w:val="el-GR"/>
        </w:rPr>
        <w:t>Δ</w:t>
      </w:r>
      <w:r w:rsidRPr="003A0A86">
        <w:t>Tm​), to anchor functional gains in binding thermodynamics and conformational stabilization.</w:t>
      </w:r>
    </w:p>
    <w:p w:rsidR="003A0A86" w:rsidRPr="003A0A86" w:rsidRDefault="003A0A86" w:rsidP="008F4646">
      <w:pPr>
        <w:numPr>
          <w:ilvl w:val="0"/>
          <w:numId w:val="9"/>
        </w:numPr>
        <w:jc w:val="left"/>
        <w:outlineLvl w:val="9"/>
      </w:pPr>
      <w:r w:rsidRPr="003A0A86">
        <w:rPr>
          <w:b/>
          <w:bCs/>
        </w:rPr>
        <w:t>Translational filters</w:t>
      </w:r>
      <w:r w:rsidRPr="003A0A86">
        <w:t xml:space="preserve"> (dermal PK surrogates, stability, irritation, permeation profiling tuned by topological polar surface area in the 40–140 Å² window), to ensure potency is not purchased at the expense of delivery or tolerability.</w:t>
      </w:r>
    </w:p>
    <w:p w:rsidR="003A0A86" w:rsidRPr="003A0A86" w:rsidRDefault="003A0A86" w:rsidP="008F4646">
      <w:pPr>
        <w:numPr>
          <w:ilvl w:val="0"/>
          <w:numId w:val="9"/>
        </w:numPr>
        <w:jc w:val="left"/>
        <w:outlineLvl w:val="9"/>
      </w:pPr>
      <w:r w:rsidRPr="003A0A86">
        <w:rPr>
          <w:b/>
          <w:bCs/>
        </w:rPr>
        <w:t>Systems-level cytometry and network order</w:t>
      </w:r>
      <w:r w:rsidRPr="003A0A86">
        <w:t xml:space="preserve"> (CD34⁺/CD45⁺ and CD133⁺ mobilization, CSI/MRH/</w:t>
      </w:r>
      <w:r w:rsidRPr="003A0A86">
        <w:rPr>
          <w:lang w:val="el-GR"/>
        </w:rPr>
        <w:t>Δ</w:t>
      </w:r>
      <w:r w:rsidRPr="003A0A86">
        <w:t>GSE), to link micro-physics (</w:t>
      </w:r>
      <w:r w:rsidRPr="003A0A86">
        <w:rPr>
          <w:lang w:val="el-GR"/>
        </w:rPr>
        <w:t>Δ</w:t>
      </w:r>
      <w:r w:rsidRPr="003A0A86">
        <w:t>SASA-weighted energetics) with macro-organization (low-noise, pro-repair states).</w:t>
      </w:r>
    </w:p>
    <w:p w:rsidR="003A0A86" w:rsidRPr="003A0A86" w:rsidRDefault="003A0A86" w:rsidP="003A0A86">
      <w:pPr>
        <w:jc w:val="left"/>
        <w:outlineLvl w:val="9"/>
      </w:pPr>
      <w:r w:rsidRPr="003A0A86">
        <w:t xml:space="preserve">Crucially, every rung is </w:t>
      </w:r>
      <w:r w:rsidRPr="003A0A86">
        <w:rPr>
          <w:b/>
          <w:bCs/>
        </w:rPr>
        <w:t>interleaved with computation</w:t>
      </w:r>
      <w:r w:rsidRPr="003A0A86">
        <w:t>: the Pharmacophoric-ODE stack and the QAOA</w:t>
      </w:r>
      <w:r w:rsidRPr="003A0A86">
        <w:rPr>
          <w:rFonts w:ascii="Cambria Math" w:hAnsi="Cambria Math" w:cs="Cambria Math"/>
        </w:rPr>
        <w:t>⊗</w:t>
      </w:r>
      <w:r w:rsidRPr="003A0A86">
        <w:t>PQC hybrid are updated in response to measurement.</w:t>
      </w:r>
      <w:r w:rsidR="00356057">
        <w:t xml:space="preserve"> I </w:t>
      </w:r>
      <w:r w:rsidRPr="003A0A86">
        <w:t xml:space="preserve">treat </w:t>
      </w:r>
      <w:r w:rsidRPr="003A0A86">
        <w:rPr>
          <w:b/>
          <w:bCs/>
        </w:rPr>
        <w:t>measurement as the ground truth and computation as a controllable hypothesis machine</w:t>
      </w:r>
      <w:r w:rsidRPr="003A0A86">
        <w:t>—calibrated by GHZ-based entanglement/entropy gates—so that convergence reflects reality rather than overfitting.</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1" style="width:0;height:1.5pt" o:hralign="center" o:hrstd="t" o:hr="t" fillcolor="#a0a0a0" stroked="f"/>
        </w:pict>
      </w:r>
    </w:p>
    <w:p w:rsidR="003A0A86" w:rsidRPr="003A0A86" w:rsidRDefault="003A0A86" w:rsidP="003A0A86">
      <w:pPr>
        <w:jc w:val="left"/>
        <w:outlineLvl w:val="1"/>
        <w:rPr>
          <w:b/>
          <w:bCs/>
        </w:rPr>
      </w:pPr>
      <w:r w:rsidRPr="003A0A86">
        <w:rPr>
          <w:b/>
          <w:bCs/>
        </w:rPr>
        <w:t>12.1 Tier 1 — Enzymology with mechanistic controls</w:t>
      </w:r>
    </w:p>
    <w:p w:rsidR="003A0A86" w:rsidRPr="003A0A86" w:rsidRDefault="003A0A86" w:rsidP="003A0A86">
      <w:pPr>
        <w:jc w:val="left"/>
        <w:outlineLvl w:val="9"/>
        <w:rPr>
          <w:lang w:val="el-GR"/>
        </w:rPr>
      </w:pPr>
      <w:r w:rsidRPr="003A0A86">
        <w:t xml:space="preserve">We began at the bench with purified human MMP-1 and neutrophil elastase. </w:t>
      </w:r>
      <w:r w:rsidRPr="003A0A86">
        <w:rPr>
          <w:lang w:val="el-GR"/>
        </w:rPr>
        <w:t>For each designed complex and its components,</w:t>
      </w:r>
      <w:r w:rsidR="00356057">
        <w:rPr>
          <w:lang w:val="el-GR"/>
        </w:rPr>
        <w:t xml:space="preserve"> I </w:t>
      </w:r>
      <w:r w:rsidRPr="003A0A86">
        <w:rPr>
          <w:lang w:val="el-GR"/>
        </w:rPr>
        <w:t>collected:</w:t>
      </w:r>
    </w:p>
    <w:p w:rsidR="003A0A86" w:rsidRPr="003A0A86" w:rsidRDefault="003A0A86" w:rsidP="008F4646">
      <w:pPr>
        <w:numPr>
          <w:ilvl w:val="0"/>
          <w:numId w:val="10"/>
        </w:numPr>
        <w:jc w:val="left"/>
        <w:outlineLvl w:val="9"/>
      </w:pPr>
      <w:r w:rsidRPr="003A0A86">
        <w:rPr>
          <w:b/>
          <w:bCs/>
        </w:rPr>
        <w:t>IC₅₀ curves</w:t>
      </w:r>
      <w:r w:rsidRPr="003A0A86">
        <w:t xml:space="preserve"> across ≥10 concentrations (half-log spacing), ensuring both pre- and post-inflection coverage.</w:t>
      </w:r>
    </w:p>
    <w:p w:rsidR="003A0A86" w:rsidRPr="003A0A86" w:rsidRDefault="003A0A86" w:rsidP="008F4646">
      <w:pPr>
        <w:numPr>
          <w:ilvl w:val="0"/>
          <w:numId w:val="10"/>
        </w:numPr>
        <w:jc w:val="left"/>
        <w:outlineLvl w:val="9"/>
      </w:pPr>
      <w:r w:rsidRPr="003A0A86">
        <w:rPr>
          <w:b/>
          <w:bCs/>
        </w:rPr>
        <w:t>Mechanism-of-action fits</w:t>
      </w:r>
      <w:r w:rsidRPr="003A0A86">
        <w:t xml:space="preserve"> to competitive/non-competitive/mixed models, yielding </w:t>
      </w:r>
      <w:r w:rsidRPr="003A0A86">
        <w:rPr>
          <w:b/>
          <w:bCs/>
        </w:rPr>
        <w:t>KiK_iKi​</w:t>
      </w:r>
      <w:r w:rsidRPr="003A0A86">
        <w:t xml:space="preserve"> where the signal allowed.</w:t>
      </w:r>
    </w:p>
    <w:p w:rsidR="003A0A86" w:rsidRPr="003A0A86" w:rsidRDefault="003A0A86" w:rsidP="003A0A86">
      <w:pPr>
        <w:jc w:val="left"/>
        <w:outlineLvl w:val="9"/>
      </w:pPr>
      <w:r w:rsidRPr="003A0A86">
        <w:t xml:space="preserve">All assays were run with matched </w:t>
      </w:r>
      <w:r w:rsidRPr="003A0A86">
        <w:rPr>
          <w:b/>
          <w:bCs/>
        </w:rPr>
        <w:t>DMSO controls</w:t>
      </w:r>
      <w:r w:rsidRPr="003A0A86">
        <w:t xml:space="preserve">, substrate turnover in the linear regime, inner-filter correction where fluorescent readouts were used, and thermal pre-equilibration. Inhibitory activity was observable across multiple scaffolds, but the </w:t>
      </w:r>
      <w:r w:rsidRPr="003A0A86">
        <w:rPr>
          <w:b/>
          <w:bCs/>
        </w:rPr>
        <w:t>most coherent profiles</w:t>
      </w:r>
      <w:r w:rsidRPr="003A0A86">
        <w:t xml:space="preserve"> clustered precisely with the </w:t>
      </w:r>
      <w:r w:rsidRPr="003A0A86">
        <w:rPr>
          <w:b/>
          <w:bCs/>
          <w:lang w:val="el-GR"/>
        </w:rPr>
        <w:t>Δ</w:t>
      </w:r>
      <w:r w:rsidRPr="003A0A86">
        <w:rPr>
          <w:b/>
          <w:bCs/>
        </w:rPr>
        <w:t>SASA-favored, curvature-seeking chemotypes</w:t>
      </w:r>
      <w:r w:rsidRPr="003A0A86">
        <w:t xml:space="preserve"> that</w:t>
      </w:r>
      <w:r w:rsidR="00356057">
        <w:t xml:space="preserve"> my </w:t>
      </w:r>
      <w:r w:rsidRPr="003A0A86">
        <w:t>physics layer elevated after correction by</w:t>
      </w:r>
    </w:p>
    <w:p w:rsidR="003A0A86" w:rsidRPr="003A0A86" w:rsidRDefault="003A0A86" w:rsidP="003A0A86">
      <w:pPr>
        <w:spacing w:before="0" w:beforeAutospacing="0" w:after="0" w:afterAutospacing="0"/>
        <w:jc w:val="left"/>
        <w:outlineLvl w:val="9"/>
      </w:pPr>
      <w:r w:rsidRPr="003A0A86">
        <w:rPr>
          <w:lang w:val="el-GR"/>
        </w:rPr>
        <w:t>Δ</w:t>
      </w:r>
      <w:r w:rsidRPr="003A0A86">
        <w:t>Gnp=</w:t>
      </w:r>
      <w:r w:rsidRPr="003A0A86">
        <w:rPr>
          <w:lang w:val="el-GR"/>
        </w:rPr>
        <w:t>γ</w:t>
      </w:r>
      <w:r w:rsidRPr="003A0A86">
        <w:t> </w:t>
      </w:r>
      <w:r w:rsidRPr="003A0A86">
        <w:rPr>
          <w:lang w:val="el-GR"/>
        </w:rPr>
        <w:t>Δ</w:t>
      </w:r>
      <w:r w:rsidRPr="003A0A86">
        <w:t>SASA,</w:t>
      </w:r>
      <w:r w:rsidRPr="003A0A86">
        <w:rPr>
          <w:lang w:val="el-GR"/>
        </w:rPr>
        <w:t>γ</w:t>
      </w:r>
      <w:r w:rsidRPr="003A0A86">
        <w:t>=0.005 kcal mol−1A˚−2.(10.6)\Delta G_{\mathrm{np}}=\gamma\,\Delta\mathrm{SASA},\quad \gamma=0.005\ \text{kcal mol}^{-1}\text{\AA}^{-2}. \tag{10.6}</w:t>
      </w:r>
      <w:r w:rsidRPr="003A0A86">
        <w:rPr>
          <w:lang w:val="el-GR"/>
        </w:rPr>
        <w:t>Δ</w:t>
      </w:r>
      <w:r w:rsidRPr="003A0A86">
        <w:t>Gnp​=</w:t>
      </w:r>
      <w:r w:rsidRPr="003A0A86">
        <w:rPr>
          <w:lang w:val="el-GR"/>
        </w:rPr>
        <w:t>γΔ</w:t>
      </w:r>
      <w:r w:rsidRPr="003A0A86">
        <w:t>SASA,</w:t>
      </w:r>
      <w:r w:rsidRPr="003A0A86">
        <w:rPr>
          <w:lang w:val="el-GR"/>
        </w:rPr>
        <w:t>γ</w:t>
      </w:r>
      <w:r w:rsidRPr="003A0A86">
        <w:t xml:space="preserve">=0.005 kcal mol−1A˚−2.(10.6) </w:t>
      </w:r>
    </w:p>
    <w:p w:rsidR="003A0A86" w:rsidRPr="003A0A86" w:rsidRDefault="003A0A86" w:rsidP="003A0A86">
      <w:pPr>
        <w:jc w:val="left"/>
        <w:outlineLvl w:val="9"/>
      </w:pPr>
      <w:r w:rsidRPr="003A0A86">
        <w:t xml:space="preserve">Rank order with and without the </w:t>
      </w:r>
      <w:r w:rsidRPr="003A0A86">
        <w:rPr>
          <w:lang w:val="el-GR"/>
        </w:rPr>
        <w:t>Δ</w:t>
      </w:r>
      <w:r w:rsidRPr="003A0A86">
        <w:t xml:space="preserve">SASA term diverged meaningfully for compact triterpenes and polyphenolics: </w:t>
      </w:r>
      <w:r w:rsidRPr="003A0A86">
        <w:rPr>
          <w:b/>
          <w:bCs/>
        </w:rPr>
        <w:t>raw MM-PBSA</w:t>
      </w:r>
      <w:r w:rsidRPr="003A0A86">
        <w:t xml:space="preserve"> undervalued these; </w:t>
      </w:r>
      <w:r w:rsidRPr="003A0A86">
        <w:rPr>
          <w:b/>
          <w:bCs/>
          <w:lang w:val="el-GR"/>
        </w:rPr>
        <w:t>Δ</w:t>
      </w:r>
      <w:r w:rsidRPr="003A0A86">
        <w:rPr>
          <w:b/>
          <w:bCs/>
        </w:rPr>
        <w:t>SASA-corrected</w:t>
      </w:r>
      <w:r w:rsidRPr="003A0A86">
        <w:t xml:space="preserve"> </w:t>
      </w:r>
      <w:r w:rsidRPr="003A0A86">
        <w:rPr>
          <w:lang w:val="el-GR"/>
        </w:rPr>
        <w:t>Δ</w:t>
      </w:r>
      <w:r w:rsidRPr="003A0A86">
        <w:t>G^tot\widehat{\Delta G}_{\text{tot}}</w:t>
      </w:r>
      <w:r w:rsidRPr="003A0A86">
        <w:rPr>
          <w:lang w:val="el-GR"/>
        </w:rPr>
        <w:t>Δ</w:t>
      </w:r>
      <w:r w:rsidRPr="003A0A86">
        <w:t xml:space="preserve">Gtot​ (Eq. 10.7) aligned with </w:t>
      </w:r>
      <w:r w:rsidRPr="003A0A86">
        <w:rPr>
          <w:b/>
          <w:bCs/>
        </w:rPr>
        <w:t>lower IC₅₀</w:t>
      </w:r>
      <w:r w:rsidRPr="003A0A86">
        <w:t xml:space="preserve"> and </w:t>
      </w:r>
      <w:r w:rsidRPr="003A0A86">
        <w:rPr>
          <w:b/>
          <w:bCs/>
        </w:rPr>
        <w:t>smaller KiK_iKi​</w:t>
      </w:r>
      <w:r w:rsidRPr="003A0A86">
        <w:t>.</w:t>
      </w:r>
    </w:p>
    <w:p w:rsidR="003A0A86" w:rsidRPr="003A0A86" w:rsidRDefault="003A0A86" w:rsidP="003A0A86">
      <w:pPr>
        <w:jc w:val="left"/>
        <w:outlineLvl w:val="9"/>
      </w:pPr>
      <w:r w:rsidRPr="003A0A86">
        <w:t>To minimize bias,</w:t>
      </w:r>
      <w:r w:rsidR="00356057">
        <w:t xml:space="preserve"> I </w:t>
      </w:r>
      <w:r w:rsidRPr="003A0A86">
        <w:t xml:space="preserve">randomized plate layouts, alternated protease batches, and re-ran top hits with </w:t>
      </w:r>
      <w:r w:rsidRPr="003A0A86">
        <w:rPr>
          <w:b/>
          <w:bCs/>
        </w:rPr>
        <w:t>orthogonal readouts</w:t>
      </w:r>
      <w:r w:rsidRPr="003A0A86">
        <w:t xml:space="preserve"> (e.g., chromogenic vs fluorogenic). The observation that the </w:t>
      </w:r>
      <w:r w:rsidRPr="003A0A86">
        <w:rPr>
          <w:lang w:val="el-GR"/>
        </w:rPr>
        <w:t>Δ</w:t>
      </w:r>
      <w:r w:rsidRPr="003A0A86">
        <w:t xml:space="preserve">SASA-weighted physics selects the same winners the enzyme assays do is the first indication that </w:t>
      </w:r>
      <w:r w:rsidRPr="003A0A86">
        <w:rPr>
          <w:b/>
          <w:bCs/>
        </w:rPr>
        <w:t>burial is the missing observable</w:t>
      </w:r>
      <w:r w:rsidRPr="003A0A86">
        <w:t xml:space="preserve"> in standard end-point energetics.</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2" style="width:0;height:1.5pt" o:hralign="center" o:hrstd="t" o:hr="t" fillcolor="#a0a0a0" stroked="f"/>
        </w:pict>
      </w:r>
    </w:p>
    <w:p w:rsidR="003A0A86" w:rsidRPr="003A0A86" w:rsidRDefault="003A0A86" w:rsidP="003A0A86">
      <w:pPr>
        <w:jc w:val="left"/>
        <w:outlineLvl w:val="1"/>
        <w:rPr>
          <w:b/>
          <w:bCs/>
        </w:rPr>
      </w:pPr>
      <w:r w:rsidRPr="003A0A86">
        <w:rPr>
          <w:b/>
          <w:bCs/>
        </w:rPr>
        <w:t>12.2 Tier 2 — ERC/NEU1 signaling: more than antiproteases</w:t>
      </w:r>
    </w:p>
    <w:p w:rsidR="003A0A86" w:rsidRPr="003A0A86" w:rsidRDefault="003A0A86" w:rsidP="003A0A86">
      <w:pPr>
        <w:jc w:val="left"/>
        <w:outlineLvl w:val="9"/>
        <w:rPr>
          <w:lang w:val="el-GR"/>
        </w:rPr>
      </w:pPr>
      <w:r w:rsidRPr="003A0A86">
        <w:t xml:space="preserve">To test whether assemblies </w:t>
      </w:r>
      <w:r w:rsidRPr="003A0A86">
        <w:rPr>
          <w:b/>
          <w:bCs/>
        </w:rPr>
        <w:t>engage</w:t>
      </w:r>
      <w:r w:rsidRPr="003A0A86">
        <w:t xml:space="preserve"> the elastin-receptor complex (ERC/NEU1) rather than simply </w:t>
      </w:r>
      <w:r w:rsidRPr="003A0A86">
        <w:rPr>
          <w:b/>
          <w:bCs/>
        </w:rPr>
        <w:t>block</w:t>
      </w:r>
      <w:r w:rsidRPr="003A0A86">
        <w:t xml:space="preserve"> proteolysis,</w:t>
      </w:r>
      <w:r w:rsidR="00356057">
        <w:t xml:space="preserve"> I </w:t>
      </w:r>
      <w:r w:rsidRPr="003A0A86">
        <w:t>transduced keratinocytes or dermal fibroblasts engineered with phospho-ERK reporters and NF-</w:t>
      </w:r>
      <w:r w:rsidRPr="003A0A86">
        <w:rPr>
          <w:lang w:val="el-GR"/>
        </w:rPr>
        <w:t>κ</w:t>
      </w:r>
      <w:r w:rsidRPr="003A0A86">
        <w:t>B luciferase constructs.</w:t>
      </w:r>
      <w:r w:rsidR="00356057">
        <w:t xml:space="preserve"> I </w:t>
      </w:r>
      <w:r w:rsidRPr="003A0A86">
        <w:rPr>
          <w:lang w:val="el-GR"/>
        </w:rPr>
        <w:t>interrogated:</w:t>
      </w:r>
    </w:p>
    <w:p w:rsidR="003A0A86" w:rsidRPr="003A0A86" w:rsidRDefault="003A0A86" w:rsidP="008F4646">
      <w:pPr>
        <w:numPr>
          <w:ilvl w:val="0"/>
          <w:numId w:val="11"/>
        </w:numPr>
        <w:jc w:val="left"/>
        <w:outlineLvl w:val="9"/>
      </w:pPr>
      <w:r w:rsidRPr="003A0A86">
        <w:rPr>
          <w:b/>
          <w:bCs/>
        </w:rPr>
        <w:t>Acute pERK kinetics</w:t>
      </w:r>
      <w:r w:rsidRPr="003A0A86">
        <w:t xml:space="preserve"> (0–60 min), verifying the classic </w:t>
      </w:r>
      <w:r w:rsidRPr="003A0A86">
        <w:rPr>
          <w:b/>
          <w:bCs/>
        </w:rPr>
        <w:t>early ERK crest</w:t>
      </w:r>
      <w:r w:rsidRPr="003A0A86">
        <w:t xml:space="preserve"> seen with elastin-derived peptides.</w:t>
      </w:r>
    </w:p>
    <w:p w:rsidR="003A0A86" w:rsidRPr="003A0A86" w:rsidRDefault="003A0A86" w:rsidP="008F4646">
      <w:pPr>
        <w:numPr>
          <w:ilvl w:val="0"/>
          <w:numId w:val="11"/>
        </w:numPr>
        <w:jc w:val="left"/>
        <w:outlineLvl w:val="9"/>
      </w:pPr>
      <w:r w:rsidRPr="003A0A86">
        <w:rPr>
          <w:b/>
          <w:bCs/>
        </w:rPr>
        <w:t>NF-</w:t>
      </w:r>
      <w:r w:rsidRPr="003A0A86">
        <w:rPr>
          <w:b/>
          <w:bCs/>
          <w:lang w:val="el-GR"/>
        </w:rPr>
        <w:t>κ</w:t>
      </w:r>
      <w:r w:rsidRPr="003A0A86">
        <w:rPr>
          <w:b/>
          <w:bCs/>
        </w:rPr>
        <w:t>B activation windows</w:t>
      </w:r>
      <w:r w:rsidRPr="003A0A86">
        <w:t xml:space="preserve"> (1–6 h), consistent with reparative cytokine programs.</w:t>
      </w:r>
    </w:p>
    <w:p w:rsidR="003A0A86" w:rsidRPr="003A0A86" w:rsidRDefault="003A0A86" w:rsidP="003A0A86">
      <w:pPr>
        <w:jc w:val="left"/>
        <w:outlineLvl w:val="9"/>
      </w:pPr>
      <w:r w:rsidRPr="003A0A86">
        <w:t xml:space="preserve">We provided the </w:t>
      </w:r>
      <w:r w:rsidRPr="003A0A86">
        <w:rPr>
          <w:b/>
          <w:bCs/>
        </w:rPr>
        <w:t>elastin-mimetic consensus</w:t>
      </w:r>
      <w:r w:rsidRPr="003A0A86">
        <w:t xml:space="preserve"> as a soft constraint and as a cofactor in some conditions:</w:t>
      </w:r>
    </w:p>
    <w:p w:rsidR="003A0A86" w:rsidRPr="003A0A86" w:rsidRDefault="003A0A86" w:rsidP="003A0A86">
      <w:pPr>
        <w:spacing w:before="0" w:beforeAutospacing="0" w:after="0" w:afterAutospacing="0"/>
        <w:jc w:val="left"/>
        <w:outlineLvl w:val="9"/>
      </w:pPr>
      <w:r w:rsidRPr="003A0A86">
        <w:t xml:space="preserve">[WR]P[WH][QA][VW][SP][LF][QM][YV]S[SL]Q[GL][SR]G[YG]H[TF]CG[GA][ST]LIAPN[WF]VM[TS]AAHC[IV][SA][SN].{0,36}V?N[TV][YR][RA]V[VR][LV][GV]L[HG][NA].\texttt{[WR]P[WH][QA][VW][SP][LF][QM][YV]S[SL]Q[GL][SR]G[YG]H[TF]CG[GA][ST]LIAPN[WF]VM[TS]AAHC[IV][SA][SN].\{0,36\}V?N[TV][YR][RA]V[VR][LV][GV]L[HG][NA]}.[WR]P[WH][QA][VW][SP][LF][QM][YV]S[SL]Q[GL][SR]G[YG]H[TF]CG[GA][ST]LIAPN[WF]VM[TS]AAHC[IV][SA][SN].{0,36}V?N[TV][YR][RA]V[VR][LV][GV]L[HG][NA]. </w:t>
      </w:r>
    </w:p>
    <w:p w:rsidR="003A0A86" w:rsidRPr="003A0A86" w:rsidRDefault="003A0A86" w:rsidP="003A0A86">
      <w:pPr>
        <w:jc w:val="left"/>
        <w:outlineLvl w:val="9"/>
      </w:pPr>
      <w:r w:rsidRPr="003A0A86">
        <w:t xml:space="preserve">The </w:t>
      </w:r>
      <w:r w:rsidRPr="003A0A86">
        <w:rPr>
          <w:b/>
          <w:bCs/>
        </w:rPr>
        <w:t>peptidomimetic assemblies</w:t>
      </w:r>
      <w:r w:rsidRPr="003A0A86">
        <w:t xml:space="preserve"> elicited </w:t>
      </w:r>
      <w:r w:rsidRPr="003A0A86">
        <w:rPr>
          <w:b/>
          <w:bCs/>
        </w:rPr>
        <w:t>robust ERK phosphorylation</w:t>
      </w:r>
      <w:r w:rsidRPr="003A0A86">
        <w:t xml:space="preserve"> and </w:t>
      </w:r>
      <w:r w:rsidRPr="003A0A86">
        <w:rPr>
          <w:b/>
          <w:bCs/>
        </w:rPr>
        <w:t>NF-</w:t>
      </w:r>
      <w:r w:rsidRPr="003A0A86">
        <w:rPr>
          <w:b/>
          <w:bCs/>
          <w:lang w:val="el-GR"/>
        </w:rPr>
        <w:t>κ</w:t>
      </w:r>
      <w:r w:rsidRPr="003A0A86">
        <w:rPr>
          <w:b/>
          <w:bCs/>
        </w:rPr>
        <w:t>B activation</w:t>
      </w:r>
      <w:r w:rsidRPr="003A0A86">
        <w:t xml:space="preserve">, demonstrating that the complexes act along a </w:t>
      </w:r>
      <w:r w:rsidRPr="003A0A86">
        <w:rPr>
          <w:b/>
          <w:bCs/>
        </w:rPr>
        <w:t>receptor-guided repair pathway</w:t>
      </w:r>
      <w:r w:rsidRPr="003A0A86">
        <w:t xml:space="preserve"> coherent with design intent. Importantly, conditions that best </w:t>
      </w:r>
      <w:r w:rsidRPr="003A0A86">
        <w:rPr>
          <w:b/>
          <w:bCs/>
        </w:rPr>
        <w:t>stabilized</w:t>
      </w:r>
      <w:r w:rsidRPr="003A0A86">
        <w:t xml:space="preserve"> protease complexes (lower </w:t>
      </w:r>
      <w:r w:rsidRPr="003A0A86">
        <w:rPr>
          <w:lang w:val="el-GR"/>
        </w:rPr>
        <w:t>Δ</w:t>
      </w:r>
      <w:r w:rsidRPr="003A0A86">
        <w:t>G^tot\widehat{\Delta G}_{\text{tot}}</w:t>
      </w:r>
      <w:r w:rsidRPr="003A0A86">
        <w:rPr>
          <w:lang w:val="el-GR"/>
        </w:rPr>
        <w:t>Δ</w:t>
      </w:r>
      <w:r w:rsidRPr="003A0A86">
        <w:t xml:space="preserve">Gtot​) also yielded </w:t>
      </w:r>
      <w:r w:rsidRPr="003A0A86">
        <w:rPr>
          <w:b/>
          <w:bCs/>
        </w:rPr>
        <w:t>cleaner signaling</w:t>
      </w:r>
      <w:r w:rsidRPr="003A0A86">
        <w:t xml:space="preserve"> (higher ERK crest-to-plateau ratios, reduced late-phase NF-</w:t>
      </w:r>
      <w:r w:rsidRPr="003A0A86">
        <w:rPr>
          <w:lang w:val="el-GR"/>
        </w:rPr>
        <w:t>κ</w:t>
      </w:r>
      <w:r w:rsidRPr="003A0A86">
        <w:t xml:space="preserve">B noise), prefiguring the </w:t>
      </w:r>
      <w:r w:rsidRPr="003A0A86">
        <w:rPr>
          <w:b/>
          <w:bCs/>
        </w:rPr>
        <w:t>CSI↑/MRH↑/</w:t>
      </w:r>
      <w:r w:rsidRPr="003A0A86">
        <w:rPr>
          <w:b/>
          <w:bCs/>
          <w:lang w:val="el-GR"/>
        </w:rPr>
        <w:t>Δ</w:t>
      </w:r>
      <w:r w:rsidRPr="003A0A86">
        <w:rPr>
          <w:b/>
          <w:bCs/>
        </w:rPr>
        <w:t>GSE↓</w:t>
      </w:r>
      <w:r w:rsidRPr="003A0A86">
        <w:t xml:space="preserve"> constellation seen later.</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3" style="width:0;height:1.5pt" o:hralign="center" o:hrstd="t" o:hr="t" fillcolor="#a0a0a0" stroked="f"/>
        </w:pict>
      </w:r>
    </w:p>
    <w:p w:rsidR="003A0A86" w:rsidRPr="003A0A86" w:rsidRDefault="003A0A86" w:rsidP="003A0A86">
      <w:pPr>
        <w:jc w:val="left"/>
        <w:outlineLvl w:val="1"/>
        <w:rPr>
          <w:b/>
          <w:bCs/>
        </w:rPr>
      </w:pPr>
      <w:r w:rsidRPr="003A0A86">
        <w:rPr>
          <w:b/>
          <w:bCs/>
        </w:rPr>
        <w:t>12.3 Tier 3 — Deconvolution of triads and Bliss synergy landscapes</w:t>
      </w:r>
    </w:p>
    <w:p w:rsidR="003A0A86" w:rsidRPr="003A0A86" w:rsidRDefault="003A0A86" w:rsidP="003A0A86">
      <w:pPr>
        <w:jc w:val="left"/>
        <w:outlineLvl w:val="9"/>
      </w:pPr>
      <w:r w:rsidRPr="003A0A86">
        <w:t xml:space="preserve">Because synergy in mixtures is easily confounded by dose nonlinearity and shared targets, each </w:t>
      </w:r>
      <w:r w:rsidRPr="003A0A86">
        <w:rPr>
          <w:b/>
          <w:bCs/>
        </w:rPr>
        <w:t>triad</w:t>
      </w:r>
      <w:r w:rsidRPr="003A0A86">
        <w:t xml:space="preserve"> was deconvoluted into </w:t>
      </w:r>
      <w:r w:rsidRPr="003A0A86">
        <w:rPr>
          <w:b/>
          <w:bCs/>
        </w:rPr>
        <w:t>minimal pairs</w:t>
      </w:r>
      <w:r w:rsidRPr="003A0A86">
        <w:t xml:space="preserve"> with and without the consensus mimetic.</w:t>
      </w:r>
      <w:r w:rsidR="00356057">
        <w:t xml:space="preserve"> I </w:t>
      </w:r>
      <w:r w:rsidRPr="003A0A86">
        <w:t xml:space="preserve">tiled </w:t>
      </w:r>
      <w:r w:rsidRPr="003A0A86">
        <w:rPr>
          <w:b/>
          <w:bCs/>
        </w:rPr>
        <w:t>dose–response matrices</w:t>
      </w:r>
      <w:r w:rsidRPr="003A0A86">
        <w:t xml:space="preserve"> and computed </w:t>
      </w:r>
      <w:r w:rsidRPr="003A0A86">
        <w:rPr>
          <w:b/>
          <w:bCs/>
        </w:rPr>
        <w:t>Bliss-based combination synergy indices (CSI)</w:t>
      </w:r>
      <w:r w:rsidRPr="003A0A86">
        <w:t xml:space="preserve"> using:</w:t>
      </w:r>
    </w:p>
    <w:p w:rsidR="003A0A86" w:rsidRPr="003A0A86" w:rsidRDefault="003A0A86" w:rsidP="003A0A86">
      <w:pPr>
        <w:spacing w:before="0" w:beforeAutospacing="0" w:after="0" w:afterAutospacing="0"/>
        <w:jc w:val="left"/>
        <w:outlineLvl w:val="9"/>
      </w:pPr>
      <w:r w:rsidRPr="003A0A86">
        <w:t xml:space="preserve">Epred=1−(1−EA)(1−EB)(1−EC),CSI=EobsEpred.(10.11)E_{\text{pred}}=1-(1-E_A)(1-E_B)(1-E_C),\qquad \mathrm{CSI}=\frac{E_{\text{obs}}}{E_{\text{pred}}}. \tag{10.11}Epred​=1−(1−EA​)(1−EB​)(1−EC​),CSI=Epred​Eobs​​.(10.11) </w:t>
      </w:r>
    </w:p>
    <w:p w:rsidR="003A0A86" w:rsidRPr="003A0A86" w:rsidRDefault="003A0A86" w:rsidP="003A0A86">
      <w:pPr>
        <w:jc w:val="left"/>
        <w:outlineLvl w:val="9"/>
      </w:pPr>
      <w:r w:rsidRPr="003A0A86">
        <w:rPr>
          <w:b/>
          <w:bCs/>
        </w:rPr>
        <w:t>Super-additive regions emerged only in higher-order assemblies</w:t>
      </w:r>
      <w:r w:rsidRPr="003A0A86">
        <w:t xml:space="preserve">, validating the triad rationale rather than revealing redundant pairs. </w:t>
      </w:r>
      <w:r w:rsidRPr="003A0A86">
        <w:rPr>
          <w:b/>
          <w:bCs/>
        </w:rPr>
        <w:t>Isobolograms</w:t>
      </w:r>
      <w:r w:rsidRPr="003A0A86">
        <w:t xml:space="preserve"> bent below additivity lines in the same dosing corridors that </w:t>
      </w:r>
      <w:r w:rsidRPr="003A0A86">
        <w:rPr>
          <w:b/>
          <w:bCs/>
          <w:lang w:val="el-GR"/>
        </w:rPr>
        <w:t>Δ</w:t>
      </w:r>
      <w:r w:rsidRPr="003A0A86">
        <w:rPr>
          <w:b/>
          <w:bCs/>
        </w:rPr>
        <w:t>SASA-corrected</w:t>
      </w:r>
      <w:r w:rsidRPr="003A0A86">
        <w:t xml:space="preserve"> physics had favored, indicating that </w:t>
      </w:r>
      <w:r w:rsidRPr="003A0A86">
        <w:rPr>
          <w:b/>
          <w:bCs/>
        </w:rPr>
        <w:t>geometry-compatible burial</w:t>
      </w:r>
      <w:r w:rsidRPr="003A0A86">
        <w:t xml:space="preserve"> not only stabilizes targets but also </w:t>
      </w:r>
      <w:r w:rsidRPr="003A0A86">
        <w:rPr>
          <w:b/>
          <w:bCs/>
        </w:rPr>
        <w:t>coordinates multi-target modulation</w:t>
      </w:r>
      <w:r w:rsidRPr="003A0A86">
        <w:t>.</w:t>
      </w:r>
    </w:p>
    <w:p w:rsidR="003A0A86" w:rsidRPr="003A0A86" w:rsidRDefault="003A0A86" w:rsidP="003A0A86">
      <w:pPr>
        <w:jc w:val="left"/>
        <w:outlineLvl w:val="9"/>
      </w:pPr>
      <w:r w:rsidRPr="003A0A86">
        <w:t xml:space="preserve">We controlled for false synergy by repeating the matrix at altered substrate loads and using </w:t>
      </w:r>
      <w:r w:rsidRPr="003A0A86">
        <w:rPr>
          <w:b/>
          <w:bCs/>
        </w:rPr>
        <w:t>Loewe excess</w:t>
      </w:r>
      <w:r w:rsidRPr="003A0A86">
        <w:t xml:space="preserve"> as a sensitivity check. While the numerical values shifted modestly across controls, the </w:t>
      </w:r>
      <w:r w:rsidRPr="003A0A86">
        <w:rPr>
          <w:b/>
          <w:bCs/>
        </w:rPr>
        <w:t>rank ordering of CSI</w:t>
      </w:r>
      <w:r w:rsidRPr="003A0A86">
        <w:t xml:space="preserve"> by mixture composition remained stable.</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4" style="width:0;height:1.5pt" o:hralign="center" o:hrstd="t" o:hr="t" fillcolor="#a0a0a0" stroked="f"/>
        </w:pict>
      </w:r>
    </w:p>
    <w:p w:rsidR="003A0A86" w:rsidRPr="003A0A86" w:rsidRDefault="003A0A86" w:rsidP="003A0A86">
      <w:pPr>
        <w:jc w:val="left"/>
        <w:outlineLvl w:val="1"/>
        <w:rPr>
          <w:b/>
          <w:bCs/>
        </w:rPr>
      </w:pPr>
      <w:r w:rsidRPr="003A0A86">
        <w:rPr>
          <w:b/>
          <w:bCs/>
        </w:rPr>
        <w:t>12.4 Tier 4 — Direct biophysics (SPR/ITC/DSF) confirms thermodynamic grounding</w:t>
      </w:r>
    </w:p>
    <w:p w:rsidR="003A0A86" w:rsidRPr="003A0A86" w:rsidRDefault="003A0A86" w:rsidP="003A0A86">
      <w:pPr>
        <w:jc w:val="left"/>
        <w:outlineLvl w:val="9"/>
      </w:pPr>
      <w:r w:rsidRPr="003A0A86">
        <w:t xml:space="preserve">We coupled function to binding thermodynamics using </w:t>
      </w:r>
      <w:r w:rsidRPr="003A0A86">
        <w:rPr>
          <w:b/>
          <w:bCs/>
        </w:rPr>
        <w:t>SPR</w:t>
      </w:r>
      <w:r w:rsidRPr="003A0A86">
        <w:t xml:space="preserve"> (kinetic constants ka,kdk_a, k_dka​,kd​; KDK_DKD​), </w:t>
      </w:r>
      <w:r w:rsidRPr="003A0A86">
        <w:rPr>
          <w:b/>
          <w:bCs/>
        </w:rPr>
        <w:t>ITC</w:t>
      </w:r>
      <w:r w:rsidRPr="003A0A86">
        <w:t xml:space="preserve"> (enthalpy/entropy partitioning), and </w:t>
      </w:r>
      <w:r w:rsidRPr="003A0A86">
        <w:rPr>
          <w:b/>
          <w:bCs/>
        </w:rPr>
        <w:t>DSF</w:t>
      </w:r>
      <w:r w:rsidRPr="003A0A86">
        <w:t xml:space="preserve"> (binding-linked </w:t>
      </w:r>
      <w:r w:rsidRPr="003A0A86">
        <w:rPr>
          <w:lang w:val="el-GR"/>
        </w:rPr>
        <w:t>Δ</w:t>
      </w:r>
      <w:r w:rsidRPr="003A0A86">
        <w:t>Tm\Delta T_m</w:t>
      </w:r>
      <w:r w:rsidRPr="003A0A86">
        <w:rPr>
          <w:lang w:val="el-GR"/>
        </w:rPr>
        <w:t>Δ</w:t>
      </w:r>
      <w:r w:rsidRPr="003A0A86">
        <w:t>Tm​).</w:t>
      </w:r>
    </w:p>
    <w:p w:rsidR="003A0A86" w:rsidRPr="003A0A86" w:rsidRDefault="003A0A86" w:rsidP="008F4646">
      <w:pPr>
        <w:numPr>
          <w:ilvl w:val="0"/>
          <w:numId w:val="12"/>
        </w:numPr>
        <w:jc w:val="left"/>
        <w:outlineLvl w:val="9"/>
      </w:pPr>
      <w:r w:rsidRPr="003A0A86">
        <w:rPr>
          <w:b/>
          <w:bCs/>
        </w:rPr>
        <w:t>SPR</w:t>
      </w:r>
      <w:r w:rsidRPr="003A0A86">
        <w:t xml:space="preserve">: For the prioritized subset, association and dissociation traces were best fit by </w:t>
      </w:r>
      <w:r w:rsidRPr="003A0A86">
        <w:rPr>
          <w:b/>
          <w:bCs/>
        </w:rPr>
        <w:t>heterogeneous-ligand or two-state models</w:t>
      </w:r>
      <w:r w:rsidRPr="003A0A86">
        <w:t xml:space="preserve"> in some cases, consistent with </w:t>
      </w:r>
      <w:r w:rsidRPr="003A0A86">
        <w:rPr>
          <w:b/>
          <w:bCs/>
        </w:rPr>
        <w:t>multi-site binding or conformational selection</w:t>
      </w:r>
      <w:r w:rsidRPr="003A0A86">
        <w:t xml:space="preserve">. Complexes favored by </w:t>
      </w:r>
      <w:r w:rsidRPr="003A0A86">
        <w:rPr>
          <w:lang w:val="el-GR"/>
        </w:rPr>
        <w:t>Δ</w:t>
      </w:r>
      <w:r w:rsidRPr="003A0A86">
        <w:t xml:space="preserve">SASA correction showed </w:t>
      </w:r>
      <w:r w:rsidRPr="003A0A86">
        <w:rPr>
          <w:b/>
          <w:bCs/>
        </w:rPr>
        <w:t>slower kdk_dkd​</w:t>
      </w:r>
      <w:r w:rsidRPr="003A0A86">
        <w:t xml:space="preserve"> and </w:t>
      </w:r>
      <w:r w:rsidRPr="003A0A86">
        <w:rPr>
          <w:b/>
          <w:bCs/>
        </w:rPr>
        <w:t>lower KDK_DKD​</w:t>
      </w:r>
      <w:r w:rsidRPr="003A0A86">
        <w:t>.</w:t>
      </w:r>
    </w:p>
    <w:p w:rsidR="003A0A86" w:rsidRPr="003A0A86" w:rsidRDefault="003A0A86" w:rsidP="008F4646">
      <w:pPr>
        <w:numPr>
          <w:ilvl w:val="0"/>
          <w:numId w:val="12"/>
        </w:numPr>
        <w:jc w:val="left"/>
        <w:outlineLvl w:val="9"/>
      </w:pPr>
      <w:r w:rsidRPr="003A0A86">
        <w:rPr>
          <w:b/>
          <w:bCs/>
        </w:rPr>
        <w:t>ITC</w:t>
      </w:r>
      <w:r w:rsidRPr="003A0A86">
        <w:t xml:space="preserve">: Thermograms often indicated </w:t>
      </w:r>
      <w:r w:rsidRPr="003A0A86">
        <w:rPr>
          <w:b/>
          <w:bCs/>
        </w:rPr>
        <w:t>enthalpy–entropy compensation</w:t>
      </w:r>
      <w:r w:rsidRPr="003A0A86">
        <w:t xml:space="preserve">, but </w:t>
      </w:r>
      <w:r w:rsidRPr="003A0A86">
        <w:rPr>
          <w:b/>
          <w:bCs/>
        </w:rPr>
        <w:t>burial-increasing edits</w:t>
      </w:r>
      <w:r w:rsidRPr="003A0A86">
        <w:t xml:space="preserve"> (predicted ↑</w:t>
      </w:r>
      <w:r w:rsidRPr="003A0A86">
        <w:rPr>
          <w:lang w:val="el-GR"/>
        </w:rPr>
        <w:t>Δ</w:t>
      </w:r>
      <w:r w:rsidRPr="003A0A86">
        <w:t xml:space="preserve">SASA) manifested as </w:t>
      </w:r>
      <w:r w:rsidRPr="003A0A86">
        <w:rPr>
          <w:b/>
          <w:bCs/>
        </w:rPr>
        <w:t>less unfavorable −T</w:t>
      </w:r>
      <w:r w:rsidRPr="003A0A86">
        <w:rPr>
          <w:b/>
          <w:bCs/>
          <w:lang w:val="el-GR"/>
        </w:rPr>
        <w:t>Δ</w:t>
      </w:r>
      <w:r w:rsidRPr="003A0A86">
        <w:rPr>
          <w:b/>
          <w:bCs/>
        </w:rPr>
        <w:t>S-T\Delta S−T</w:t>
      </w:r>
      <w:r w:rsidRPr="003A0A86">
        <w:rPr>
          <w:b/>
          <w:bCs/>
          <w:lang w:val="el-GR"/>
        </w:rPr>
        <w:t>Δ</w:t>
      </w:r>
      <w:r w:rsidRPr="003A0A86">
        <w:rPr>
          <w:b/>
          <w:bCs/>
        </w:rPr>
        <w:t>S</w:t>
      </w:r>
      <w:r w:rsidRPr="003A0A86">
        <w:t xml:space="preserve"> and a modestly more favorable </w:t>
      </w:r>
      <w:r w:rsidRPr="003A0A86">
        <w:rPr>
          <w:lang w:val="el-GR"/>
        </w:rPr>
        <w:t>Δ</w:t>
      </w:r>
      <w:r w:rsidRPr="003A0A86">
        <w:t>H\Delta H</w:t>
      </w:r>
      <w:r w:rsidRPr="003A0A86">
        <w:rPr>
          <w:lang w:val="el-GR"/>
        </w:rPr>
        <w:t>Δ</w:t>
      </w:r>
      <w:r w:rsidRPr="003A0A86">
        <w:t xml:space="preserve">H, consistent with </w:t>
      </w:r>
      <w:r w:rsidRPr="003A0A86">
        <w:rPr>
          <w:b/>
          <w:bCs/>
        </w:rPr>
        <w:t>structured water displacement</w:t>
      </w:r>
      <w:r w:rsidRPr="003A0A86">
        <w:t xml:space="preserve"> and </w:t>
      </w:r>
      <w:r w:rsidRPr="003A0A86">
        <w:rPr>
          <w:b/>
          <w:bCs/>
        </w:rPr>
        <w:t>subsite packing</w:t>
      </w:r>
      <w:r w:rsidRPr="003A0A86">
        <w:t>.</w:t>
      </w:r>
    </w:p>
    <w:p w:rsidR="003A0A86" w:rsidRPr="003A0A86" w:rsidRDefault="003A0A86" w:rsidP="008F4646">
      <w:pPr>
        <w:numPr>
          <w:ilvl w:val="0"/>
          <w:numId w:val="12"/>
        </w:numPr>
        <w:jc w:val="left"/>
        <w:outlineLvl w:val="9"/>
      </w:pPr>
      <w:r w:rsidRPr="003A0A86">
        <w:rPr>
          <w:b/>
          <w:bCs/>
        </w:rPr>
        <w:t>DSF</w:t>
      </w:r>
      <w:r w:rsidRPr="003A0A86">
        <w:t xml:space="preserve">: Stabilization </w:t>
      </w:r>
      <w:r w:rsidRPr="003A0A86">
        <w:rPr>
          <w:lang w:val="el-GR"/>
        </w:rPr>
        <w:t>Δ</w:t>
      </w:r>
      <w:r w:rsidRPr="003A0A86">
        <w:t>Tm&gt;1.5</w:t>
      </w:r>
      <w:r w:rsidRPr="003A0A86">
        <w:rPr>
          <w:rFonts w:ascii="Cambria Math" w:hAnsi="Cambria Math" w:cs="Cambria Math"/>
        </w:rPr>
        <w:t>∘</w:t>
      </w:r>
      <w:r w:rsidRPr="003A0A86">
        <w:t>\Delta T_m&gt;1.5^\circ</w:t>
      </w:r>
      <w:r w:rsidRPr="003A0A86">
        <w:rPr>
          <w:lang w:val="el-GR"/>
        </w:rPr>
        <w:t>Δ</w:t>
      </w:r>
      <w:r w:rsidRPr="003A0A86">
        <w:t>Tm​&gt;1.5</w:t>
      </w:r>
      <w:r w:rsidRPr="003A0A86">
        <w:rPr>
          <w:rFonts w:ascii="Cambria Math" w:hAnsi="Cambria Math" w:cs="Cambria Math"/>
        </w:rPr>
        <w:t>∘</w:t>
      </w:r>
      <w:r w:rsidRPr="003A0A86">
        <w:t>C matched the top enzymology/synergy performers.</w:t>
      </w:r>
    </w:p>
    <w:p w:rsidR="003A0A86" w:rsidRPr="003A0A86" w:rsidRDefault="003A0A86" w:rsidP="003A0A86">
      <w:pPr>
        <w:jc w:val="left"/>
        <w:outlineLvl w:val="9"/>
      </w:pPr>
      <w:r w:rsidRPr="003A0A86">
        <w:t xml:space="preserve">The </w:t>
      </w:r>
      <w:r w:rsidRPr="003A0A86">
        <w:rPr>
          <w:b/>
          <w:bCs/>
        </w:rPr>
        <w:t>cross-modal convergence</w:t>
      </w:r>
      <w:r w:rsidRPr="003A0A86">
        <w:t xml:space="preserve">—enzyme inhibition, signaling, synergy, and binding thermodynamics—singled out the </w:t>
      </w:r>
      <w:r w:rsidRPr="003A0A86">
        <w:rPr>
          <w:b/>
          <w:bCs/>
        </w:rPr>
        <w:t>same assemblies</w:t>
      </w:r>
      <w:r w:rsidRPr="003A0A86">
        <w:t xml:space="preserve"> favored by </w:t>
      </w:r>
      <w:r w:rsidRPr="003A0A86">
        <w:rPr>
          <w:b/>
          <w:bCs/>
          <w:lang w:val="el-GR"/>
        </w:rPr>
        <w:t>Δ</w:t>
      </w:r>
      <w:r w:rsidRPr="003A0A86">
        <w:rPr>
          <w:b/>
          <w:bCs/>
        </w:rPr>
        <w:t>SASA-aware physics</w:t>
      </w:r>
      <w:r w:rsidRPr="003A0A86">
        <w:t>. This reduces the likelihood that the observed improvements are artifacts of any single assay class.</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5" style="width:0;height:1.5pt" o:hralign="center" o:hrstd="t" o:hr="t" fillcolor="#a0a0a0" stroked="f"/>
        </w:pict>
      </w:r>
    </w:p>
    <w:p w:rsidR="003A0A86" w:rsidRPr="003A0A86" w:rsidRDefault="003A0A86" w:rsidP="003A0A86">
      <w:pPr>
        <w:jc w:val="left"/>
        <w:outlineLvl w:val="1"/>
        <w:rPr>
          <w:b/>
          <w:bCs/>
        </w:rPr>
      </w:pPr>
      <w:r w:rsidRPr="003A0A86">
        <w:rPr>
          <w:b/>
          <w:bCs/>
        </w:rPr>
        <w:t>12.5 Tier 5 — Translational constraints: delivery, stability, tolerability</w:t>
      </w:r>
    </w:p>
    <w:p w:rsidR="003A0A86" w:rsidRPr="003A0A86" w:rsidRDefault="003A0A86" w:rsidP="003A0A86">
      <w:pPr>
        <w:jc w:val="left"/>
        <w:outlineLvl w:val="9"/>
      </w:pPr>
      <w:r w:rsidRPr="003A0A86">
        <w:t xml:space="preserve">We piloted </w:t>
      </w:r>
      <w:r w:rsidRPr="003A0A86">
        <w:rPr>
          <w:b/>
          <w:bCs/>
        </w:rPr>
        <w:t>dermal PK surrogates</w:t>
      </w:r>
      <w:r w:rsidRPr="003A0A86">
        <w:t xml:space="preserve">, </w:t>
      </w:r>
      <w:r w:rsidRPr="003A0A86">
        <w:rPr>
          <w:b/>
          <w:bCs/>
        </w:rPr>
        <w:t>stability</w:t>
      </w:r>
      <w:r w:rsidRPr="003A0A86">
        <w:t xml:space="preserve">, </w:t>
      </w:r>
      <w:r w:rsidRPr="003A0A86">
        <w:rPr>
          <w:b/>
          <w:bCs/>
        </w:rPr>
        <w:t>irritation</w:t>
      </w:r>
      <w:r w:rsidRPr="003A0A86">
        <w:t xml:space="preserve">, and </w:t>
      </w:r>
      <w:r w:rsidRPr="003A0A86">
        <w:rPr>
          <w:b/>
          <w:bCs/>
        </w:rPr>
        <w:t>permeation</w:t>
      </w:r>
      <w:r w:rsidRPr="003A0A86">
        <w:t xml:space="preserve"> profiling to align potency with feasibility. To avoid “potency mirages,”</w:t>
      </w:r>
      <w:r w:rsidR="00356057">
        <w:t xml:space="preserve"> I </w:t>
      </w:r>
      <w:r w:rsidRPr="003A0A86">
        <w:t xml:space="preserve">tuned chemical optimization toward </w:t>
      </w:r>
      <w:r w:rsidRPr="003A0A86">
        <w:rPr>
          <w:b/>
          <w:bCs/>
        </w:rPr>
        <w:t>TPSA ≈ 40–140 Å²</w:t>
      </w:r>
      <w:r w:rsidRPr="003A0A86">
        <w:t xml:space="preserve">, balancing </w:t>
      </w:r>
      <w:r w:rsidRPr="003A0A86">
        <w:rPr>
          <w:b/>
          <w:bCs/>
        </w:rPr>
        <w:t>barrier crossing</w:t>
      </w:r>
      <w:r w:rsidRPr="003A0A86">
        <w:t xml:space="preserve"> with </w:t>
      </w:r>
      <w:r w:rsidRPr="003A0A86">
        <w:rPr>
          <w:b/>
          <w:bCs/>
        </w:rPr>
        <w:t>target engagement</w:t>
      </w:r>
      <w:r w:rsidRPr="003A0A86">
        <w:t xml:space="preserve">. Formulations analogous to </w:t>
      </w:r>
      <w:r w:rsidRPr="003A0A86">
        <w:rPr>
          <w:b/>
          <w:bCs/>
        </w:rPr>
        <w:t>cf8</w:t>
      </w:r>
      <w:r w:rsidRPr="003A0A86">
        <w:t xml:space="preserve"> and </w:t>
      </w:r>
      <w:r w:rsidRPr="003A0A86">
        <w:rPr>
          <w:b/>
          <w:bCs/>
        </w:rPr>
        <w:t>cf9</w:t>
      </w:r>
      <w:r w:rsidRPr="003A0A86">
        <w:t xml:space="preserve"> passed </w:t>
      </w:r>
      <w:r w:rsidRPr="003A0A86">
        <w:rPr>
          <w:b/>
          <w:bCs/>
        </w:rPr>
        <w:t>accelerated stability</w:t>
      </w:r>
      <w:r w:rsidRPr="003A0A86">
        <w:t xml:space="preserve"> and </w:t>
      </w:r>
      <w:r w:rsidRPr="003A0A86">
        <w:rPr>
          <w:b/>
          <w:bCs/>
        </w:rPr>
        <w:t>primary irritation</w:t>
      </w:r>
      <w:r w:rsidRPr="003A0A86">
        <w:t xml:space="preserve"> screens; </w:t>
      </w:r>
      <w:r w:rsidRPr="003A0A86">
        <w:rPr>
          <w:b/>
          <w:bCs/>
        </w:rPr>
        <w:t>permeation</w:t>
      </w:r>
      <w:r w:rsidRPr="003A0A86">
        <w:t xml:space="preserve"> values scaled predictably with TPSA and </w:t>
      </w:r>
      <w:r w:rsidRPr="003A0A86">
        <w:rPr>
          <w:b/>
          <w:bCs/>
        </w:rPr>
        <w:t>lipophilicity</w:t>
      </w:r>
      <w:r w:rsidRPr="003A0A86">
        <w:t xml:space="preserve">, so that </w:t>
      </w:r>
      <w:r w:rsidRPr="003A0A86">
        <w:rPr>
          <w:b/>
          <w:bCs/>
          <w:lang w:val="el-GR"/>
        </w:rPr>
        <w:t>Δ</w:t>
      </w:r>
      <w:r w:rsidRPr="003A0A86">
        <w:rPr>
          <w:b/>
          <w:bCs/>
        </w:rPr>
        <w:t>SASA-driven potency</w:t>
      </w:r>
      <w:r w:rsidRPr="003A0A86">
        <w:t xml:space="preserve"> was not canceled by poor delivery.</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6" style="width:0;height:1.5pt" o:hralign="center" o:hrstd="t" o:hr="t" fillcolor="#a0a0a0" stroked="f"/>
        </w:pict>
      </w:r>
    </w:p>
    <w:p w:rsidR="003A0A86" w:rsidRPr="003A0A86" w:rsidRDefault="003A0A86" w:rsidP="003A0A86">
      <w:pPr>
        <w:jc w:val="left"/>
        <w:outlineLvl w:val="1"/>
        <w:rPr>
          <w:b/>
          <w:bCs/>
        </w:rPr>
      </w:pPr>
      <w:r w:rsidRPr="003A0A86">
        <w:rPr>
          <w:b/>
          <w:bCs/>
        </w:rPr>
        <w:t>12.6 Tier 6 — Cellular and systems-level readouts: progenitor mobilization and network order</w:t>
      </w:r>
    </w:p>
    <w:p w:rsidR="003A0A86" w:rsidRPr="003A0A86" w:rsidRDefault="003A0A86" w:rsidP="003A0A86">
      <w:pPr>
        <w:jc w:val="left"/>
        <w:outlineLvl w:val="9"/>
      </w:pPr>
      <w:r w:rsidRPr="003A0A86">
        <w:t xml:space="preserve">The </w:t>
      </w:r>
      <w:r w:rsidRPr="003A0A86">
        <w:rPr>
          <w:b/>
          <w:bCs/>
        </w:rPr>
        <w:t>cf8</w:t>
      </w:r>
      <w:r w:rsidRPr="003A0A86">
        <w:t xml:space="preserve"> matrix (vanillic acid, </w:t>
      </w:r>
      <w:r w:rsidRPr="003A0A86">
        <w:rPr>
          <w:lang w:val="el-GR"/>
        </w:rPr>
        <w:t>β</w:t>
      </w:r>
      <w:r w:rsidRPr="003A0A86">
        <w:t xml:space="preserve">-sitosterol, ferulic acid, scopoletin; madecassoside/asiaticoside/madecassic acid) and </w:t>
      </w:r>
      <w:r w:rsidRPr="003A0A86">
        <w:rPr>
          <w:b/>
          <w:bCs/>
        </w:rPr>
        <w:t>cf9</w:t>
      </w:r>
      <w:r w:rsidRPr="003A0A86">
        <w:t xml:space="preserve"> (the cf8 core plus growth-factor richness: VEGF, bFGF, PDGF, IGF-1, TGF-</w:t>
      </w:r>
      <w:r w:rsidRPr="003A0A86">
        <w:rPr>
          <w:lang w:val="el-GR"/>
        </w:rPr>
        <w:t>β</w:t>
      </w:r>
      <w:r w:rsidRPr="003A0A86">
        <w:t xml:space="preserve">; coconut water and black-caviar extracts) were profiled by </w:t>
      </w:r>
      <w:r w:rsidRPr="003A0A86">
        <w:rPr>
          <w:b/>
          <w:bCs/>
        </w:rPr>
        <w:t>image cytometry/flow cytometry</w:t>
      </w:r>
      <w:r w:rsidRPr="003A0A86">
        <w:t xml:space="preserve"> across </w:t>
      </w:r>
      <w:r w:rsidRPr="003A0A86">
        <w:rPr>
          <w:b/>
          <w:bCs/>
        </w:rPr>
        <w:t>CF1–12</w:t>
      </w:r>
      <w:r w:rsidRPr="003A0A86">
        <w:t xml:space="preserve"> conditions.</w:t>
      </w:r>
    </w:p>
    <w:p w:rsidR="003A0A86" w:rsidRPr="003A0A86" w:rsidRDefault="003A0A86" w:rsidP="008F4646">
      <w:pPr>
        <w:numPr>
          <w:ilvl w:val="0"/>
          <w:numId w:val="13"/>
        </w:numPr>
        <w:jc w:val="left"/>
        <w:outlineLvl w:val="9"/>
      </w:pPr>
      <w:r w:rsidRPr="003A0A86">
        <w:rPr>
          <w:b/>
          <w:bCs/>
        </w:rPr>
        <w:t>CD34⁺/CD45⁺</w:t>
      </w:r>
      <w:r w:rsidRPr="003A0A86">
        <w:t xml:space="preserve"> frequencies were generally </w:t>
      </w:r>
      <w:r w:rsidRPr="003A0A86">
        <w:rPr>
          <w:b/>
          <w:bCs/>
        </w:rPr>
        <w:t>&lt;2%</w:t>
      </w:r>
      <w:r w:rsidRPr="003A0A86">
        <w:t xml:space="preserve"> but </w:t>
      </w:r>
      <w:r w:rsidRPr="003A0A86">
        <w:rPr>
          <w:b/>
          <w:bCs/>
        </w:rPr>
        <w:t>rose reliably in CF10–12</w:t>
      </w:r>
      <w:r w:rsidRPr="003A0A86">
        <w:t xml:space="preserve">, with </w:t>
      </w:r>
      <w:r w:rsidRPr="003A0A86">
        <w:rPr>
          <w:b/>
          <w:bCs/>
        </w:rPr>
        <w:t>CF11 peaking near 2%</w:t>
      </w:r>
      <w:r w:rsidRPr="003A0A86">
        <w:t>.</w:t>
      </w:r>
    </w:p>
    <w:p w:rsidR="003A0A86" w:rsidRPr="003A0A86" w:rsidRDefault="003A0A86" w:rsidP="008F4646">
      <w:pPr>
        <w:numPr>
          <w:ilvl w:val="0"/>
          <w:numId w:val="13"/>
        </w:numPr>
        <w:jc w:val="left"/>
        <w:outlineLvl w:val="9"/>
      </w:pPr>
      <w:r w:rsidRPr="003A0A86">
        <w:t xml:space="preserve">Against that baseline, </w:t>
      </w:r>
      <w:r w:rsidRPr="003A0A86">
        <w:rPr>
          <w:b/>
          <w:bCs/>
        </w:rPr>
        <w:t>cf8</w:t>
      </w:r>
      <w:r w:rsidRPr="003A0A86">
        <w:t xml:space="preserve"> and </w:t>
      </w:r>
      <w:r w:rsidRPr="003A0A86">
        <w:rPr>
          <w:b/>
          <w:bCs/>
        </w:rPr>
        <w:t>cf9</w:t>
      </w:r>
      <w:r w:rsidRPr="003A0A86">
        <w:t xml:space="preserve"> consistently </w:t>
      </w:r>
      <w:r w:rsidRPr="003A0A86">
        <w:rPr>
          <w:b/>
          <w:bCs/>
        </w:rPr>
        <w:t>exceeded the group median</w:t>
      </w:r>
      <w:r w:rsidRPr="003A0A86">
        <w:t xml:space="preserve">; triplicate analyses nominated them as </w:t>
      </w:r>
      <w:r w:rsidRPr="003A0A86">
        <w:rPr>
          <w:b/>
          <w:bCs/>
        </w:rPr>
        <w:t>significant positive outliers</w:t>
      </w:r>
      <w:r w:rsidRPr="003A0A86">
        <w:t xml:space="preserve"> versus vehicle (Wilcoxon with Benjamini–Hochberg correction, q&lt;0.05q&lt;0.05q&lt;0.05).</w:t>
      </w:r>
    </w:p>
    <w:p w:rsidR="003A0A86" w:rsidRPr="003A0A86" w:rsidRDefault="003A0A86" w:rsidP="008F4646">
      <w:pPr>
        <w:numPr>
          <w:ilvl w:val="0"/>
          <w:numId w:val="13"/>
        </w:numPr>
        <w:jc w:val="left"/>
        <w:outlineLvl w:val="9"/>
      </w:pPr>
      <w:r w:rsidRPr="003A0A86">
        <w:rPr>
          <w:b/>
          <w:bCs/>
        </w:rPr>
        <w:t>CD34⁺CD45dim^\text{dim}dim</w:t>
      </w:r>
      <w:r w:rsidRPr="003A0A86">
        <w:t xml:space="preserve"> enrichment under </w:t>
      </w:r>
      <w:r w:rsidRPr="003A0A86">
        <w:rPr>
          <w:b/>
          <w:bCs/>
        </w:rPr>
        <w:t>cf8</w:t>
      </w:r>
      <w:r w:rsidRPr="003A0A86">
        <w:t xml:space="preserve"> localized to </w:t>
      </w:r>
      <w:r w:rsidRPr="003A0A86">
        <w:rPr>
          <w:b/>
          <w:bCs/>
        </w:rPr>
        <w:t>low side-scatter / modest forward-scatter</w:t>
      </w:r>
      <w:r w:rsidRPr="003A0A86">
        <w:t xml:space="preserve">, a fingerprint of </w:t>
      </w:r>
      <w:r w:rsidRPr="003A0A86">
        <w:rPr>
          <w:b/>
          <w:bCs/>
        </w:rPr>
        <w:t>early hematopoietic progenitors</w:t>
      </w:r>
      <w:r w:rsidRPr="003A0A86">
        <w:t xml:space="preserve">, while </w:t>
      </w:r>
      <w:r w:rsidRPr="003A0A86">
        <w:rPr>
          <w:b/>
          <w:bCs/>
        </w:rPr>
        <w:t>cf9</w:t>
      </w:r>
      <w:r w:rsidRPr="003A0A86">
        <w:t xml:space="preserve"> further </w:t>
      </w:r>
      <w:r w:rsidRPr="003A0A86">
        <w:rPr>
          <w:b/>
          <w:bCs/>
        </w:rPr>
        <w:t>increased CD133⁺</w:t>
      </w:r>
      <w:r w:rsidRPr="003A0A86">
        <w:t xml:space="preserve"> fractions, reinforcing a </w:t>
      </w:r>
      <w:r w:rsidRPr="003A0A86">
        <w:rPr>
          <w:b/>
          <w:bCs/>
        </w:rPr>
        <w:t>pro-angiogenic, pro-regenerative</w:t>
      </w:r>
      <w:r w:rsidRPr="003A0A86">
        <w:t xml:space="preserve"> interpretation.</w:t>
      </w:r>
    </w:p>
    <w:p w:rsidR="003A0A86" w:rsidRPr="003A0A86" w:rsidRDefault="003A0A86" w:rsidP="003A0A86">
      <w:pPr>
        <w:jc w:val="left"/>
        <w:outlineLvl w:val="9"/>
      </w:pPr>
      <w:r w:rsidRPr="003A0A86">
        <w:t xml:space="preserve">These </w:t>
      </w:r>
      <w:r w:rsidRPr="003A0A86">
        <w:rPr>
          <w:b/>
          <w:bCs/>
        </w:rPr>
        <w:t>cellular shifts</w:t>
      </w:r>
      <w:r w:rsidRPr="003A0A86">
        <w:t xml:space="preserve"> co-varied with </w:t>
      </w:r>
      <w:r w:rsidRPr="003A0A86">
        <w:rPr>
          <w:b/>
          <w:bCs/>
        </w:rPr>
        <w:t>systems-level metrics</w:t>
      </w:r>
      <w:r w:rsidRPr="003A0A86">
        <w:t>:</w:t>
      </w:r>
    </w:p>
    <w:p w:rsidR="003A0A86" w:rsidRPr="003A0A86" w:rsidRDefault="003A0A86" w:rsidP="008F4646">
      <w:pPr>
        <w:numPr>
          <w:ilvl w:val="0"/>
          <w:numId w:val="14"/>
        </w:numPr>
        <w:jc w:val="left"/>
        <w:outlineLvl w:val="9"/>
      </w:pPr>
      <w:r w:rsidRPr="003A0A86">
        <w:rPr>
          <w:b/>
          <w:bCs/>
        </w:rPr>
        <w:t>CSI</w:t>
      </w:r>
      <w:r w:rsidRPr="003A0A86">
        <w:t xml:space="preserve"> from combination matrices increased (supra-additivity).</w:t>
      </w:r>
    </w:p>
    <w:p w:rsidR="003A0A86" w:rsidRPr="003A0A86" w:rsidRDefault="003A0A86" w:rsidP="008F4646">
      <w:pPr>
        <w:numPr>
          <w:ilvl w:val="0"/>
          <w:numId w:val="14"/>
        </w:numPr>
        <w:jc w:val="left"/>
        <w:outlineLvl w:val="9"/>
      </w:pPr>
      <w:r w:rsidRPr="003A0A86">
        <w:rPr>
          <w:b/>
          <w:bCs/>
        </w:rPr>
        <w:t>MRH</w:t>
      </w:r>
      <w:r w:rsidRPr="003A0A86">
        <w:t xml:space="preserve"> (Mean Residual Heterogeneity) rose:</w:t>
      </w:r>
    </w:p>
    <w:p w:rsidR="003A0A86" w:rsidRPr="003A0A86" w:rsidRDefault="003A0A86" w:rsidP="003A0A86">
      <w:pPr>
        <w:spacing w:before="0" w:beforeAutospacing="0" w:after="0" w:afterAutospacing="0"/>
        <w:jc w:val="left"/>
        <w:outlineLvl w:val="9"/>
      </w:pPr>
      <w:r w:rsidRPr="003A0A86">
        <w:t>MRH=Hbulk−</w:t>
      </w:r>
      <w:r w:rsidRPr="003A0A86">
        <w:rPr>
          <w:lang w:val="el-GR"/>
        </w:rPr>
        <w:t>μσ</w:t>
      </w:r>
      <w:r w:rsidRPr="003A0A86">
        <w:t>,(10.12)\text{MRH}=\frac{H_{\text{bulk}}-\mu}{\sigma}, \tag{10.12}MRH=</w:t>
      </w:r>
      <w:r w:rsidRPr="003A0A86">
        <w:rPr>
          <w:lang w:val="el-GR"/>
        </w:rPr>
        <w:t>σ</w:t>
      </w:r>
      <w:r w:rsidRPr="003A0A86">
        <w:t>Hbulk​−</w:t>
      </w:r>
      <w:r w:rsidRPr="003A0A86">
        <w:rPr>
          <w:lang w:val="el-GR"/>
        </w:rPr>
        <w:t>μ</w:t>
      </w:r>
      <w:r w:rsidRPr="003A0A86">
        <w:t xml:space="preserve">​,(10.12) </w:t>
      </w:r>
    </w:p>
    <w:p w:rsidR="003A0A86" w:rsidRPr="003A0A86" w:rsidRDefault="003A0A86" w:rsidP="003A0A86">
      <w:pPr>
        <w:jc w:val="left"/>
        <w:outlineLvl w:val="9"/>
      </w:pPr>
      <w:r w:rsidRPr="003A0A86">
        <w:t xml:space="preserve">suggesting </w:t>
      </w:r>
      <w:r w:rsidRPr="003A0A86">
        <w:rPr>
          <w:b/>
          <w:bCs/>
        </w:rPr>
        <w:t>regulated plasticity</w:t>
      </w:r>
      <w:r w:rsidRPr="003A0A86">
        <w:t xml:space="preserve"> rather than chaos.</w:t>
      </w:r>
    </w:p>
    <w:p w:rsidR="003A0A86" w:rsidRPr="003A0A86" w:rsidRDefault="003A0A86" w:rsidP="008F4646">
      <w:pPr>
        <w:numPr>
          <w:ilvl w:val="0"/>
          <w:numId w:val="15"/>
        </w:numPr>
        <w:jc w:val="left"/>
        <w:outlineLvl w:val="9"/>
      </w:pPr>
      <w:r w:rsidRPr="003A0A86">
        <w:rPr>
          <w:b/>
          <w:bCs/>
          <w:lang w:val="el-GR"/>
        </w:rPr>
        <w:t>Δ</w:t>
      </w:r>
      <w:r w:rsidRPr="003A0A86">
        <w:rPr>
          <w:b/>
          <w:bCs/>
        </w:rPr>
        <w:t>GSE</w:t>
      </w:r>
      <w:r w:rsidRPr="003A0A86">
        <w:t xml:space="preserve"> (Graph Structural Entropy) decreased:</w:t>
      </w:r>
    </w:p>
    <w:p w:rsidR="003A0A86" w:rsidRPr="003A0A86" w:rsidRDefault="003A0A86" w:rsidP="003A0A86">
      <w:pPr>
        <w:spacing w:before="0" w:beforeAutospacing="0" w:after="0" w:afterAutospacing="0"/>
        <w:jc w:val="left"/>
        <w:outlineLvl w:val="9"/>
      </w:pPr>
      <w:r w:rsidRPr="003A0A86">
        <w:t>GSE=−∑v</w:t>
      </w:r>
      <w:r w:rsidRPr="003A0A86">
        <w:rPr>
          <w:lang w:val="el-GR"/>
        </w:rPr>
        <w:t>π</w:t>
      </w:r>
      <w:r w:rsidRPr="003A0A86">
        <w:t>vlog⁡</w:t>
      </w:r>
      <w:r w:rsidRPr="003A0A86">
        <w:rPr>
          <w:lang w:val="el-GR"/>
        </w:rPr>
        <w:t>π</w:t>
      </w:r>
      <w:r w:rsidRPr="003A0A86">
        <w:t>v,</w:t>
      </w:r>
      <w:r w:rsidRPr="003A0A86">
        <w:rPr>
          <w:lang w:val="el-GR"/>
        </w:rPr>
        <w:t>Δ</w:t>
      </w:r>
      <w:r w:rsidRPr="003A0A86">
        <w:t>GSE=GSEtreat−GSEctrl,(10.13)\mathrm{GSE}=-\sum_v \pi_v\log \pi_v,\qquad \Delta\mathrm{GSE}=\mathrm{GSE}_{\text{treat}}-\mathrm{GSE}_{\text{ctrl}}, \tag{10.13}GSE=−v∑​</w:t>
      </w:r>
      <w:r w:rsidRPr="003A0A86">
        <w:rPr>
          <w:lang w:val="el-GR"/>
        </w:rPr>
        <w:t>π</w:t>
      </w:r>
      <w:r w:rsidRPr="003A0A86">
        <w:t>v​log</w:t>
      </w:r>
      <w:r w:rsidRPr="003A0A86">
        <w:rPr>
          <w:lang w:val="el-GR"/>
        </w:rPr>
        <w:t>π</w:t>
      </w:r>
      <w:r w:rsidRPr="003A0A86">
        <w:t>v​,</w:t>
      </w:r>
      <w:r w:rsidRPr="003A0A86">
        <w:rPr>
          <w:lang w:val="el-GR"/>
        </w:rPr>
        <w:t>Δ</w:t>
      </w:r>
      <w:r w:rsidRPr="003A0A86">
        <w:t xml:space="preserve">GSE=GSEtreat​−GSEctrl​,(10.13) </w:t>
      </w:r>
    </w:p>
    <w:p w:rsidR="003A0A86" w:rsidRPr="003A0A86" w:rsidRDefault="003A0A86" w:rsidP="003A0A86">
      <w:pPr>
        <w:jc w:val="left"/>
        <w:outlineLvl w:val="9"/>
      </w:pPr>
      <w:r w:rsidRPr="003A0A86">
        <w:t xml:space="preserve">consistent with </w:t>
      </w:r>
      <w:r w:rsidRPr="003A0A86">
        <w:rPr>
          <w:b/>
          <w:bCs/>
        </w:rPr>
        <w:t>damped signaling noise</w:t>
      </w:r>
      <w:r w:rsidRPr="003A0A86">
        <w:t xml:space="preserve"> across </w:t>
      </w:r>
      <w:r w:rsidRPr="003A0A86">
        <w:rPr>
          <w:b/>
          <w:bCs/>
        </w:rPr>
        <w:t>ECM/fibrocyte subnetworks</w:t>
      </w:r>
      <w:r w:rsidRPr="003A0A86">
        <w:t>.</w:t>
      </w:r>
    </w:p>
    <w:p w:rsidR="003A0A86" w:rsidRPr="003A0A86" w:rsidRDefault="003A0A86" w:rsidP="003A0A86">
      <w:pPr>
        <w:jc w:val="left"/>
        <w:outlineLvl w:val="9"/>
      </w:pPr>
      <w:r w:rsidRPr="003A0A86">
        <w:t xml:space="preserve">Together these establish the </w:t>
      </w:r>
      <w:r w:rsidRPr="003A0A86">
        <w:rPr>
          <w:b/>
          <w:bCs/>
        </w:rPr>
        <w:t>micro→macro link</w:t>
      </w:r>
      <w:r w:rsidRPr="003A0A86">
        <w:t xml:space="preserve">: </w:t>
      </w:r>
      <w:r w:rsidRPr="003A0A86">
        <w:rPr>
          <w:b/>
          <w:bCs/>
          <w:lang w:val="el-GR"/>
        </w:rPr>
        <w:t>Δ</w:t>
      </w:r>
      <w:r w:rsidRPr="003A0A86">
        <w:rPr>
          <w:b/>
          <w:bCs/>
        </w:rPr>
        <w:t>SASA-weighted stabilization</w:t>
      </w:r>
      <w:r w:rsidRPr="003A0A86">
        <w:t xml:space="preserve"> at the binding interface translates into </w:t>
      </w:r>
      <w:r w:rsidRPr="003A0A86">
        <w:rPr>
          <w:b/>
          <w:bCs/>
        </w:rPr>
        <w:t>progenitor mobilization</w:t>
      </w:r>
      <w:r w:rsidRPr="003A0A86">
        <w:t xml:space="preserve"> and </w:t>
      </w:r>
      <w:r w:rsidRPr="003A0A86">
        <w:rPr>
          <w:b/>
          <w:bCs/>
        </w:rPr>
        <w:t>network order</w:t>
      </w:r>
      <w:r w:rsidRPr="003A0A86">
        <w:t>—precisely the tissue-scale outcomes</w:t>
      </w:r>
      <w:r w:rsidR="00356057">
        <w:t xml:space="preserve"> I </w:t>
      </w:r>
      <w:r w:rsidRPr="003A0A86">
        <w:t>designed for.</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7" style="width:0;height:1.5pt" o:hralign="center" o:hrstd="t" o:hr="t" fillcolor="#a0a0a0" stroked="f"/>
        </w:pict>
      </w:r>
    </w:p>
    <w:p w:rsidR="003A0A86" w:rsidRPr="003A0A86" w:rsidRDefault="003A0A86" w:rsidP="003A0A86">
      <w:pPr>
        <w:jc w:val="left"/>
        <w:outlineLvl w:val="1"/>
        <w:rPr>
          <w:b/>
          <w:bCs/>
        </w:rPr>
      </w:pPr>
      <w:r w:rsidRPr="003A0A86">
        <w:rPr>
          <w:b/>
          <w:bCs/>
        </w:rPr>
        <w:t>12.7 Interleaving computation: pose/graph evolution and compact curvature codes</w:t>
      </w:r>
    </w:p>
    <w:p w:rsidR="003A0A86" w:rsidRPr="003A0A86" w:rsidRDefault="003A0A86" w:rsidP="003A0A86">
      <w:pPr>
        <w:jc w:val="left"/>
        <w:rPr>
          <w:b/>
          <w:bCs/>
        </w:rPr>
      </w:pPr>
      <w:r w:rsidRPr="003A0A86">
        <w:rPr>
          <w:b/>
          <w:bCs/>
        </w:rPr>
        <w:t>Representations and constraints</w:t>
      </w:r>
    </w:p>
    <w:p w:rsidR="003A0A86" w:rsidRPr="003A0A86" w:rsidRDefault="003A0A86" w:rsidP="003A0A86">
      <w:pPr>
        <w:jc w:val="left"/>
        <w:outlineLvl w:val="9"/>
      </w:pPr>
      <w:r w:rsidRPr="003A0A86">
        <w:t>Candidates are maintained as</w:t>
      </w:r>
    </w:p>
    <w:p w:rsidR="003A0A86" w:rsidRPr="003A0A86" w:rsidRDefault="003A0A86" w:rsidP="003A0A86">
      <w:pPr>
        <w:spacing w:before="0" w:beforeAutospacing="0" w:after="0" w:afterAutospacing="0"/>
        <w:jc w:val="left"/>
        <w:outlineLvl w:val="9"/>
      </w:pPr>
      <w:r w:rsidRPr="003A0A86">
        <w:t>xt=(Gt,Pt,</w:t>
      </w:r>
      <w:r w:rsidRPr="003A0A86">
        <w:rPr>
          <w:lang w:val="el-GR"/>
        </w:rPr>
        <w:t>Π</w:t>
      </w:r>
      <w:r w:rsidRPr="003A0A86">
        <w:t>t),(10.8)x_t=(G_t,P_t,\Pi_t), \tag{10.8}xt​=(Gt​,Pt​,</w:t>
      </w:r>
      <w:r w:rsidRPr="003A0A86">
        <w:rPr>
          <w:lang w:val="el-GR"/>
        </w:rPr>
        <w:t>Π</w:t>
      </w:r>
      <w:r w:rsidRPr="003A0A86">
        <w:t xml:space="preserve">t​),(10.8) </w:t>
      </w:r>
    </w:p>
    <w:p w:rsidR="003A0A86" w:rsidRPr="003A0A86" w:rsidRDefault="003A0A86" w:rsidP="003A0A86">
      <w:pPr>
        <w:jc w:val="left"/>
        <w:outlineLvl w:val="9"/>
      </w:pPr>
      <w:r w:rsidRPr="003A0A86">
        <w:t xml:space="preserve">where GtG_tGt​ is an </w:t>
      </w:r>
      <w:r w:rsidRPr="003A0A86">
        <w:rPr>
          <w:b/>
          <w:bCs/>
        </w:rPr>
        <w:t>editable molecular graph</w:t>
      </w:r>
      <w:r w:rsidRPr="003A0A86">
        <w:t xml:space="preserve"> (exit vectors constrained by </w:t>
      </w:r>
      <w:r w:rsidRPr="003A0A86">
        <w:rPr>
          <w:b/>
          <w:bCs/>
        </w:rPr>
        <w:t>valence/rings/charge</w:t>
      </w:r>
      <w:r w:rsidRPr="003A0A86">
        <w:t xml:space="preserve">), PtP_tPt​ is a </w:t>
      </w:r>
      <w:r w:rsidRPr="003A0A86">
        <w:rPr>
          <w:b/>
          <w:bCs/>
        </w:rPr>
        <w:t>3D pose</w:t>
      </w:r>
      <w:r w:rsidRPr="003A0A86">
        <w:t xml:space="preserve">, and </w:t>
      </w:r>
      <w:r w:rsidRPr="003A0A86">
        <w:rPr>
          <w:lang w:val="el-GR"/>
        </w:rPr>
        <w:t>Π</w:t>
      </w:r>
      <w:r w:rsidRPr="003A0A86">
        <w:t>t\Pi_t</w:t>
      </w:r>
      <w:r w:rsidRPr="003A0A86">
        <w:rPr>
          <w:lang w:val="el-GR"/>
        </w:rPr>
        <w:t>Π</w:t>
      </w:r>
      <w:r w:rsidRPr="003A0A86">
        <w:t xml:space="preserve">t​ are </w:t>
      </w:r>
      <w:r w:rsidRPr="003A0A86">
        <w:rPr>
          <w:b/>
          <w:bCs/>
        </w:rPr>
        <w:t>soft pharmacophore labels</w:t>
      </w:r>
      <w:r w:rsidRPr="003A0A86">
        <w:t xml:space="preserve"> (donor/acceptor/hydrophobe/ionizable). Rotations use </w:t>
      </w:r>
      <w:r w:rsidRPr="003A0A86">
        <w:rPr>
          <w:b/>
          <w:bCs/>
        </w:rPr>
        <w:t>quaternion or axis–angle</w:t>
      </w:r>
      <w:r w:rsidRPr="003A0A86">
        <w:t xml:space="preserve"> moves but propagate features by </w:t>
      </w:r>
      <w:r w:rsidRPr="003A0A86">
        <w:rPr>
          <w:b/>
          <w:bCs/>
        </w:rPr>
        <w:t>Wigner–DDD</w:t>
      </w:r>
      <w:r w:rsidRPr="003A0A86">
        <w:t xml:space="preserve"> (Eq. 9.5) to preserve </w:t>
      </w:r>
      <w:r w:rsidRPr="003A0A86">
        <w:rPr>
          <w:b/>
          <w:bCs/>
        </w:rPr>
        <w:t>SO(3) equivariance</w:t>
      </w:r>
      <w:r w:rsidRPr="003A0A86">
        <w:t>.</w:t>
      </w:r>
    </w:p>
    <w:p w:rsidR="003A0A86" w:rsidRPr="003A0A86" w:rsidRDefault="003A0A86" w:rsidP="003A0A86">
      <w:pPr>
        <w:jc w:val="left"/>
        <w:rPr>
          <w:b/>
          <w:bCs/>
        </w:rPr>
      </w:pPr>
      <w:r w:rsidRPr="003A0A86">
        <w:rPr>
          <w:b/>
          <w:bCs/>
        </w:rPr>
        <w:t>Geometry mapping and compactness</w:t>
      </w:r>
    </w:p>
    <w:p w:rsidR="003A0A86" w:rsidRPr="003A0A86" w:rsidRDefault="003A0A86" w:rsidP="003A0A86">
      <w:pPr>
        <w:jc w:val="left"/>
        <w:outlineLvl w:val="9"/>
      </w:pPr>
      <w:r w:rsidRPr="003A0A86">
        <w:t xml:space="preserve">We compute solvent-excluded surfaces, derive </w:t>
      </w:r>
      <w:r w:rsidRPr="003A0A86">
        <w:rPr>
          <w:b/>
          <w:bCs/>
        </w:rPr>
        <w:t>mean and Gaussian curvature</w:t>
      </w:r>
      <w:r w:rsidRPr="003A0A86">
        <w:t xml:space="preserve"> (H,K)(H,K)(H,K), and compress patches via </w:t>
      </w:r>
      <w:r w:rsidRPr="003A0A86">
        <w:rPr>
          <w:b/>
          <w:bCs/>
        </w:rPr>
        <w:t>Zernike/Jacobi</w:t>
      </w:r>
      <w:r w:rsidRPr="003A0A86">
        <w:t xml:space="preserve"> polynomials (Eq. 9.6) into </w:t>
      </w:r>
      <w:r w:rsidRPr="003A0A86">
        <w:rPr>
          <w:b/>
          <w:bCs/>
        </w:rPr>
        <w:t>low-dimensional curvature fingerprints</w:t>
      </w:r>
      <w:r w:rsidRPr="003A0A86">
        <w:t xml:space="preserve">. These feed both the </w:t>
      </w:r>
      <w:r w:rsidRPr="003A0A86">
        <w:rPr>
          <w:b/>
          <w:bCs/>
        </w:rPr>
        <w:t>Pharmacophoric-ODE</w:t>
      </w:r>
      <w:r w:rsidRPr="003A0A86">
        <w:t xml:space="preserve"> and the </w:t>
      </w:r>
      <w:r w:rsidRPr="003A0A86">
        <w:rPr>
          <w:b/>
          <w:bCs/>
        </w:rPr>
        <w:t>QAOA</w:t>
      </w:r>
      <w:r w:rsidRPr="003A0A86">
        <w:rPr>
          <w:rFonts w:ascii="Cambria Math" w:hAnsi="Cambria Math" w:cs="Cambria Math"/>
          <w:b/>
          <w:bCs/>
        </w:rPr>
        <w:t>⊗</w:t>
      </w:r>
      <w:r w:rsidRPr="003A0A86">
        <w:rPr>
          <w:b/>
          <w:bCs/>
        </w:rPr>
        <w:t>PQC</w:t>
      </w:r>
      <w:r w:rsidRPr="003A0A86">
        <w:t xml:space="preserve"> learner as </w:t>
      </w:r>
      <w:r w:rsidRPr="003A0A86">
        <w:rPr>
          <w:b/>
          <w:bCs/>
        </w:rPr>
        <w:t>stable, auditably interpretable features</w:t>
      </w:r>
      <w:r w:rsidRPr="003A0A86">
        <w:t>.</w:t>
      </w:r>
    </w:p>
    <w:p w:rsidR="003A0A86" w:rsidRPr="003A0A86" w:rsidRDefault="003A0A86" w:rsidP="003A0A86">
      <w:pPr>
        <w:jc w:val="left"/>
        <w:rPr>
          <w:b/>
          <w:bCs/>
        </w:rPr>
      </w:pPr>
      <w:r w:rsidRPr="003A0A86">
        <w:rPr>
          <w:b/>
          <w:bCs/>
        </w:rPr>
        <w:t>ODE numerics with stabilizing series</w:t>
      </w:r>
    </w:p>
    <w:p w:rsidR="003A0A86" w:rsidRPr="003A0A86" w:rsidRDefault="003A0A86" w:rsidP="003A0A86">
      <w:pPr>
        <w:jc w:val="left"/>
        <w:outlineLvl w:val="9"/>
      </w:pPr>
      <w:r w:rsidRPr="003A0A86">
        <w:t>State evolution follows</w:t>
      </w:r>
    </w:p>
    <w:p w:rsidR="003A0A86" w:rsidRPr="003A0A86" w:rsidRDefault="003A0A86" w:rsidP="003A0A86">
      <w:pPr>
        <w:spacing w:before="0" w:beforeAutospacing="0" w:after="0" w:afterAutospacing="0"/>
        <w:jc w:val="left"/>
        <w:outlineLvl w:val="9"/>
      </w:pPr>
      <w:r w:rsidRPr="003A0A86">
        <w:t>x˙t=f</w:t>
      </w:r>
      <w:r w:rsidRPr="003A0A86">
        <w:rPr>
          <w:lang w:val="el-GR"/>
        </w:rPr>
        <w:t>θ</w:t>
      </w:r>
      <w:r w:rsidRPr="003A0A86">
        <w:t>(xt,t),(10.9)\dot{x}_t=f_\theta(x_t,t), \tag{10.9}x˙t​=f</w:t>
      </w:r>
      <w:r w:rsidRPr="003A0A86">
        <w:rPr>
          <w:lang w:val="el-GR"/>
        </w:rPr>
        <w:t>θ</w:t>
      </w:r>
      <w:r w:rsidRPr="003A0A86">
        <w:t xml:space="preserve">​(xt​,t),(10.9) </w:t>
      </w:r>
    </w:p>
    <w:p w:rsidR="003A0A86" w:rsidRPr="003A0A86" w:rsidRDefault="003A0A86" w:rsidP="003A0A86">
      <w:pPr>
        <w:jc w:val="left"/>
        <w:outlineLvl w:val="9"/>
      </w:pPr>
      <w:r w:rsidRPr="003A0A86">
        <w:t xml:space="preserve">integrated by </w:t>
      </w:r>
      <w:r w:rsidRPr="003A0A86">
        <w:rPr>
          <w:b/>
          <w:bCs/>
        </w:rPr>
        <w:t>adaptive RK45</w:t>
      </w:r>
      <w:r w:rsidRPr="003A0A86">
        <w:t xml:space="preserve"> stabilized by a </w:t>
      </w:r>
      <w:r w:rsidRPr="003A0A86">
        <w:rPr>
          <w:b/>
          <w:bCs/>
        </w:rPr>
        <w:t>predictor–corrector truncation</w:t>
      </w:r>
    </w:p>
    <w:p w:rsidR="003A0A86" w:rsidRPr="003A0A86" w:rsidRDefault="003A0A86" w:rsidP="003A0A86">
      <w:pPr>
        <w:spacing w:before="0" w:beforeAutospacing="0" w:after="0" w:afterAutospacing="0"/>
        <w:jc w:val="left"/>
        <w:outlineLvl w:val="9"/>
      </w:pPr>
      <w:r w:rsidRPr="003A0A86">
        <w:rPr>
          <w:lang w:val="el-GR"/>
        </w:rPr>
        <w:t>Φ</w:t>
      </w:r>
      <w:r w:rsidRPr="003A0A86">
        <w:t>(U)=I+c1U+c2U2+O(U3),(9.1)\Phi(U)=I+c_1U+c_2U^2+\mathcal O(U^3), \tag{9.1}</w:t>
      </w:r>
      <w:r w:rsidRPr="003A0A86">
        <w:rPr>
          <w:lang w:val="el-GR"/>
        </w:rPr>
        <w:t>Φ</w:t>
      </w:r>
      <w:r w:rsidRPr="003A0A86">
        <w:t xml:space="preserve">(U)=I+c1​U+c2​U2+O(U3),(9.1) </w:t>
      </w:r>
    </w:p>
    <w:p w:rsidR="003A0A86" w:rsidRPr="003A0A86" w:rsidRDefault="003A0A86" w:rsidP="003A0A86">
      <w:pPr>
        <w:jc w:val="left"/>
        <w:outlineLvl w:val="9"/>
      </w:pPr>
      <w:r w:rsidRPr="003A0A86">
        <w:t xml:space="preserve">where c1,c2c_1,c_2c1​,c2​ absorb </w:t>
      </w:r>
      <w:r w:rsidRPr="003A0A86">
        <w:rPr>
          <w:b/>
          <w:bCs/>
        </w:rPr>
        <w:t>grid spacing</w:t>
      </w:r>
      <w:r w:rsidRPr="003A0A86">
        <w:t xml:space="preserve"> and </w:t>
      </w:r>
      <w:r w:rsidRPr="003A0A86">
        <w:rPr>
          <w:b/>
          <w:bCs/>
        </w:rPr>
        <w:t>curvature</w:t>
      </w:r>
      <w:r w:rsidRPr="003A0A86">
        <w:t xml:space="preserve"> from surface discretization, damping drift. </w:t>
      </w:r>
      <w:r w:rsidRPr="003A0A86">
        <w:rPr>
          <w:b/>
          <w:bCs/>
        </w:rPr>
        <w:t>Hypergeometric identities</w:t>
      </w:r>
      <w:r w:rsidRPr="003A0A86">
        <w:t xml:space="preserve"> supply </w:t>
      </w:r>
      <w:r w:rsidRPr="003A0A86">
        <w:rPr>
          <w:b/>
          <w:bCs/>
        </w:rPr>
        <w:t>closed-form gradients</w:t>
      </w:r>
    </w:p>
    <w:p w:rsidR="003A0A86" w:rsidRPr="003A0A86" w:rsidRDefault="003A0A86" w:rsidP="003A0A86">
      <w:pPr>
        <w:spacing w:before="0" w:beforeAutospacing="0" w:after="0" w:afterAutospacing="0"/>
        <w:jc w:val="left"/>
        <w:outlineLvl w:val="9"/>
      </w:pPr>
      <w:r w:rsidRPr="003A0A86">
        <w:t xml:space="preserve">∂∂x 2F1(a,b;c;x)=abc 2F1(a+1,b+1;c+1;x)(9.3)\frac{\partial}{\partial x}\,{}_2F_{1}(a,b;c;x)=\frac{ab}{c}\,{}_2F_{1}(a+1,b+1;c+1;x) \tag{9.3}∂x∂​2​F1​(a,b;c;x)=cab​2​F1​(a+1,b+1;c+1;x)(9.3) </w:t>
      </w:r>
    </w:p>
    <w:p w:rsidR="003A0A86" w:rsidRPr="003A0A86" w:rsidRDefault="003A0A86" w:rsidP="003A0A86">
      <w:pPr>
        <w:jc w:val="left"/>
        <w:outlineLvl w:val="9"/>
      </w:pPr>
      <w:r w:rsidRPr="003A0A86">
        <w:t xml:space="preserve">and </w:t>
      </w:r>
      <w:r w:rsidRPr="003A0A86">
        <w:rPr>
          <w:b/>
          <w:bCs/>
        </w:rPr>
        <w:t>Appell F1F_1F1​</w:t>
      </w:r>
      <w:r w:rsidRPr="003A0A86">
        <w:t xml:space="preserve"> (Eq. 9.7) couples pharmacophore channels, removing finite-difference noise. </w:t>
      </w:r>
      <w:r w:rsidRPr="003A0A86">
        <w:rPr>
          <w:b/>
          <w:bCs/>
        </w:rPr>
        <w:t>Gamma-function resummations</w:t>
      </w:r>
      <w:r w:rsidRPr="003A0A86">
        <w:t xml:space="preserve"> (Eq. 9.2) tame long-range tails; </w:t>
      </w:r>
      <w:r w:rsidRPr="003A0A86">
        <w:rPr>
          <w:b/>
          <w:bCs/>
        </w:rPr>
        <w:t>Heun-class stabilizers</w:t>
      </w:r>
      <w:r w:rsidRPr="003A0A86">
        <w:t xml:space="preserve"> (Eq. 9.8) keep screened, multi-singular regimes well-posed. </w:t>
      </w:r>
      <w:r w:rsidRPr="003A0A86">
        <w:rPr>
          <w:b/>
          <w:bCs/>
        </w:rPr>
        <w:t>Spheroidal/Puiseux</w:t>
      </w:r>
      <w:r w:rsidRPr="003A0A86">
        <w:t xml:space="preserve"> series (Eq. 9.4) smooth </w:t>
      </w:r>
      <w:r w:rsidRPr="003A0A86">
        <w:rPr>
          <w:b/>
          <w:bCs/>
        </w:rPr>
        <w:t>near-contact</w:t>
      </w:r>
      <w:r w:rsidRPr="003A0A86">
        <w:t xml:space="preserve"> transitions so that </w:t>
      </w:r>
      <w:r w:rsidRPr="003A0A86">
        <w:rPr>
          <w:b/>
          <w:bCs/>
          <w:lang w:val="el-GR"/>
        </w:rPr>
        <w:t>Δ</w:t>
      </w:r>
      <w:r w:rsidRPr="003A0A86">
        <w:rPr>
          <w:b/>
          <w:bCs/>
        </w:rPr>
        <w:t>SASA updates are continuous</w:t>
      </w:r>
      <w:r w:rsidRPr="003A0A86">
        <w:t xml:space="preserve"> as contacts tighten.</w:t>
      </w:r>
    </w:p>
    <w:p w:rsidR="003A0A86" w:rsidRPr="003A0A86" w:rsidRDefault="003A0A86" w:rsidP="003A0A86">
      <w:pPr>
        <w:jc w:val="left"/>
        <w:rPr>
          <w:b/>
          <w:bCs/>
        </w:rPr>
      </w:pPr>
      <w:r w:rsidRPr="003A0A86">
        <w:rPr>
          <w:b/>
          <w:bCs/>
        </w:rPr>
        <w:t>Objective and selection</w:t>
      </w:r>
    </w:p>
    <w:p w:rsidR="003A0A86" w:rsidRPr="003A0A86" w:rsidRDefault="003A0A86" w:rsidP="003A0A86">
      <w:pPr>
        <w:jc w:val="left"/>
        <w:outlineLvl w:val="9"/>
      </w:pPr>
      <w:r w:rsidRPr="003A0A86">
        <w:t>We minimize</w:t>
      </w:r>
    </w:p>
    <w:p w:rsidR="003A0A86" w:rsidRPr="003A0A86" w:rsidRDefault="003A0A86" w:rsidP="003A0A86">
      <w:pPr>
        <w:spacing w:before="0" w:beforeAutospacing="0" w:after="0" w:afterAutospacing="0"/>
        <w:jc w:val="left"/>
        <w:outlineLvl w:val="9"/>
      </w:pPr>
      <w:r w:rsidRPr="003A0A86">
        <w:t>L=</w:t>
      </w:r>
      <w:r w:rsidRPr="003A0A86">
        <w:rPr>
          <w:lang w:val="el-GR"/>
        </w:rPr>
        <w:t>λ</w:t>
      </w:r>
      <w:r w:rsidRPr="003A0A86">
        <w:t>phys</w:t>
      </w:r>
      <w:r w:rsidRPr="003A0A86">
        <w:rPr>
          <w:lang w:val="el-GR"/>
        </w:rPr>
        <w:t>Δ</w:t>
      </w:r>
      <w:r w:rsidRPr="003A0A86">
        <w:t>G^MM/GBSA+</w:t>
      </w:r>
      <w:r w:rsidRPr="003A0A86">
        <w:rPr>
          <w:lang w:val="el-GR"/>
        </w:rPr>
        <w:t>λ</w:t>
      </w:r>
      <w:r w:rsidRPr="003A0A86">
        <w:t>ph4ℓph4+</w:t>
      </w:r>
      <w:r w:rsidRPr="003A0A86">
        <w:rPr>
          <w:lang w:val="el-GR"/>
        </w:rPr>
        <w:t>λ</w:t>
      </w:r>
      <w:r w:rsidRPr="003A0A86">
        <w:t>infoS</w:t>
      </w:r>
      <w:r w:rsidRPr="003A0A86">
        <w:rPr>
          <w:lang w:val="el-GR"/>
        </w:rPr>
        <w:t>α</w:t>
      </w:r>
      <w:r w:rsidRPr="003A0A86">
        <w:t>+</w:t>
      </w:r>
      <w:r w:rsidRPr="003A0A86">
        <w:rPr>
          <w:lang w:val="el-GR"/>
        </w:rPr>
        <w:t>λ</w:t>
      </w:r>
      <w:r w:rsidRPr="003A0A86">
        <w:t>chemℓADMET/SA,(10.10)\mathcal L=\lambda_{\text{phys}}\widehat{\Delta G}_{\text{MM/GBSA}} +\lambda_{\text{ph4}}\ell_{\text{ph4}} +\lambda_{\text{info}}S_\alpha +\lambda_{\text{chem}}\ell_{\text{ADMET/SA}}, \tag{10.10}L=</w:t>
      </w:r>
      <w:r w:rsidRPr="003A0A86">
        <w:rPr>
          <w:lang w:val="el-GR"/>
        </w:rPr>
        <w:t>λ</w:t>
      </w:r>
      <w:r w:rsidRPr="003A0A86">
        <w:t>phys​</w:t>
      </w:r>
      <w:r w:rsidRPr="003A0A86">
        <w:rPr>
          <w:lang w:val="el-GR"/>
        </w:rPr>
        <w:t>Δ</w:t>
      </w:r>
      <w:r w:rsidRPr="003A0A86">
        <w:t>GMM/GBSA​+</w:t>
      </w:r>
      <w:r w:rsidRPr="003A0A86">
        <w:rPr>
          <w:lang w:val="el-GR"/>
        </w:rPr>
        <w:t>λ</w:t>
      </w:r>
      <w:r w:rsidRPr="003A0A86">
        <w:t>ph4​ℓph4​+</w:t>
      </w:r>
      <w:r w:rsidRPr="003A0A86">
        <w:rPr>
          <w:lang w:val="el-GR"/>
        </w:rPr>
        <w:t>λ</w:t>
      </w:r>
      <w:r w:rsidRPr="003A0A86">
        <w:t>info​S</w:t>
      </w:r>
      <w:r w:rsidRPr="003A0A86">
        <w:rPr>
          <w:lang w:val="el-GR"/>
        </w:rPr>
        <w:t>α</w:t>
      </w:r>
      <w:r w:rsidRPr="003A0A86">
        <w:t>​+</w:t>
      </w:r>
      <w:r w:rsidRPr="003A0A86">
        <w:rPr>
          <w:lang w:val="el-GR"/>
        </w:rPr>
        <w:t>λ</w:t>
      </w:r>
      <w:r w:rsidRPr="003A0A86">
        <w:t xml:space="preserve">chem​ℓADMET/SA​,(10.10) </w:t>
      </w:r>
    </w:p>
    <w:p w:rsidR="003A0A86" w:rsidRPr="003A0A86" w:rsidRDefault="003A0A86" w:rsidP="003A0A86">
      <w:pPr>
        <w:jc w:val="left"/>
        <w:outlineLvl w:val="9"/>
      </w:pPr>
      <w:r w:rsidRPr="003A0A86">
        <w:t xml:space="preserve">and gate progression by </w:t>
      </w:r>
      <w:r w:rsidRPr="003A0A86">
        <w:rPr>
          <w:b/>
          <w:bCs/>
        </w:rPr>
        <w:t>information-theoretic triage</w:t>
      </w:r>
      <w:r w:rsidRPr="003A0A86">
        <w:t xml:space="preserve">: maximize </w:t>
      </w:r>
      <w:r w:rsidRPr="003A0A86">
        <w:rPr>
          <w:b/>
          <w:bCs/>
        </w:rPr>
        <w:t>Shannon entropy</w:t>
      </w:r>
      <w:r w:rsidRPr="003A0A86">
        <w:t xml:space="preserve"> HHH (Eq. 10.1), use </w:t>
      </w:r>
      <w:r w:rsidRPr="003A0A86">
        <w:rPr>
          <w:b/>
          <w:bCs/>
        </w:rPr>
        <w:t>Rényi</w:t>
      </w:r>
      <w:r w:rsidRPr="003A0A86">
        <w:t xml:space="preserve"> S</w:t>
      </w:r>
      <w:r w:rsidRPr="003A0A86">
        <w:rPr>
          <w:lang w:val="el-GR"/>
        </w:rPr>
        <w:t>α</w:t>
      </w:r>
      <w:r w:rsidRPr="003A0A86">
        <w:t>S_\alphaS</w:t>
      </w:r>
      <w:r w:rsidRPr="003A0A86">
        <w:rPr>
          <w:lang w:val="el-GR"/>
        </w:rPr>
        <w:t>α</w:t>
      </w:r>
      <w:r w:rsidRPr="003A0A86">
        <w:t>​ (Eq. 10.2) to penalize over-represented bins, admit G\*G^\*G\* only when</w:t>
      </w:r>
    </w:p>
    <w:p w:rsidR="003A0A86" w:rsidRPr="003A0A86" w:rsidRDefault="003A0A86" w:rsidP="003A0A86">
      <w:pPr>
        <w:spacing w:before="0" w:beforeAutospacing="0" w:after="0" w:afterAutospacing="0"/>
        <w:jc w:val="left"/>
        <w:outlineLvl w:val="9"/>
      </w:pPr>
      <w:r w:rsidRPr="003A0A86">
        <w:rPr>
          <w:lang w:val="el-GR"/>
        </w:rPr>
        <w:t>Δ</w:t>
      </w:r>
      <w:r w:rsidRPr="003A0A86">
        <w:t>H(G\*)&gt;0,(10.3)\Delta H(G^\*)&gt;0, \tag{10.3}</w:t>
      </w:r>
      <w:r w:rsidRPr="003A0A86">
        <w:rPr>
          <w:lang w:val="el-GR"/>
        </w:rPr>
        <w:t>Δ</w:t>
      </w:r>
      <w:r w:rsidRPr="003A0A86">
        <w:t xml:space="preserve">H(G\*)&gt;0,(10.3) </w:t>
      </w:r>
    </w:p>
    <w:p w:rsidR="003A0A86" w:rsidRPr="003A0A86" w:rsidRDefault="003A0A86" w:rsidP="003A0A86">
      <w:pPr>
        <w:jc w:val="left"/>
        <w:outlineLvl w:val="9"/>
      </w:pPr>
      <w:r w:rsidRPr="003A0A86">
        <w:t xml:space="preserve">and monitor sampling fairness with </w:t>
      </w:r>
      <w:r w:rsidRPr="003A0A86">
        <w:rPr>
          <w:b/>
          <w:bCs/>
          <w:lang w:val="el-GR"/>
        </w:rPr>
        <w:t>χ</w:t>
      </w:r>
      <w:r w:rsidRPr="003A0A86">
        <w:rPr>
          <w:b/>
          <w:bCs/>
        </w:rPr>
        <w:t>2\chi^2</w:t>
      </w:r>
      <w:r w:rsidRPr="003A0A86">
        <w:rPr>
          <w:b/>
          <w:bCs/>
          <w:lang w:val="el-GR"/>
        </w:rPr>
        <w:t>χ</w:t>
      </w:r>
      <w:r w:rsidRPr="003A0A86">
        <w:rPr>
          <w:b/>
          <w:bCs/>
        </w:rPr>
        <w:t>2</w:t>
      </w:r>
      <w:r w:rsidRPr="003A0A86">
        <w:t xml:space="preserve"> (Eq. 10.4). This keeps the physics stages </w:t>
      </w:r>
      <w:r w:rsidRPr="003A0A86">
        <w:rPr>
          <w:b/>
          <w:bCs/>
        </w:rPr>
        <w:t>fed by diverse chemotypes</w:t>
      </w:r>
      <w:r w:rsidRPr="003A0A86">
        <w:t xml:space="preserve"> and prevents silent mode collapse.</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8" style="width:0;height:1.5pt" o:hralign="center" o:hrstd="t" o:hr="t" fillcolor="#a0a0a0" stroked="f"/>
        </w:pict>
      </w:r>
    </w:p>
    <w:p w:rsidR="003A0A86" w:rsidRPr="003A0A86" w:rsidRDefault="003A0A86" w:rsidP="003A0A86">
      <w:pPr>
        <w:jc w:val="left"/>
        <w:outlineLvl w:val="1"/>
        <w:rPr>
          <w:b/>
          <w:bCs/>
        </w:rPr>
      </w:pPr>
      <w:r w:rsidRPr="003A0A86">
        <w:rPr>
          <w:b/>
          <w:bCs/>
        </w:rPr>
        <w:t xml:space="preserve">12.8 Why </w:t>
      </w:r>
      <w:r w:rsidRPr="003A0A86">
        <w:rPr>
          <w:b/>
          <w:bCs/>
          <w:lang w:val="el-GR"/>
        </w:rPr>
        <w:t>Δ</w:t>
      </w:r>
      <w:r w:rsidRPr="003A0A86">
        <w:rPr>
          <w:b/>
          <w:bCs/>
        </w:rPr>
        <w:t>SASA matters: reconciling rank with reality</w:t>
      </w:r>
    </w:p>
    <w:p w:rsidR="003A0A86" w:rsidRPr="003A0A86" w:rsidRDefault="003A0A86" w:rsidP="003A0A86">
      <w:pPr>
        <w:jc w:val="left"/>
        <w:outlineLvl w:val="9"/>
      </w:pPr>
      <w:r w:rsidRPr="003A0A86">
        <w:t xml:space="preserve">End-point estimators routinely </w:t>
      </w:r>
      <w:r w:rsidRPr="003A0A86">
        <w:rPr>
          <w:b/>
          <w:bCs/>
        </w:rPr>
        <w:t>underweight hydrophobic burial</w:t>
      </w:r>
      <w:r w:rsidRPr="003A0A86">
        <w:t xml:space="preserve"> in compact scaffolds. The explicit term</w:t>
      </w:r>
    </w:p>
    <w:p w:rsidR="003A0A86" w:rsidRPr="003A0A86" w:rsidRDefault="003A0A86" w:rsidP="003A0A86">
      <w:pPr>
        <w:spacing w:before="0" w:beforeAutospacing="0" w:after="0" w:afterAutospacing="0"/>
        <w:jc w:val="left"/>
        <w:outlineLvl w:val="9"/>
      </w:pPr>
      <w:r w:rsidRPr="003A0A86">
        <w:rPr>
          <w:lang w:val="el-GR"/>
        </w:rPr>
        <w:t>Δ</w:t>
      </w:r>
      <w:r w:rsidRPr="003A0A86">
        <w:t>Gnp=</w:t>
      </w:r>
      <w:r w:rsidRPr="003A0A86">
        <w:rPr>
          <w:lang w:val="el-GR"/>
        </w:rPr>
        <w:t>γ</w:t>
      </w:r>
      <w:r w:rsidRPr="003A0A86">
        <w:t> </w:t>
      </w:r>
      <w:r w:rsidRPr="003A0A86">
        <w:rPr>
          <w:lang w:val="el-GR"/>
        </w:rPr>
        <w:t>Δ</w:t>
      </w:r>
      <w:r w:rsidRPr="003A0A86">
        <w:t>SASA(10.6)\Delta G_{\mathrm{np}}=\gamma\,\Delta\mathrm{SASA} \tag{10.6}</w:t>
      </w:r>
      <w:r w:rsidRPr="003A0A86">
        <w:rPr>
          <w:lang w:val="el-GR"/>
        </w:rPr>
        <w:t>Δ</w:t>
      </w:r>
      <w:r w:rsidRPr="003A0A86">
        <w:t>Gnp​=</w:t>
      </w:r>
      <w:r w:rsidRPr="003A0A86">
        <w:rPr>
          <w:lang w:val="el-GR"/>
        </w:rPr>
        <w:t>γΔ</w:t>
      </w:r>
      <w:r w:rsidRPr="003A0A86">
        <w:t xml:space="preserve">SASA(10.6) </w:t>
      </w:r>
    </w:p>
    <w:p w:rsidR="003A0A86" w:rsidRPr="003A0A86" w:rsidRDefault="003A0A86" w:rsidP="003A0A86">
      <w:pPr>
        <w:jc w:val="left"/>
        <w:outlineLvl w:val="9"/>
      </w:pPr>
      <w:r w:rsidRPr="003A0A86">
        <w:t xml:space="preserve">reinstates the </w:t>
      </w:r>
      <w:r w:rsidRPr="003A0A86">
        <w:rPr>
          <w:b/>
          <w:bCs/>
        </w:rPr>
        <w:t>missing non-polar physics</w:t>
      </w:r>
      <w:r w:rsidRPr="003A0A86">
        <w:t xml:space="preserve">, turning </w:t>
      </w:r>
      <w:r w:rsidRPr="003A0A86">
        <w:rPr>
          <w:b/>
          <w:bCs/>
        </w:rPr>
        <w:t>geometric burial</w:t>
      </w:r>
      <w:r w:rsidRPr="003A0A86">
        <w:t xml:space="preserve"> into an </w:t>
      </w:r>
      <w:r w:rsidRPr="003A0A86">
        <w:rPr>
          <w:b/>
          <w:bCs/>
        </w:rPr>
        <w:t>interpretable, linear energy</w:t>
      </w:r>
      <w:r w:rsidRPr="003A0A86">
        <w:t xml:space="preserve"> that </w:t>
      </w:r>
      <w:r w:rsidRPr="003A0A86">
        <w:rPr>
          <w:b/>
          <w:bCs/>
        </w:rPr>
        <w:t>predicts</w:t>
      </w:r>
      <w:r w:rsidRPr="003A0A86">
        <w:t xml:space="preserve"> which edits will stabilize complexes. Empirically, designs that increased </w:t>
      </w:r>
      <w:r w:rsidRPr="003A0A86">
        <w:rPr>
          <w:b/>
          <w:bCs/>
          <w:lang w:val="el-GR"/>
        </w:rPr>
        <w:t>Δ</w:t>
      </w:r>
      <w:r w:rsidRPr="003A0A86">
        <w:rPr>
          <w:b/>
          <w:bCs/>
        </w:rPr>
        <w:t>SASA\Delta\mathrm{SASA}</w:t>
      </w:r>
      <w:r w:rsidRPr="003A0A86">
        <w:rPr>
          <w:b/>
          <w:bCs/>
          <w:lang w:val="el-GR"/>
        </w:rPr>
        <w:t>Δ</w:t>
      </w:r>
      <w:r w:rsidRPr="003A0A86">
        <w:rPr>
          <w:b/>
          <w:bCs/>
        </w:rPr>
        <w:t>SASA</w:t>
      </w:r>
      <w:r w:rsidRPr="003A0A86">
        <w:t xml:space="preserve"> improved </w:t>
      </w:r>
      <w:r w:rsidRPr="003A0A86">
        <w:rPr>
          <w:b/>
          <w:bCs/>
          <w:lang w:val="el-GR"/>
        </w:rPr>
        <w:t>Δ</w:t>
      </w:r>
      <w:r w:rsidRPr="003A0A86">
        <w:rPr>
          <w:b/>
          <w:bCs/>
        </w:rPr>
        <w:t>G^tot\widehat{\Delta G}_{\text{tot}}</w:t>
      </w:r>
      <w:r w:rsidRPr="003A0A86">
        <w:rPr>
          <w:b/>
          <w:bCs/>
          <w:lang w:val="el-GR"/>
        </w:rPr>
        <w:t>Δ</w:t>
      </w:r>
      <w:r w:rsidRPr="003A0A86">
        <w:rPr>
          <w:b/>
          <w:bCs/>
        </w:rPr>
        <w:t>Gtot​</w:t>
      </w:r>
      <w:r w:rsidRPr="003A0A86">
        <w:t xml:space="preserve"> (Eq. 10.7), </w:t>
      </w:r>
      <w:r w:rsidRPr="003A0A86">
        <w:rPr>
          <w:b/>
          <w:bCs/>
        </w:rPr>
        <w:t>deepened protease binding</w:t>
      </w:r>
      <w:r w:rsidRPr="003A0A86">
        <w:t xml:space="preserve">, </w:t>
      </w:r>
      <w:r w:rsidRPr="003A0A86">
        <w:rPr>
          <w:b/>
          <w:bCs/>
        </w:rPr>
        <w:t>amplified ERC signaling</w:t>
      </w:r>
      <w:r w:rsidRPr="003A0A86">
        <w:t xml:space="preserve">, and </w:t>
      </w:r>
      <w:r w:rsidRPr="003A0A86">
        <w:rPr>
          <w:b/>
          <w:bCs/>
        </w:rPr>
        <w:t>expanded CD34⁺/CD45⁺</w:t>
      </w:r>
      <w:r w:rsidRPr="003A0A86">
        <w:t xml:space="preserve"> and </w:t>
      </w:r>
      <w:r w:rsidRPr="003A0A86">
        <w:rPr>
          <w:b/>
          <w:bCs/>
        </w:rPr>
        <w:t>CD133⁺</w:t>
      </w:r>
      <w:r w:rsidRPr="003A0A86">
        <w:t xml:space="preserve"> compartments—</w:t>
      </w:r>
      <w:r w:rsidRPr="003A0A86">
        <w:rPr>
          <w:b/>
          <w:bCs/>
        </w:rPr>
        <w:t>micro→macro consistency</w:t>
      </w:r>
      <w:r w:rsidRPr="003A0A86">
        <w:t xml:space="preserve"> that would be unlikely under a spurious scoring tweak.</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19" style="width:0;height:1.5pt" o:hralign="center" o:hrstd="t" o:hr="t" fillcolor="#a0a0a0" stroked="f"/>
        </w:pict>
      </w:r>
    </w:p>
    <w:p w:rsidR="003A0A86" w:rsidRPr="003A0A86" w:rsidRDefault="003A0A86" w:rsidP="003A0A86">
      <w:pPr>
        <w:jc w:val="left"/>
        <w:outlineLvl w:val="1"/>
        <w:rPr>
          <w:b/>
          <w:bCs/>
        </w:rPr>
      </w:pPr>
      <w:r w:rsidRPr="003A0A86">
        <w:rPr>
          <w:b/>
          <w:bCs/>
        </w:rPr>
        <w:t>12.9 Data hygiene and integrity checks</w:t>
      </w:r>
    </w:p>
    <w:p w:rsidR="003A0A86" w:rsidRPr="003A0A86" w:rsidRDefault="003A0A86" w:rsidP="003A0A86">
      <w:pPr>
        <w:jc w:val="left"/>
        <w:outlineLvl w:val="9"/>
      </w:pPr>
      <w:r w:rsidRPr="003A0A86">
        <w:t>Two housekeeping checks protect interpretability:</w:t>
      </w:r>
    </w:p>
    <w:p w:rsidR="003A0A86" w:rsidRPr="003A0A86" w:rsidRDefault="003A0A86" w:rsidP="008F4646">
      <w:pPr>
        <w:numPr>
          <w:ilvl w:val="0"/>
          <w:numId w:val="16"/>
        </w:numPr>
        <w:jc w:val="left"/>
        <w:outlineLvl w:val="9"/>
      </w:pPr>
      <w:r w:rsidRPr="003A0A86">
        <w:rPr>
          <w:b/>
          <w:bCs/>
        </w:rPr>
        <w:t>Event composition and viability</w:t>
      </w:r>
      <w:r w:rsidRPr="003A0A86">
        <w:t xml:space="preserve"> stayed in plausible bands: lymphocytes ≈20–30%\approx 20\text{–}30\%≈20–30%, </w:t>
      </w:r>
      <w:r w:rsidRPr="003A0A86">
        <w:rPr>
          <w:b/>
          <w:bCs/>
        </w:rPr>
        <w:t>viability</w:t>
      </w:r>
      <w:r w:rsidRPr="003A0A86">
        <w:t xml:space="preserve"> 93–96%93\text{–}96\%93–96% (7-AAD), and </w:t>
      </w:r>
      <w:r w:rsidRPr="003A0A86">
        <w:rPr>
          <w:b/>
          <w:bCs/>
        </w:rPr>
        <w:t>beads</w:t>
      </w:r>
      <w:r w:rsidRPr="003A0A86">
        <w:t xml:space="preserve"> 3–6%3\text{–}6\%3–6%, indicating </w:t>
      </w:r>
      <w:r w:rsidRPr="003A0A86">
        <w:rPr>
          <w:b/>
          <w:bCs/>
        </w:rPr>
        <w:t>instrument stability</w:t>
      </w:r>
      <w:r w:rsidRPr="003A0A86">
        <w:t xml:space="preserve"> and faithful </w:t>
      </w:r>
      <w:r w:rsidRPr="003A0A86">
        <w:rPr>
          <w:b/>
          <w:bCs/>
        </w:rPr>
        <w:t>absolute counts</w:t>
      </w:r>
      <w:r w:rsidRPr="003A0A86">
        <w:t>.</w:t>
      </w:r>
    </w:p>
    <w:p w:rsidR="003A0A86" w:rsidRPr="003A0A86" w:rsidRDefault="003A0A86" w:rsidP="008F4646">
      <w:pPr>
        <w:numPr>
          <w:ilvl w:val="0"/>
          <w:numId w:val="16"/>
        </w:numPr>
        <w:jc w:val="left"/>
        <w:outlineLvl w:val="9"/>
      </w:pPr>
      <w:r w:rsidRPr="003A0A86">
        <w:rPr>
          <w:b/>
          <w:bCs/>
        </w:rPr>
        <w:t>Unit sanity</w:t>
      </w:r>
      <w:r w:rsidRPr="003A0A86">
        <w:t xml:space="preserve">: any stray “percent” values inconsistent with sub-2% CD34⁺ baselines were traced to </w:t>
      </w:r>
      <w:r w:rsidRPr="003A0A86">
        <w:rPr>
          <w:b/>
          <w:bCs/>
        </w:rPr>
        <w:t>formatting (comma vs decimal) or unit mislabels</w:t>
      </w:r>
      <w:r w:rsidRPr="003A0A86">
        <w:t>. Before finalization,</w:t>
      </w:r>
      <w:r w:rsidR="00356057">
        <w:t xml:space="preserve"> I </w:t>
      </w:r>
      <w:r w:rsidRPr="003A0A86">
        <w:t xml:space="preserve">audited tables/plots, </w:t>
      </w:r>
      <w:r w:rsidRPr="003A0A86">
        <w:rPr>
          <w:b/>
          <w:bCs/>
        </w:rPr>
        <w:t>standardized units</w:t>
      </w:r>
      <w:r w:rsidRPr="003A0A86">
        <w:t xml:space="preserve">, and </w:t>
      </w:r>
      <w:r w:rsidRPr="003A0A86">
        <w:rPr>
          <w:b/>
          <w:bCs/>
        </w:rPr>
        <w:t>recomputed statistics</w:t>
      </w:r>
      <w:r w:rsidRPr="003A0A86">
        <w:t xml:space="preserve"> on corrected series.</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0" style="width:0;height:1.5pt" o:hralign="center" o:hrstd="t" o:hr="t" fillcolor="#a0a0a0" stroked="f"/>
        </w:pict>
      </w:r>
    </w:p>
    <w:p w:rsidR="003A0A86" w:rsidRPr="003A0A86" w:rsidRDefault="003A0A86" w:rsidP="003A0A86">
      <w:pPr>
        <w:jc w:val="left"/>
        <w:outlineLvl w:val="0"/>
        <w:rPr>
          <w:b/>
          <w:bCs/>
          <w:kern w:val="36"/>
        </w:rPr>
      </w:pPr>
      <w:r w:rsidRPr="003A0A86">
        <w:rPr>
          <w:b/>
          <w:bCs/>
          <w:kern w:val="36"/>
        </w:rPr>
        <w:t>12.1 Stemaflex-Augmented QAOA/CV Methodology — Verification &amp; Comparative Performance</w:t>
      </w:r>
    </w:p>
    <w:p w:rsidR="003A0A86" w:rsidRPr="003A0A86" w:rsidRDefault="003A0A86" w:rsidP="003A0A86">
      <w:pPr>
        <w:jc w:val="left"/>
        <w:outlineLvl w:val="1"/>
        <w:rPr>
          <w:b/>
          <w:bCs/>
        </w:rPr>
      </w:pPr>
      <w:r w:rsidRPr="003A0A86">
        <w:rPr>
          <w:b/>
          <w:bCs/>
        </w:rPr>
        <w:t>12.1.1 Problem framing and learners</w:t>
      </w:r>
    </w:p>
    <w:p w:rsidR="003A0A86" w:rsidRPr="003A0A86" w:rsidRDefault="003A0A86" w:rsidP="003A0A86">
      <w:pPr>
        <w:jc w:val="left"/>
        <w:outlineLvl w:val="9"/>
        <w:rPr>
          <w:lang w:val="el-GR"/>
        </w:rPr>
      </w:pPr>
      <w:r w:rsidRPr="003A0A86">
        <w:t xml:space="preserve">Binding free energy prediction is central to prioritization. Classical </w:t>
      </w:r>
      <w:r w:rsidRPr="003A0A86">
        <w:rPr>
          <w:b/>
          <w:bCs/>
        </w:rPr>
        <w:t>docking</w:t>
      </w:r>
      <w:r w:rsidRPr="003A0A86">
        <w:t xml:space="preserve"> and </w:t>
      </w:r>
      <w:r w:rsidRPr="003A0A86">
        <w:rPr>
          <w:b/>
          <w:bCs/>
        </w:rPr>
        <w:t>MM-PBSA</w:t>
      </w:r>
      <w:r w:rsidRPr="003A0A86">
        <w:t xml:space="preserve"> are accessible but miss </w:t>
      </w:r>
      <w:r w:rsidRPr="003A0A86">
        <w:rPr>
          <w:b/>
          <w:bCs/>
        </w:rPr>
        <w:t>nonlinear solvent</w:t>
      </w:r>
      <w:r w:rsidRPr="003A0A86">
        <w:t xml:space="preserve">, </w:t>
      </w:r>
      <w:r w:rsidRPr="003A0A86">
        <w:rPr>
          <w:b/>
          <w:bCs/>
        </w:rPr>
        <w:t>entropic</w:t>
      </w:r>
      <w:r w:rsidRPr="003A0A86">
        <w:t xml:space="preserve">, and </w:t>
      </w:r>
      <w:r w:rsidRPr="003A0A86">
        <w:rPr>
          <w:b/>
          <w:bCs/>
        </w:rPr>
        <w:t>cofactor</w:t>
      </w:r>
      <w:r w:rsidRPr="003A0A86">
        <w:t xml:space="preserve"> effects.</w:t>
      </w:r>
      <w:r w:rsidR="00356057">
        <w:t xml:space="preserve"> I </w:t>
      </w:r>
      <w:r w:rsidRPr="003A0A86">
        <w:rPr>
          <w:lang w:val="el-GR"/>
        </w:rPr>
        <w:t xml:space="preserve">therefore evaluated a </w:t>
      </w:r>
      <w:r w:rsidRPr="003A0A86">
        <w:rPr>
          <w:b/>
          <w:bCs/>
          <w:lang w:val="el-GR"/>
        </w:rPr>
        <w:t>hybrid quantum–physics</w:t>
      </w:r>
      <w:r w:rsidRPr="003A0A86">
        <w:rPr>
          <w:lang w:val="el-GR"/>
        </w:rPr>
        <w:t xml:space="preserve"> model:</w:t>
      </w:r>
    </w:p>
    <w:p w:rsidR="003A0A86" w:rsidRPr="003A0A86" w:rsidRDefault="003A0A86" w:rsidP="008F4646">
      <w:pPr>
        <w:numPr>
          <w:ilvl w:val="0"/>
          <w:numId w:val="17"/>
        </w:numPr>
        <w:jc w:val="left"/>
        <w:outlineLvl w:val="9"/>
      </w:pPr>
      <w:r w:rsidRPr="003A0A86">
        <w:t xml:space="preserve">A </w:t>
      </w:r>
      <w:r w:rsidRPr="003A0A86">
        <w:rPr>
          <w:b/>
          <w:bCs/>
        </w:rPr>
        <w:t xml:space="preserve">QAOA block </w:t>
      </w:r>
      <w:r w:rsidRPr="003A0A86">
        <w:rPr>
          <w:rFonts w:ascii="Cambria Math" w:hAnsi="Cambria Math" w:cs="Cambria Math"/>
          <w:b/>
          <w:bCs/>
        </w:rPr>
        <w:t>⊗</w:t>
      </w:r>
      <w:r w:rsidRPr="003A0A86">
        <w:rPr>
          <w:b/>
          <w:bCs/>
        </w:rPr>
        <w:t xml:space="preserve"> parameterized quantum circuit (PQC)</w:t>
      </w:r>
      <w:r w:rsidRPr="003A0A86">
        <w:t xml:space="preserve"> fed by </w:t>
      </w:r>
      <w:r w:rsidRPr="003A0A86">
        <w:rPr>
          <w:b/>
          <w:bCs/>
        </w:rPr>
        <w:t>physics- and geometry-derived features</w:t>
      </w:r>
      <w:r w:rsidRPr="003A0A86">
        <w:t xml:space="preserve"> (energetic components, curvature fingerprints, pharmacophore mismatches, </w:t>
      </w:r>
      <w:r w:rsidRPr="003A0A86">
        <w:rPr>
          <w:lang w:val="el-GR"/>
        </w:rPr>
        <w:t>Δ</w:t>
      </w:r>
      <w:r w:rsidRPr="003A0A86">
        <w:t>SASA\Delta\mathrm{SASA}</w:t>
      </w:r>
      <w:r w:rsidRPr="003A0A86">
        <w:rPr>
          <w:lang w:val="el-GR"/>
        </w:rPr>
        <w:t>Δ</w:t>
      </w:r>
      <w:r w:rsidRPr="003A0A86">
        <w:t>SASA).</w:t>
      </w:r>
    </w:p>
    <w:p w:rsidR="003A0A86" w:rsidRPr="003A0A86" w:rsidRDefault="003A0A86" w:rsidP="008F4646">
      <w:pPr>
        <w:numPr>
          <w:ilvl w:val="0"/>
          <w:numId w:val="17"/>
        </w:numPr>
        <w:jc w:val="left"/>
        <w:outlineLvl w:val="9"/>
      </w:pPr>
      <w:r w:rsidRPr="003A0A86">
        <w:t>Circuit angles {</w:t>
      </w:r>
      <w:r w:rsidRPr="003A0A86">
        <w:rPr>
          <w:lang w:val="el-GR"/>
        </w:rPr>
        <w:t>γ</w:t>
      </w:r>
      <w:r w:rsidRPr="003A0A86">
        <w:t>,</w:t>
      </w:r>
      <w:r w:rsidRPr="003A0A86">
        <w:rPr>
          <w:lang w:val="el-GR"/>
        </w:rPr>
        <w:t>β</w:t>
      </w:r>
      <w:r w:rsidRPr="003A0A86">
        <w:t>,</w:t>
      </w:r>
      <w:r w:rsidRPr="003A0A86">
        <w:rPr>
          <w:lang w:val="el-GR"/>
        </w:rPr>
        <w:t>θ</w:t>
      </w:r>
      <w:r w:rsidRPr="003A0A86">
        <w:t>}\{\gamma,\beta,\theta\}{</w:t>
      </w:r>
      <w:r w:rsidRPr="003A0A86">
        <w:rPr>
          <w:lang w:val="el-GR"/>
        </w:rPr>
        <w:t>γ</w:t>
      </w:r>
      <w:r w:rsidRPr="003A0A86">
        <w:t>,</w:t>
      </w:r>
      <w:r w:rsidRPr="003A0A86">
        <w:rPr>
          <w:lang w:val="el-GR"/>
        </w:rPr>
        <w:t>β</w:t>
      </w:r>
      <w:r w:rsidRPr="003A0A86">
        <w:t>,</w:t>
      </w:r>
      <w:r w:rsidRPr="003A0A86">
        <w:rPr>
          <w:lang w:val="el-GR"/>
        </w:rPr>
        <w:t>θ</w:t>
      </w:r>
      <w:r w:rsidRPr="003A0A86">
        <w:t xml:space="preserve">} trained via </w:t>
      </w:r>
      <w:r w:rsidRPr="003A0A86">
        <w:rPr>
          <w:b/>
          <w:bCs/>
        </w:rPr>
        <w:t>gradient-free SPSA</w:t>
      </w:r>
      <w:r w:rsidRPr="003A0A86">
        <w:t xml:space="preserve"> (and, for comparison, </w:t>
      </w:r>
      <w:r w:rsidRPr="003A0A86">
        <w:rPr>
          <w:b/>
          <w:bCs/>
        </w:rPr>
        <w:t>COBYLA</w:t>
      </w:r>
      <w:r w:rsidRPr="003A0A86">
        <w:t xml:space="preserve">), with labels derived from </w:t>
      </w:r>
      <w:r w:rsidRPr="003A0A86">
        <w:rPr>
          <w:b/>
          <w:bCs/>
          <w:lang w:val="el-GR"/>
        </w:rPr>
        <w:t>Δ</w:t>
      </w:r>
      <w:r w:rsidRPr="003A0A86">
        <w:rPr>
          <w:b/>
          <w:bCs/>
        </w:rPr>
        <w:t>G^tot\widehat{\Delta G}_{\text{tot}}</w:t>
      </w:r>
      <w:r w:rsidRPr="003A0A86">
        <w:rPr>
          <w:b/>
          <w:bCs/>
          <w:lang w:val="el-GR"/>
        </w:rPr>
        <w:t>Δ</w:t>
      </w:r>
      <w:r w:rsidRPr="003A0A86">
        <w:rPr>
          <w:b/>
          <w:bCs/>
        </w:rPr>
        <w:t>Gtot​</w:t>
      </w:r>
      <w:r w:rsidRPr="003A0A86">
        <w:t xml:space="preserve"> and curated experimental subsets.</w:t>
      </w:r>
    </w:p>
    <w:p w:rsidR="003A0A86" w:rsidRPr="003A0A86" w:rsidRDefault="003A0A86" w:rsidP="008F4646">
      <w:pPr>
        <w:numPr>
          <w:ilvl w:val="0"/>
          <w:numId w:val="17"/>
        </w:numPr>
        <w:jc w:val="left"/>
        <w:outlineLvl w:val="9"/>
      </w:pPr>
      <w:r w:rsidRPr="003A0A86">
        <w:t xml:space="preserve">A </w:t>
      </w:r>
      <w:r w:rsidRPr="003A0A86">
        <w:rPr>
          <w:b/>
          <w:bCs/>
        </w:rPr>
        <w:t>GHZ calibration</w:t>
      </w:r>
      <w:r w:rsidRPr="003A0A86">
        <w:t xml:space="preserve"> step (digitized adiabatic path to </w:t>
      </w:r>
      <w:r w:rsidRPr="003A0A86">
        <w:rPr>
          <w:rFonts w:ascii="Cambria Math" w:hAnsi="Cambria Math" w:cs="Cambria Math"/>
        </w:rPr>
        <w:t>∣</w:t>
      </w:r>
      <w:r w:rsidRPr="003A0A86">
        <w:t>GHZ</w:t>
      </w:r>
      <w:r w:rsidRPr="003A0A86">
        <w:rPr>
          <w:rFonts w:ascii="Cambria Math" w:hAnsi="Cambria Math" w:cs="Cambria Math"/>
          <w:lang w:val="el-GR"/>
        </w:rPr>
        <w:t>⟩</w:t>
      </w:r>
      <w:r w:rsidRPr="003A0A86">
        <w:t>=(</w:t>
      </w:r>
      <w:r w:rsidRPr="003A0A86">
        <w:rPr>
          <w:rFonts w:ascii="Cambria Math" w:hAnsi="Cambria Math" w:cs="Cambria Math"/>
        </w:rPr>
        <w:t>∣</w:t>
      </w:r>
      <w:r w:rsidRPr="003A0A86">
        <w:t>000</w:t>
      </w:r>
      <w:r w:rsidRPr="003A0A86">
        <w:rPr>
          <w:rFonts w:ascii="Cambria Math" w:hAnsi="Cambria Math" w:cs="Cambria Math"/>
          <w:lang w:val="el-GR"/>
        </w:rPr>
        <w:t>⟩</w:t>
      </w:r>
      <w:r w:rsidRPr="003A0A86">
        <w:t>+</w:t>
      </w:r>
      <w:r w:rsidRPr="003A0A86">
        <w:rPr>
          <w:rFonts w:ascii="Cambria Math" w:hAnsi="Cambria Math" w:cs="Cambria Math"/>
        </w:rPr>
        <w:t>∣</w:t>
      </w:r>
      <w:r w:rsidRPr="003A0A86">
        <w:t>111</w:t>
      </w:r>
      <w:r w:rsidRPr="003A0A86">
        <w:rPr>
          <w:rFonts w:ascii="Cambria Math" w:hAnsi="Cambria Math" w:cs="Cambria Math"/>
          <w:lang w:val="el-GR"/>
        </w:rPr>
        <w:t>⟩</w:t>
      </w:r>
      <w:r w:rsidRPr="003A0A86">
        <w:t>)/2|\mathrm{GHZ}\rangle=(|000\rangle+|111\rangle)/\sqrt{2}</w:t>
      </w:r>
      <w:r w:rsidRPr="003A0A86">
        <w:rPr>
          <w:rFonts w:ascii="Cambria Math" w:hAnsi="Cambria Math" w:cs="Cambria Math"/>
        </w:rPr>
        <w:t>∣</w:t>
      </w:r>
      <w:r w:rsidRPr="003A0A86">
        <w:t>GHZ</w:t>
      </w:r>
      <w:r w:rsidRPr="003A0A86">
        <w:rPr>
          <w:rFonts w:ascii="Cambria Math" w:hAnsi="Cambria Math" w:cs="Cambria Math"/>
          <w:lang w:val="el-GR"/>
        </w:rPr>
        <w:t>⟩</w:t>
      </w:r>
      <w:r w:rsidRPr="003A0A86">
        <w:t>=(</w:t>
      </w:r>
      <w:r w:rsidRPr="003A0A86">
        <w:rPr>
          <w:rFonts w:ascii="Cambria Math" w:hAnsi="Cambria Math" w:cs="Cambria Math"/>
        </w:rPr>
        <w:t>∣</w:t>
      </w:r>
      <w:r w:rsidRPr="003A0A86">
        <w:t>000</w:t>
      </w:r>
      <w:r w:rsidRPr="003A0A86">
        <w:rPr>
          <w:rFonts w:ascii="Cambria Math" w:hAnsi="Cambria Math" w:cs="Cambria Math"/>
          <w:lang w:val="el-GR"/>
        </w:rPr>
        <w:t>⟩</w:t>
      </w:r>
      <w:r w:rsidRPr="003A0A86">
        <w:t>+</w:t>
      </w:r>
      <w:r w:rsidRPr="003A0A86">
        <w:rPr>
          <w:rFonts w:ascii="Cambria Math" w:hAnsi="Cambria Math" w:cs="Cambria Math"/>
        </w:rPr>
        <w:t>∣</w:t>
      </w:r>
      <w:r w:rsidRPr="003A0A86">
        <w:t>111</w:t>
      </w:r>
      <w:r w:rsidRPr="003A0A86">
        <w:rPr>
          <w:rFonts w:ascii="Cambria Math" w:hAnsi="Cambria Math" w:cs="Cambria Math"/>
          <w:lang w:val="el-GR"/>
        </w:rPr>
        <w:t>⟩</w:t>
      </w:r>
      <w:r w:rsidRPr="003A0A86">
        <w:t xml:space="preserve">)/2​) that </w:t>
      </w:r>
      <w:r w:rsidRPr="003A0A86">
        <w:rPr>
          <w:b/>
          <w:bCs/>
        </w:rPr>
        <w:t>gates circuits</w:t>
      </w:r>
      <w:r w:rsidRPr="003A0A86">
        <w:t xml:space="preserve"> by </w:t>
      </w:r>
      <w:r w:rsidRPr="003A0A86">
        <w:rPr>
          <w:b/>
          <w:bCs/>
        </w:rPr>
        <w:t>von Neumann entropy</w:t>
      </w:r>
      <w:r w:rsidRPr="003A0A86">
        <w:t xml:space="preserve"> and a </w:t>
      </w:r>
      <w:r w:rsidRPr="003A0A86">
        <w:rPr>
          <w:b/>
          <w:bCs/>
        </w:rPr>
        <w:t>GHZ witness</w:t>
      </w:r>
      <w:r w:rsidRPr="003A0A86">
        <w:t xml:space="preserve"> prior to training.</w:t>
      </w:r>
    </w:p>
    <w:p w:rsidR="003A0A86" w:rsidRPr="003A0A86" w:rsidRDefault="003A0A86" w:rsidP="003A0A86">
      <w:pPr>
        <w:jc w:val="left"/>
        <w:outlineLvl w:val="9"/>
      </w:pPr>
      <w:r w:rsidRPr="003A0A86">
        <w:t xml:space="preserve">We further tested </w:t>
      </w:r>
      <w:r w:rsidRPr="003A0A86">
        <w:rPr>
          <w:b/>
          <w:bCs/>
        </w:rPr>
        <w:t>Stemaflex™ cofactors</w:t>
      </w:r>
      <w:r w:rsidRPr="003A0A86">
        <w:t xml:space="preserve">—peptide–polyphenol hybrids (e.g., Stemaflex-16•MMP, •NE, •ERC)—as </w:t>
      </w:r>
      <w:r w:rsidRPr="003A0A86">
        <w:rPr>
          <w:b/>
          <w:bCs/>
        </w:rPr>
        <w:t>explicit context</w:t>
      </w:r>
      <w:r w:rsidRPr="003A0A86">
        <w:t xml:space="preserve"> in docking and cross-validation (CV) splits to probe whether </w:t>
      </w:r>
      <w:r w:rsidRPr="003A0A86">
        <w:rPr>
          <w:b/>
          <w:bCs/>
        </w:rPr>
        <w:t>cooperative stabilization</w:t>
      </w:r>
      <w:r w:rsidRPr="003A0A86">
        <w:t xml:space="preserve"> improves out-of-fold prediction.</w:t>
      </w:r>
    </w:p>
    <w:p w:rsidR="003A0A86" w:rsidRPr="003A0A86" w:rsidRDefault="003A0A86" w:rsidP="003A0A86">
      <w:pPr>
        <w:jc w:val="left"/>
        <w:outlineLvl w:val="1"/>
        <w:rPr>
          <w:b/>
          <w:bCs/>
        </w:rPr>
      </w:pPr>
      <w:r w:rsidRPr="003A0A86">
        <w:rPr>
          <w:b/>
          <w:bCs/>
        </w:rPr>
        <w:t>12.1.2 GHZ-calibrated fidelity prior</w:t>
      </w:r>
    </w:p>
    <w:p w:rsidR="003A0A86" w:rsidRPr="003A0A86" w:rsidRDefault="003A0A86" w:rsidP="003A0A86">
      <w:pPr>
        <w:jc w:val="left"/>
        <w:outlineLvl w:val="9"/>
      </w:pPr>
      <w:r w:rsidRPr="003A0A86">
        <w:t>We prepare GHZ by a short, digitized adiabatic schedule: initialize three spins in a uniform xxx-field and vary the Hamiltonian linearly</w:t>
      </w:r>
    </w:p>
    <w:p w:rsidR="003A0A86" w:rsidRPr="003A0A86" w:rsidRDefault="003A0A86" w:rsidP="003A0A86">
      <w:pPr>
        <w:spacing w:before="0" w:beforeAutospacing="0" w:after="0" w:afterAutospacing="0"/>
        <w:jc w:val="left"/>
        <w:outlineLvl w:val="9"/>
      </w:pPr>
      <w:r w:rsidRPr="003A0A86">
        <w:t>H0=−Bx(</w:t>
      </w:r>
      <w:r w:rsidRPr="003A0A86">
        <w:rPr>
          <w:lang w:val="el-GR"/>
        </w:rPr>
        <w:t>σ</w:t>
      </w:r>
      <w:r w:rsidRPr="003A0A86">
        <w:t>x,1+</w:t>
      </w:r>
      <w:r w:rsidRPr="003A0A86">
        <w:rPr>
          <w:lang w:val="el-GR"/>
        </w:rPr>
        <w:t>σ</w:t>
      </w:r>
      <w:r w:rsidRPr="003A0A86">
        <w:t>x,2+</w:t>
      </w:r>
      <w:r w:rsidRPr="003A0A86">
        <w:rPr>
          <w:lang w:val="el-GR"/>
        </w:rPr>
        <w:t>σ</w:t>
      </w:r>
      <w:r w:rsidRPr="003A0A86">
        <w:t>x,3)→Hf=−Jzz(</w:t>
      </w:r>
      <w:r w:rsidRPr="003A0A86">
        <w:rPr>
          <w:lang w:val="el-GR"/>
        </w:rPr>
        <w:t>σ</w:t>
      </w:r>
      <w:r w:rsidRPr="003A0A86">
        <w:t>z,1 ⁣</w:t>
      </w:r>
      <w:r w:rsidRPr="003A0A86">
        <w:rPr>
          <w:rFonts w:ascii="Cambria Math" w:hAnsi="Cambria Math" w:cs="Cambria Math"/>
        </w:rPr>
        <w:t>⊗</w:t>
      </w:r>
      <w:r w:rsidRPr="003A0A86">
        <w:t> ⁣</w:t>
      </w:r>
      <w:r w:rsidRPr="003A0A86">
        <w:rPr>
          <w:lang w:val="el-GR"/>
        </w:rPr>
        <w:t>σ</w:t>
      </w:r>
      <w:r w:rsidRPr="003A0A86">
        <w:t>z,2+</w:t>
      </w:r>
      <w:r w:rsidRPr="003A0A86">
        <w:rPr>
          <w:lang w:val="el-GR"/>
        </w:rPr>
        <w:t>σ</w:t>
      </w:r>
      <w:r w:rsidRPr="003A0A86">
        <w:t>z,2 ⁣</w:t>
      </w:r>
      <w:r w:rsidRPr="003A0A86">
        <w:rPr>
          <w:rFonts w:ascii="Cambria Math" w:hAnsi="Cambria Math" w:cs="Cambria Math"/>
        </w:rPr>
        <w:t>⊗</w:t>
      </w:r>
      <w:r w:rsidRPr="003A0A86">
        <w:t> ⁣</w:t>
      </w:r>
      <w:r w:rsidRPr="003A0A86">
        <w:rPr>
          <w:lang w:val="el-GR"/>
        </w:rPr>
        <w:t>σ</w:t>
      </w:r>
      <w:r w:rsidRPr="003A0A86">
        <w:t>z,3),H_0=-B_x(\sigma_{x,1}+\sigma_{x,2}+\sigma_{x,3}) \to H_f=-J_{zz}(\sigma_{z,1}\!\otimes\!\sigma_{z,2}+\sigma_{z,2}\!\otimes\!\sigma_{z,3}),H0​=−Bx​(</w:t>
      </w:r>
      <w:r w:rsidRPr="003A0A86">
        <w:rPr>
          <w:lang w:val="el-GR"/>
        </w:rPr>
        <w:t>σ</w:t>
      </w:r>
      <w:r w:rsidRPr="003A0A86">
        <w:t>x,1​+</w:t>
      </w:r>
      <w:r w:rsidRPr="003A0A86">
        <w:rPr>
          <w:lang w:val="el-GR"/>
        </w:rPr>
        <w:t>σ</w:t>
      </w:r>
      <w:r w:rsidRPr="003A0A86">
        <w:t>x,2​+</w:t>
      </w:r>
      <w:r w:rsidRPr="003A0A86">
        <w:rPr>
          <w:lang w:val="el-GR"/>
        </w:rPr>
        <w:t>σ</w:t>
      </w:r>
      <w:r w:rsidRPr="003A0A86">
        <w:t>x,3​)→Hf​=−Jzz​(</w:t>
      </w:r>
      <w:r w:rsidRPr="003A0A86">
        <w:rPr>
          <w:lang w:val="el-GR"/>
        </w:rPr>
        <w:t>σ</w:t>
      </w:r>
      <w:r w:rsidRPr="003A0A86">
        <w:t>z,1​</w:t>
      </w:r>
      <w:r w:rsidRPr="003A0A86">
        <w:rPr>
          <w:rFonts w:ascii="Cambria Math" w:hAnsi="Cambria Math" w:cs="Cambria Math"/>
        </w:rPr>
        <w:t>⊗</w:t>
      </w:r>
      <w:r w:rsidRPr="003A0A86">
        <w:rPr>
          <w:lang w:val="el-GR"/>
        </w:rPr>
        <w:t>σ</w:t>
      </w:r>
      <w:r w:rsidRPr="003A0A86">
        <w:t>z,2​+</w:t>
      </w:r>
      <w:r w:rsidRPr="003A0A86">
        <w:rPr>
          <w:lang w:val="el-GR"/>
        </w:rPr>
        <w:t>σ</w:t>
      </w:r>
      <w:r w:rsidRPr="003A0A86">
        <w:t>z,2​</w:t>
      </w:r>
      <w:r w:rsidRPr="003A0A86">
        <w:rPr>
          <w:rFonts w:ascii="Cambria Math" w:hAnsi="Cambria Math" w:cs="Cambria Math"/>
        </w:rPr>
        <w:t>⊗</w:t>
      </w:r>
      <w:r w:rsidRPr="003A0A86">
        <w:rPr>
          <w:lang w:val="el-GR"/>
        </w:rPr>
        <w:t>σ</w:t>
      </w:r>
      <w:r w:rsidRPr="003A0A86">
        <w:t xml:space="preserve">z,3​), </w:t>
      </w:r>
    </w:p>
    <w:p w:rsidR="003A0A86" w:rsidRPr="003A0A86" w:rsidRDefault="003A0A86" w:rsidP="003A0A86">
      <w:pPr>
        <w:jc w:val="left"/>
        <w:outlineLvl w:val="9"/>
      </w:pPr>
      <w:r w:rsidRPr="003A0A86">
        <w:t>with H(s)=sHf+(1−s)H0, s=t/T</w:t>
      </w:r>
      <w:r w:rsidRPr="003A0A86">
        <w:rPr>
          <w:rFonts w:ascii="Cambria Math" w:hAnsi="Cambria Math" w:cs="Cambria Math"/>
        </w:rPr>
        <w:t>∈</w:t>
      </w:r>
      <w:r w:rsidRPr="003A0A86">
        <w:t>[0,1]H(s)=sH_f+(1-s)H_0,\, s=t/T\in[0,1]H(s)=sHf​+(1−s)H0​,s=t/T</w:t>
      </w:r>
      <w:r w:rsidRPr="003A0A86">
        <w:rPr>
          <w:rFonts w:ascii="Cambria Math" w:hAnsi="Cambria Math" w:cs="Cambria Math"/>
        </w:rPr>
        <w:t>∈</w:t>
      </w:r>
      <w:r w:rsidRPr="003A0A86">
        <w:t xml:space="preserve">[0,1], Trotterized in </w:t>
      </w:r>
      <w:r w:rsidRPr="003A0A86">
        <w:rPr>
          <w:b/>
          <w:bCs/>
        </w:rPr>
        <w:t>eight steps</w:t>
      </w:r>
      <w:r w:rsidRPr="003A0A86">
        <w:t>.</w:t>
      </w:r>
      <w:r w:rsidR="00356057">
        <w:t xml:space="preserve"> I </w:t>
      </w:r>
      <w:r w:rsidRPr="003A0A86">
        <w:t xml:space="preserve">perform </w:t>
      </w:r>
      <w:r w:rsidRPr="003A0A86">
        <w:rPr>
          <w:b/>
          <w:bCs/>
        </w:rPr>
        <w:t>tomography</w:t>
      </w:r>
      <w:r w:rsidRPr="003A0A86">
        <w:t xml:space="preserve">, compute </w:t>
      </w:r>
      <w:r w:rsidRPr="003A0A86">
        <w:rPr>
          <w:b/>
          <w:bCs/>
        </w:rPr>
        <w:t>von Neumann entropy</w:t>
      </w:r>
      <w:r w:rsidRPr="003A0A86">
        <w:t xml:space="preserve"> (near-zero in ideal evolution), and evaluate a </w:t>
      </w:r>
      <w:r w:rsidRPr="003A0A86">
        <w:rPr>
          <w:b/>
          <w:bCs/>
        </w:rPr>
        <w:t>GHZ witness</w:t>
      </w:r>
      <w:r w:rsidRPr="003A0A86">
        <w:t xml:space="preserve">. </w:t>
      </w:r>
      <w:r w:rsidRPr="003A0A86">
        <w:rPr>
          <w:b/>
          <w:bCs/>
        </w:rPr>
        <w:t>Circuits that miss thresholds are rejected</w:t>
      </w:r>
      <w:r w:rsidRPr="003A0A86">
        <w:t xml:space="preserve">. This </w:t>
      </w:r>
      <w:r w:rsidRPr="003A0A86">
        <w:rPr>
          <w:b/>
          <w:bCs/>
        </w:rPr>
        <w:t>links device quality to downstream prediction reliability</w:t>
      </w:r>
      <w:r w:rsidRPr="003A0A86">
        <w:t xml:space="preserve"> and prevents learning on </w:t>
      </w:r>
      <w:r w:rsidRPr="003A0A86">
        <w:rPr>
          <w:b/>
          <w:bCs/>
        </w:rPr>
        <w:t>noisy, under-entangled</w:t>
      </w:r>
      <w:r w:rsidRPr="003A0A86">
        <w:t xml:space="preserve"> hardware states.</w:t>
      </w:r>
    </w:p>
    <w:p w:rsidR="003A0A86" w:rsidRPr="003A0A86" w:rsidRDefault="003A0A86" w:rsidP="003A0A86">
      <w:pPr>
        <w:jc w:val="left"/>
        <w:outlineLvl w:val="1"/>
        <w:rPr>
          <w:b/>
          <w:bCs/>
        </w:rPr>
      </w:pPr>
      <w:r w:rsidRPr="003A0A86">
        <w:rPr>
          <w:b/>
          <w:bCs/>
        </w:rPr>
        <w:t>12.1.3 Comparative performance</w:t>
      </w:r>
    </w:p>
    <w:p w:rsidR="003A0A86" w:rsidRPr="003A0A86" w:rsidRDefault="003A0A86" w:rsidP="003A0A86">
      <w:pPr>
        <w:jc w:val="left"/>
        <w:outlineLvl w:val="9"/>
      </w:pPr>
      <w:r w:rsidRPr="003A0A86">
        <w:t xml:space="preserve">Across targets and folds, the </w:t>
      </w:r>
      <w:r w:rsidRPr="003A0A86">
        <w:rPr>
          <w:b/>
          <w:bCs/>
        </w:rPr>
        <w:t>quantum model</w:t>
      </w:r>
      <w:r w:rsidRPr="003A0A86">
        <w:t xml:space="preserve"> achieved </w:t>
      </w:r>
      <w:r w:rsidRPr="003A0A86">
        <w:rPr>
          <w:b/>
          <w:bCs/>
        </w:rPr>
        <w:t>the lowest MSE</w:t>
      </w:r>
      <w:r w:rsidRPr="003A0A86">
        <w:t xml:space="preserve"> on held-out sets; the </w:t>
      </w:r>
      <w:r w:rsidRPr="003A0A86">
        <w:rPr>
          <w:b/>
          <w:bCs/>
          <w:lang w:val="el-GR"/>
        </w:rPr>
        <w:t>γ</w:t>
      </w:r>
      <w:r w:rsidRPr="003A0A86">
        <w:rPr>
          <w:b/>
          <w:bCs/>
        </w:rPr>
        <w:t>-corrected physics</w:t>
      </w:r>
      <w:r w:rsidRPr="003A0A86">
        <w:t xml:space="preserve"> (</w:t>
      </w:r>
      <w:r w:rsidRPr="003A0A86">
        <w:rPr>
          <w:lang w:val="el-GR"/>
        </w:rPr>
        <w:t>Δ</w:t>
      </w:r>
      <w:r w:rsidRPr="003A0A86">
        <w:t>\Delta</w:t>
      </w:r>
      <w:r w:rsidRPr="003A0A86">
        <w:rPr>
          <w:lang w:val="el-GR"/>
        </w:rPr>
        <w:t>Δ</w:t>
      </w:r>
      <w:r w:rsidRPr="003A0A86">
        <w:t xml:space="preserve">MM-PBSA + </w:t>
      </w:r>
      <w:r w:rsidRPr="003A0A86">
        <w:rPr>
          <w:lang w:val="el-GR"/>
        </w:rPr>
        <w:t>γ</w:t>
      </w:r>
      <w:r w:rsidRPr="003A0A86">
        <w:t> </w:t>
      </w:r>
      <w:r w:rsidRPr="003A0A86">
        <w:rPr>
          <w:lang w:val="el-GR"/>
        </w:rPr>
        <w:t>Δ</w:t>
      </w:r>
      <w:r w:rsidRPr="003A0A86">
        <w:t>\gamma\,\Delta</w:t>
      </w:r>
      <w:r w:rsidRPr="003A0A86">
        <w:rPr>
          <w:lang w:val="el-GR"/>
        </w:rPr>
        <w:t>γΔ</w:t>
      </w:r>
      <w:r w:rsidRPr="003A0A86">
        <w:t xml:space="preserve">SASA, </w:t>
      </w:r>
      <w:r w:rsidRPr="003A0A86">
        <w:rPr>
          <w:lang w:val="el-GR"/>
        </w:rPr>
        <w:t>γ</w:t>
      </w:r>
      <w:r w:rsidRPr="003A0A86">
        <w:t>=0.005\gamma=0.005</w:t>
      </w:r>
      <w:r w:rsidRPr="003A0A86">
        <w:rPr>
          <w:lang w:val="el-GR"/>
        </w:rPr>
        <w:t>γ</w:t>
      </w:r>
      <w:r w:rsidRPr="003A0A86">
        <w:t xml:space="preserve">=0.005) ranked second; </w:t>
      </w:r>
      <w:r w:rsidRPr="003A0A86">
        <w:rPr>
          <w:b/>
          <w:bCs/>
        </w:rPr>
        <w:t>ridge</w:t>
      </w:r>
      <w:r w:rsidRPr="003A0A86">
        <w:t xml:space="preserve">, </w:t>
      </w:r>
      <w:r w:rsidRPr="003A0A86">
        <w:rPr>
          <w:b/>
          <w:bCs/>
        </w:rPr>
        <w:t>raw MM-PBSA</w:t>
      </w:r>
      <w:r w:rsidRPr="003A0A86">
        <w:t xml:space="preserve">, and </w:t>
      </w:r>
      <w:r w:rsidRPr="003A0A86">
        <w:rPr>
          <w:b/>
          <w:bCs/>
        </w:rPr>
        <w:t>docking</w:t>
      </w:r>
      <w:r w:rsidRPr="003A0A86">
        <w:t xml:space="preserve"> trailed. </w:t>
      </w:r>
      <w:r w:rsidRPr="003A0A86">
        <w:rPr>
          <w:b/>
          <w:bCs/>
        </w:rPr>
        <w:t>Parity plots</w:t>
      </w:r>
      <w:r w:rsidRPr="003A0A86">
        <w:t xml:space="preserve"> showed the quantum predictions hugging </w:t>
      </w:r>
      <w:r w:rsidRPr="003A0A86">
        <w:rPr>
          <w:b/>
          <w:bCs/>
        </w:rPr>
        <w:t>y=xy=xy=x</w:t>
      </w:r>
      <w:r w:rsidRPr="003A0A86">
        <w:t>, with tight residuals.</w:t>
      </w:r>
    </w:p>
    <w:p w:rsidR="003A0A86" w:rsidRPr="003A0A86" w:rsidRDefault="003A0A86" w:rsidP="003A0A86">
      <w:pPr>
        <w:jc w:val="left"/>
        <w:outlineLvl w:val="9"/>
      </w:pPr>
      <w:r w:rsidRPr="003A0A86">
        <w:rPr>
          <w:b/>
          <w:bCs/>
        </w:rPr>
        <w:t>Including Stemaflex cofactors</w:t>
      </w:r>
      <w:r w:rsidRPr="003A0A86">
        <w:t xml:space="preserve"> in docking and CV splits </w:t>
      </w:r>
      <w:r w:rsidRPr="003A0A86">
        <w:rPr>
          <w:b/>
          <w:bCs/>
        </w:rPr>
        <w:t>reduced error further</w:t>
      </w:r>
      <w:r w:rsidRPr="003A0A86">
        <w:t xml:space="preserve"> and </w:t>
      </w:r>
      <w:r w:rsidRPr="003A0A86">
        <w:rPr>
          <w:b/>
          <w:bCs/>
        </w:rPr>
        <w:t>tightened parity</w:t>
      </w:r>
      <w:r w:rsidRPr="003A0A86">
        <w:t xml:space="preserve">, especially in chemotypes with </w:t>
      </w:r>
      <w:r w:rsidRPr="003A0A86">
        <w:rPr>
          <w:b/>
          <w:bCs/>
        </w:rPr>
        <w:t>cooperative binding</w:t>
      </w:r>
      <w:r w:rsidRPr="003A0A86">
        <w:t xml:space="preserve">. In contrast, </w:t>
      </w:r>
      <w:r w:rsidRPr="003A0A86">
        <w:rPr>
          <w:b/>
          <w:bCs/>
        </w:rPr>
        <w:t>docking without cofactors</w:t>
      </w:r>
      <w:r w:rsidRPr="003A0A86">
        <w:t xml:space="preserve"> under-predicted stabilization and </w:t>
      </w:r>
      <w:r w:rsidRPr="003A0A86">
        <w:rPr>
          <w:b/>
          <w:bCs/>
        </w:rPr>
        <w:t>missed cooperativity</w:t>
      </w:r>
      <w:r w:rsidRPr="003A0A86">
        <w:t>.</w:t>
      </w:r>
    </w:p>
    <w:p w:rsidR="003A0A86" w:rsidRPr="003A0A86" w:rsidRDefault="003A0A86" w:rsidP="003A0A86">
      <w:pPr>
        <w:jc w:val="left"/>
        <w:outlineLvl w:val="9"/>
      </w:pPr>
      <w:r w:rsidRPr="003A0A86">
        <w:rPr>
          <w:b/>
          <w:bCs/>
        </w:rPr>
        <w:t>Chemotype-bucket CV</w:t>
      </w:r>
      <w:r w:rsidRPr="003A0A86">
        <w:t xml:space="preserve"> (Rényi-reweighted) confirmed </w:t>
      </w:r>
      <w:r w:rsidRPr="003A0A86">
        <w:rPr>
          <w:b/>
          <w:bCs/>
        </w:rPr>
        <w:t>generalization</w:t>
      </w:r>
      <w:r w:rsidRPr="003A0A86">
        <w:t xml:space="preserve">: macro-averaged errors stayed </w:t>
      </w:r>
      <w:r w:rsidRPr="003A0A86">
        <w:rPr>
          <w:b/>
          <w:bCs/>
        </w:rPr>
        <w:t>~22% ± 3% lower</w:t>
      </w:r>
      <w:r w:rsidRPr="003A0A86">
        <w:t xml:space="preserve"> for QUANTUM vs PHYSICS</w:t>
      </w:r>
      <w:r w:rsidRPr="003A0A86">
        <w:rPr>
          <w:lang w:val="el-GR"/>
        </w:rPr>
        <w:t>γ</w:t>
      </w:r>
      <w:r w:rsidRPr="003A0A86">
        <w:t>\*\gamma^\*</w:t>
      </w:r>
      <w:r w:rsidRPr="003A0A86">
        <w:rPr>
          <w:lang w:val="el-GR"/>
        </w:rPr>
        <w:t>γ</w:t>
      </w:r>
      <w:r w:rsidRPr="003A0A86">
        <w:t xml:space="preserve">\* across </w:t>
      </w:r>
      <w:r w:rsidRPr="003A0A86">
        <w:rPr>
          <w:b/>
          <w:bCs/>
        </w:rPr>
        <w:t>flavonoids, triterpenes, alkaloids, polyphenols, peptidomimetics, terpenoids, glycosides</w:t>
      </w:r>
      <w:r w:rsidRPr="003A0A86">
        <w:t xml:space="preserve">. Buckets enriched for </w:t>
      </w:r>
      <w:r w:rsidRPr="003A0A86">
        <w:rPr>
          <w:b/>
          <w:bCs/>
        </w:rPr>
        <w:t>Stemaflex-like</w:t>
      </w:r>
      <w:r w:rsidRPr="003A0A86">
        <w:t xml:space="preserve"> chemotypes benefited most—consistent with </w:t>
      </w:r>
      <w:r w:rsidRPr="003A0A86">
        <w:rPr>
          <w:b/>
          <w:bCs/>
        </w:rPr>
        <w:t>context-sensitive energetics</w:t>
      </w:r>
      <w:r w:rsidRPr="003A0A86">
        <w:t>.</w:t>
      </w:r>
    </w:p>
    <w:p w:rsidR="003A0A86" w:rsidRPr="003A0A86" w:rsidRDefault="003A0A86" w:rsidP="003A0A86">
      <w:pPr>
        <w:jc w:val="left"/>
        <w:outlineLvl w:val="1"/>
        <w:rPr>
          <w:b/>
          <w:bCs/>
        </w:rPr>
      </w:pPr>
      <w:r w:rsidRPr="003A0A86">
        <w:rPr>
          <w:b/>
          <w:bCs/>
        </w:rPr>
        <w:t>12.1.4 Optimizers and convergence</w:t>
      </w:r>
    </w:p>
    <w:p w:rsidR="003A0A86" w:rsidRPr="003A0A86" w:rsidRDefault="003A0A86" w:rsidP="003A0A86">
      <w:pPr>
        <w:jc w:val="left"/>
        <w:outlineLvl w:val="9"/>
      </w:pPr>
      <w:r w:rsidRPr="003A0A86">
        <w:rPr>
          <w:b/>
          <w:bCs/>
        </w:rPr>
        <w:t>SPSA</w:t>
      </w:r>
      <w:r w:rsidRPr="003A0A86">
        <w:t xml:space="preserve"> converged </w:t>
      </w:r>
      <w:r w:rsidRPr="003A0A86">
        <w:rPr>
          <w:b/>
          <w:bCs/>
        </w:rPr>
        <w:t>faster</w:t>
      </w:r>
      <w:r w:rsidRPr="003A0A86">
        <w:t xml:space="preserve"> and reached </w:t>
      </w:r>
      <w:r w:rsidRPr="003A0A86">
        <w:rPr>
          <w:b/>
          <w:bCs/>
        </w:rPr>
        <w:t>better minima</w:t>
      </w:r>
      <w:r w:rsidRPr="003A0A86">
        <w:t xml:space="preserve"> than COBYLA, with </w:t>
      </w:r>
      <w:r w:rsidRPr="003A0A86">
        <w:rPr>
          <w:b/>
          <w:bCs/>
        </w:rPr>
        <w:t>early stopping at ~25–40 steps</w:t>
      </w:r>
      <w:r w:rsidRPr="003A0A86">
        <w:t xml:space="preserve">. Histograms of </w:t>
      </w:r>
      <w:r w:rsidRPr="003A0A86">
        <w:rPr>
          <w:lang w:val="el-GR"/>
        </w:rPr>
        <w:t>Δ</w:t>
      </w:r>
      <w:r w:rsidRPr="003A0A86">
        <w:t>\Delta</w:t>
      </w:r>
      <w:r w:rsidRPr="003A0A86">
        <w:rPr>
          <w:lang w:val="el-GR"/>
        </w:rPr>
        <w:t>Δ</w:t>
      </w:r>
      <w:r w:rsidRPr="003A0A86">
        <w:t xml:space="preserve">MSE gains were </w:t>
      </w:r>
      <w:r w:rsidRPr="003A0A86">
        <w:rPr>
          <w:b/>
          <w:bCs/>
        </w:rPr>
        <w:t>right-shifted</w:t>
      </w:r>
      <w:r w:rsidRPr="003A0A86">
        <w:t xml:space="preserve"> for SPSA; </w:t>
      </w:r>
      <w:r w:rsidRPr="003A0A86">
        <w:rPr>
          <w:b/>
          <w:bCs/>
        </w:rPr>
        <w:t>wall-clock per unit improvement</w:t>
      </w:r>
      <w:r w:rsidRPr="003A0A86">
        <w:t xml:space="preserve"> was lower, matching the tool’s strength on </w:t>
      </w:r>
      <w:r w:rsidRPr="003A0A86">
        <w:rPr>
          <w:b/>
          <w:bCs/>
        </w:rPr>
        <w:t>noisy quantum landscapes</w:t>
      </w:r>
      <w:r w:rsidRPr="003A0A86">
        <w:t>.</w:t>
      </w:r>
    </w:p>
    <w:p w:rsidR="003A0A86" w:rsidRPr="003A0A86" w:rsidRDefault="003A0A86" w:rsidP="003A0A86">
      <w:pPr>
        <w:jc w:val="left"/>
        <w:outlineLvl w:val="1"/>
        <w:rPr>
          <w:b/>
          <w:bCs/>
        </w:rPr>
      </w:pPr>
      <w:r w:rsidRPr="003A0A86">
        <w:rPr>
          <w:b/>
          <w:bCs/>
        </w:rPr>
        <w:t>12.1.5 Qiskit/Aer resources and backend neutrality</w:t>
      </w:r>
    </w:p>
    <w:p w:rsidR="003A0A86" w:rsidRPr="003A0A86" w:rsidRDefault="003A0A86" w:rsidP="003A0A86">
      <w:pPr>
        <w:jc w:val="left"/>
        <w:outlineLvl w:val="9"/>
      </w:pPr>
      <w:r w:rsidRPr="003A0A86">
        <w:t xml:space="preserve">QAOA/PQC circuits compiled to depths </w:t>
      </w:r>
      <w:r w:rsidRPr="003A0A86">
        <w:rPr>
          <w:b/>
          <w:bCs/>
        </w:rPr>
        <w:t>~20–30</w:t>
      </w:r>
      <w:r w:rsidRPr="003A0A86">
        <w:t xml:space="preserve">, with </w:t>
      </w:r>
      <w:r w:rsidRPr="003A0A86">
        <w:rPr>
          <w:b/>
          <w:bCs/>
        </w:rPr>
        <w:t>~40–100</w:t>
      </w:r>
      <w:r w:rsidRPr="003A0A86">
        <w:t xml:space="preserve"> two-qubit gates. </w:t>
      </w:r>
      <w:r w:rsidRPr="003A0A86">
        <w:rPr>
          <w:b/>
          <w:bCs/>
        </w:rPr>
        <w:t>Aer</w:t>
      </w:r>
      <w:r w:rsidRPr="003A0A86">
        <w:t xml:space="preserve"> runs were </w:t>
      </w:r>
      <w:r w:rsidRPr="003A0A86">
        <w:rPr>
          <w:b/>
          <w:bCs/>
        </w:rPr>
        <w:t xml:space="preserve">sub-second to </w:t>
      </w:r>
      <w:r w:rsidRPr="003A0A86">
        <w:rPr>
          <w:rFonts w:ascii="Cambria Math" w:hAnsi="Cambria Math" w:cs="Cambria Math"/>
          <w:b/>
          <w:bCs/>
        </w:rPr>
        <w:t>∼</w:t>
      </w:r>
      <w:r w:rsidRPr="003A0A86">
        <w:rPr>
          <w:b/>
          <w:bCs/>
        </w:rPr>
        <w:t>1.5 s per fold</w:t>
      </w:r>
      <w:r w:rsidRPr="003A0A86">
        <w:t xml:space="preserve">. </w:t>
      </w:r>
      <w:r w:rsidRPr="003A0A86">
        <w:rPr>
          <w:b/>
          <w:bCs/>
        </w:rPr>
        <w:t>Backend stratification</w:t>
      </w:r>
      <w:r w:rsidRPr="003A0A86">
        <w:t xml:space="preserve"> (statevector vs qasm) yielded </w:t>
      </w:r>
      <w:r w:rsidRPr="003A0A86">
        <w:rPr>
          <w:b/>
          <w:bCs/>
        </w:rPr>
        <w:t>no systematic performance differences</w:t>
      </w:r>
      <w:r w:rsidRPr="003A0A86">
        <w:t xml:space="preserve">, indicating the quantum edge was </w:t>
      </w:r>
      <w:r w:rsidRPr="003A0A86">
        <w:rPr>
          <w:b/>
          <w:bCs/>
        </w:rPr>
        <w:t>model-intrinsic</w:t>
      </w:r>
      <w:r w:rsidRPr="003A0A86">
        <w:t xml:space="preserve"> rather than backend-specific.</w:t>
      </w:r>
    </w:p>
    <w:p w:rsidR="003A0A86" w:rsidRPr="003A0A86" w:rsidRDefault="003A0A86" w:rsidP="003A0A86">
      <w:pPr>
        <w:jc w:val="left"/>
        <w:outlineLvl w:val="1"/>
        <w:rPr>
          <w:b/>
          <w:bCs/>
        </w:rPr>
      </w:pPr>
      <w:r w:rsidRPr="003A0A86">
        <w:rPr>
          <w:b/>
          <w:bCs/>
        </w:rPr>
        <w:t>12.1.6 Systems alignment</w:t>
      </w:r>
    </w:p>
    <w:p w:rsidR="003A0A86" w:rsidRPr="003A0A86" w:rsidRDefault="003A0A86" w:rsidP="003A0A86">
      <w:pPr>
        <w:jc w:val="left"/>
        <w:outlineLvl w:val="9"/>
      </w:pPr>
      <w:r w:rsidRPr="003A0A86">
        <w:t xml:space="preserve">Stemaflex-augmented folds that </w:t>
      </w:r>
      <w:r w:rsidRPr="003A0A86">
        <w:rPr>
          <w:b/>
          <w:bCs/>
        </w:rPr>
        <w:t>reduced prediction error</w:t>
      </w:r>
      <w:r w:rsidRPr="003A0A86">
        <w:t xml:space="preserve"> also </w:t>
      </w:r>
      <w:r w:rsidRPr="003A0A86">
        <w:rPr>
          <w:b/>
          <w:bCs/>
        </w:rPr>
        <w:t>performed better in vitro</w:t>
      </w:r>
      <w:r w:rsidRPr="003A0A86">
        <w:t xml:space="preserve"> (higher CD34⁺/CD45⁺, increased CD133⁺) and </w:t>
      </w:r>
      <w:r w:rsidRPr="003A0A86">
        <w:rPr>
          <w:b/>
          <w:bCs/>
        </w:rPr>
        <w:t>in silico</w:t>
      </w:r>
      <w:r w:rsidRPr="003A0A86">
        <w:t xml:space="preserve"> (CSI↑, MRH↑, </w:t>
      </w:r>
      <w:r w:rsidRPr="003A0A86">
        <w:rPr>
          <w:lang w:val="el-GR"/>
        </w:rPr>
        <w:t>Δ</w:t>
      </w:r>
      <w:r w:rsidRPr="003A0A86">
        <w:t xml:space="preserve">GSE↓). This triangulation suggests the quantum learner </w:t>
      </w:r>
      <w:r w:rsidRPr="003A0A86">
        <w:rPr>
          <w:b/>
          <w:bCs/>
        </w:rPr>
        <w:t>internalized nonlinear corrections and biochemical context</w:t>
      </w:r>
      <w:r w:rsidRPr="003A0A86">
        <w:t>—not just noise patterns—mirroring tissue-level order.</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1" style="width:0;height:1.5pt" o:hralign="center" o:hrstd="t" o:hr="t" fillcolor="#a0a0a0" stroked="f"/>
        </w:pict>
      </w:r>
    </w:p>
    <w:p w:rsidR="003A0A86" w:rsidRPr="003A0A86" w:rsidRDefault="003A0A86" w:rsidP="003A0A86">
      <w:pPr>
        <w:jc w:val="left"/>
        <w:outlineLvl w:val="0"/>
        <w:rPr>
          <w:b/>
          <w:bCs/>
          <w:kern w:val="36"/>
        </w:rPr>
      </w:pPr>
      <w:r w:rsidRPr="003A0A86">
        <w:rPr>
          <w:b/>
          <w:bCs/>
          <w:kern w:val="36"/>
        </w:rPr>
        <w:t>12.2 Controls, ablations, and failure modes</w:t>
      </w:r>
    </w:p>
    <w:p w:rsidR="003A0A86" w:rsidRPr="003A0A86" w:rsidRDefault="003A0A86" w:rsidP="003A0A86">
      <w:pPr>
        <w:jc w:val="left"/>
        <w:outlineLvl w:val="9"/>
      </w:pPr>
      <w:r w:rsidRPr="003A0A86">
        <w:rPr>
          <w:b/>
          <w:bCs/>
        </w:rPr>
        <w:t xml:space="preserve">Ablation 1 — remove </w:t>
      </w:r>
      <w:r w:rsidRPr="003A0A86">
        <w:rPr>
          <w:b/>
          <w:bCs/>
          <w:lang w:val="el-GR"/>
        </w:rPr>
        <w:t>Δ</w:t>
      </w:r>
      <w:r w:rsidRPr="003A0A86">
        <w:rPr>
          <w:b/>
          <w:bCs/>
        </w:rPr>
        <w:t>SASA</w:t>
      </w:r>
      <w:r w:rsidRPr="003A0A86">
        <w:t xml:space="preserve">: Rank fidelity degrades; compact scaffolds fall. Enzymology correlation weakens, and synergy isobolograms flatten, implicating </w:t>
      </w:r>
      <w:r w:rsidRPr="003A0A86">
        <w:rPr>
          <w:b/>
          <w:bCs/>
        </w:rPr>
        <w:t>burial</w:t>
      </w:r>
      <w:r w:rsidRPr="003A0A86">
        <w:t xml:space="preserve"> as causal for stabilization.</w:t>
      </w:r>
    </w:p>
    <w:p w:rsidR="003A0A86" w:rsidRPr="003A0A86" w:rsidRDefault="003A0A86" w:rsidP="003A0A86">
      <w:pPr>
        <w:jc w:val="left"/>
        <w:outlineLvl w:val="9"/>
      </w:pPr>
      <w:r w:rsidRPr="003A0A86">
        <w:rPr>
          <w:b/>
          <w:bCs/>
        </w:rPr>
        <w:t>Ablation 2 — remove curvature features</w:t>
      </w:r>
      <w:r w:rsidRPr="003A0A86">
        <w:t xml:space="preserve">: Pose evolution exhibits </w:t>
      </w:r>
      <w:r w:rsidRPr="003A0A86">
        <w:rPr>
          <w:b/>
          <w:bCs/>
        </w:rPr>
        <w:t>orientation bias</w:t>
      </w:r>
      <w:r w:rsidRPr="003A0A86">
        <w:t xml:space="preserve">; parity widens; </w:t>
      </w:r>
      <w:r w:rsidRPr="003A0A86">
        <w:rPr>
          <w:b/>
          <w:bCs/>
        </w:rPr>
        <w:t>SO(3)-equivariant Wigner–DDD</w:t>
      </w:r>
      <w:r w:rsidRPr="003A0A86">
        <w:t xml:space="preserve"> restoration fixes it (Eq. 9.5).</w:t>
      </w:r>
    </w:p>
    <w:p w:rsidR="003A0A86" w:rsidRPr="003A0A86" w:rsidRDefault="003A0A86" w:rsidP="003A0A86">
      <w:pPr>
        <w:jc w:val="left"/>
        <w:outlineLvl w:val="9"/>
      </w:pPr>
      <w:r w:rsidRPr="003A0A86">
        <w:rPr>
          <w:b/>
          <w:bCs/>
        </w:rPr>
        <w:t>Ablation 3 — finite-difference gradients</w:t>
      </w:r>
      <w:r w:rsidRPr="003A0A86">
        <w:t xml:space="preserve">: ODE trajectories become </w:t>
      </w:r>
      <w:r w:rsidRPr="003A0A86">
        <w:rPr>
          <w:b/>
          <w:bCs/>
        </w:rPr>
        <w:t>jittery</w:t>
      </w:r>
      <w:r w:rsidRPr="003A0A86">
        <w:t xml:space="preserve">; SPSA variance inflates. Restoring </w:t>
      </w:r>
      <w:r w:rsidRPr="003A0A86">
        <w:rPr>
          <w:b/>
          <w:bCs/>
        </w:rPr>
        <w:t>hypergeometric/Appell</w:t>
      </w:r>
      <w:r w:rsidRPr="003A0A86">
        <w:t xml:space="preserve"> gradients (Eq. 9.3, 9.7) stabilizes learning.</w:t>
      </w:r>
    </w:p>
    <w:p w:rsidR="003A0A86" w:rsidRPr="003A0A86" w:rsidRDefault="003A0A86" w:rsidP="003A0A86">
      <w:pPr>
        <w:jc w:val="left"/>
        <w:outlineLvl w:val="9"/>
      </w:pPr>
      <w:r w:rsidRPr="003A0A86">
        <w:rPr>
          <w:b/>
          <w:bCs/>
        </w:rPr>
        <w:t>Ablation 4 — skip GHZ gate</w:t>
      </w:r>
      <w:r w:rsidRPr="003A0A86">
        <w:t>: Some folds overfit and fail to generalize across chemotypes; GHZ gating (entropy/witness) halves these events.</w:t>
      </w:r>
    </w:p>
    <w:p w:rsidR="003A0A86" w:rsidRPr="003A0A86" w:rsidRDefault="003A0A86" w:rsidP="003A0A86">
      <w:pPr>
        <w:jc w:val="left"/>
        <w:outlineLvl w:val="9"/>
      </w:pPr>
      <w:r w:rsidRPr="003A0A86">
        <w:rPr>
          <w:b/>
          <w:bCs/>
        </w:rPr>
        <w:t>Failure case</w:t>
      </w:r>
      <w:r w:rsidRPr="003A0A86">
        <w:t xml:space="preserve">: Excessively polar, high-TPSA edits that marginally increase </w:t>
      </w:r>
      <w:r w:rsidRPr="003A0A86">
        <w:rPr>
          <w:lang w:val="el-GR"/>
        </w:rPr>
        <w:t>Δ</w:t>
      </w:r>
      <w:r w:rsidRPr="003A0A86">
        <w:t xml:space="preserve">SASA but degrade permeation; translational filters catch them, and the ODE’s </w:t>
      </w:r>
      <w:r w:rsidRPr="003A0A86">
        <w:rPr>
          <w:b/>
          <w:bCs/>
        </w:rPr>
        <w:t>ADMET/SA</w:t>
      </w:r>
      <w:r w:rsidRPr="003A0A86">
        <w:t xml:space="preserve"> term (</w:t>
      </w:r>
      <w:r w:rsidRPr="003A0A86">
        <w:rPr>
          <w:lang w:val="el-GR"/>
        </w:rPr>
        <w:t>λ</w:t>
      </w:r>
      <w:r w:rsidRPr="003A0A86">
        <w:t>chemℓADMET/SA\lambda_{\text{chem}}\ell_{\text{ADMET/SA}}</w:t>
      </w:r>
      <w:r w:rsidRPr="003A0A86">
        <w:rPr>
          <w:lang w:val="el-GR"/>
        </w:rPr>
        <w:t>λ</w:t>
      </w:r>
      <w:r w:rsidRPr="003A0A86">
        <w:t>chem​ℓADMET/SA​) (Eq. 10.10) suppresses re-entry.</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2" style="width:0;height:1.5pt" o:hralign="center" o:hrstd="t" o:hr="t" fillcolor="#a0a0a0" stroked="f"/>
        </w:pict>
      </w:r>
    </w:p>
    <w:p w:rsidR="003A0A86" w:rsidRPr="003A0A86" w:rsidRDefault="003A0A86" w:rsidP="003A0A86">
      <w:pPr>
        <w:jc w:val="left"/>
        <w:outlineLvl w:val="0"/>
        <w:rPr>
          <w:b/>
          <w:bCs/>
          <w:kern w:val="36"/>
          <w:lang w:val="el-GR"/>
        </w:rPr>
      </w:pPr>
      <w:r w:rsidRPr="003A0A86">
        <w:rPr>
          <w:b/>
          <w:bCs/>
          <w:kern w:val="36"/>
          <w:lang w:val="el-GR"/>
        </w:rPr>
        <w:t>12.3 Reproducibility and reporting</w:t>
      </w:r>
    </w:p>
    <w:p w:rsidR="003A0A86" w:rsidRPr="003A0A86" w:rsidRDefault="003A0A86" w:rsidP="008F4646">
      <w:pPr>
        <w:numPr>
          <w:ilvl w:val="0"/>
          <w:numId w:val="18"/>
        </w:numPr>
        <w:jc w:val="left"/>
        <w:outlineLvl w:val="9"/>
      </w:pPr>
      <w:r w:rsidRPr="003A0A86">
        <w:rPr>
          <w:b/>
          <w:bCs/>
        </w:rPr>
        <w:t>Randomization &amp; blinding</w:t>
      </w:r>
      <w:r w:rsidRPr="003A0A86">
        <w:t>: Plate maps randomized; analysts blinded to composition for primary readouts.</w:t>
      </w:r>
    </w:p>
    <w:p w:rsidR="003A0A86" w:rsidRPr="003A0A86" w:rsidRDefault="003A0A86" w:rsidP="008F4646">
      <w:pPr>
        <w:numPr>
          <w:ilvl w:val="0"/>
          <w:numId w:val="18"/>
        </w:numPr>
        <w:jc w:val="left"/>
        <w:outlineLvl w:val="9"/>
      </w:pPr>
      <w:r w:rsidRPr="003A0A86">
        <w:rPr>
          <w:b/>
          <w:bCs/>
        </w:rPr>
        <w:t>Batch effects</w:t>
      </w:r>
      <w:r w:rsidRPr="003A0A86">
        <w:t xml:space="preserve">: Interleaved controls; surrogate correction terms reported; </w:t>
      </w:r>
      <w:r w:rsidRPr="003A0A86">
        <w:rPr>
          <w:b/>
          <w:bCs/>
          <w:lang w:val="el-GR"/>
        </w:rPr>
        <w:t>χ</w:t>
      </w:r>
      <w:r w:rsidRPr="003A0A86">
        <w:rPr>
          <w:b/>
          <w:bCs/>
        </w:rPr>
        <w:t>2\chi^2</w:t>
      </w:r>
      <w:r w:rsidRPr="003A0A86">
        <w:rPr>
          <w:b/>
          <w:bCs/>
          <w:lang w:val="el-GR"/>
        </w:rPr>
        <w:t>χ</w:t>
      </w:r>
      <w:r w:rsidRPr="003A0A86">
        <w:rPr>
          <w:b/>
          <w:bCs/>
        </w:rPr>
        <w:t>2</w:t>
      </w:r>
      <w:r w:rsidRPr="003A0A86">
        <w:t xml:space="preserve"> (Eq. 10.4) used to flag chemotype sampling drift.</w:t>
      </w:r>
    </w:p>
    <w:p w:rsidR="003A0A86" w:rsidRPr="003A0A86" w:rsidRDefault="003A0A86" w:rsidP="008F4646">
      <w:pPr>
        <w:numPr>
          <w:ilvl w:val="0"/>
          <w:numId w:val="18"/>
        </w:numPr>
        <w:jc w:val="left"/>
        <w:outlineLvl w:val="9"/>
      </w:pPr>
      <w:r w:rsidRPr="003A0A86">
        <w:rPr>
          <w:b/>
          <w:bCs/>
        </w:rPr>
        <w:t>Metadata</w:t>
      </w:r>
      <w:r w:rsidRPr="003A0A86">
        <w:t>: For each sample,</w:t>
      </w:r>
      <w:r w:rsidR="00356057">
        <w:t xml:space="preserve"> I </w:t>
      </w:r>
      <w:r w:rsidRPr="003A0A86">
        <w:t xml:space="preserve">retain </w:t>
      </w:r>
      <w:r w:rsidRPr="003A0A86">
        <w:rPr>
          <w:b/>
          <w:bCs/>
        </w:rPr>
        <w:t xml:space="preserve">TPSA, logP, </w:t>
      </w:r>
      <w:r w:rsidRPr="003A0A86">
        <w:rPr>
          <w:b/>
          <w:bCs/>
          <w:lang w:val="el-GR"/>
        </w:rPr>
        <w:t>Δ</w:t>
      </w:r>
      <w:r w:rsidRPr="003A0A86">
        <w:rPr>
          <w:b/>
          <w:bCs/>
        </w:rPr>
        <w:t>SASA\Delta\mathrm{SASA}</w:t>
      </w:r>
      <w:r w:rsidRPr="003A0A86">
        <w:rPr>
          <w:b/>
          <w:bCs/>
          <w:lang w:val="el-GR"/>
        </w:rPr>
        <w:t>Δ</w:t>
      </w:r>
      <w:r w:rsidRPr="003A0A86">
        <w:rPr>
          <w:b/>
          <w:bCs/>
        </w:rPr>
        <w:t>SASA, curvature coefficients, pharmacophore scores,</w:t>
      </w:r>
      <w:r w:rsidRPr="003A0A86">
        <w:t xml:space="preserve"> and </w:t>
      </w:r>
      <w:r w:rsidRPr="003A0A86">
        <w:rPr>
          <w:b/>
          <w:bCs/>
        </w:rPr>
        <w:t>ODE step statistics</w:t>
      </w:r>
      <w:r w:rsidRPr="003A0A86">
        <w:t xml:space="preserve"> (accept/reject counts), creating an </w:t>
      </w:r>
      <w:r w:rsidRPr="003A0A86">
        <w:rPr>
          <w:b/>
          <w:bCs/>
        </w:rPr>
        <w:t>audit trail</w:t>
      </w:r>
      <w:r w:rsidRPr="003A0A86">
        <w:t xml:space="preserve"> from physics to phenotype.</w:t>
      </w:r>
    </w:p>
    <w:p w:rsidR="003A0A86" w:rsidRPr="003A0A86" w:rsidRDefault="003A0A86" w:rsidP="008F4646">
      <w:pPr>
        <w:numPr>
          <w:ilvl w:val="0"/>
          <w:numId w:val="18"/>
        </w:numPr>
        <w:jc w:val="left"/>
        <w:outlineLvl w:val="9"/>
      </w:pPr>
      <w:r w:rsidRPr="003A0A86">
        <w:rPr>
          <w:b/>
          <w:bCs/>
        </w:rPr>
        <w:t>Pre-registration</w:t>
      </w:r>
      <w:r w:rsidRPr="003A0A86">
        <w:t>: CSI/MRH/</w:t>
      </w:r>
      <w:r w:rsidRPr="003A0A86">
        <w:rPr>
          <w:lang w:val="el-GR"/>
        </w:rPr>
        <w:t>Δ</w:t>
      </w:r>
      <w:r w:rsidRPr="003A0A86">
        <w:t xml:space="preserve">GSE thresholds and </w:t>
      </w:r>
      <w:r w:rsidRPr="003A0A86">
        <w:rPr>
          <w:b/>
          <w:bCs/>
        </w:rPr>
        <w:t>acceptance bands</w:t>
      </w:r>
      <w:r w:rsidRPr="003A0A86">
        <w:t xml:space="preserve"> for GHZ entropy/witness documented a priori.</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3" style="width:0;height:1.5pt" o:hralign="center" o:hrstd="t" o:hr="t" fillcolor="#a0a0a0" stroked="f"/>
        </w:pict>
      </w:r>
    </w:p>
    <w:p w:rsidR="003A0A86" w:rsidRPr="003A0A86" w:rsidRDefault="003A0A86" w:rsidP="003A0A86">
      <w:pPr>
        <w:jc w:val="left"/>
        <w:outlineLvl w:val="0"/>
        <w:rPr>
          <w:b/>
          <w:bCs/>
          <w:kern w:val="36"/>
        </w:rPr>
      </w:pPr>
      <w:r w:rsidRPr="003A0A86">
        <w:rPr>
          <w:b/>
          <w:bCs/>
          <w:kern w:val="36"/>
        </w:rPr>
        <w:t>12.4 Synthesis: closing the loop</w:t>
      </w:r>
    </w:p>
    <w:p w:rsidR="003A0A86" w:rsidRPr="003A0A86" w:rsidRDefault="003A0A86" w:rsidP="003A0A86">
      <w:pPr>
        <w:jc w:val="left"/>
        <w:outlineLvl w:val="9"/>
      </w:pPr>
      <w:r w:rsidRPr="003A0A86">
        <w:t xml:space="preserve">The pipeline closes the loop between </w:t>
      </w:r>
      <w:r w:rsidRPr="003A0A86">
        <w:rPr>
          <w:b/>
          <w:bCs/>
        </w:rPr>
        <w:t>theory and practice</w:t>
      </w:r>
      <w:r w:rsidRPr="003A0A86">
        <w:t>:</w:t>
      </w:r>
    </w:p>
    <w:p w:rsidR="003A0A86" w:rsidRPr="003A0A86" w:rsidRDefault="003A0A86" w:rsidP="008F4646">
      <w:pPr>
        <w:numPr>
          <w:ilvl w:val="0"/>
          <w:numId w:val="19"/>
        </w:numPr>
        <w:jc w:val="left"/>
        <w:outlineLvl w:val="9"/>
      </w:pPr>
      <w:r w:rsidRPr="003A0A86">
        <w:rPr>
          <w:b/>
          <w:bCs/>
        </w:rPr>
        <w:t>Entropy-aware selection</w:t>
      </w:r>
      <w:r w:rsidRPr="003A0A86">
        <w:t xml:space="preserve"> (Eqs. 10.1–10.4) preserves scaffold breadth.</w:t>
      </w:r>
    </w:p>
    <w:p w:rsidR="003A0A86" w:rsidRPr="003A0A86" w:rsidRDefault="003A0A86" w:rsidP="008F4646">
      <w:pPr>
        <w:numPr>
          <w:ilvl w:val="0"/>
          <w:numId w:val="19"/>
        </w:numPr>
        <w:jc w:val="left"/>
        <w:outlineLvl w:val="9"/>
      </w:pPr>
      <w:r w:rsidRPr="003A0A86">
        <w:rPr>
          <w:b/>
          <w:bCs/>
          <w:lang w:val="el-GR"/>
        </w:rPr>
        <w:t>Δ</w:t>
      </w:r>
      <w:r w:rsidRPr="003A0A86">
        <w:rPr>
          <w:b/>
          <w:bCs/>
        </w:rPr>
        <w:t>SASA-aware energetics</w:t>
      </w:r>
      <w:r w:rsidRPr="003A0A86">
        <w:t xml:space="preserve"> (Eqs. 10.5–10.7) restore missing non-polar physics with </w:t>
      </w:r>
      <w:r w:rsidRPr="003A0A86">
        <w:rPr>
          <w:b/>
          <w:bCs/>
        </w:rPr>
        <w:t>interpretability</w:t>
      </w:r>
      <w:r w:rsidRPr="003A0A86">
        <w:t>.</w:t>
      </w:r>
    </w:p>
    <w:p w:rsidR="003A0A86" w:rsidRPr="003A0A86" w:rsidRDefault="003A0A86" w:rsidP="008F4646">
      <w:pPr>
        <w:numPr>
          <w:ilvl w:val="0"/>
          <w:numId w:val="19"/>
        </w:numPr>
        <w:jc w:val="left"/>
        <w:outlineLvl w:val="9"/>
      </w:pPr>
      <w:r w:rsidRPr="003A0A86">
        <w:rPr>
          <w:b/>
          <w:bCs/>
        </w:rPr>
        <w:t>Geometry-regularized Pharmacophoric-ODEs</w:t>
      </w:r>
      <w:r w:rsidRPr="003A0A86">
        <w:t xml:space="preserve"> (Eqs. 9.1–9.9, 10.8–10.10) provide </w:t>
      </w:r>
      <w:r w:rsidRPr="003A0A86">
        <w:rPr>
          <w:b/>
          <w:bCs/>
        </w:rPr>
        <w:t>symmetry-respecting</w:t>
      </w:r>
      <w:r w:rsidRPr="003A0A86">
        <w:t xml:space="preserve"> pose/graph evolution.</w:t>
      </w:r>
    </w:p>
    <w:p w:rsidR="003A0A86" w:rsidRPr="003A0A86" w:rsidRDefault="003A0A86" w:rsidP="008F4646">
      <w:pPr>
        <w:numPr>
          <w:ilvl w:val="0"/>
          <w:numId w:val="19"/>
        </w:numPr>
        <w:jc w:val="left"/>
        <w:outlineLvl w:val="9"/>
      </w:pPr>
      <w:r w:rsidRPr="003A0A86">
        <w:rPr>
          <w:b/>
          <w:bCs/>
        </w:rPr>
        <w:t>GHZ-gated quantum learning</w:t>
      </w:r>
      <w:r w:rsidRPr="003A0A86">
        <w:t xml:space="preserve"> integrates nonlinear context without sacrificing </w:t>
      </w:r>
      <w:r w:rsidRPr="003A0A86">
        <w:rPr>
          <w:b/>
          <w:bCs/>
        </w:rPr>
        <w:t>fidelity</w:t>
      </w:r>
      <w:r w:rsidRPr="003A0A86">
        <w:t>.</w:t>
      </w:r>
    </w:p>
    <w:p w:rsidR="003A0A86" w:rsidRPr="003A0A86" w:rsidRDefault="003A0A86" w:rsidP="003A0A86">
      <w:pPr>
        <w:jc w:val="left"/>
        <w:outlineLvl w:val="9"/>
      </w:pPr>
      <w:r w:rsidRPr="003A0A86">
        <w:t xml:space="preserve">The </w:t>
      </w:r>
      <w:r w:rsidRPr="003A0A86">
        <w:rPr>
          <w:b/>
          <w:bCs/>
        </w:rPr>
        <w:t>consistency</w:t>
      </w:r>
      <w:r w:rsidRPr="003A0A86">
        <w:t xml:space="preserve"> of these pillars across </w:t>
      </w:r>
      <w:r w:rsidRPr="003A0A86">
        <w:rPr>
          <w:b/>
          <w:bCs/>
        </w:rPr>
        <w:t>enzyme inhibition</w:t>
      </w:r>
      <w:r w:rsidRPr="003A0A86">
        <w:t xml:space="preserve">, </w:t>
      </w:r>
      <w:r w:rsidRPr="003A0A86">
        <w:rPr>
          <w:b/>
          <w:bCs/>
        </w:rPr>
        <w:t>direct binding</w:t>
      </w:r>
      <w:r w:rsidRPr="003A0A86">
        <w:t xml:space="preserve">, </w:t>
      </w:r>
      <w:r w:rsidRPr="003A0A86">
        <w:rPr>
          <w:b/>
          <w:bCs/>
        </w:rPr>
        <w:t>ERC/NEU1 signaling</w:t>
      </w:r>
      <w:r w:rsidRPr="003A0A86">
        <w:t xml:space="preserve">, </w:t>
      </w:r>
      <w:r w:rsidRPr="003A0A86">
        <w:rPr>
          <w:b/>
          <w:bCs/>
        </w:rPr>
        <w:t>progenitor mobilization</w:t>
      </w:r>
      <w:r w:rsidRPr="003A0A86">
        <w:t xml:space="preserve">, and </w:t>
      </w:r>
      <w:r w:rsidRPr="003A0A86">
        <w:rPr>
          <w:b/>
          <w:bCs/>
        </w:rPr>
        <w:t>network order</w:t>
      </w:r>
      <w:r w:rsidRPr="003A0A86">
        <w:t xml:space="preserve"> argues that </w:t>
      </w:r>
      <w:r w:rsidRPr="003A0A86">
        <w:rPr>
          <w:b/>
          <w:bCs/>
        </w:rPr>
        <w:t>cf8, cf9, and derivatives</w:t>
      </w:r>
      <w:r w:rsidRPr="003A0A86">
        <w:t xml:space="preserve"> are </w:t>
      </w:r>
      <w:r w:rsidRPr="003A0A86">
        <w:rPr>
          <w:b/>
          <w:bCs/>
        </w:rPr>
        <w:t>tractable, reproducible</w:t>
      </w:r>
      <w:r w:rsidRPr="003A0A86">
        <w:t xml:space="preserve"> leads for regenerative intervention, with </w:t>
      </w:r>
      <w:r w:rsidRPr="003A0A86">
        <w:rPr>
          <w:b/>
          <w:bCs/>
        </w:rPr>
        <w:t>molecular energetics that project cleanly onto tissue-scale repair</w:t>
      </w:r>
      <w:r w:rsidRPr="003A0A86">
        <w:t>.</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4" style="width:0;height:1.5pt" o:hralign="center" o:hrstd="t" o:hr="t" fillcolor="#a0a0a0" stroked="f"/>
        </w:pict>
      </w:r>
    </w:p>
    <w:p w:rsidR="003A0A86" w:rsidRPr="003A0A86" w:rsidRDefault="003A0A86" w:rsidP="003A0A86">
      <w:pPr>
        <w:jc w:val="left"/>
        <w:outlineLvl w:val="0"/>
        <w:rPr>
          <w:b/>
          <w:bCs/>
          <w:kern w:val="36"/>
        </w:rPr>
      </w:pPr>
      <w:r w:rsidRPr="003A0A86">
        <w:rPr>
          <w:b/>
          <w:bCs/>
          <w:kern w:val="36"/>
        </w:rPr>
        <w:t>12.5 Outlook: disciplined scaling and translational path</w:t>
      </w:r>
    </w:p>
    <w:p w:rsidR="003A0A86" w:rsidRPr="003A0A86" w:rsidRDefault="003A0A86" w:rsidP="003A0A86">
      <w:pPr>
        <w:jc w:val="left"/>
        <w:outlineLvl w:val="9"/>
      </w:pPr>
      <w:r w:rsidRPr="003A0A86">
        <w:rPr>
          <w:b/>
          <w:bCs/>
        </w:rPr>
        <w:t>Scaling</w:t>
      </w:r>
      <w:r w:rsidRPr="003A0A86">
        <w:t xml:space="preserve">: As combinatorial spaces grow, </w:t>
      </w:r>
      <w:r w:rsidRPr="003A0A86">
        <w:rPr>
          <w:b/>
          <w:bCs/>
        </w:rPr>
        <w:t>NISQ-era</w:t>
      </w:r>
      <w:r w:rsidRPr="003A0A86">
        <w:t xml:space="preserve"> quantum sampling/optimization can accelerate </w:t>
      </w:r>
      <w:r w:rsidRPr="003A0A86">
        <w:rPr>
          <w:b/>
          <w:bCs/>
        </w:rPr>
        <w:t>subset selection</w:t>
      </w:r>
      <w:r w:rsidRPr="003A0A86">
        <w:t xml:space="preserve"> and </w:t>
      </w:r>
      <w:r w:rsidRPr="003A0A86">
        <w:rPr>
          <w:b/>
          <w:bCs/>
        </w:rPr>
        <w:t>constraint-aware search</w:t>
      </w:r>
      <w:r w:rsidRPr="003A0A86">
        <w:t xml:space="preserve"> without altering </w:t>
      </w:r>
      <w:r w:rsidRPr="003A0A86">
        <w:rPr>
          <w:lang w:val="el-GR"/>
        </w:rPr>
        <w:t>Δ</w:t>
      </w:r>
      <w:r w:rsidRPr="003A0A86">
        <w:t>SASA-anchored scoring or systems readouts. The same mathematics—</w:t>
      </w:r>
      <w:r w:rsidRPr="003A0A86">
        <w:rPr>
          <w:b/>
          <w:bCs/>
        </w:rPr>
        <w:t>volume/relative entropy</w:t>
      </w:r>
      <w:r w:rsidRPr="003A0A86">
        <w:t xml:space="preserve"> and </w:t>
      </w:r>
      <w:r w:rsidRPr="003A0A86">
        <w:rPr>
          <w:b/>
          <w:bCs/>
        </w:rPr>
        <w:t>curvature</w:t>
      </w:r>
      <w:r w:rsidRPr="003A0A86">
        <w:t xml:space="preserve">—extends to </w:t>
      </w:r>
      <w:r w:rsidRPr="003A0A86">
        <w:rPr>
          <w:b/>
          <w:bCs/>
        </w:rPr>
        <w:t>quantum-entropy frameworks</w:t>
      </w:r>
      <w:r w:rsidRPr="003A0A86">
        <w:t xml:space="preserve"> on higher-order networks (cf. §10.3.1), offering a bridge between </w:t>
      </w:r>
      <w:r w:rsidRPr="003A0A86">
        <w:rPr>
          <w:b/>
          <w:bCs/>
        </w:rPr>
        <w:t>capacity-controlled learning on discrete geometries</w:t>
      </w:r>
      <w:r w:rsidRPr="003A0A86">
        <w:t xml:space="preserve"> and </w:t>
      </w:r>
      <w:r w:rsidRPr="003A0A86">
        <w:rPr>
          <w:b/>
          <w:bCs/>
        </w:rPr>
        <w:t>physically plausible binding</w:t>
      </w:r>
      <w:r w:rsidRPr="003A0A86">
        <w:t>.</w:t>
      </w:r>
    </w:p>
    <w:p w:rsidR="003A0A86" w:rsidRPr="003A0A86" w:rsidRDefault="003A0A86" w:rsidP="003A0A86">
      <w:pPr>
        <w:jc w:val="left"/>
        <w:outlineLvl w:val="9"/>
      </w:pPr>
      <w:r w:rsidRPr="003A0A86">
        <w:rPr>
          <w:b/>
          <w:bCs/>
        </w:rPr>
        <w:t>Translational plan</w:t>
      </w:r>
      <w:r w:rsidRPr="003A0A86">
        <w:t>: Pre-register CSI/MRH/</w:t>
      </w:r>
      <w:r w:rsidRPr="003A0A86">
        <w:rPr>
          <w:lang w:val="el-GR"/>
        </w:rPr>
        <w:t>Δ</w:t>
      </w:r>
      <w:r w:rsidRPr="003A0A86">
        <w:t xml:space="preserve">GSE thresholds for go/no-go, expand ERC/NEU1-centered combinations, connect </w:t>
      </w:r>
      <w:r w:rsidRPr="003A0A86">
        <w:rPr>
          <w:b/>
          <w:bCs/>
        </w:rPr>
        <w:t>curvature operators</w:t>
      </w:r>
      <w:r w:rsidRPr="003A0A86">
        <w:t xml:space="preserve"> to </w:t>
      </w:r>
      <w:r w:rsidRPr="003A0A86">
        <w:rPr>
          <w:b/>
          <w:bCs/>
        </w:rPr>
        <w:t>biomarkers</w:t>
      </w:r>
      <w:r w:rsidRPr="003A0A86">
        <w:t xml:space="preserve"> (e.g., spectral gaps of Laplacians in ECM subnetworks), and move into </w:t>
      </w:r>
      <w:r w:rsidRPr="003A0A86">
        <w:rPr>
          <w:b/>
          <w:bCs/>
        </w:rPr>
        <w:t>skin-equivalent models</w:t>
      </w:r>
      <w:r w:rsidRPr="003A0A86">
        <w:t xml:space="preserve"> followed by small, controlled </w:t>
      </w:r>
      <w:r w:rsidRPr="003A0A86">
        <w:rPr>
          <w:b/>
          <w:bCs/>
        </w:rPr>
        <w:t>human studies</w:t>
      </w:r>
      <w:r w:rsidRPr="003A0A86">
        <w:t xml:space="preserve">. Throughout, keep </w:t>
      </w:r>
      <w:r w:rsidRPr="003A0A86">
        <w:rPr>
          <w:lang w:val="el-GR"/>
        </w:rPr>
        <w:t>Δ</w:t>
      </w:r>
      <w:r w:rsidRPr="003A0A86">
        <w:t xml:space="preserve">SASA and curvature fingerprints as </w:t>
      </w:r>
      <w:r w:rsidRPr="003A0A86">
        <w:rPr>
          <w:b/>
          <w:bCs/>
        </w:rPr>
        <w:t>explainable anchors</w:t>
      </w:r>
      <w:r w:rsidRPr="003A0A86">
        <w:t xml:space="preserve"> for medicinal-chemistry decisions.</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5" style="width:0;height:1.5pt" o:hralign="center" o:hrstd="t" o:hr="t" fillcolor="#a0a0a0" stroked="f"/>
        </w:pict>
      </w:r>
    </w:p>
    <w:p w:rsidR="003A0A86" w:rsidRPr="003A0A86" w:rsidRDefault="003A0A86" w:rsidP="003A0A86">
      <w:pPr>
        <w:jc w:val="left"/>
        <w:outlineLvl w:val="1"/>
        <w:rPr>
          <w:b/>
          <w:bCs/>
        </w:rPr>
      </w:pPr>
      <w:r w:rsidRPr="003A0A86">
        <w:rPr>
          <w:b/>
          <w:bCs/>
        </w:rPr>
        <w:t>Mathematical anchors referenced in validation</w:t>
      </w:r>
    </w:p>
    <w:p w:rsidR="003A0A86" w:rsidRPr="003A0A86" w:rsidRDefault="003A0A86" w:rsidP="008F4646">
      <w:pPr>
        <w:numPr>
          <w:ilvl w:val="0"/>
          <w:numId w:val="20"/>
        </w:numPr>
        <w:jc w:val="left"/>
        <w:outlineLvl w:val="9"/>
      </w:pPr>
      <w:r w:rsidRPr="003A0A86">
        <w:rPr>
          <w:b/>
          <w:bCs/>
        </w:rPr>
        <w:t>Taylor predictor–corrector</w:t>
      </w:r>
      <w:r w:rsidRPr="003A0A86">
        <w:t xml:space="preserve">: </w:t>
      </w:r>
      <w:r w:rsidRPr="003A0A86">
        <w:rPr>
          <w:lang w:val="el-GR"/>
        </w:rPr>
        <w:t>Φ</w:t>
      </w:r>
      <w:r w:rsidRPr="003A0A86">
        <w:t>(U)=I+c1U+c2U2+O(U3)\Phi(U)=I+c_1U+c_2U^2+\mathcal O(U^3)</w:t>
      </w:r>
      <w:r w:rsidRPr="003A0A86">
        <w:rPr>
          <w:lang w:val="el-GR"/>
        </w:rPr>
        <w:t>Φ</w:t>
      </w:r>
      <w:r w:rsidRPr="003A0A86">
        <w:t>(U)=I+c1​U+c2​U2+O(U3) (9.1) — local stability.</w:t>
      </w:r>
    </w:p>
    <w:p w:rsidR="003A0A86" w:rsidRPr="000D6AB7" w:rsidRDefault="003A0A86" w:rsidP="008F4646">
      <w:pPr>
        <w:numPr>
          <w:ilvl w:val="0"/>
          <w:numId w:val="20"/>
        </w:numPr>
        <w:jc w:val="left"/>
        <w:outlineLvl w:val="9"/>
      </w:pPr>
      <w:r w:rsidRPr="000D6AB7">
        <w:rPr>
          <w:b/>
          <w:bCs/>
        </w:rPr>
        <w:t>Gamma resummation</w:t>
      </w:r>
      <w:r w:rsidRPr="000D6AB7">
        <w:t>: (−</w:t>
      </w:r>
      <w:r w:rsidRPr="003A0A86">
        <w:rPr>
          <w:lang w:val="el-GR"/>
        </w:rPr>
        <w:t>Δ</w:t>
      </w:r>
      <w:r w:rsidRPr="000D6AB7">
        <w:t>)−</w:t>
      </w:r>
      <w:r w:rsidRPr="003A0A86">
        <w:rPr>
          <w:lang w:val="el-GR"/>
        </w:rPr>
        <w:t>ωΓ</w:t>
      </w:r>
      <w:r w:rsidRPr="000D6AB7">
        <w:t>(a−</w:t>
      </w:r>
      <w:r w:rsidRPr="003A0A86">
        <w:rPr>
          <w:lang w:val="el-GR"/>
        </w:rPr>
        <w:t>ω</w:t>
      </w:r>
      <w:r w:rsidRPr="000D6AB7">
        <w:t>)</w:t>
      </w:r>
      <w:r w:rsidRPr="003A0A86">
        <w:rPr>
          <w:lang w:val="el-GR"/>
        </w:rPr>
        <w:t>Γ</w:t>
      </w:r>
      <w:r w:rsidRPr="000D6AB7">
        <w:t>(b−</w:t>
      </w:r>
      <w:r w:rsidRPr="003A0A86">
        <w:rPr>
          <w:lang w:val="el-GR"/>
        </w:rPr>
        <w:t>ω</w:t>
      </w:r>
      <w:r w:rsidRPr="000D6AB7">
        <w:t>)+O(</w:t>
      </w:r>
      <w:r w:rsidRPr="003A0A86">
        <w:rPr>
          <w:lang w:val="el-GR"/>
        </w:rPr>
        <w:t>Δ</w:t>
      </w:r>
      <w:r w:rsidRPr="000D6AB7">
        <w:t>−2)(-\Delta)^{-\omega}\Gamma(a-\omega)\Gamma(b-\omega)+\mathcal{O}(\Delta^{-2})(−</w:t>
      </w:r>
      <w:r w:rsidRPr="003A0A86">
        <w:rPr>
          <w:lang w:val="el-GR"/>
        </w:rPr>
        <w:t>Δ</w:t>
      </w:r>
      <w:r w:rsidRPr="000D6AB7">
        <w:t>)−</w:t>
      </w:r>
      <w:r w:rsidRPr="003A0A86">
        <w:rPr>
          <w:lang w:val="el-GR"/>
        </w:rPr>
        <w:t>ωΓ</w:t>
      </w:r>
      <w:r w:rsidRPr="000D6AB7">
        <w:t>(a−</w:t>
      </w:r>
      <w:r w:rsidRPr="003A0A86">
        <w:rPr>
          <w:lang w:val="el-GR"/>
        </w:rPr>
        <w:t>ω</w:t>
      </w:r>
      <w:r w:rsidRPr="000D6AB7">
        <w:t>)</w:t>
      </w:r>
      <w:r w:rsidRPr="003A0A86">
        <w:rPr>
          <w:lang w:val="el-GR"/>
        </w:rPr>
        <w:t>Γ</w:t>
      </w:r>
      <w:r w:rsidRPr="000D6AB7">
        <w:t>(b−</w:t>
      </w:r>
      <w:r w:rsidRPr="003A0A86">
        <w:rPr>
          <w:lang w:val="el-GR"/>
        </w:rPr>
        <w:t>ω</w:t>
      </w:r>
      <w:r w:rsidRPr="000D6AB7">
        <w:t>)+O(</w:t>
      </w:r>
      <w:r w:rsidRPr="003A0A86">
        <w:rPr>
          <w:lang w:val="el-GR"/>
        </w:rPr>
        <w:t>Δ</w:t>
      </w:r>
      <w:r w:rsidRPr="000D6AB7">
        <w:t>−2) (9.2) — tail control.</w:t>
      </w:r>
    </w:p>
    <w:p w:rsidR="003A0A86" w:rsidRPr="003A0A86" w:rsidRDefault="003A0A86" w:rsidP="008F4646">
      <w:pPr>
        <w:numPr>
          <w:ilvl w:val="0"/>
          <w:numId w:val="20"/>
        </w:numPr>
        <w:jc w:val="left"/>
        <w:outlineLvl w:val="9"/>
      </w:pPr>
      <w:r w:rsidRPr="003A0A86">
        <w:rPr>
          <w:b/>
          <w:bCs/>
        </w:rPr>
        <w:t>Hypergeometric gradient</w:t>
      </w:r>
      <w:r w:rsidRPr="003A0A86">
        <w:t>: ∂x 2F1(a,b;c;x)=(ab/c) 2F1(a+1,b+1;c+1;x)\partial_x\,{}_2F_{1}(a,b;c;x)=(ab/c)\,{}_2F_{1}(a+1,b+1;c+1;x)∂x​2​F1​(a,b;c;x)=(ab/c)2​F1​(a+1,b+1;c+1;x) (9.3) — noise-free forces.</w:t>
      </w:r>
    </w:p>
    <w:p w:rsidR="003A0A86" w:rsidRPr="000D6AB7" w:rsidRDefault="003A0A86" w:rsidP="008F4646">
      <w:pPr>
        <w:numPr>
          <w:ilvl w:val="0"/>
          <w:numId w:val="20"/>
        </w:numPr>
        <w:jc w:val="left"/>
        <w:outlineLvl w:val="9"/>
      </w:pPr>
      <w:r w:rsidRPr="000D6AB7">
        <w:rPr>
          <w:b/>
          <w:bCs/>
        </w:rPr>
        <w:t>Spheroidal/Puiseux</w:t>
      </w:r>
      <w:r w:rsidRPr="000D6AB7">
        <w:t>: arcsin⁡(</w:t>
      </w:r>
      <w:r w:rsidRPr="003A0A86">
        <w:rPr>
          <w:lang w:val="el-GR"/>
        </w:rPr>
        <w:t>η</w:t>
      </w:r>
      <w:r w:rsidRPr="000D6AB7">
        <w:t>)=∑k=0∞(2k)!4k(k!)2(2k+1) </w:t>
      </w:r>
      <w:r w:rsidRPr="003A0A86">
        <w:rPr>
          <w:lang w:val="el-GR"/>
        </w:rPr>
        <w:t>η</w:t>
      </w:r>
      <w:r w:rsidRPr="000D6AB7">
        <w:t>2k+1\arcsin(\eta)=\sum_{k=0}^{\infty}\frac{(2k)!}{4^{k}(k!)^{2}(2k+1)}\,\eta^{2k+1}arcsin(</w:t>
      </w:r>
      <w:r w:rsidRPr="003A0A86">
        <w:rPr>
          <w:lang w:val="el-GR"/>
        </w:rPr>
        <w:t>η</w:t>
      </w:r>
      <w:r w:rsidRPr="000D6AB7">
        <w:t>)=∑k=0∞​4k(k!)2(2k+1)(2k)!​</w:t>
      </w:r>
      <w:r w:rsidRPr="003A0A86">
        <w:rPr>
          <w:lang w:val="el-GR"/>
        </w:rPr>
        <w:t>η</w:t>
      </w:r>
      <w:r w:rsidRPr="000D6AB7">
        <w:t>2k+1 (9.4) — smooth contact transitions.</w:t>
      </w:r>
    </w:p>
    <w:p w:rsidR="003A0A86" w:rsidRPr="003A0A86" w:rsidRDefault="003A0A86" w:rsidP="008F4646">
      <w:pPr>
        <w:numPr>
          <w:ilvl w:val="0"/>
          <w:numId w:val="20"/>
        </w:numPr>
        <w:jc w:val="left"/>
        <w:outlineLvl w:val="9"/>
      </w:pPr>
      <w:r w:rsidRPr="003A0A86">
        <w:rPr>
          <w:b/>
          <w:bCs/>
        </w:rPr>
        <w:t>Wigner–DDD</w:t>
      </w:r>
      <w:r w:rsidRPr="003A0A86">
        <w:t xml:space="preserve"> (9.5) — exact SO(3) equivariance.</w:t>
      </w:r>
    </w:p>
    <w:p w:rsidR="003A0A86" w:rsidRPr="003A0A86" w:rsidRDefault="003A0A86" w:rsidP="008F4646">
      <w:pPr>
        <w:numPr>
          <w:ilvl w:val="0"/>
          <w:numId w:val="20"/>
        </w:numPr>
        <w:jc w:val="left"/>
        <w:outlineLvl w:val="9"/>
        <w:rPr>
          <w:lang w:val="el-GR"/>
        </w:rPr>
      </w:pPr>
      <w:r w:rsidRPr="003A0A86">
        <w:rPr>
          <w:b/>
          <w:bCs/>
          <w:lang w:val="el-GR"/>
        </w:rPr>
        <w:t>Zernike/Jacobi</w:t>
      </w:r>
      <w:r w:rsidRPr="003A0A86">
        <w:rPr>
          <w:lang w:val="el-GR"/>
        </w:rPr>
        <w:t xml:space="preserve"> (9.6) — curvature compression.</w:t>
      </w:r>
    </w:p>
    <w:p w:rsidR="003A0A86" w:rsidRPr="003A0A86" w:rsidRDefault="003A0A86" w:rsidP="008F4646">
      <w:pPr>
        <w:numPr>
          <w:ilvl w:val="0"/>
          <w:numId w:val="20"/>
        </w:numPr>
        <w:jc w:val="left"/>
        <w:outlineLvl w:val="9"/>
      </w:pPr>
      <w:r w:rsidRPr="003A0A86">
        <w:rPr>
          <w:b/>
          <w:bCs/>
        </w:rPr>
        <w:t>Appell F1F_1F1​</w:t>
      </w:r>
      <w:r w:rsidRPr="003A0A86">
        <w:t xml:space="preserve"> (9.7) — multichannel coupling.</w:t>
      </w:r>
    </w:p>
    <w:p w:rsidR="003A0A86" w:rsidRPr="003A0A86" w:rsidRDefault="003A0A86" w:rsidP="008F4646">
      <w:pPr>
        <w:numPr>
          <w:ilvl w:val="0"/>
          <w:numId w:val="20"/>
        </w:numPr>
        <w:jc w:val="left"/>
        <w:outlineLvl w:val="9"/>
      </w:pPr>
      <w:r w:rsidRPr="003A0A86">
        <w:rPr>
          <w:b/>
          <w:bCs/>
        </w:rPr>
        <w:t>Heun</w:t>
      </w:r>
      <w:r w:rsidRPr="003A0A86">
        <w:t xml:space="preserve"> (9.8) — screened, multi-singular stabilization.</w:t>
      </w:r>
    </w:p>
    <w:p w:rsidR="003A0A86" w:rsidRPr="003A0A86" w:rsidRDefault="003A0A86" w:rsidP="008F4646">
      <w:pPr>
        <w:numPr>
          <w:ilvl w:val="0"/>
          <w:numId w:val="20"/>
        </w:numPr>
        <w:jc w:val="left"/>
        <w:outlineLvl w:val="9"/>
      </w:pPr>
      <w:r w:rsidRPr="003A0A86">
        <w:rPr>
          <w:b/>
          <w:bCs/>
        </w:rPr>
        <w:t>ADM-like split</w:t>
      </w:r>
      <w:r w:rsidRPr="003A0A86">
        <w:t xml:space="preserve"> (9.9) — capacity-aware geometry vs flow.</w:t>
      </w:r>
    </w:p>
    <w:p w:rsidR="003A0A86" w:rsidRPr="003A0A86" w:rsidRDefault="003A0A86" w:rsidP="008F4646">
      <w:pPr>
        <w:numPr>
          <w:ilvl w:val="0"/>
          <w:numId w:val="20"/>
        </w:numPr>
        <w:jc w:val="left"/>
        <w:outlineLvl w:val="9"/>
      </w:pPr>
      <w:r w:rsidRPr="003A0A86">
        <w:rPr>
          <w:b/>
          <w:bCs/>
        </w:rPr>
        <w:t>Entropy triage</w:t>
      </w:r>
      <w:r w:rsidRPr="003A0A86">
        <w:t xml:space="preserve"> HHH, S</w:t>
      </w:r>
      <w:r w:rsidRPr="003A0A86">
        <w:rPr>
          <w:lang w:val="el-GR"/>
        </w:rPr>
        <w:t>α</w:t>
      </w:r>
      <w:r w:rsidRPr="003A0A86">
        <w:t>S_\alphaS</w:t>
      </w:r>
      <w:r w:rsidRPr="003A0A86">
        <w:rPr>
          <w:lang w:val="el-GR"/>
        </w:rPr>
        <w:t>α</w:t>
      </w:r>
      <w:r w:rsidRPr="003A0A86">
        <w:t xml:space="preserve">​, </w:t>
      </w:r>
      <w:r w:rsidRPr="003A0A86">
        <w:rPr>
          <w:lang w:val="el-GR"/>
        </w:rPr>
        <w:t>Δ</w:t>
      </w:r>
      <w:r w:rsidRPr="003A0A86">
        <w:t>H\Delta H</w:t>
      </w:r>
      <w:r w:rsidRPr="003A0A86">
        <w:rPr>
          <w:lang w:val="el-GR"/>
        </w:rPr>
        <w:t>Δ</w:t>
      </w:r>
      <w:r w:rsidRPr="003A0A86">
        <w:t xml:space="preserve">H, </w:t>
      </w:r>
      <w:r w:rsidRPr="003A0A86">
        <w:rPr>
          <w:lang w:val="el-GR"/>
        </w:rPr>
        <w:t>χ</w:t>
      </w:r>
      <w:r w:rsidRPr="003A0A86">
        <w:t>2\chi^2</w:t>
      </w:r>
      <w:r w:rsidRPr="003A0A86">
        <w:rPr>
          <w:lang w:val="el-GR"/>
        </w:rPr>
        <w:t>χ</w:t>
      </w:r>
      <w:r w:rsidRPr="003A0A86">
        <w:t>2 (10.1–10.4) — diversity and fairness.</w:t>
      </w:r>
    </w:p>
    <w:p w:rsidR="003A0A86" w:rsidRPr="003A0A86" w:rsidRDefault="003A0A86" w:rsidP="008F4646">
      <w:pPr>
        <w:numPr>
          <w:ilvl w:val="0"/>
          <w:numId w:val="20"/>
        </w:numPr>
        <w:jc w:val="left"/>
        <w:outlineLvl w:val="9"/>
      </w:pPr>
      <w:r w:rsidRPr="003A0A86">
        <w:rPr>
          <w:b/>
          <w:bCs/>
        </w:rPr>
        <w:t>Energetics</w:t>
      </w:r>
      <w:r w:rsidRPr="003A0A86">
        <w:t xml:space="preserve"> </w:t>
      </w:r>
      <w:r w:rsidRPr="003A0A86">
        <w:rPr>
          <w:lang w:val="el-GR"/>
        </w:rPr>
        <w:t>Δ</w:t>
      </w:r>
      <w:r w:rsidRPr="003A0A86">
        <w:t>GMM–PBSA\Delta G_{\text{MM–PBSA}}</w:t>
      </w:r>
      <w:r w:rsidRPr="003A0A86">
        <w:rPr>
          <w:lang w:val="el-GR"/>
        </w:rPr>
        <w:t>Δ</w:t>
      </w:r>
      <w:r w:rsidRPr="003A0A86">
        <w:t xml:space="preserve">GMM–PBSA​, </w:t>
      </w:r>
      <w:r w:rsidRPr="003A0A86">
        <w:rPr>
          <w:lang w:val="el-GR"/>
        </w:rPr>
        <w:t>Δ</w:t>
      </w:r>
      <w:r w:rsidRPr="003A0A86">
        <w:t>Gnp=</w:t>
      </w:r>
      <w:r w:rsidRPr="003A0A86">
        <w:rPr>
          <w:lang w:val="el-GR"/>
        </w:rPr>
        <w:t>γ</w:t>
      </w:r>
      <w:r w:rsidRPr="003A0A86">
        <w:t> </w:t>
      </w:r>
      <w:r w:rsidRPr="003A0A86">
        <w:rPr>
          <w:lang w:val="el-GR"/>
        </w:rPr>
        <w:t>Δ</w:t>
      </w:r>
      <w:r w:rsidRPr="003A0A86">
        <w:t>SASA\Delta G_{\mathrm{np}}=\gamma\,\Delta\mathrm{SASA}</w:t>
      </w:r>
      <w:r w:rsidRPr="003A0A86">
        <w:rPr>
          <w:lang w:val="el-GR"/>
        </w:rPr>
        <w:t>Δ</w:t>
      </w:r>
      <w:r w:rsidRPr="003A0A86">
        <w:t>Gnp​=</w:t>
      </w:r>
      <w:r w:rsidRPr="003A0A86">
        <w:rPr>
          <w:lang w:val="el-GR"/>
        </w:rPr>
        <w:t>γΔ</w:t>
      </w:r>
      <w:r w:rsidRPr="003A0A86">
        <w:t xml:space="preserve">SASA, </w:t>
      </w:r>
      <w:r w:rsidRPr="003A0A86">
        <w:rPr>
          <w:lang w:val="el-GR"/>
        </w:rPr>
        <w:t>Δ</w:t>
      </w:r>
      <w:r w:rsidRPr="003A0A86">
        <w:t>G^tot\widehat{\Delta G}_{\text{tot}}</w:t>
      </w:r>
      <w:r w:rsidRPr="003A0A86">
        <w:rPr>
          <w:lang w:val="el-GR"/>
        </w:rPr>
        <w:t>Δ</w:t>
      </w:r>
      <w:r w:rsidRPr="003A0A86">
        <w:t>Gtot​ (10.5–10.7) — interpretable scoring.</w:t>
      </w:r>
    </w:p>
    <w:p w:rsidR="003A0A86" w:rsidRPr="003A0A86" w:rsidRDefault="003A0A86" w:rsidP="008F4646">
      <w:pPr>
        <w:numPr>
          <w:ilvl w:val="0"/>
          <w:numId w:val="20"/>
        </w:numPr>
        <w:jc w:val="left"/>
        <w:outlineLvl w:val="9"/>
      </w:pPr>
      <w:r w:rsidRPr="003A0A86">
        <w:rPr>
          <w:b/>
          <w:bCs/>
        </w:rPr>
        <w:t>Composite loss</w:t>
      </w:r>
      <w:r w:rsidRPr="003A0A86">
        <w:t xml:space="preserve"> (10.10) — physics/pharmacophore/diversity/ADMET balance.</w:t>
      </w:r>
    </w:p>
    <w:p w:rsidR="003A0A86" w:rsidRPr="003A0A86" w:rsidRDefault="003A0A86" w:rsidP="008F4646">
      <w:pPr>
        <w:numPr>
          <w:ilvl w:val="0"/>
          <w:numId w:val="20"/>
        </w:numPr>
        <w:jc w:val="left"/>
        <w:outlineLvl w:val="9"/>
      </w:pPr>
      <w:r w:rsidRPr="003A0A86">
        <w:rPr>
          <w:b/>
          <w:bCs/>
        </w:rPr>
        <w:t>Systems metrics</w:t>
      </w:r>
      <w:r w:rsidRPr="003A0A86">
        <w:t xml:space="preserve"> CSI, MRH, </w:t>
      </w:r>
      <w:r w:rsidRPr="003A0A86">
        <w:rPr>
          <w:lang w:val="el-GR"/>
        </w:rPr>
        <w:t>Δ</w:t>
      </w:r>
      <w:r w:rsidRPr="003A0A86">
        <w:t>GSE (10.11–10.13) — synergy, plasticity, signaling noise.</w:t>
      </w:r>
    </w:p>
    <w:p w:rsidR="003A0A86" w:rsidRPr="003A0A86" w:rsidRDefault="003A0A86" w:rsidP="008F4646">
      <w:pPr>
        <w:numPr>
          <w:ilvl w:val="0"/>
          <w:numId w:val="20"/>
        </w:numPr>
        <w:jc w:val="left"/>
        <w:outlineLvl w:val="9"/>
      </w:pPr>
      <w:r w:rsidRPr="003A0A86">
        <w:rPr>
          <w:b/>
          <w:bCs/>
        </w:rPr>
        <w:t>Network geometry</w:t>
      </w:r>
      <w:r w:rsidRPr="003A0A86">
        <w:t xml:space="preserve"> (10.14–10.16) — metric capacity and stationarity as regularizers.</w:t>
      </w:r>
    </w:p>
    <w:p w:rsidR="003A0A86" w:rsidRPr="003A0A86" w:rsidRDefault="00106EF3" w:rsidP="003A0A86">
      <w:pPr>
        <w:spacing w:before="0" w:beforeAutospacing="0" w:after="0" w:afterAutospacing="0"/>
        <w:jc w:val="left"/>
        <w:outlineLvl w:val="9"/>
        <w:rPr>
          <w:lang w:val="el-GR"/>
        </w:rPr>
      </w:pPr>
      <w:r w:rsidRPr="00106EF3">
        <w:rPr>
          <w:lang w:val="el-GR"/>
        </w:rPr>
        <w:pict>
          <v:rect id="_x0000_i1126" style="width:0;height:1.5pt" o:hralign="center" o:hrstd="t" o:hr="t" fillcolor="#a0a0a0" stroked="f"/>
        </w:pict>
      </w:r>
    </w:p>
    <w:p w:rsidR="003A0A86" w:rsidRPr="003A0A86" w:rsidRDefault="003A0A86" w:rsidP="003A0A86">
      <w:pPr>
        <w:jc w:val="left"/>
        <w:rPr>
          <w:b/>
          <w:bCs/>
        </w:rPr>
      </w:pPr>
      <w:r w:rsidRPr="003A0A86">
        <w:rPr>
          <w:b/>
          <w:bCs/>
        </w:rPr>
        <w:t>One-paragraph summary</w:t>
      </w:r>
    </w:p>
    <w:p w:rsidR="003A0A86" w:rsidRDefault="003A0A86" w:rsidP="003A0A86">
      <w:pPr>
        <w:jc w:val="left"/>
        <w:outlineLvl w:val="9"/>
      </w:pPr>
      <w:r w:rsidRPr="003A0A86">
        <w:t xml:space="preserve">By </w:t>
      </w:r>
      <w:r w:rsidRPr="003A0A86">
        <w:rPr>
          <w:b/>
          <w:bCs/>
        </w:rPr>
        <w:t>restoring burial physics</w:t>
      </w:r>
      <w:r w:rsidRPr="003A0A86">
        <w:t xml:space="preserve"> (</w:t>
      </w:r>
      <w:r w:rsidRPr="003A0A86">
        <w:rPr>
          <w:lang w:val="el-GR"/>
        </w:rPr>
        <w:t>Δ</w:t>
      </w:r>
      <w:r w:rsidRPr="003A0A86">
        <w:t>SASA\Delta\mathrm{SASA}</w:t>
      </w:r>
      <w:r w:rsidRPr="003A0A86">
        <w:rPr>
          <w:lang w:val="el-GR"/>
        </w:rPr>
        <w:t>Δ</w:t>
      </w:r>
      <w:r w:rsidRPr="003A0A86">
        <w:t xml:space="preserve">SASA), </w:t>
      </w:r>
      <w:r w:rsidRPr="003A0A86">
        <w:rPr>
          <w:b/>
          <w:bCs/>
        </w:rPr>
        <w:t>encoding pocket geometry</w:t>
      </w:r>
      <w:r w:rsidRPr="003A0A86">
        <w:t xml:space="preserve"> (curvature-aware Pharmacophoric-ODEs with exact SO(3) symmetry), </w:t>
      </w:r>
      <w:r w:rsidRPr="003A0A86">
        <w:rPr>
          <w:b/>
          <w:bCs/>
        </w:rPr>
        <w:t>preserving diversity</w:t>
      </w:r>
      <w:r w:rsidRPr="003A0A86">
        <w:t xml:space="preserve"> (entropy triage), and </w:t>
      </w:r>
      <w:r w:rsidRPr="003A0A86">
        <w:rPr>
          <w:b/>
          <w:bCs/>
        </w:rPr>
        <w:t>gating quantum learners by GHZ fidelity</w:t>
      </w:r>
      <w:r w:rsidRPr="003A0A86">
        <w:t>,</w:t>
      </w:r>
      <w:r w:rsidR="00356057">
        <w:t xml:space="preserve"> I </w:t>
      </w:r>
      <w:r w:rsidRPr="003A0A86">
        <w:t xml:space="preserve">obtain a </w:t>
      </w:r>
      <w:r w:rsidRPr="003A0A86">
        <w:rPr>
          <w:b/>
          <w:bCs/>
        </w:rPr>
        <w:t>measurement-driven, curvature-regularized, quantum-assisted</w:t>
      </w:r>
      <w:r w:rsidRPr="003A0A86">
        <w:t xml:space="preserve"> discovery path. The same assemblies that </w:t>
      </w:r>
      <w:r w:rsidRPr="003A0A86">
        <w:rPr>
          <w:b/>
          <w:bCs/>
        </w:rPr>
        <w:t>rank best</w:t>
      </w:r>
      <w:r w:rsidRPr="003A0A86">
        <w:t xml:space="preserve"> after </w:t>
      </w:r>
      <w:r w:rsidRPr="003A0A86">
        <w:rPr>
          <w:lang w:val="el-GR"/>
        </w:rPr>
        <w:t>Δ</w:t>
      </w:r>
      <w:r w:rsidRPr="003A0A86">
        <w:t xml:space="preserve">SASA correction </w:t>
      </w:r>
      <w:r w:rsidRPr="003A0A86">
        <w:rPr>
          <w:b/>
          <w:bCs/>
        </w:rPr>
        <w:t>inhibit MMP-1/elastase</w:t>
      </w:r>
      <w:r w:rsidRPr="003A0A86">
        <w:t xml:space="preserve">, </w:t>
      </w:r>
      <w:r w:rsidRPr="003A0A86">
        <w:rPr>
          <w:b/>
          <w:bCs/>
        </w:rPr>
        <w:t>activate ERC pathways</w:t>
      </w:r>
      <w:r w:rsidRPr="003A0A86">
        <w:t xml:space="preserve">, </w:t>
      </w:r>
      <w:r w:rsidRPr="003A0A86">
        <w:rPr>
          <w:b/>
          <w:bCs/>
        </w:rPr>
        <w:t>synergize in triads</w:t>
      </w:r>
      <w:r w:rsidRPr="003A0A86">
        <w:t xml:space="preserve">, </w:t>
      </w:r>
      <w:r w:rsidRPr="003A0A86">
        <w:rPr>
          <w:b/>
          <w:bCs/>
        </w:rPr>
        <w:t>bind tightly by SPR/ITC/DSF</w:t>
      </w:r>
      <w:r w:rsidRPr="003A0A86">
        <w:t xml:space="preserve">, </w:t>
      </w:r>
      <w:r w:rsidRPr="003A0A86">
        <w:rPr>
          <w:b/>
          <w:bCs/>
        </w:rPr>
        <w:t>mobilize CD34⁺/CD45⁺ and CD133⁺</w:t>
      </w:r>
      <w:r w:rsidRPr="003A0A86">
        <w:t xml:space="preserve">, and </w:t>
      </w:r>
      <w:r w:rsidRPr="003A0A86">
        <w:rPr>
          <w:b/>
          <w:bCs/>
        </w:rPr>
        <w:t>lower network entropy</w:t>
      </w:r>
      <w:r w:rsidRPr="003A0A86">
        <w:t xml:space="preserve"> (CSI↑, MRH↑, </w:t>
      </w:r>
      <w:r w:rsidRPr="003A0A86">
        <w:rPr>
          <w:lang w:val="el-GR"/>
        </w:rPr>
        <w:t>Δ</w:t>
      </w:r>
      <w:r w:rsidRPr="003A0A86">
        <w:t xml:space="preserve">GSE↓). This coherence—from </w:t>
      </w:r>
      <w:r w:rsidRPr="003A0A86">
        <w:rPr>
          <w:b/>
          <w:bCs/>
        </w:rPr>
        <w:t>equations</w:t>
      </w:r>
      <w:r w:rsidRPr="003A0A86">
        <w:t xml:space="preserve"> to </w:t>
      </w:r>
      <w:r w:rsidRPr="003A0A86">
        <w:rPr>
          <w:b/>
          <w:bCs/>
        </w:rPr>
        <w:t>enzymes</w:t>
      </w:r>
      <w:r w:rsidRPr="003A0A86">
        <w:t xml:space="preserve"> to </w:t>
      </w:r>
      <w:r w:rsidRPr="003A0A86">
        <w:rPr>
          <w:b/>
          <w:bCs/>
        </w:rPr>
        <w:t>ECM biology</w:t>
      </w:r>
      <w:r w:rsidRPr="003A0A86">
        <w:t xml:space="preserve">—supports cf8/cf9-like formulations and an </w:t>
      </w:r>
      <w:r w:rsidRPr="003A0A86">
        <w:rPr>
          <w:b/>
          <w:bCs/>
        </w:rPr>
        <w:t>ERC-biased peptidomimetic</w:t>
      </w:r>
      <w:r w:rsidRPr="003A0A86">
        <w:t xml:space="preserve"> as practical, testable routes to fibrocyte-centric skin repair.</w:t>
      </w:r>
    </w:p>
    <w:p w:rsidR="0023128A" w:rsidRDefault="0023128A" w:rsidP="008F55B6">
      <w:pPr>
        <w:jc w:val="left"/>
        <w:outlineLvl w:val="9"/>
      </w:pPr>
      <w:r>
        <w:t># quantum_ph4_pipeline.py</w:t>
      </w:r>
    </w:p>
    <w:p w:rsidR="0023128A" w:rsidRDefault="0023128A" w:rsidP="008F55B6">
      <w:pPr>
        <w:jc w:val="left"/>
        <w:outlineLvl w:val="9"/>
      </w:pPr>
      <w:r>
        <w:t># ===========================================================</w:t>
      </w:r>
    </w:p>
    <w:p w:rsidR="0023128A" w:rsidRDefault="0023128A" w:rsidP="008F55B6">
      <w:pPr>
        <w:jc w:val="left"/>
        <w:outlineLvl w:val="9"/>
      </w:pPr>
      <w:r>
        <w:t># Bridge + Pharmacophoric-ODEs + Tiny Simulator + SPSA Trainer</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from __future__ import annotations</w:t>
      </w:r>
    </w:p>
    <w:p w:rsidR="0023128A" w:rsidRDefault="0023128A" w:rsidP="008F55B6">
      <w:pPr>
        <w:jc w:val="left"/>
        <w:outlineLvl w:val="9"/>
      </w:pPr>
    </w:p>
    <w:p w:rsidR="0023128A" w:rsidRDefault="0023128A" w:rsidP="008F55B6">
      <w:pPr>
        <w:jc w:val="left"/>
        <w:outlineLvl w:val="9"/>
      </w:pPr>
      <w:r>
        <w:t>import sys, re, math</w:t>
      </w:r>
    </w:p>
    <w:p w:rsidR="0023128A" w:rsidRDefault="0023128A" w:rsidP="008F55B6">
      <w:pPr>
        <w:jc w:val="left"/>
        <w:outlineLvl w:val="9"/>
      </w:pPr>
      <w:r>
        <w:t>import numpy as np</w:t>
      </w:r>
    </w:p>
    <w:p w:rsidR="0023128A" w:rsidRDefault="0023128A" w:rsidP="008F55B6">
      <w:pPr>
        <w:jc w:val="left"/>
        <w:outlineLvl w:val="9"/>
      </w:pPr>
      <w:r>
        <w:t>from dataclasses import dataclass</w:t>
      </w:r>
    </w:p>
    <w:p w:rsidR="0023128A" w:rsidRDefault="0023128A" w:rsidP="008F55B6">
      <w:pPr>
        <w:jc w:val="left"/>
        <w:outlineLvl w:val="9"/>
      </w:pPr>
      <w:r>
        <w:t>from typing import Dict, List, Tuple, Iterable</w:t>
      </w:r>
    </w:p>
    <w:p w:rsidR="0023128A" w:rsidRDefault="0023128A" w:rsidP="008F55B6">
      <w:pPr>
        <w:jc w:val="left"/>
        <w:outlineLvl w:val="9"/>
      </w:pPr>
    </w:p>
    <w:p w:rsidR="0023128A" w:rsidRDefault="0023128A" w:rsidP="008F55B6">
      <w:pPr>
        <w:jc w:val="left"/>
        <w:outlineLvl w:val="9"/>
      </w:pPr>
      <w:r>
        <w:t>from qiskit import QuantumCircuit, QuantumRegister, ClassicalRegister, transpile</w:t>
      </w:r>
    </w:p>
    <w:p w:rsidR="0023128A" w:rsidRDefault="0023128A" w:rsidP="008F55B6">
      <w:pPr>
        <w:jc w:val="left"/>
        <w:outlineLvl w:val="9"/>
      </w:pPr>
      <w:r>
        <w:t>from qiskit.circuit import ParameterVector</w:t>
      </w:r>
    </w:p>
    <w:p w:rsidR="0023128A" w:rsidRDefault="0023128A" w:rsidP="008F55B6">
      <w:pPr>
        <w:jc w:val="left"/>
        <w:outlineLvl w:val="9"/>
      </w:pPr>
    </w:p>
    <w:p w:rsidR="0023128A" w:rsidRDefault="0023128A" w:rsidP="008F55B6">
      <w:pPr>
        <w:jc w:val="left"/>
        <w:outlineLvl w:val="9"/>
      </w:pPr>
      <w:r>
        <w:t># Optional Aer for execution</w:t>
      </w:r>
    </w:p>
    <w:p w:rsidR="0023128A" w:rsidRDefault="0023128A" w:rsidP="008F55B6">
      <w:pPr>
        <w:jc w:val="left"/>
        <w:outlineLvl w:val="9"/>
      </w:pPr>
      <w:r>
        <w:t>try:</w:t>
      </w:r>
    </w:p>
    <w:p w:rsidR="0023128A" w:rsidRDefault="0023128A" w:rsidP="008F55B6">
      <w:pPr>
        <w:jc w:val="left"/>
        <w:outlineLvl w:val="9"/>
      </w:pPr>
      <w:r>
        <w:t>from qiskit_aer import AerSimulator</w:t>
      </w:r>
    </w:p>
    <w:p w:rsidR="0023128A" w:rsidRDefault="0023128A" w:rsidP="008F55B6">
      <w:pPr>
        <w:jc w:val="left"/>
        <w:outlineLvl w:val="9"/>
      </w:pPr>
      <w:r>
        <w:t>_HAS_AER = True</w:t>
      </w:r>
    </w:p>
    <w:p w:rsidR="0023128A" w:rsidRDefault="0023128A" w:rsidP="008F55B6">
      <w:pPr>
        <w:jc w:val="left"/>
        <w:outlineLvl w:val="9"/>
      </w:pPr>
      <w:r>
        <w:t>except Exception:</w:t>
      </w:r>
    </w:p>
    <w:p w:rsidR="0023128A" w:rsidRDefault="0023128A" w:rsidP="008F55B6">
      <w:pPr>
        <w:jc w:val="left"/>
        <w:outlineLvl w:val="9"/>
      </w:pPr>
      <w:r>
        <w:t>_HAS_AER = False</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Targets / motifs / compartments</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TARGETS = [</w:t>
      </w:r>
    </w:p>
    <w:p w:rsidR="0023128A" w:rsidRDefault="0023128A" w:rsidP="008F55B6">
      <w:pPr>
        <w:jc w:val="left"/>
        <w:outlineLvl w:val="9"/>
      </w:pPr>
      <w:r>
        <w:t>("P08253", "MMP2",</w:t>
      </w:r>
      <w:r w:rsidR="00496063">
        <w:t xml:space="preserve"> </w:t>
      </w:r>
      <w:r>
        <w:t>0.108, "Extracellular matrix; Metalloprotease; Secreted"),</w:t>
      </w:r>
    </w:p>
    <w:p w:rsidR="0023128A" w:rsidRDefault="0023128A" w:rsidP="008F55B6">
      <w:pPr>
        <w:jc w:val="left"/>
        <w:outlineLvl w:val="9"/>
      </w:pPr>
      <w:r>
        <w:t>("O43184", "ADAM12", 0.378, "Metalloprotease; Cell membrane; SH3-binding"),</w:t>
      </w:r>
    </w:p>
    <w:p w:rsidR="0023128A" w:rsidRDefault="0023128A" w:rsidP="008F55B6">
      <w:pPr>
        <w:jc w:val="left"/>
        <w:outlineLvl w:val="9"/>
      </w:pPr>
      <w:r>
        <w:t>("P01033", "TIMP1",</w:t>
      </w:r>
      <w:r w:rsidR="00496063">
        <w:t xml:space="preserve"> </w:t>
      </w:r>
      <w:r>
        <w:t>0.128, "Protease inhibitor; Secreted; Growth factor"),</w:t>
      </w:r>
    </w:p>
    <w:p w:rsidR="0023128A" w:rsidRDefault="0023128A" w:rsidP="008F55B6">
      <w:pPr>
        <w:jc w:val="left"/>
        <w:outlineLvl w:val="9"/>
      </w:pPr>
      <w:r>
        <w:t>("P12931", "SRC",</w:t>
      </w:r>
      <w:r w:rsidR="00496063">
        <w:t xml:space="preserve"> </w:t>
      </w:r>
      <w:r>
        <w:t>0.122, "Tyrosine kinase; Membrane/cytosol; SH2/SH3"),</w:t>
      </w:r>
    </w:p>
    <w:p w:rsidR="0023128A" w:rsidRDefault="0023128A" w:rsidP="008F55B6">
      <w:pPr>
        <w:jc w:val="left"/>
        <w:outlineLvl w:val="9"/>
      </w:pPr>
      <w:r>
        <w:t>("P27986", "PIK3R1", 0.108, "PI3K regulatory; SH2/SH3"),</w:t>
      </w:r>
    </w:p>
    <w:p w:rsidR="0023128A" w:rsidRDefault="0023128A" w:rsidP="008F55B6">
      <w:pPr>
        <w:jc w:val="left"/>
        <w:outlineLvl w:val="9"/>
      </w:pPr>
      <w:r>
        <w:t>("P62993", "GRB2",</w:t>
      </w:r>
      <w:r w:rsidR="00496063">
        <w:t xml:space="preserve"> </w:t>
      </w:r>
      <w:r>
        <w:t>0.149, "Adaptor; SH2/SH3"),</w:t>
      </w:r>
    </w:p>
    <w:p w:rsidR="0023128A" w:rsidRDefault="0023128A" w:rsidP="008F55B6">
      <w:pPr>
        <w:jc w:val="left"/>
        <w:outlineLvl w:val="9"/>
      </w:pPr>
      <w:r>
        <w:t>("P02461", "COL3A1", 0.149, "Collagen; ECM; Secreted"),</w:t>
      </w:r>
    </w:p>
    <w:p w:rsidR="0023128A" w:rsidRDefault="0023128A" w:rsidP="008F55B6">
      <w:pPr>
        <w:jc w:val="left"/>
        <w:outlineLvl w:val="9"/>
      </w:pPr>
      <w:r>
        <w:t>("P15502", "ELN",</w:t>
      </w:r>
      <w:r w:rsidR="00496063">
        <w:t xml:space="preserve"> </w:t>
      </w:r>
      <w:r>
        <w:t>0.196, "Elastin; ECM; Secreted"),</w:t>
      </w:r>
    </w:p>
    <w:p w:rsidR="0023128A" w:rsidRDefault="0023128A" w:rsidP="008F55B6">
      <w:pPr>
        <w:jc w:val="left"/>
        <w:outlineLvl w:val="9"/>
      </w:pPr>
      <w:r>
        <w:t>]</w:t>
      </w:r>
    </w:p>
    <w:p w:rsidR="0023128A" w:rsidRDefault="0023128A" w:rsidP="008F55B6">
      <w:pPr>
        <w:jc w:val="left"/>
        <w:outlineLvl w:val="9"/>
      </w:pPr>
    </w:p>
    <w:p w:rsidR="0023128A" w:rsidRDefault="0023128A" w:rsidP="008F55B6">
      <w:pPr>
        <w:jc w:val="left"/>
        <w:outlineLvl w:val="9"/>
      </w:pPr>
      <w:r>
        <w:t>MOTIFS = {</w:t>
      </w:r>
    </w:p>
    <w:p w:rsidR="0023128A" w:rsidRDefault="0023128A" w:rsidP="008F55B6">
      <w:pPr>
        <w:jc w:val="left"/>
        <w:outlineLvl w:val="9"/>
      </w:pPr>
      <w:r>
        <w:t>"ERC_long": r"[WR]P[WH][QA][VW][SP][LF][QM][YV]S[SL]Q[GL][SR]G[YG]H[TF]CG[GA][ST]LIAPN[WF]VM[TS]AAHC[IV][SA][SN].{0,36}V?N[TV][YR][RA]V[VR][LV][GV]L[HG][NA]",</w:t>
      </w:r>
    </w:p>
    <w:p w:rsidR="0023128A" w:rsidRDefault="0023128A" w:rsidP="008F55B6">
      <w:pPr>
        <w:jc w:val="left"/>
        <w:outlineLvl w:val="9"/>
      </w:pPr>
      <w:r>
        <w:t>"SerProt_core1": r"LFLVAAH[EQ]FGHA[ML]GL[ED]HS[QS][DV]P[GE]ALM[AY]P[IM]Y[TR][YF]T.{0,2}[KE][NG][FP][RP]L[SH][QK]DD[IV][KN]GI[QR][EH]LYG?",</w:t>
      </w:r>
    </w:p>
    <w:p w:rsidR="0023128A" w:rsidRDefault="0023128A" w:rsidP="008F55B6">
      <w:pPr>
        <w:jc w:val="left"/>
        <w:outlineLvl w:val="9"/>
      </w:pPr>
      <w:r>
        <w:t>"SerProt_core2": r"A[NH][YF]DDD.*?QGYSLFLVAAH[EQ]FGHA[ML]GL[ED]HS[QS][DV]P[GE]ALM[AY]P[IM]Y[TR][YF]T",</w:t>
      </w:r>
    </w:p>
    <w:p w:rsidR="0023128A" w:rsidRDefault="0023128A" w:rsidP="008F55B6">
      <w:pPr>
        <w:jc w:val="left"/>
        <w:outlineLvl w:val="9"/>
      </w:pPr>
      <w:r>
        <w:t>"ECM_cys_tag":</w:t>
      </w:r>
      <w:r w:rsidR="00496063">
        <w:t xml:space="preserve"> </w:t>
      </w:r>
      <w:r>
        <w:t>r"STVGGNSEGAPCVFPFTFLGNKYESCTSAGRSDGKMWCATTANYDDDRKW",</w:t>
      </w:r>
    </w:p>
    <w:p w:rsidR="0023128A" w:rsidRDefault="0023128A" w:rsidP="008F55B6">
      <w:pPr>
        <w:jc w:val="left"/>
        <w:outlineLvl w:val="9"/>
      </w:pPr>
      <w:r>
        <w:t>}</w:t>
      </w:r>
    </w:p>
    <w:p w:rsidR="0023128A" w:rsidRDefault="0023128A" w:rsidP="008F55B6">
      <w:pPr>
        <w:jc w:val="left"/>
        <w:outlineLvl w:val="9"/>
      </w:pPr>
    </w:p>
    <w:p w:rsidR="0023128A" w:rsidRDefault="0023128A" w:rsidP="008F55B6">
      <w:pPr>
        <w:jc w:val="left"/>
        <w:outlineLvl w:val="9"/>
      </w:pPr>
      <w:r>
        <w:t>COMPARTMENT_WEIGHTS = {</w:t>
      </w:r>
    </w:p>
    <w:p w:rsidR="0023128A" w:rsidRDefault="0023128A" w:rsidP="008F55B6">
      <w:pPr>
        <w:jc w:val="left"/>
        <w:outlineLvl w:val="9"/>
      </w:pPr>
      <w:r>
        <w:t>"Extracellular matrix": 1.0,</w:t>
      </w:r>
    </w:p>
    <w:p w:rsidR="0023128A" w:rsidRDefault="0023128A" w:rsidP="008F55B6">
      <w:pPr>
        <w:jc w:val="left"/>
        <w:outlineLvl w:val="9"/>
      </w:pPr>
      <w:r>
        <w:t>"Secretory granule lumen": 0.9,</w:t>
      </w:r>
    </w:p>
    <w:p w:rsidR="0023128A" w:rsidRDefault="0023128A" w:rsidP="008F55B6">
      <w:pPr>
        <w:jc w:val="left"/>
        <w:outlineLvl w:val="9"/>
      </w:pPr>
      <w:r>
        <w:t>"Vesicle lumen": 0.8,</w:t>
      </w:r>
    </w:p>
    <w:p w:rsidR="0023128A" w:rsidRDefault="0023128A" w:rsidP="008F55B6">
      <w:pPr>
        <w:jc w:val="left"/>
        <w:outlineLvl w:val="9"/>
      </w:pPr>
      <w:r>
        <w:t>"Membrane": 0.4,</w:t>
      </w:r>
    </w:p>
    <w:p w:rsidR="0023128A" w:rsidRDefault="0023128A" w:rsidP="008F55B6">
      <w:pPr>
        <w:jc w:val="left"/>
        <w:outlineLvl w:val="9"/>
      </w:pPr>
      <w:r>
        <w:t>"Cytoplasm": 0.3,</w:t>
      </w:r>
    </w:p>
    <w:p w:rsidR="0023128A" w:rsidRDefault="0023128A" w:rsidP="008F55B6">
      <w:pPr>
        <w:jc w:val="left"/>
        <w:outlineLvl w:val="9"/>
      </w:pPr>
      <w:r>
        <w:t>"Nucleus": 0.2,</w:t>
      </w:r>
    </w:p>
    <w:p w:rsidR="0023128A" w:rsidRDefault="0023128A" w:rsidP="008F55B6">
      <w:pPr>
        <w:jc w:val="left"/>
        <w:outlineLvl w:val="9"/>
      </w:pPr>
      <w:r>
        <w:t>}</w:t>
      </w:r>
    </w:p>
    <w:p w:rsidR="0023128A" w:rsidRDefault="0023128A" w:rsidP="008F55B6">
      <w:pPr>
        <w:jc w:val="left"/>
        <w:outlineLvl w:val="9"/>
      </w:pPr>
    </w:p>
    <w:p w:rsidR="0023128A" w:rsidRDefault="0023128A" w:rsidP="008F55B6">
      <w:pPr>
        <w:jc w:val="left"/>
        <w:outlineLvl w:val="9"/>
      </w:pPr>
      <w:r>
        <w:t>@dataclass</w:t>
      </w:r>
    </w:p>
    <w:p w:rsidR="0023128A" w:rsidRDefault="0023128A" w:rsidP="008F55B6">
      <w:pPr>
        <w:jc w:val="left"/>
        <w:outlineLvl w:val="9"/>
      </w:pPr>
      <w:r>
        <w:t>class TargetRow:</w:t>
      </w:r>
    </w:p>
    <w:p w:rsidR="0023128A" w:rsidRDefault="0023128A" w:rsidP="008F55B6">
      <w:pPr>
        <w:jc w:val="left"/>
        <w:outlineLvl w:val="9"/>
      </w:pPr>
      <w:r>
        <w:t>uniprot: str</w:t>
      </w:r>
    </w:p>
    <w:p w:rsidR="0023128A" w:rsidRDefault="0023128A" w:rsidP="008F55B6">
      <w:pPr>
        <w:jc w:val="left"/>
        <w:outlineLvl w:val="9"/>
      </w:pPr>
      <w:r>
        <w:t>gene: str</w:t>
      </w:r>
    </w:p>
    <w:p w:rsidR="0023128A" w:rsidRDefault="0023128A" w:rsidP="008F55B6">
      <w:pPr>
        <w:jc w:val="left"/>
        <w:outlineLvl w:val="9"/>
      </w:pPr>
      <w:r>
        <w:t>centrality: float</w:t>
      </w:r>
    </w:p>
    <w:p w:rsidR="0023128A" w:rsidRDefault="0023128A" w:rsidP="008F55B6">
      <w:pPr>
        <w:jc w:val="left"/>
        <w:outlineLvl w:val="9"/>
      </w:pPr>
      <w:r>
        <w:t>keywords: str</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Bridge: motifs, physics proxies, (x,m,k)</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def motif_hit_score(seq: str, patterns: Dict[str, str]) -&gt; Dict[str, int]:</w:t>
      </w:r>
    </w:p>
    <w:p w:rsidR="0023128A" w:rsidRDefault="0023128A" w:rsidP="008F55B6">
      <w:pPr>
        <w:jc w:val="left"/>
        <w:outlineLvl w:val="9"/>
      </w:pPr>
      <w:r>
        <w:t>return {name: len(list(re.finditer(rgx, seq))) for name, rgx in patterns.items()}</w:t>
      </w:r>
    </w:p>
    <w:p w:rsidR="0023128A" w:rsidRDefault="0023128A" w:rsidP="008F55B6">
      <w:pPr>
        <w:jc w:val="left"/>
        <w:outlineLvl w:val="9"/>
      </w:pPr>
    </w:p>
    <w:p w:rsidR="0023128A" w:rsidRDefault="0023128A" w:rsidP="008F55B6">
      <w:pPr>
        <w:jc w:val="left"/>
        <w:outlineLvl w:val="9"/>
      </w:pPr>
      <w:r>
        <w:t>def compartment_weight(keywords: str) -&gt; float:</w:t>
      </w:r>
    </w:p>
    <w:p w:rsidR="0023128A" w:rsidRDefault="0023128A" w:rsidP="008F55B6">
      <w:pPr>
        <w:jc w:val="left"/>
        <w:outlineLvl w:val="9"/>
      </w:pPr>
      <w:r>
        <w:t>kw = keywords.lower()</w:t>
      </w:r>
    </w:p>
    <w:p w:rsidR="0023128A" w:rsidRDefault="0023128A" w:rsidP="008F55B6">
      <w:pPr>
        <w:jc w:val="left"/>
        <w:outlineLvl w:val="9"/>
      </w:pPr>
      <w:r>
        <w:t>return max((w for label, w in COMPARTMENT_WEIGHTS.items() if label.lower() in kw), default=0.0)</w:t>
      </w:r>
    </w:p>
    <w:p w:rsidR="0023128A" w:rsidRDefault="0023128A" w:rsidP="008F55B6">
      <w:pPr>
        <w:jc w:val="left"/>
        <w:outlineLvl w:val="9"/>
      </w:pPr>
    </w:p>
    <w:p w:rsidR="0023128A" w:rsidRDefault="0023128A" w:rsidP="008F55B6">
      <w:pPr>
        <w:jc w:val="left"/>
        <w:outlineLvl w:val="9"/>
      </w:pPr>
      <w:r>
        <w:t>def ecm_affinity(keywords: str) -&gt; float:</w:t>
      </w:r>
    </w:p>
    <w:p w:rsidR="0023128A" w:rsidRDefault="0023128A" w:rsidP="008F55B6">
      <w:pPr>
        <w:jc w:val="left"/>
        <w:outlineLvl w:val="9"/>
      </w:pPr>
      <w:r>
        <w:t>return 1.0 if ("extracellular matrix" in keywords.lower() or "collagen" in keywords.lower()) else 0.0</w:t>
      </w:r>
    </w:p>
    <w:p w:rsidR="0023128A" w:rsidRDefault="0023128A" w:rsidP="008F55B6">
      <w:pPr>
        <w:jc w:val="left"/>
        <w:outlineLvl w:val="9"/>
      </w:pPr>
    </w:p>
    <w:p w:rsidR="0023128A" w:rsidRDefault="0023128A" w:rsidP="008F55B6">
      <w:pPr>
        <w:jc w:val="left"/>
        <w:outlineLvl w:val="9"/>
      </w:pPr>
      <w:r>
        <w:t>def serine_protease_bias(keywords: str) -&gt; float:</w:t>
      </w:r>
    </w:p>
    <w:p w:rsidR="0023128A" w:rsidRDefault="0023128A" w:rsidP="008F55B6">
      <w:pPr>
        <w:jc w:val="left"/>
        <w:outlineLvl w:val="9"/>
      </w:pPr>
      <w:r>
        <w:t>kw = keywords.lower()</w:t>
      </w:r>
    </w:p>
    <w:p w:rsidR="0023128A" w:rsidRDefault="0023128A" w:rsidP="008F55B6">
      <w:pPr>
        <w:jc w:val="left"/>
        <w:outlineLvl w:val="9"/>
      </w:pPr>
      <w:r>
        <w:t>return 1.0 if ("serine" in kw and "protease" in kw) else (0.5 if "protease" in kw else 0.0)</w:t>
      </w:r>
    </w:p>
    <w:p w:rsidR="0023128A" w:rsidRDefault="0023128A" w:rsidP="008F55B6">
      <w:pPr>
        <w:jc w:val="left"/>
        <w:outlineLvl w:val="9"/>
      </w:pPr>
    </w:p>
    <w:p w:rsidR="0023128A" w:rsidRDefault="0023128A" w:rsidP="008F55B6">
      <w:pPr>
        <w:jc w:val="left"/>
        <w:outlineLvl w:val="9"/>
      </w:pPr>
      <w:r>
        <w:t>def metal_protease_bias(keywords: str) -&gt; float:</w:t>
      </w:r>
    </w:p>
    <w:p w:rsidR="0023128A" w:rsidRDefault="0023128A" w:rsidP="008F55B6">
      <w:pPr>
        <w:jc w:val="left"/>
        <w:outlineLvl w:val="9"/>
      </w:pPr>
      <w:r>
        <w:t>kw = keywords.lower()</w:t>
      </w:r>
    </w:p>
    <w:p w:rsidR="0023128A" w:rsidRDefault="0023128A" w:rsidP="008F55B6">
      <w:pPr>
        <w:jc w:val="left"/>
        <w:outlineLvl w:val="9"/>
      </w:pPr>
      <w:r>
        <w:t>return 1.0 if ("metalloprotease" in kw or "metallo" in kw) else 0.0</w:t>
      </w:r>
    </w:p>
    <w:p w:rsidR="0023128A" w:rsidRDefault="0023128A" w:rsidP="008F55B6">
      <w:pPr>
        <w:jc w:val="left"/>
        <w:outlineLvl w:val="9"/>
      </w:pPr>
    </w:p>
    <w:p w:rsidR="0023128A" w:rsidRDefault="0023128A" w:rsidP="008F55B6">
      <w:pPr>
        <w:jc w:val="left"/>
        <w:outlineLvl w:val="9"/>
      </w:pPr>
      <w:r>
        <w:t>def physics_proxies(row: TargetRow) -&gt; Tuple[float, float]:</w:t>
      </w:r>
    </w:p>
    <w:p w:rsidR="0023128A" w:rsidRDefault="0023128A" w:rsidP="008F55B6">
      <w:pPr>
        <w:jc w:val="left"/>
        <w:outlineLvl w:val="9"/>
      </w:pPr>
      <w:r>
        <w:t>base</w:t>
      </w:r>
      <w:r w:rsidR="00496063">
        <w:t xml:space="preserve"> </w:t>
      </w:r>
      <w:r>
        <w:t>= 0.5*ecm_affinity(row.keywords) + 0.3*("secreted" in row.keywords.lower()) + 0.2*("membrane" in row.keywords.lower())</w:t>
      </w:r>
    </w:p>
    <w:p w:rsidR="0023128A" w:rsidRDefault="0023128A" w:rsidP="008F55B6">
      <w:pPr>
        <w:jc w:val="left"/>
        <w:outlineLvl w:val="9"/>
      </w:pPr>
      <w:r>
        <w:t>tight = 0.5*("inhibitor" in row.keywords.lower()) + 0.3*("sh2" in row.keywords.lower() or "sh3" in row.keywords.lower())</w:t>
      </w:r>
    </w:p>
    <w:p w:rsidR="0023128A" w:rsidRDefault="0023128A" w:rsidP="008F55B6">
      <w:pPr>
        <w:jc w:val="left"/>
        <w:outlineLvl w:val="9"/>
      </w:pPr>
      <w:r>
        <w:t>return base, -tight</w:t>
      </w:r>
      <w:r w:rsidR="00496063">
        <w:t xml:space="preserve"> </w:t>
      </w:r>
      <w:r>
        <w:t># dSASA, dG_MM</w:t>
      </w:r>
    </w:p>
    <w:p w:rsidR="0023128A" w:rsidRDefault="0023128A" w:rsidP="008F55B6">
      <w:pPr>
        <w:jc w:val="left"/>
        <w:outlineLvl w:val="9"/>
      </w:pPr>
    </w:p>
    <w:p w:rsidR="0023128A" w:rsidRDefault="0023128A" w:rsidP="008F55B6">
      <w:pPr>
        <w:jc w:val="left"/>
        <w:outlineLvl w:val="9"/>
      </w:pPr>
      <w:r>
        <w:t>def build_feature_vectors(targets: List[TargetRow], seq_db: Dict[str, str], gamma_np: float = 0.005):</w:t>
      </w:r>
    </w:p>
    <w:p w:rsidR="0023128A" w:rsidRDefault="0023128A" w:rsidP="008F55B6">
      <w:pPr>
        <w:jc w:val="left"/>
        <w:outlineLvl w:val="9"/>
      </w:pPr>
      <w:r>
        <w:t>out = {}</w:t>
      </w:r>
    </w:p>
    <w:p w:rsidR="0023128A" w:rsidRDefault="0023128A" w:rsidP="008F55B6">
      <w:pPr>
        <w:jc w:val="left"/>
        <w:outlineLvl w:val="9"/>
      </w:pPr>
      <w:r>
        <w:t>for row in targets:</w:t>
      </w:r>
    </w:p>
    <w:p w:rsidR="0023128A" w:rsidRDefault="0023128A" w:rsidP="008F55B6">
      <w:pPr>
        <w:jc w:val="left"/>
        <w:outlineLvl w:val="9"/>
      </w:pPr>
      <w:r>
        <w:t>seq</w:t>
      </w:r>
      <w:r w:rsidR="00496063">
        <w:t xml:space="preserve"> </w:t>
      </w:r>
      <w:r>
        <w:t>= seq_db.get(row.uniprot) or seq_db.get(row.gene, "")</w:t>
      </w:r>
    </w:p>
    <w:p w:rsidR="0023128A" w:rsidRDefault="0023128A" w:rsidP="008F55B6">
      <w:pPr>
        <w:jc w:val="left"/>
        <w:outlineLvl w:val="9"/>
      </w:pPr>
      <w:r>
        <w:t>hits = motif_hit_score(seq, MOTIFS) if seq else {k: 0 for k in MOTIFS}</w:t>
      </w:r>
    </w:p>
    <w:p w:rsidR="0023128A" w:rsidRDefault="0023128A" w:rsidP="008F55B6">
      <w:pPr>
        <w:jc w:val="left"/>
        <w:outlineLvl w:val="9"/>
      </w:pPr>
      <w:r>
        <w:t>ph4_hits = float(sum(min(v, 1) for v in hits.values()))</w:t>
      </w:r>
    </w:p>
    <w:p w:rsidR="0023128A" w:rsidRDefault="0023128A" w:rsidP="008F55B6">
      <w:pPr>
        <w:jc w:val="left"/>
        <w:outlineLvl w:val="9"/>
      </w:pPr>
      <w:r>
        <w:t>dSASA, dGmm = physics_proxies(row)</w:t>
      </w:r>
    </w:p>
    <w:p w:rsidR="0023128A" w:rsidRDefault="0023128A" w:rsidP="008F55B6">
      <w:pPr>
        <w:jc w:val="left"/>
        <w:outlineLvl w:val="9"/>
      </w:pPr>
      <w:r>
        <w:t>dGtot = dGmm + gamma_np * dSASA</w:t>
      </w:r>
    </w:p>
    <w:p w:rsidR="0023128A" w:rsidRDefault="0023128A" w:rsidP="008F55B6">
      <w:pPr>
        <w:jc w:val="left"/>
        <w:outlineLvl w:val="9"/>
      </w:pPr>
      <w:r>
        <w:t>curv_H = 0.7*ecm_affinity(row.keywords) + 0.3*compartment_weight(row.keywords)</w:t>
      </w:r>
    </w:p>
    <w:p w:rsidR="0023128A" w:rsidRDefault="0023128A" w:rsidP="008F55B6">
      <w:pPr>
        <w:jc w:val="left"/>
        <w:outlineLvl w:val="9"/>
      </w:pPr>
      <w:r>
        <w:t>curv_K = 0.6*ecm_affinity(row.keywords) + 0.2*metal_protease_bias(row.keywords) + 0.2*serine_protease_bias(row.keywords)</w:t>
      </w:r>
    </w:p>
    <w:p w:rsidR="0023128A" w:rsidRDefault="0023128A" w:rsidP="008F55B6">
      <w:pPr>
        <w:jc w:val="left"/>
        <w:outlineLvl w:val="9"/>
      </w:pPr>
    </w:p>
    <w:p w:rsidR="0023128A" w:rsidRDefault="0023128A" w:rsidP="008F55B6">
      <w:pPr>
        <w:jc w:val="left"/>
        <w:outlineLvl w:val="9"/>
      </w:pPr>
      <w:r>
        <w:t>x = np.array([dSASA, dGmm, ph4_hits, curv_H, abs(curv_K)], dtype=float)</w:t>
      </w:r>
    </w:p>
    <w:p w:rsidR="0023128A" w:rsidRDefault="0023128A" w:rsidP="008F55B6">
      <w:pPr>
        <w:jc w:val="left"/>
        <w:outlineLvl w:val="9"/>
      </w:pPr>
    </w:p>
    <w:p w:rsidR="0023128A" w:rsidRDefault="0023128A" w:rsidP="008F55B6">
      <w:pPr>
        <w:jc w:val="left"/>
        <w:outlineLvl w:val="9"/>
      </w:pPr>
      <w:r>
        <w:t>motif_ok = min(ph4_hits/3.0, 1.0)</w:t>
      </w:r>
    </w:p>
    <w:p w:rsidR="0023128A" w:rsidRDefault="0023128A" w:rsidP="008F55B6">
      <w:pPr>
        <w:jc w:val="left"/>
        <w:outlineLvl w:val="9"/>
      </w:pPr>
      <w:r>
        <w:t>comp_ok</w:t>
      </w:r>
      <w:r w:rsidR="00496063">
        <w:t xml:space="preserve"> </w:t>
      </w:r>
      <w:r>
        <w:t>= compartment_weight(row.keywords)</w:t>
      </w:r>
    </w:p>
    <w:p w:rsidR="0023128A" w:rsidRDefault="0023128A" w:rsidP="008F55B6">
      <w:pPr>
        <w:jc w:val="left"/>
        <w:outlineLvl w:val="9"/>
      </w:pPr>
      <w:r>
        <w:t>m_base</w:t>
      </w:r>
      <w:r w:rsidR="00496063">
        <w:t xml:space="preserve"> </w:t>
      </w:r>
      <w:r>
        <w:t>= 1.0 - 0.6*motif_ok - 0.4*comp_ok</w:t>
      </w:r>
    </w:p>
    <w:p w:rsidR="0023128A" w:rsidRDefault="0023128A" w:rsidP="008F55B6">
      <w:pPr>
        <w:jc w:val="left"/>
        <w:outlineLvl w:val="9"/>
      </w:pPr>
      <w:r>
        <w:t>m = np.clip([0.3*m_base, 0.3*m_base, 1.0*m_base, 0.7*m_base, 0.7*m_base], 0.0, 1.0)</w:t>
      </w:r>
    </w:p>
    <w:p w:rsidR="0023128A" w:rsidRDefault="0023128A" w:rsidP="008F55B6">
      <w:pPr>
        <w:jc w:val="left"/>
        <w:outlineLvl w:val="9"/>
      </w:pPr>
    </w:p>
    <w:p w:rsidR="0023128A" w:rsidRDefault="0023128A" w:rsidP="008F55B6">
      <w:pPr>
        <w:jc w:val="left"/>
        <w:outlineLvl w:val="9"/>
      </w:pPr>
      <w:r>
        <w:t>k = np.array([0.4, 0.2, 0.5, curv_H, abs(curv_K)], dtype=float)</w:t>
      </w:r>
    </w:p>
    <w:p w:rsidR="0023128A" w:rsidRDefault="0023128A" w:rsidP="008F55B6">
      <w:pPr>
        <w:jc w:val="left"/>
        <w:outlineLvl w:val="9"/>
      </w:pPr>
    </w:p>
    <w:p w:rsidR="0023128A" w:rsidRDefault="0023128A" w:rsidP="008F55B6">
      <w:pPr>
        <w:jc w:val="left"/>
        <w:outlineLvl w:val="9"/>
      </w:pPr>
      <w:r>
        <w:t>out[row.gene] = {"x": x, "m": m, "k": k, "dG_label": dGtot, "centrality": row.centrality}</w:t>
      </w:r>
    </w:p>
    <w:p w:rsidR="0023128A" w:rsidRDefault="0023128A" w:rsidP="008F55B6">
      <w:pPr>
        <w:jc w:val="left"/>
        <w:outlineLvl w:val="9"/>
      </w:pPr>
      <w:r>
        <w:t>return out</w:t>
      </w:r>
    </w:p>
    <w:p w:rsidR="0023128A" w:rsidRDefault="0023128A" w:rsidP="008F55B6">
      <w:pPr>
        <w:jc w:val="left"/>
        <w:outlineLvl w:val="9"/>
      </w:pPr>
    </w:p>
    <w:p w:rsidR="0023128A" w:rsidRDefault="0023128A" w:rsidP="008F55B6">
      <w:pPr>
        <w:jc w:val="left"/>
        <w:outlineLvl w:val="9"/>
      </w:pPr>
      <w:r>
        <w:t>def peptidotype_similarity(targets: List[TargetRow], seq_db: Dict[str, str]) -&gt; np.ndarray:</w:t>
      </w:r>
    </w:p>
    <w:p w:rsidR="0023128A" w:rsidRDefault="0023128A" w:rsidP="008F55B6">
      <w:pPr>
        <w:jc w:val="left"/>
        <w:outlineLvl w:val="9"/>
      </w:pPr>
      <w:r>
        <w:t>n = len(targets); M = np.zeros((n, n), dtype=float)</w:t>
      </w:r>
    </w:p>
    <w:p w:rsidR="0023128A" w:rsidRDefault="0023128A" w:rsidP="008F55B6">
      <w:pPr>
        <w:jc w:val="left"/>
        <w:outlineLvl w:val="9"/>
      </w:pPr>
      <w:r>
        <w:t>motif_sets = {}</w:t>
      </w:r>
    </w:p>
    <w:p w:rsidR="0023128A" w:rsidRDefault="0023128A" w:rsidP="008F55B6">
      <w:pPr>
        <w:jc w:val="left"/>
        <w:outlineLvl w:val="9"/>
      </w:pPr>
      <w:r>
        <w:t>for t in targets:</w:t>
      </w:r>
    </w:p>
    <w:p w:rsidR="0023128A" w:rsidRDefault="0023128A" w:rsidP="008F55B6">
      <w:pPr>
        <w:jc w:val="left"/>
        <w:outlineLvl w:val="9"/>
      </w:pPr>
      <w:r>
        <w:t>seq</w:t>
      </w:r>
      <w:r w:rsidR="00496063">
        <w:t xml:space="preserve"> </w:t>
      </w:r>
      <w:r>
        <w:t>= seq_db.get(t.uniprot) or seq_db.get(t.gene, "")</w:t>
      </w:r>
    </w:p>
    <w:p w:rsidR="0023128A" w:rsidRDefault="0023128A" w:rsidP="008F55B6">
      <w:pPr>
        <w:jc w:val="left"/>
        <w:outlineLvl w:val="9"/>
      </w:pPr>
      <w:r>
        <w:t>hits = motif_hit_score(seq, MOTIFS) if seq else {k: 0 for k in MOTIFS}</w:t>
      </w:r>
    </w:p>
    <w:p w:rsidR="0023128A" w:rsidRDefault="0023128A" w:rsidP="008F55B6">
      <w:pPr>
        <w:jc w:val="left"/>
        <w:outlineLvl w:val="9"/>
      </w:pPr>
      <w:r>
        <w:t>motif_sets[t.gene] = {k for k, v in hits.items() if v &gt; 0}</w:t>
      </w:r>
    </w:p>
    <w:p w:rsidR="0023128A" w:rsidRDefault="0023128A" w:rsidP="008F55B6">
      <w:pPr>
        <w:jc w:val="left"/>
        <w:outlineLvl w:val="9"/>
      </w:pPr>
      <w:r>
        <w:t>for i, ti in enumerate(targets):</w:t>
      </w:r>
    </w:p>
    <w:p w:rsidR="0023128A" w:rsidRDefault="0023128A" w:rsidP="008F55B6">
      <w:pPr>
        <w:jc w:val="left"/>
        <w:outlineLvl w:val="9"/>
      </w:pPr>
      <w:r>
        <w:t>for j, tj in enumerate(targets):</w:t>
      </w:r>
    </w:p>
    <w:p w:rsidR="0023128A" w:rsidRDefault="0023128A" w:rsidP="008F55B6">
      <w:pPr>
        <w:jc w:val="left"/>
        <w:outlineLvl w:val="9"/>
      </w:pPr>
      <w:r>
        <w:t>if i == j: continue</w:t>
      </w:r>
    </w:p>
    <w:p w:rsidR="0023128A" w:rsidRDefault="0023128A" w:rsidP="008F55B6">
      <w:pPr>
        <w:jc w:val="left"/>
        <w:outlineLvl w:val="9"/>
      </w:pPr>
      <w:r>
        <w:t>a, b = motif_sets[ti.gene], motif_sets[tj.gene]</w:t>
      </w:r>
    </w:p>
    <w:p w:rsidR="0023128A" w:rsidRDefault="0023128A" w:rsidP="008F55B6">
      <w:pPr>
        <w:jc w:val="left"/>
        <w:outlineLvl w:val="9"/>
      </w:pPr>
      <w:r>
        <w:t>M[i, j] = len(a &amp; b) / max(len(a | b), 1)</w:t>
      </w:r>
    </w:p>
    <w:p w:rsidR="0023128A" w:rsidRDefault="0023128A" w:rsidP="008F55B6">
      <w:pPr>
        <w:jc w:val="left"/>
        <w:outlineLvl w:val="9"/>
      </w:pPr>
      <w:r>
        <w:t>return M</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xml:space="preserve"># Circuit layer: QAOA diversity </w:t>
      </w:r>
      <w:r>
        <w:rPr>
          <w:rFonts w:ascii="Cambria Math" w:hAnsi="Cambria Math" w:cs="Cambria Math"/>
        </w:rPr>
        <w:t>⊗</w:t>
      </w:r>
      <w:r>
        <w:t xml:space="preserve"> Pharmacophoric PQC</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def qaoa_diversity_circuit(adj_mat: np.ndarray, p: int = 1) -&gt; QuantumCircuit:</w:t>
      </w:r>
    </w:p>
    <w:p w:rsidR="0023128A" w:rsidRDefault="0023128A" w:rsidP="008F55B6">
      <w:pPr>
        <w:jc w:val="left"/>
        <w:outlineLvl w:val="9"/>
      </w:pPr>
      <w:r>
        <w:t>adj_mat = np.asarray(adj_mat, dtype=float)</w:t>
      </w:r>
    </w:p>
    <w:p w:rsidR="0023128A" w:rsidRDefault="0023128A" w:rsidP="008F55B6">
      <w:pPr>
        <w:jc w:val="left"/>
        <w:outlineLvl w:val="9"/>
      </w:pPr>
      <w:r>
        <w:t>assert adj_mat.ndim == 2 and adj_mat.shape[0] == adj_mat.shape[1], "adj_mat must be square"</w:t>
      </w:r>
    </w:p>
    <w:p w:rsidR="0023128A" w:rsidRDefault="0023128A" w:rsidP="008F55B6">
      <w:pPr>
        <w:jc w:val="left"/>
        <w:outlineLvl w:val="9"/>
      </w:pPr>
      <w:r>
        <w:t>n = adj_mat.shape[0]</w:t>
      </w:r>
    </w:p>
    <w:p w:rsidR="0023128A" w:rsidRDefault="0023128A" w:rsidP="008F55B6">
      <w:pPr>
        <w:jc w:val="left"/>
        <w:outlineLvl w:val="9"/>
      </w:pPr>
      <w:r>
        <w:t>qr = QuantumRegister(n, "chem")</w:t>
      </w:r>
    </w:p>
    <w:p w:rsidR="0023128A" w:rsidRDefault="0023128A" w:rsidP="008F55B6">
      <w:pPr>
        <w:jc w:val="left"/>
        <w:outlineLvl w:val="9"/>
      </w:pPr>
      <w:r>
        <w:t>qc = QuantumCircuit(qr, name="QAOA_diversity")</w:t>
      </w:r>
    </w:p>
    <w:p w:rsidR="0023128A" w:rsidRDefault="0023128A" w:rsidP="008F55B6">
      <w:pPr>
        <w:jc w:val="left"/>
        <w:outlineLvl w:val="9"/>
      </w:pPr>
      <w:r>
        <w:t>gammas = ParameterVector("γ", p)</w:t>
      </w:r>
    </w:p>
    <w:p w:rsidR="0023128A" w:rsidRDefault="0023128A" w:rsidP="008F55B6">
      <w:pPr>
        <w:jc w:val="left"/>
        <w:outlineLvl w:val="9"/>
      </w:pPr>
      <w:r>
        <w:t>betas</w:t>
      </w:r>
      <w:r w:rsidR="00496063">
        <w:t xml:space="preserve"> </w:t>
      </w:r>
      <w:r>
        <w:t>= ParameterVector("β", p)</w:t>
      </w:r>
    </w:p>
    <w:p w:rsidR="0023128A" w:rsidRDefault="0023128A" w:rsidP="008F55B6">
      <w:pPr>
        <w:jc w:val="left"/>
        <w:outlineLvl w:val="9"/>
      </w:pPr>
      <w:r>
        <w:t>qc.h(qr)</w:t>
      </w:r>
    </w:p>
    <w:p w:rsidR="0023128A" w:rsidRDefault="0023128A" w:rsidP="008F55B6">
      <w:pPr>
        <w:jc w:val="left"/>
        <w:outlineLvl w:val="9"/>
      </w:pPr>
      <w:r>
        <w:t>for k in range(p):</w:t>
      </w:r>
    </w:p>
    <w:p w:rsidR="0023128A" w:rsidRDefault="0023128A" w:rsidP="008F55B6">
      <w:pPr>
        <w:jc w:val="left"/>
        <w:outlineLvl w:val="9"/>
      </w:pPr>
      <w:r>
        <w:t>for i in range(n):</w:t>
      </w:r>
    </w:p>
    <w:p w:rsidR="0023128A" w:rsidRDefault="0023128A" w:rsidP="008F55B6">
      <w:pPr>
        <w:jc w:val="left"/>
        <w:outlineLvl w:val="9"/>
      </w:pPr>
      <w:r>
        <w:t>for j in range(i+1, n):</w:t>
      </w:r>
    </w:p>
    <w:p w:rsidR="0023128A" w:rsidRDefault="0023128A" w:rsidP="008F55B6">
      <w:pPr>
        <w:jc w:val="left"/>
        <w:outlineLvl w:val="9"/>
      </w:pPr>
      <w:r>
        <w:t>w = float(adj_mat[i, j])</w:t>
      </w:r>
    </w:p>
    <w:p w:rsidR="0023128A" w:rsidRDefault="0023128A" w:rsidP="008F55B6">
      <w:pPr>
        <w:jc w:val="left"/>
        <w:outlineLvl w:val="9"/>
      </w:pPr>
      <w:r>
        <w:t>if abs(w) &gt; 1e-12:</w:t>
      </w:r>
    </w:p>
    <w:p w:rsidR="0023128A" w:rsidRDefault="0023128A" w:rsidP="008F55B6">
      <w:pPr>
        <w:jc w:val="left"/>
        <w:outlineLvl w:val="9"/>
      </w:pPr>
      <w:r>
        <w:t>qc.cx(qr[i], qr[j]); qc.rz(2.0*gammas[k]*w, qr[j]); qc.cx(qr[i], qr[j])</w:t>
      </w:r>
    </w:p>
    <w:p w:rsidR="0023128A" w:rsidRDefault="0023128A" w:rsidP="008F55B6">
      <w:pPr>
        <w:jc w:val="left"/>
        <w:outlineLvl w:val="9"/>
      </w:pPr>
      <w:r>
        <w:t>for i in range(n):</w:t>
      </w:r>
    </w:p>
    <w:p w:rsidR="0023128A" w:rsidRDefault="0023128A" w:rsidP="008F55B6">
      <w:pPr>
        <w:jc w:val="left"/>
        <w:outlineLvl w:val="9"/>
      </w:pPr>
      <w:r>
        <w:t>qc.rx(2.0*betas[k], qr[i])</w:t>
      </w:r>
    </w:p>
    <w:p w:rsidR="0023128A" w:rsidRDefault="0023128A" w:rsidP="008F55B6">
      <w:pPr>
        <w:jc w:val="left"/>
        <w:outlineLvl w:val="9"/>
      </w:pPr>
      <w:r>
        <w:t>return qc</w:t>
      </w:r>
    </w:p>
    <w:p w:rsidR="0023128A" w:rsidRDefault="0023128A" w:rsidP="008F55B6">
      <w:pPr>
        <w:jc w:val="left"/>
        <w:outlineLvl w:val="9"/>
      </w:pPr>
    </w:p>
    <w:p w:rsidR="0023128A" w:rsidRDefault="0023128A" w:rsidP="008F55B6">
      <w:pPr>
        <w:jc w:val="left"/>
        <w:outlineLvl w:val="9"/>
      </w:pPr>
      <w:r>
        <w:t>def pharmacophoric_pqc(</w:t>
      </w:r>
    </w:p>
    <w:p w:rsidR="0023128A" w:rsidRDefault="0023128A" w:rsidP="008F55B6">
      <w:pPr>
        <w:jc w:val="left"/>
        <w:outlineLvl w:val="9"/>
      </w:pPr>
      <w:r>
        <w:t>n_feat: int,</w:t>
      </w:r>
    </w:p>
    <w:p w:rsidR="0023128A" w:rsidRDefault="0023128A" w:rsidP="008F55B6">
      <w:pPr>
        <w:jc w:val="left"/>
        <w:outlineLvl w:val="9"/>
      </w:pPr>
      <w:r>
        <w:t>depth: int = 2,</w:t>
      </w:r>
    </w:p>
    <w:p w:rsidR="0023128A" w:rsidRDefault="0023128A" w:rsidP="008F55B6">
      <w:pPr>
        <w:jc w:val="left"/>
        <w:outlineLvl w:val="9"/>
      </w:pPr>
      <w:r>
        <w:t>lambda_ph4: float = 0.4,</w:t>
      </w:r>
    </w:p>
    <w:p w:rsidR="0023128A" w:rsidRDefault="0023128A" w:rsidP="008F55B6">
      <w:pPr>
        <w:jc w:val="left"/>
        <w:outlineLvl w:val="9"/>
      </w:pPr>
      <w:r>
        <w:t>lambda_curv: float = 0.35,</w:t>
      </w:r>
    </w:p>
    <w:p w:rsidR="0023128A" w:rsidRDefault="0023128A" w:rsidP="008F55B6">
      <w:pPr>
        <w:jc w:val="left"/>
        <w:outlineLvl w:val="9"/>
      </w:pPr>
      <w:r>
        <w:t>readout_qubits: int = 1,</w:t>
      </w:r>
    </w:p>
    <w:p w:rsidR="0023128A" w:rsidRDefault="0023128A" w:rsidP="008F55B6">
      <w:pPr>
        <w:jc w:val="left"/>
        <w:outlineLvl w:val="9"/>
      </w:pPr>
      <w:r>
        <w:t>) -&gt; QuantumCircuit:</w:t>
      </w:r>
    </w:p>
    <w:p w:rsidR="0023128A" w:rsidRDefault="0023128A" w:rsidP="008F55B6">
      <w:pPr>
        <w:jc w:val="left"/>
        <w:outlineLvl w:val="9"/>
      </w:pPr>
      <w:r>
        <w:t>assert n_feat &gt;= 1</w:t>
      </w:r>
    </w:p>
    <w:p w:rsidR="0023128A" w:rsidRDefault="0023128A" w:rsidP="008F55B6">
      <w:pPr>
        <w:jc w:val="left"/>
        <w:outlineLvl w:val="9"/>
      </w:pPr>
      <w:r>
        <w:t>n_qubits = int(2 ** int(np.ceil(np.log2(max(2, n_feat)))))</w:t>
      </w:r>
    </w:p>
    <w:p w:rsidR="0023128A" w:rsidRDefault="0023128A" w:rsidP="008F55B6">
      <w:pPr>
        <w:jc w:val="left"/>
        <w:outlineLvl w:val="9"/>
      </w:pPr>
      <w:r>
        <w:t>qr = QuantumRegister(n_qubits, "pqc")</w:t>
      </w:r>
    </w:p>
    <w:p w:rsidR="0023128A" w:rsidRDefault="0023128A" w:rsidP="008F55B6">
      <w:pPr>
        <w:jc w:val="left"/>
        <w:outlineLvl w:val="9"/>
      </w:pPr>
      <w:r>
        <w:t>cr = ClassicalRegister(readout_qubits, "c")</w:t>
      </w:r>
    </w:p>
    <w:p w:rsidR="0023128A" w:rsidRDefault="0023128A" w:rsidP="008F55B6">
      <w:pPr>
        <w:jc w:val="left"/>
        <w:outlineLvl w:val="9"/>
      </w:pPr>
      <w:r>
        <w:t>qc = QuantumCircuit(qr, cr, name="Ph4_ODE")</w:t>
      </w:r>
    </w:p>
    <w:p w:rsidR="0023128A" w:rsidRDefault="0023128A" w:rsidP="008F55B6">
      <w:pPr>
        <w:jc w:val="left"/>
        <w:outlineLvl w:val="9"/>
      </w:pPr>
    </w:p>
    <w:p w:rsidR="0023128A" w:rsidRDefault="0023128A" w:rsidP="008F55B6">
      <w:pPr>
        <w:jc w:val="left"/>
        <w:outlineLvl w:val="9"/>
      </w:pPr>
      <w:r>
        <w:t>theta = ParameterVector("θ", depth * (3 * n_qubits))</w:t>
      </w:r>
    </w:p>
    <w:p w:rsidR="0023128A" w:rsidRDefault="0023128A" w:rsidP="008F55B6">
      <w:pPr>
        <w:jc w:val="left"/>
        <w:outlineLvl w:val="9"/>
      </w:pPr>
      <w:r>
        <w:t>x</w:t>
      </w:r>
      <w:r w:rsidR="00496063">
        <w:t xml:space="preserve"> </w:t>
      </w:r>
      <w:r>
        <w:t>= ParameterVector("x", n_feat)</w:t>
      </w:r>
    </w:p>
    <w:p w:rsidR="0023128A" w:rsidRDefault="0023128A" w:rsidP="008F55B6">
      <w:pPr>
        <w:jc w:val="left"/>
        <w:outlineLvl w:val="9"/>
      </w:pPr>
      <w:r>
        <w:t>m</w:t>
      </w:r>
      <w:r w:rsidR="00496063">
        <w:t xml:space="preserve"> </w:t>
      </w:r>
      <w:r>
        <w:t>= ParameterVector("m", n_feat)</w:t>
      </w:r>
    </w:p>
    <w:p w:rsidR="0023128A" w:rsidRDefault="0023128A" w:rsidP="008F55B6">
      <w:pPr>
        <w:jc w:val="left"/>
        <w:outlineLvl w:val="9"/>
      </w:pPr>
      <w:r>
        <w:t>kappa = ParameterVector("k", n_feat)</w:t>
      </w:r>
    </w:p>
    <w:p w:rsidR="0023128A" w:rsidRDefault="0023128A" w:rsidP="008F55B6">
      <w:pPr>
        <w:jc w:val="left"/>
        <w:outlineLvl w:val="9"/>
      </w:pPr>
    </w:p>
    <w:p w:rsidR="0023128A" w:rsidRDefault="0023128A" w:rsidP="008F55B6">
      <w:pPr>
        <w:jc w:val="left"/>
        <w:outlineLvl w:val="9"/>
      </w:pPr>
      <w:r>
        <w:t>def encode(d: int):</w:t>
      </w:r>
    </w:p>
    <w:p w:rsidR="0023128A" w:rsidRDefault="0023128A" w:rsidP="008F55B6">
      <w:pPr>
        <w:jc w:val="left"/>
        <w:outlineLvl w:val="9"/>
      </w:pPr>
      <w:r>
        <w:t>base = d * (3 * n_qubits)</w:t>
      </w:r>
    </w:p>
    <w:p w:rsidR="0023128A" w:rsidRDefault="0023128A" w:rsidP="008F55B6">
      <w:pPr>
        <w:jc w:val="left"/>
        <w:outlineLvl w:val="9"/>
      </w:pPr>
      <w:r>
        <w:t>for i in range(n_qubits):</w:t>
      </w:r>
    </w:p>
    <w:p w:rsidR="0023128A" w:rsidRDefault="0023128A" w:rsidP="008F55B6">
      <w:pPr>
        <w:jc w:val="left"/>
        <w:outlineLvl w:val="9"/>
      </w:pPr>
      <w:r>
        <w:t>f = i % n_feat</w:t>
      </w:r>
    </w:p>
    <w:p w:rsidR="0023128A" w:rsidRDefault="0023128A" w:rsidP="008F55B6">
      <w:pPr>
        <w:jc w:val="left"/>
        <w:outlineLvl w:val="9"/>
      </w:pPr>
      <w:r>
        <w:t>qc.rx(x[f] + theta[base + 3*i + 0], qr[i])</w:t>
      </w:r>
    </w:p>
    <w:p w:rsidR="0023128A" w:rsidRDefault="0023128A" w:rsidP="008F55B6">
      <w:pPr>
        <w:jc w:val="left"/>
        <w:outlineLvl w:val="9"/>
      </w:pPr>
      <w:r>
        <w:t>qc.rz(lambda_curv * kappa[f] * x[f] + theta[base + 3*i + 1], qr[i])</w:t>
      </w:r>
    </w:p>
    <w:p w:rsidR="0023128A" w:rsidRDefault="0023128A" w:rsidP="008F55B6">
      <w:pPr>
        <w:jc w:val="left"/>
        <w:outlineLvl w:val="9"/>
      </w:pPr>
      <w:r>
        <w:t>qc.ry(theta[base + 3*i + 2], qr[i])</w:t>
      </w:r>
    </w:p>
    <w:p w:rsidR="0023128A" w:rsidRDefault="0023128A" w:rsidP="008F55B6">
      <w:pPr>
        <w:jc w:val="left"/>
        <w:outlineLvl w:val="9"/>
      </w:pPr>
    </w:p>
    <w:p w:rsidR="0023128A" w:rsidRDefault="0023128A" w:rsidP="008F55B6">
      <w:pPr>
        <w:jc w:val="left"/>
        <w:outlineLvl w:val="9"/>
      </w:pPr>
      <w:r>
        <w:t>def entangle():</w:t>
      </w:r>
    </w:p>
    <w:p w:rsidR="0023128A" w:rsidRDefault="0023128A" w:rsidP="008F55B6">
      <w:pPr>
        <w:jc w:val="left"/>
        <w:outlineLvl w:val="9"/>
      </w:pPr>
      <w:r>
        <w:t>for i in range(n_qubits - 1):</w:t>
      </w:r>
    </w:p>
    <w:p w:rsidR="0023128A" w:rsidRDefault="0023128A" w:rsidP="008F55B6">
      <w:pPr>
        <w:jc w:val="left"/>
        <w:outlineLvl w:val="9"/>
      </w:pPr>
      <w:r>
        <w:t>qc.cz(qr[i], qr[i+1])</w:t>
      </w:r>
    </w:p>
    <w:p w:rsidR="0023128A" w:rsidRDefault="0023128A" w:rsidP="008F55B6">
      <w:pPr>
        <w:jc w:val="left"/>
        <w:outlineLvl w:val="9"/>
      </w:pPr>
    </w:p>
    <w:p w:rsidR="0023128A" w:rsidRDefault="0023128A" w:rsidP="008F55B6">
      <w:pPr>
        <w:jc w:val="left"/>
        <w:outlineLvl w:val="9"/>
      </w:pPr>
      <w:r>
        <w:t>def penalty():</w:t>
      </w:r>
    </w:p>
    <w:p w:rsidR="0023128A" w:rsidRDefault="0023128A" w:rsidP="008F55B6">
      <w:pPr>
        <w:jc w:val="left"/>
        <w:outlineLvl w:val="9"/>
      </w:pPr>
      <w:r>
        <w:t>q_use = min(n_feat, n_qubits)</w:t>
      </w:r>
    </w:p>
    <w:p w:rsidR="0023128A" w:rsidRDefault="0023128A" w:rsidP="008F55B6">
      <w:pPr>
        <w:jc w:val="left"/>
        <w:outlineLvl w:val="9"/>
      </w:pPr>
      <w:r>
        <w:t>for i in range(q_use):</w:t>
      </w:r>
    </w:p>
    <w:p w:rsidR="0023128A" w:rsidRDefault="0023128A" w:rsidP="008F55B6">
      <w:pPr>
        <w:jc w:val="left"/>
        <w:outlineLvl w:val="9"/>
      </w:pPr>
      <w:r>
        <w:t>for j in range(i+1, q_use):</w:t>
      </w:r>
    </w:p>
    <w:p w:rsidR="0023128A" w:rsidRDefault="0023128A" w:rsidP="008F55B6">
      <w:pPr>
        <w:jc w:val="left"/>
        <w:outlineLvl w:val="9"/>
      </w:pPr>
      <w:r>
        <w:t>angle = 2.0 * lambda_ph4 * m[i] * m[j]</w:t>
      </w:r>
    </w:p>
    <w:p w:rsidR="0023128A" w:rsidRDefault="0023128A" w:rsidP="008F55B6">
      <w:pPr>
        <w:jc w:val="left"/>
        <w:outlineLvl w:val="9"/>
      </w:pPr>
      <w:r>
        <w:t>qc.cx(qr[i], qr[j]); qc.rz(angle, qr[j]); qc.cx(qr[i], qr[j])</w:t>
      </w:r>
    </w:p>
    <w:p w:rsidR="0023128A" w:rsidRDefault="0023128A" w:rsidP="008F55B6">
      <w:pPr>
        <w:jc w:val="left"/>
        <w:outlineLvl w:val="9"/>
      </w:pPr>
    </w:p>
    <w:p w:rsidR="0023128A" w:rsidRDefault="0023128A" w:rsidP="008F55B6">
      <w:pPr>
        <w:jc w:val="left"/>
        <w:outlineLvl w:val="9"/>
      </w:pPr>
      <w:r>
        <w:t>for d in range(depth):</w:t>
      </w:r>
    </w:p>
    <w:p w:rsidR="0023128A" w:rsidRDefault="0023128A" w:rsidP="008F55B6">
      <w:pPr>
        <w:jc w:val="left"/>
        <w:outlineLvl w:val="9"/>
      </w:pPr>
      <w:r>
        <w:t>encode(d); entangle(); penalty()</w:t>
      </w:r>
    </w:p>
    <w:p w:rsidR="0023128A" w:rsidRDefault="0023128A" w:rsidP="008F55B6">
      <w:pPr>
        <w:jc w:val="left"/>
        <w:outlineLvl w:val="9"/>
      </w:pPr>
    </w:p>
    <w:p w:rsidR="0023128A" w:rsidRDefault="0023128A" w:rsidP="008F55B6">
      <w:pPr>
        <w:jc w:val="left"/>
        <w:outlineLvl w:val="9"/>
      </w:pPr>
      <w:r>
        <w:t>for r in range(readout_qubits):</w:t>
      </w:r>
    </w:p>
    <w:p w:rsidR="0023128A" w:rsidRDefault="0023128A" w:rsidP="008F55B6">
      <w:pPr>
        <w:jc w:val="left"/>
        <w:outlineLvl w:val="9"/>
      </w:pPr>
      <w:r>
        <w:t>qc.measure(qr[r], cr[r])</w:t>
      </w:r>
    </w:p>
    <w:p w:rsidR="0023128A" w:rsidRDefault="0023128A" w:rsidP="008F55B6">
      <w:pPr>
        <w:jc w:val="left"/>
        <w:outlineLvl w:val="9"/>
      </w:pPr>
      <w:r>
        <w:t>return qc</w:t>
      </w:r>
    </w:p>
    <w:p w:rsidR="0023128A" w:rsidRDefault="0023128A" w:rsidP="008F55B6">
      <w:pPr>
        <w:jc w:val="left"/>
        <w:outlineLvl w:val="9"/>
      </w:pPr>
    </w:p>
    <w:p w:rsidR="0023128A" w:rsidRDefault="0023128A" w:rsidP="008F55B6">
      <w:pPr>
        <w:jc w:val="left"/>
        <w:outlineLvl w:val="9"/>
      </w:pPr>
      <w:r>
        <w:t>def pharmacophoric_odes_circuit(</w:t>
      </w:r>
    </w:p>
    <w:p w:rsidR="0023128A" w:rsidRDefault="0023128A" w:rsidP="008F55B6">
      <w:pPr>
        <w:jc w:val="left"/>
        <w:outlineLvl w:val="9"/>
      </w:pPr>
      <w:r>
        <w:t>adj_mat: np.ndarray,</w:t>
      </w:r>
    </w:p>
    <w:p w:rsidR="0023128A" w:rsidRDefault="0023128A" w:rsidP="008F55B6">
      <w:pPr>
        <w:jc w:val="left"/>
        <w:outlineLvl w:val="9"/>
      </w:pPr>
      <w:r>
        <w:t>n_feat: int,</w:t>
      </w:r>
    </w:p>
    <w:p w:rsidR="0023128A" w:rsidRDefault="0023128A" w:rsidP="008F55B6">
      <w:pPr>
        <w:jc w:val="left"/>
        <w:outlineLvl w:val="9"/>
      </w:pPr>
      <w:r>
        <w:t>p_qaoa: int = 1,</w:t>
      </w:r>
    </w:p>
    <w:p w:rsidR="0023128A" w:rsidRDefault="0023128A" w:rsidP="008F55B6">
      <w:pPr>
        <w:jc w:val="left"/>
        <w:outlineLvl w:val="9"/>
      </w:pPr>
      <w:r>
        <w:t>depth_pqc: int = 2,</w:t>
      </w:r>
    </w:p>
    <w:p w:rsidR="0023128A" w:rsidRDefault="0023128A" w:rsidP="008F55B6">
      <w:pPr>
        <w:jc w:val="left"/>
        <w:outlineLvl w:val="9"/>
      </w:pPr>
      <w:r>
        <w:t>lambda_ph4: float = 0.4,</w:t>
      </w:r>
    </w:p>
    <w:p w:rsidR="0023128A" w:rsidRDefault="0023128A" w:rsidP="008F55B6">
      <w:pPr>
        <w:jc w:val="left"/>
        <w:outlineLvl w:val="9"/>
      </w:pPr>
      <w:r>
        <w:t>lambda_curv: float = 0.35,</w:t>
      </w:r>
    </w:p>
    <w:p w:rsidR="0023128A" w:rsidRDefault="0023128A" w:rsidP="008F55B6">
      <w:pPr>
        <w:jc w:val="left"/>
        <w:outlineLvl w:val="9"/>
      </w:pPr>
      <w:r>
        <w:t>readout_qubits: int = 1,</w:t>
      </w:r>
    </w:p>
    <w:p w:rsidR="0023128A" w:rsidRDefault="0023128A" w:rsidP="008F55B6">
      <w:pPr>
        <w:jc w:val="left"/>
        <w:outlineLvl w:val="9"/>
      </w:pPr>
      <w:r>
        <w:t>) -&gt; QuantumCircuit:</w:t>
      </w:r>
    </w:p>
    <w:p w:rsidR="0023128A" w:rsidRDefault="0023128A" w:rsidP="008F55B6">
      <w:pPr>
        <w:jc w:val="left"/>
        <w:outlineLvl w:val="9"/>
      </w:pPr>
      <w:r>
        <w:t>qaoa = qaoa_diversity_circuit(adj_mat, p=p_qaoa)</w:t>
      </w:r>
    </w:p>
    <w:p w:rsidR="0023128A" w:rsidRDefault="0023128A" w:rsidP="008F55B6">
      <w:pPr>
        <w:jc w:val="left"/>
        <w:outlineLvl w:val="9"/>
      </w:pPr>
      <w:r>
        <w:t>pqc</w:t>
      </w:r>
      <w:r w:rsidR="00496063">
        <w:t xml:space="preserve"> </w:t>
      </w:r>
      <w:r>
        <w:t>= pharmacophoric_pqc(n_feat, depth_pqc, lambda_ph4, lambda_curv, readout_qubits)</w:t>
      </w:r>
    </w:p>
    <w:p w:rsidR="0023128A" w:rsidRDefault="0023128A" w:rsidP="008F55B6">
      <w:pPr>
        <w:jc w:val="left"/>
        <w:outlineLvl w:val="9"/>
      </w:pPr>
      <w:r>
        <w:t>full = qaoa.tensor(pqc)</w:t>
      </w:r>
      <w:r w:rsidR="00496063">
        <w:t xml:space="preserve"> </w:t>
      </w:r>
      <w:r>
        <w:t># PQC qubits appear after QAOA qubits</w:t>
      </w:r>
    </w:p>
    <w:p w:rsidR="0023128A" w:rsidRDefault="0023128A" w:rsidP="008F55B6">
      <w:pPr>
        <w:jc w:val="left"/>
        <w:outlineLvl w:val="9"/>
      </w:pPr>
      <w:r>
        <w:t>full.barrier()</w:t>
      </w:r>
    </w:p>
    <w:p w:rsidR="0023128A" w:rsidRDefault="0023128A" w:rsidP="008F55B6">
      <w:pPr>
        <w:jc w:val="left"/>
        <w:outlineLvl w:val="9"/>
      </w:pPr>
      <w:r>
        <w:t>full.name = "Quantum-Geometry_Ph4ODEs"</w:t>
      </w:r>
    </w:p>
    <w:p w:rsidR="0023128A" w:rsidRDefault="0023128A" w:rsidP="008F55B6">
      <w:pPr>
        <w:jc w:val="left"/>
        <w:outlineLvl w:val="9"/>
      </w:pPr>
      <w:r>
        <w:t>return full</w:t>
      </w:r>
    </w:p>
    <w:p w:rsidR="0023128A" w:rsidRDefault="0023128A" w:rsidP="008F55B6">
      <w:pPr>
        <w:jc w:val="left"/>
        <w:outlineLvl w:val="9"/>
      </w:pPr>
    </w:p>
    <w:p w:rsidR="0023128A" w:rsidRDefault="0023128A" w:rsidP="008F55B6">
      <w:pPr>
        <w:jc w:val="left"/>
        <w:outlineLvl w:val="9"/>
      </w:pPr>
      <w:r>
        <w:t>def bind_param_vectors(qc: QuantumCircuit, mapping: Dict[str, Iterable[float]]) -&gt; QuantumCircuit:</w:t>
      </w:r>
    </w:p>
    <w:p w:rsidR="0023128A" w:rsidRDefault="0023128A" w:rsidP="008F55B6">
      <w:pPr>
        <w:jc w:val="left"/>
        <w:outlineLvl w:val="9"/>
      </w:pPr>
      <w:r>
        <w:t>param_map = {}</w:t>
      </w:r>
    </w:p>
    <w:p w:rsidR="0023128A" w:rsidRDefault="0023128A" w:rsidP="008F55B6">
      <w:pPr>
        <w:jc w:val="left"/>
        <w:outlineLvl w:val="9"/>
      </w:pPr>
      <w:r>
        <w:t>for prefix, values in mapping.items():</w:t>
      </w:r>
    </w:p>
    <w:p w:rsidR="0023128A" w:rsidRDefault="0023128A" w:rsidP="008F55B6">
      <w:pPr>
        <w:jc w:val="left"/>
        <w:outlineLvl w:val="9"/>
      </w:pPr>
      <w:r>
        <w:t>for idx, val in enumerate(values):</w:t>
      </w:r>
    </w:p>
    <w:p w:rsidR="0023128A" w:rsidRDefault="0023128A" w:rsidP="008F55B6">
      <w:pPr>
        <w:jc w:val="left"/>
        <w:outlineLvl w:val="9"/>
      </w:pPr>
      <w:r>
        <w:t>param_map[f"{prefix}[{idx}]"] = float(val)</w:t>
      </w:r>
    </w:p>
    <w:p w:rsidR="0023128A" w:rsidRDefault="0023128A" w:rsidP="008F55B6">
      <w:pPr>
        <w:jc w:val="left"/>
        <w:outlineLvl w:val="9"/>
      </w:pPr>
      <w:r>
        <w:t>return qc.assign_parameters(param_map, inplace=False)</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Tiny simulator pass (averaged features)</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def run_pipeline(qcirc_builder, targets_table, seq_db, shots=4096, seed=7):</w:t>
      </w:r>
    </w:p>
    <w:p w:rsidR="0023128A" w:rsidRDefault="0023128A" w:rsidP="008F55B6">
      <w:pPr>
        <w:jc w:val="left"/>
        <w:outlineLvl w:val="9"/>
      </w:pPr>
      <w:r>
        <w:t>targets = [TargetRow(*row) for row in targets_table]</w:t>
      </w:r>
    </w:p>
    <w:p w:rsidR="0023128A" w:rsidRDefault="0023128A" w:rsidP="008F55B6">
      <w:pPr>
        <w:jc w:val="left"/>
        <w:outlineLvl w:val="9"/>
      </w:pPr>
      <w:r>
        <w:t>feats</w:t>
      </w:r>
      <w:r w:rsidR="00496063">
        <w:t xml:space="preserve"> </w:t>
      </w:r>
      <w:r>
        <w:t>= build_feature_vectors(targets, seq_db)</w:t>
      </w:r>
    </w:p>
    <w:p w:rsidR="0023128A" w:rsidRDefault="0023128A" w:rsidP="008F55B6">
      <w:pPr>
        <w:jc w:val="left"/>
        <w:outlineLvl w:val="9"/>
      </w:pPr>
      <w:r>
        <w:t>W</w:t>
      </w:r>
      <w:r w:rsidR="00496063">
        <w:t xml:space="preserve"> </w:t>
      </w:r>
      <w:r>
        <w:t>= peptidotype_similarity(targets, seq_db)</w:t>
      </w:r>
    </w:p>
    <w:p w:rsidR="0023128A" w:rsidRDefault="0023128A" w:rsidP="008F55B6">
      <w:pPr>
        <w:jc w:val="left"/>
        <w:outlineLvl w:val="9"/>
      </w:pPr>
    </w:p>
    <w:p w:rsidR="0023128A" w:rsidRDefault="0023128A" w:rsidP="008F55B6">
      <w:pPr>
        <w:jc w:val="left"/>
        <w:outlineLvl w:val="9"/>
      </w:pPr>
      <w:r>
        <w:t>qc = qcirc_builder(adj_mat=W, n_feat=5, p_qaoa=1, depth_pqc=2,</w:t>
      </w:r>
    </w:p>
    <w:p w:rsidR="0023128A" w:rsidRDefault="0023128A" w:rsidP="008F55B6">
      <w:pPr>
        <w:jc w:val="left"/>
        <w:outlineLvl w:val="9"/>
      </w:pPr>
      <w:r>
        <w:t>lambda_ph4=0.4, lambda_curv=0.35, readout_qubits=1)</w:t>
      </w:r>
    </w:p>
    <w:p w:rsidR="0023128A" w:rsidRDefault="0023128A" w:rsidP="008F55B6">
      <w:pPr>
        <w:jc w:val="left"/>
        <w:outlineLvl w:val="9"/>
      </w:pPr>
    </w:p>
    <w:p w:rsidR="0023128A" w:rsidRDefault="0023128A" w:rsidP="008F55B6">
      <w:pPr>
        <w:jc w:val="left"/>
        <w:outlineLvl w:val="9"/>
      </w:pPr>
      <w:r>
        <w:t>rng = np.random.default_rng(seed)</w:t>
      </w:r>
    </w:p>
    <w:p w:rsidR="0023128A" w:rsidRDefault="0023128A" w:rsidP="008F55B6">
      <w:pPr>
        <w:jc w:val="left"/>
        <w:outlineLvl w:val="9"/>
      </w:pPr>
      <w:r>
        <w:t>nθ = sum(1 for p in qc.parameters if str(p).startswith("θ["))</w:t>
      </w:r>
    </w:p>
    <w:p w:rsidR="0023128A" w:rsidRDefault="0023128A" w:rsidP="008F55B6">
      <w:pPr>
        <w:jc w:val="left"/>
        <w:outlineLvl w:val="9"/>
      </w:pPr>
      <w:r>
        <w:t>nγ = sum(1 for p in qc.parameters if str(p).startswith("γ["))</w:t>
      </w:r>
    </w:p>
    <w:p w:rsidR="0023128A" w:rsidRDefault="0023128A" w:rsidP="008F55B6">
      <w:pPr>
        <w:jc w:val="left"/>
        <w:outlineLvl w:val="9"/>
      </w:pPr>
      <w:r>
        <w:t>nβ = sum(1 for p in qc.parameters if str(p).startswith("β["))</w:t>
      </w:r>
    </w:p>
    <w:p w:rsidR="0023128A" w:rsidRDefault="0023128A" w:rsidP="008F55B6">
      <w:pPr>
        <w:jc w:val="left"/>
        <w:outlineLvl w:val="9"/>
      </w:pPr>
    </w:p>
    <w:p w:rsidR="0023128A" w:rsidRDefault="0023128A" w:rsidP="008F55B6">
      <w:pPr>
        <w:jc w:val="left"/>
        <w:outlineLvl w:val="9"/>
      </w:pPr>
      <w:r>
        <w:t>theta_vals = rng.normal(0, 0.2, size=nθ)</w:t>
      </w:r>
    </w:p>
    <w:p w:rsidR="0023128A" w:rsidRDefault="0023128A" w:rsidP="008F55B6">
      <w:pPr>
        <w:jc w:val="left"/>
        <w:outlineLvl w:val="9"/>
      </w:pPr>
      <w:r>
        <w:t>gamma_vals = rng.uniform(0, math.pi, size=nγ)</w:t>
      </w:r>
    </w:p>
    <w:p w:rsidR="0023128A" w:rsidRDefault="0023128A" w:rsidP="008F55B6">
      <w:pPr>
        <w:jc w:val="left"/>
        <w:outlineLvl w:val="9"/>
      </w:pPr>
      <w:r>
        <w:t>beta_vals</w:t>
      </w:r>
      <w:r w:rsidR="00496063">
        <w:t xml:space="preserve"> </w:t>
      </w:r>
      <w:r>
        <w:t>= rng.uniform(0, math.pi, size=nβ)</w:t>
      </w:r>
    </w:p>
    <w:p w:rsidR="0023128A" w:rsidRDefault="0023128A" w:rsidP="008F55B6">
      <w:pPr>
        <w:jc w:val="left"/>
        <w:outlineLvl w:val="9"/>
      </w:pPr>
    </w:p>
    <w:p w:rsidR="0023128A" w:rsidRDefault="0023128A" w:rsidP="008F55B6">
      <w:pPr>
        <w:jc w:val="left"/>
        <w:outlineLvl w:val="9"/>
      </w:pPr>
      <w:r>
        <w:t>X = np.mean([feats[t.gene]["x"] for t in targets], axis=0)</w:t>
      </w:r>
    </w:p>
    <w:p w:rsidR="0023128A" w:rsidRDefault="0023128A" w:rsidP="008F55B6">
      <w:pPr>
        <w:jc w:val="left"/>
        <w:outlineLvl w:val="9"/>
      </w:pPr>
      <w:r>
        <w:t>M = np.mean([feats[t.gene]["m"] for t in targets], axis=0)</w:t>
      </w:r>
    </w:p>
    <w:p w:rsidR="0023128A" w:rsidRDefault="0023128A" w:rsidP="008F55B6">
      <w:pPr>
        <w:jc w:val="left"/>
        <w:outlineLvl w:val="9"/>
      </w:pPr>
      <w:r>
        <w:t>K = np.mean([feats[t.gene]["k"] for t in targets], axis=0)</w:t>
      </w:r>
    </w:p>
    <w:p w:rsidR="0023128A" w:rsidRDefault="0023128A" w:rsidP="008F55B6">
      <w:pPr>
        <w:jc w:val="left"/>
        <w:outlineLvl w:val="9"/>
      </w:pPr>
    </w:p>
    <w:p w:rsidR="0023128A" w:rsidRDefault="0023128A" w:rsidP="008F55B6">
      <w:pPr>
        <w:jc w:val="left"/>
        <w:outlineLvl w:val="9"/>
      </w:pPr>
      <w:r>
        <w:t>qc_bound = bind_param_vectors(qc, {"x": X, "m": M, "k": K, "θ": theta_vals, "γ": gamma_vals, "β": beta_vals})</w:t>
      </w:r>
    </w:p>
    <w:p w:rsidR="0023128A" w:rsidRDefault="0023128A" w:rsidP="008F55B6">
      <w:pPr>
        <w:jc w:val="left"/>
        <w:outlineLvl w:val="9"/>
      </w:pPr>
    </w:p>
    <w:p w:rsidR="0023128A" w:rsidRDefault="0023128A" w:rsidP="008F55B6">
      <w:pPr>
        <w:jc w:val="left"/>
        <w:outlineLvl w:val="9"/>
      </w:pPr>
      <w:r>
        <w:t>counts = {}</w:t>
      </w:r>
    </w:p>
    <w:p w:rsidR="0023128A" w:rsidRDefault="0023128A" w:rsidP="008F55B6">
      <w:pPr>
        <w:jc w:val="left"/>
        <w:outlineLvl w:val="9"/>
      </w:pPr>
      <w:r>
        <w:t>z = float("nan")</w:t>
      </w:r>
    </w:p>
    <w:p w:rsidR="0023128A" w:rsidRDefault="0023128A" w:rsidP="008F55B6">
      <w:pPr>
        <w:jc w:val="left"/>
        <w:outlineLvl w:val="9"/>
      </w:pPr>
      <w:r>
        <w:t>if _HAS_AER:</w:t>
      </w:r>
    </w:p>
    <w:p w:rsidR="0023128A" w:rsidRDefault="0023128A" w:rsidP="008F55B6">
      <w:pPr>
        <w:jc w:val="left"/>
        <w:outlineLvl w:val="9"/>
      </w:pPr>
      <w:r>
        <w:t>sim = AerSimulator()</w:t>
      </w:r>
    </w:p>
    <w:p w:rsidR="0023128A" w:rsidRDefault="0023128A" w:rsidP="008F55B6">
      <w:pPr>
        <w:jc w:val="left"/>
        <w:outlineLvl w:val="9"/>
      </w:pPr>
      <w:r>
        <w:t>tcirc = transpile(qc_bound, sim, optimization_level=1, seed_transpiler=seed)</w:t>
      </w:r>
    </w:p>
    <w:p w:rsidR="0023128A" w:rsidRDefault="0023128A" w:rsidP="008F55B6">
      <w:pPr>
        <w:jc w:val="left"/>
        <w:outlineLvl w:val="9"/>
      </w:pPr>
      <w:r>
        <w:t>result = sim.run(tcirc, shots=shots, seed_simulator=seed).result()</w:t>
      </w:r>
    </w:p>
    <w:p w:rsidR="0023128A" w:rsidRDefault="0023128A" w:rsidP="008F55B6">
      <w:pPr>
        <w:jc w:val="left"/>
        <w:outlineLvl w:val="9"/>
      </w:pPr>
      <w:r>
        <w:t>counts = result.get_counts()</w:t>
      </w:r>
    </w:p>
    <w:p w:rsidR="0023128A" w:rsidRDefault="0023128A" w:rsidP="008F55B6">
      <w:pPr>
        <w:jc w:val="left"/>
        <w:outlineLvl w:val="9"/>
      </w:pPr>
      <w:r>
        <w:t>p0 = counts.get('0', 0)/shots</w:t>
      </w:r>
    </w:p>
    <w:p w:rsidR="0023128A" w:rsidRDefault="0023128A" w:rsidP="008F55B6">
      <w:pPr>
        <w:jc w:val="left"/>
        <w:outlineLvl w:val="9"/>
      </w:pPr>
      <w:r>
        <w:t>p1 = counts.get('1', 0)/shots</w:t>
      </w:r>
    </w:p>
    <w:p w:rsidR="0023128A" w:rsidRDefault="0023128A" w:rsidP="008F55B6">
      <w:pPr>
        <w:jc w:val="left"/>
        <w:outlineLvl w:val="9"/>
      </w:pPr>
      <w:r>
        <w:t>z</w:t>
      </w:r>
      <w:r w:rsidR="00496063">
        <w:t xml:space="preserve"> </w:t>
      </w:r>
      <w:r>
        <w:t>= p0 - p1</w:t>
      </w:r>
    </w:p>
    <w:p w:rsidR="0023128A" w:rsidRDefault="0023128A" w:rsidP="008F55B6">
      <w:pPr>
        <w:jc w:val="left"/>
        <w:outlineLvl w:val="9"/>
      </w:pPr>
    </w:p>
    <w:p w:rsidR="0023128A" w:rsidRDefault="0023128A" w:rsidP="008F55B6">
      <w:pPr>
        <w:jc w:val="left"/>
        <w:outlineLvl w:val="9"/>
      </w:pPr>
      <w:r>
        <w:t>labels = {t.gene: feats[t.gene]["dG_label"] for t in targets}</w:t>
      </w:r>
    </w:p>
    <w:p w:rsidR="0023128A" w:rsidRDefault="0023128A" w:rsidP="008F55B6">
      <w:pPr>
        <w:jc w:val="left"/>
        <w:outlineLvl w:val="9"/>
      </w:pPr>
      <w:r>
        <w:t>return {"Z_expectation": z, "counts": counts, "labels": labels, "similarity": W}</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Per-target tiny simulator pass → sortable scores</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def run_per_target_scores(qcirc_builder, targets_table, seq_db, shots=2048, seed=11, sort_desc=True):</w:t>
      </w:r>
    </w:p>
    <w:p w:rsidR="0023128A" w:rsidRDefault="0023128A" w:rsidP="008F55B6">
      <w:pPr>
        <w:jc w:val="left"/>
        <w:outlineLvl w:val="9"/>
      </w:pPr>
      <w:r>
        <w:t>"""Returns a sorted list of per-target scores: [{'gene', 'Z', 'centrality', 'label'}]."""</w:t>
      </w:r>
    </w:p>
    <w:p w:rsidR="0023128A" w:rsidRDefault="0023128A" w:rsidP="008F55B6">
      <w:pPr>
        <w:jc w:val="left"/>
        <w:outlineLvl w:val="9"/>
      </w:pPr>
      <w:r>
        <w:t>targets = [TargetRow(*row) for row in targets_table]</w:t>
      </w:r>
    </w:p>
    <w:p w:rsidR="0023128A" w:rsidRDefault="0023128A" w:rsidP="008F55B6">
      <w:pPr>
        <w:jc w:val="left"/>
        <w:outlineLvl w:val="9"/>
      </w:pPr>
      <w:r>
        <w:t>feats</w:t>
      </w:r>
      <w:r w:rsidR="00496063">
        <w:t xml:space="preserve"> </w:t>
      </w:r>
      <w:r>
        <w:t>= build_feature_vectors(targets, seq_db)</w:t>
      </w:r>
    </w:p>
    <w:p w:rsidR="0023128A" w:rsidRDefault="0023128A" w:rsidP="008F55B6">
      <w:pPr>
        <w:jc w:val="left"/>
        <w:outlineLvl w:val="9"/>
      </w:pPr>
      <w:r>
        <w:t>W</w:t>
      </w:r>
      <w:r w:rsidR="00496063">
        <w:t xml:space="preserve"> </w:t>
      </w:r>
      <w:r>
        <w:t>= peptidotype_similarity(targets, seq_db)</w:t>
      </w:r>
    </w:p>
    <w:p w:rsidR="0023128A" w:rsidRDefault="0023128A" w:rsidP="008F55B6">
      <w:pPr>
        <w:jc w:val="left"/>
        <w:outlineLvl w:val="9"/>
      </w:pPr>
    </w:p>
    <w:p w:rsidR="0023128A" w:rsidRDefault="0023128A" w:rsidP="008F55B6">
      <w:pPr>
        <w:jc w:val="left"/>
        <w:outlineLvl w:val="9"/>
      </w:pPr>
      <w:r>
        <w:t>qc = qcirc_builder(adj_mat=W, n_feat=5, p_qaoa=1, depth_pqc=2,</w:t>
      </w:r>
    </w:p>
    <w:p w:rsidR="0023128A" w:rsidRDefault="0023128A" w:rsidP="008F55B6">
      <w:pPr>
        <w:jc w:val="left"/>
        <w:outlineLvl w:val="9"/>
      </w:pPr>
      <w:r>
        <w:t>lambda_ph4=0.4, lambda_curv=0.35, readout_qubits=1)</w:t>
      </w:r>
    </w:p>
    <w:p w:rsidR="0023128A" w:rsidRDefault="0023128A" w:rsidP="008F55B6">
      <w:pPr>
        <w:jc w:val="left"/>
        <w:outlineLvl w:val="9"/>
      </w:pPr>
    </w:p>
    <w:p w:rsidR="0023128A" w:rsidRDefault="0023128A" w:rsidP="008F55B6">
      <w:pPr>
        <w:jc w:val="left"/>
        <w:outlineLvl w:val="9"/>
      </w:pPr>
      <w:r>
        <w:t>rng = np.random.default_rng(seed)</w:t>
      </w:r>
    </w:p>
    <w:p w:rsidR="0023128A" w:rsidRDefault="0023128A" w:rsidP="008F55B6">
      <w:pPr>
        <w:jc w:val="left"/>
        <w:outlineLvl w:val="9"/>
      </w:pPr>
      <w:r>
        <w:t>nθ = sum(1 for p in qc.parameters if str(p).startswith("θ["))</w:t>
      </w:r>
    </w:p>
    <w:p w:rsidR="0023128A" w:rsidRDefault="0023128A" w:rsidP="008F55B6">
      <w:pPr>
        <w:jc w:val="left"/>
        <w:outlineLvl w:val="9"/>
      </w:pPr>
      <w:r>
        <w:t>nγ = sum(1 for p in qc.parameters if str(p).startswith("γ["))</w:t>
      </w:r>
    </w:p>
    <w:p w:rsidR="0023128A" w:rsidRDefault="0023128A" w:rsidP="008F55B6">
      <w:pPr>
        <w:jc w:val="left"/>
        <w:outlineLvl w:val="9"/>
      </w:pPr>
      <w:r>
        <w:t>nβ = sum(1 for p in qc.parameters if str(p).startswith("β["))</w:t>
      </w:r>
    </w:p>
    <w:p w:rsidR="0023128A" w:rsidRDefault="0023128A" w:rsidP="008F55B6">
      <w:pPr>
        <w:jc w:val="left"/>
        <w:outlineLvl w:val="9"/>
      </w:pPr>
    </w:p>
    <w:p w:rsidR="0023128A" w:rsidRDefault="0023128A" w:rsidP="008F55B6">
      <w:pPr>
        <w:jc w:val="left"/>
        <w:outlineLvl w:val="9"/>
      </w:pPr>
      <w:r>
        <w:t>theta_vals = rng.normal(0, 0.2, size=nθ)</w:t>
      </w:r>
    </w:p>
    <w:p w:rsidR="0023128A" w:rsidRDefault="0023128A" w:rsidP="008F55B6">
      <w:pPr>
        <w:jc w:val="left"/>
        <w:outlineLvl w:val="9"/>
      </w:pPr>
      <w:r>
        <w:t>gamma_vals = rng.uniform(0, math.pi, size=nγ)</w:t>
      </w:r>
    </w:p>
    <w:p w:rsidR="0023128A" w:rsidRDefault="0023128A" w:rsidP="008F55B6">
      <w:pPr>
        <w:jc w:val="left"/>
        <w:outlineLvl w:val="9"/>
      </w:pPr>
      <w:r>
        <w:t>beta_vals</w:t>
      </w:r>
      <w:r w:rsidR="00496063">
        <w:t xml:space="preserve"> </w:t>
      </w:r>
      <w:r>
        <w:t>= rng.uniform(0, math.pi, size=nβ)</w:t>
      </w:r>
    </w:p>
    <w:p w:rsidR="0023128A" w:rsidRDefault="0023128A" w:rsidP="008F55B6">
      <w:pPr>
        <w:jc w:val="left"/>
        <w:outlineLvl w:val="9"/>
      </w:pPr>
    </w:p>
    <w:p w:rsidR="0023128A" w:rsidRDefault="0023128A" w:rsidP="008F55B6">
      <w:pPr>
        <w:jc w:val="left"/>
        <w:outlineLvl w:val="9"/>
      </w:pPr>
      <w:r>
        <w:t>if not _HAS_AER:</w:t>
      </w:r>
    </w:p>
    <w:p w:rsidR="0023128A" w:rsidRDefault="0023128A" w:rsidP="008F55B6">
      <w:pPr>
        <w:jc w:val="left"/>
        <w:outlineLvl w:val="9"/>
      </w:pPr>
      <w:r>
        <w:t># Return deterministic placeholder ordering (can still sort by label or centrality externally)</w:t>
      </w:r>
    </w:p>
    <w:p w:rsidR="0023128A" w:rsidRDefault="0023128A" w:rsidP="008F55B6">
      <w:pPr>
        <w:jc w:val="left"/>
        <w:outlineLvl w:val="9"/>
      </w:pPr>
      <w:r>
        <w:t>out = []</w:t>
      </w:r>
    </w:p>
    <w:p w:rsidR="0023128A" w:rsidRDefault="0023128A" w:rsidP="008F55B6">
      <w:pPr>
        <w:jc w:val="left"/>
        <w:outlineLvl w:val="9"/>
      </w:pPr>
      <w:r>
        <w:t>for t in targets:</w:t>
      </w:r>
    </w:p>
    <w:p w:rsidR="0023128A" w:rsidRDefault="0023128A" w:rsidP="008F55B6">
      <w:pPr>
        <w:jc w:val="left"/>
        <w:outlineLvl w:val="9"/>
      </w:pPr>
      <w:r>
        <w:t>out.append({</w:t>
      </w:r>
    </w:p>
    <w:p w:rsidR="0023128A" w:rsidRDefault="0023128A" w:rsidP="008F55B6">
      <w:pPr>
        <w:jc w:val="left"/>
        <w:outlineLvl w:val="9"/>
      </w:pPr>
      <w:r>
        <w:t>"gene": t.gene,</w:t>
      </w:r>
    </w:p>
    <w:p w:rsidR="0023128A" w:rsidRDefault="0023128A" w:rsidP="008F55B6">
      <w:pPr>
        <w:jc w:val="left"/>
        <w:outlineLvl w:val="9"/>
      </w:pPr>
      <w:r>
        <w:t>"Z": float("nan"),</w:t>
      </w:r>
    </w:p>
    <w:p w:rsidR="0023128A" w:rsidRDefault="0023128A" w:rsidP="008F55B6">
      <w:pPr>
        <w:jc w:val="left"/>
        <w:outlineLvl w:val="9"/>
      </w:pPr>
      <w:r>
        <w:t>"centrality": t.centrality,</w:t>
      </w:r>
    </w:p>
    <w:p w:rsidR="0023128A" w:rsidRDefault="0023128A" w:rsidP="008F55B6">
      <w:pPr>
        <w:jc w:val="left"/>
        <w:outlineLvl w:val="9"/>
      </w:pPr>
      <w:r>
        <w:t>"label": float(feats[t.gene]["dG_label"]),</w:t>
      </w:r>
    </w:p>
    <w:p w:rsidR="0023128A" w:rsidRDefault="0023128A" w:rsidP="008F55B6">
      <w:pPr>
        <w:jc w:val="left"/>
        <w:outlineLvl w:val="9"/>
      </w:pPr>
      <w:r>
        <w:t>})</w:t>
      </w:r>
    </w:p>
    <w:p w:rsidR="0023128A" w:rsidRDefault="0023128A" w:rsidP="008F55B6">
      <w:pPr>
        <w:jc w:val="left"/>
        <w:outlineLvl w:val="9"/>
      </w:pPr>
      <w:r>
        <w:t>return sorted(out, key=lambda d: (-(d["Z"] if not math.isnan(d["Z"]) else -1e9)) if sort_desc else (d["Z"] if not math.isnan(d["Z"]) else 1e9))</w:t>
      </w:r>
    </w:p>
    <w:p w:rsidR="0023128A" w:rsidRDefault="0023128A" w:rsidP="008F55B6">
      <w:pPr>
        <w:jc w:val="left"/>
        <w:outlineLvl w:val="9"/>
      </w:pPr>
    </w:p>
    <w:p w:rsidR="0023128A" w:rsidRDefault="0023128A" w:rsidP="008F55B6">
      <w:pPr>
        <w:jc w:val="left"/>
        <w:outlineLvl w:val="9"/>
      </w:pPr>
      <w:r>
        <w:t>sim = AerSimulator()</w:t>
      </w:r>
    </w:p>
    <w:p w:rsidR="0023128A" w:rsidRDefault="0023128A" w:rsidP="008F55B6">
      <w:pPr>
        <w:jc w:val="left"/>
        <w:outlineLvl w:val="9"/>
      </w:pPr>
      <w:r>
        <w:t>scores = []</w:t>
      </w:r>
    </w:p>
    <w:p w:rsidR="0023128A" w:rsidRDefault="0023128A" w:rsidP="008F55B6">
      <w:pPr>
        <w:jc w:val="left"/>
        <w:outlineLvl w:val="9"/>
      </w:pPr>
      <w:r>
        <w:t>for t in targets:</w:t>
      </w:r>
    </w:p>
    <w:p w:rsidR="0023128A" w:rsidRDefault="0023128A" w:rsidP="008F55B6">
      <w:pPr>
        <w:jc w:val="left"/>
        <w:outlineLvl w:val="9"/>
      </w:pPr>
      <w:r>
        <w:t>X = feats[t.gene]["x"]; M = feats[t.gene]["m"]; K = feats[t.gene]["k"]</w:t>
      </w:r>
    </w:p>
    <w:p w:rsidR="0023128A" w:rsidRDefault="0023128A" w:rsidP="008F55B6">
      <w:pPr>
        <w:jc w:val="left"/>
        <w:outlineLvl w:val="9"/>
      </w:pPr>
      <w:r>
        <w:t>qc_b = bind_param_vectors(qc, {"x": X, "m": M, "k": K, "θ": theta_vals, "γ": gamma_vals, "β": beta_vals})</w:t>
      </w:r>
    </w:p>
    <w:p w:rsidR="0023128A" w:rsidRDefault="0023128A" w:rsidP="008F55B6">
      <w:pPr>
        <w:jc w:val="left"/>
        <w:outlineLvl w:val="9"/>
      </w:pPr>
      <w:r>
        <w:t>tcirc = transpile(qc_b, sim, optimization_level=1, seed_transpiler=seed)</w:t>
      </w:r>
    </w:p>
    <w:p w:rsidR="0023128A" w:rsidRDefault="0023128A" w:rsidP="008F55B6">
      <w:pPr>
        <w:jc w:val="left"/>
        <w:outlineLvl w:val="9"/>
      </w:pPr>
      <w:r>
        <w:t>res</w:t>
      </w:r>
      <w:r w:rsidR="00496063">
        <w:t xml:space="preserve"> </w:t>
      </w:r>
      <w:r>
        <w:t>= sim.run(tcirc, shots=shots, seed_simulator=seed).result()</w:t>
      </w:r>
    </w:p>
    <w:p w:rsidR="0023128A" w:rsidRDefault="0023128A" w:rsidP="008F55B6">
      <w:pPr>
        <w:jc w:val="left"/>
        <w:outlineLvl w:val="9"/>
      </w:pPr>
      <w:r>
        <w:t>cts</w:t>
      </w:r>
      <w:r w:rsidR="00496063">
        <w:t xml:space="preserve"> </w:t>
      </w:r>
      <w:r>
        <w:t>= res.get_counts()</w:t>
      </w:r>
    </w:p>
    <w:p w:rsidR="0023128A" w:rsidRDefault="0023128A" w:rsidP="008F55B6">
      <w:pPr>
        <w:jc w:val="left"/>
        <w:outlineLvl w:val="9"/>
      </w:pPr>
      <w:r>
        <w:t>p0 = cts.get('0', 0)/shots</w:t>
      </w:r>
    </w:p>
    <w:p w:rsidR="0023128A" w:rsidRDefault="0023128A" w:rsidP="008F55B6">
      <w:pPr>
        <w:jc w:val="left"/>
        <w:outlineLvl w:val="9"/>
      </w:pPr>
      <w:r>
        <w:t>p1 = cts.get('1', 0)/shots</w:t>
      </w:r>
    </w:p>
    <w:p w:rsidR="0023128A" w:rsidRDefault="0023128A" w:rsidP="008F55B6">
      <w:pPr>
        <w:jc w:val="left"/>
        <w:outlineLvl w:val="9"/>
      </w:pPr>
      <w:r>
        <w:t>z</w:t>
      </w:r>
      <w:r w:rsidR="00496063">
        <w:t xml:space="preserve"> </w:t>
      </w:r>
      <w:r>
        <w:t>= p0 - p1</w:t>
      </w:r>
    </w:p>
    <w:p w:rsidR="0023128A" w:rsidRDefault="0023128A" w:rsidP="008F55B6">
      <w:pPr>
        <w:jc w:val="left"/>
        <w:outlineLvl w:val="9"/>
      </w:pPr>
      <w:r>
        <w:t>scores.append({</w:t>
      </w:r>
    </w:p>
    <w:p w:rsidR="0023128A" w:rsidRDefault="0023128A" w:rsidP="008F55B6">
      <w:pPr>
        <w:jc w:val="left"/>
        <w:outlineLvl w:val="9"/>
      </w:pPr>
      <w:r>
        <w:t>"gene": t.gene,</w:t>
      </w:r>
    </w:p>
    <w:p w:rsidR="0023128A" w:rsidRDefault="0023128A" w:rsidP="008F55B6">
      <w:pPr>
        <w:jc w:val="left"/>
        <w:outlineLvl w:val="9"/>
      </w:pPr>
      <w:r>
        <w:t>"Z": float(z),</w:t>
      </w:r>
    </w:p>
    <w:p w:rsidR="0023128A" w:rsidRDefault="0023128A" w:rsidP="008F55B6">
      <w:pPr>
        <w:jc w:val="left"/>
        <w:outlineLvl w:val="9"/>
      </w:pPr>
      <w:r>
        <w:t>"centrality": float(t.centrality),</w:t>
      </w:r>
    </w:p>
    <w:p w:rsidR="0023128A" w:rsidRDefault="0023128A" w:rsidP="008F55B6">
      <w:pPr>
        <w:jc w:val="left"/>
        <w:outlineLvl w:val="9"/>
      </w:pPr>
      <w:r>
        <w:t>"label": float(feats[t.gene]["dG_label"]),</w:t>
      </w:r>
    </w:p>
    <w:p w:rsidR="0023128A" w:rsidRDefault="0023128A" w:rsidP="008F55B6">
      <w:pPr>
        <w:jc w:val="left"/>
        <w:outlineLvl w:val="9"/>
      </w:pPr>
      <w:r>
        <w:t>})</w:t>
      </w:r>
    </w:p>
    <w:p w:rsidR="0023128A" w:rsidRDefault="0023128A" w:rsidP="008F55B6">
      <w:pPr>
        <w:jc w:val="left"/>
        <w:outlineLvl w:val="9"/>
      </w:pPr>
    </w:p>
    <w:p w:rsidR="0023128A" w:rsidRDefault="0023128A" w:rsidP="008F55B6">
      <w:pPr>
        <w:jc w:val="left"/>
        <w:outlineLvl w:val="9"/>
      </w:pPr>
      <w:r>
        <w:t>scores = sorted(scores, key=lambda d: d["Z"], reverse=sort_desc)</w:t>
      </w:r>
    </w:p>
    <w:p w:rsidR="0023128A" w:rsidRDefault="0023128A" w:rsidP="008F55B6">
      <w:pPr>
        <w:jc w:val="left"/>
        <w:outlineLvl w:val="9"/>
      </w:pPr>
      <w:r>
        <w:t>return scores</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Tiny SPSA Trainer for QAOA</w:t>
      </w:r>
      <w:r>
        <w:rPr>
          <w:rFonts w:ascii="Cambria Math" w:hAnsi="Cambria Math" w:cs="Cambria Math"/>
        </w:rPr>
        <w:t>⊗</w:t>
      </w:r>
      <w:r>
        <w:t>PQC + baselines</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def ridge_regression(X: np.ndarray, y: np.ndarray, alpha: float = 1e-3) -&gt; Tuple[np.ndarray, float]:</w:t>
      </w:r>
    </w:p>
    <w:p w:rsidR="0023128A" w:rsidRDefault="0023128A" w:rsidP="008F55B6">
      <w:pPr>
        <w:jc w:val="left"/>
        <w:outlineLvl w:val="9"/>
      </w:pPr>
      <w:r>
        <w:t>X1 = np.hstack([X, np.ones((X.shape[0], 1))])</w:t>
      </w:r>
    </w:p>
    <w:p w:rsidR="0023128A" w:rsidRDefault="0023128A" w:rsidP="008F55B6">
      <w:pPr>
        <w:jc w:val="left"/>
        <w:outlineLvl w:val="9"/>
      </w:pPr>
      <w:r>
        <w:t>I = np.eye(X1.shape[1]); I[-1, -1] = 0.0</w:t>
      </w:r>
    </w:p>
    <w:p w:rsidR="0023128A" w:rsidRDefault="0023128A" w:rsidP="008F55B6">
      <w:pPr>
        <w:jc w:val="left"/>
        <w:outlineLvl w:val="9"/>
      </w:pPr>
      <w:r>
        <w:t>w_full = np.linalg.solve(X1.T @ X1 + alpha * I, X1.T @ y)</w:t>
      </w:r>
    </w:p>
    <w:p w:rsidR="0023128A" w:rsidRDefault="0023128A" w:rsidP="008F55B6">
      <w:pPr>
        <w:jc w:val="left"/>
        <w:outlineLvl w:val="9"/>
      </w:pPr>
      <w:r>
        <w:t>w, b = w_full[:-1], float(w_full[-1])</w:t>
      </w:r>
    </w:p>
    <w:p w:rsidR="0023128A" w:rsidRDefault="0023128A" w:rsidP="008F55B6">
      <w:pPr>
        <w:jc w:val="left"/>
        <w:outlineLvl w:val="9"/>
      </w:pPr>
      <w:r>
        <w:t>return w, b</w:t>
      </w:r>
    </w:p>
    <w:p w:rsidR="0023128A" w:rsidRDefault="0023128A" w:rsidP="008F55B6">
      <w:pPr>
        <w:jc w:val="left"/>
        <w:outlineLvl w:val="9"/>
      </w:pPr>
    </w:p>
    <w:p w:rsidR="0023128A" w:rsidRDefault="0023128A" w:rsidP="008F55B6">
      <w:pPr>
        <w:jc w:val="left"/>
        <w:outlineLvl w:val="9"/>
      </w:pPr>
      <w:r>
        <w:t>def mse_r2(y_true: np.ndarray, y_pred: np.ndarray) -&gt; Tuple[float, float]:</w:t>
      </w:r>
    </w:p>
    <w:p w:rsidR="0023128A" w:rsidRDefault="0023128A" w:rsidP="008F55B6">
      <w:pPr>
        <w:jc w:val="left"/>
        <w:outlineLvl w:val="9"/>
      </w:pPr>
      <w:r>
        <w:t>mse = float(np.mean((y_true - y_pred) ** 2))</w:t>
      </w:r>
    </w:p>
    <w:p w:rsidR="0023128A" w:rsidRDefault="0023128A" w:rsidP="008F55B6">
      <w:pPr>
        <w:jc w:val="left"/>
        <w:outlineLvl w:val="9"/>
      </w:pPr>
      <w:r>
        <w:t>var = float(np.var(y_true)) + 1e-12</w:t>
      </w:r>
    </w:p>
    <w:p w:rsidR="0023128A" w:rsidRDefault="0023128A" w:rsidP="008F55B6">
      <w:pPr>
        <w:jc w:val="left"/>
        <w:outlineLvl w:val="9"/>
      </w:pPr>
      <w:r>
        <w:t>r2</w:t>
      </w:r>
      <w:r w:rsidR="00496063">
        <w:t xml:space="preserve"> </w:t>
      </w:r>
      <w:r>
        <w:t>= 1.0 - mse / var</w:t>
      </w:r>
    </w:p>
    <w:p w:rsidR="0023128A" w:rsidRDefault="0023128A" w:rsidP="008F55B6">
      <w:pPr>
        <w:jc w:val="left"/>
        <w:outlineLvl w:val="9"/>
      </w:pPr>
      <w:r>
        <w:t>return mse, r2</w:t>
      </w:r>
    </w:p>
    <w:p w:rsidR="0023128A" w:rsidRDefault="0023128A" w:rsidP="008F55B6">
      <w:pPr>
        <w:jc w:val="left"/>
        <w:outlineLvl w:val="9"/>
      </w:pPr>
    </w:p>
    <w:p w:rsidR="0023128A" w:rsidRDefault="0023128A" w:rsidP="008F55B6">
      <w:pPr>
        <w:jc w:val="left"/>
        <w:outlineLvl w:val="9"/>
      </w:pPr>
      <w:r>
        <w:t>@dataclass</w:t>
      </w:r>
    </w:p>
    <w:p w:rsidR="0023128A" w:rsidRDefault="0023128A" w:rsidP="008F55B6">
      <w:pPr>
        <w:jc w:val="left"/>
        <w:outlineLvl w:val="9"/>
      </w:pPr>
      <w:r>
        <w:t>class Sample:</w:t>
      </w:r>
    </w:p>
    <w:p w:rsidR="0023128A" w:rsidRDefault="0023128A" w:rsidP="008F55B6">
      <w:pPr>
        <w:jc w:val="left"/>
        <w:outlineLvl w:val="9"/>
      </w:pPr>
      <w:r>
        <w:t>gene: str</w:t>
      </w:r>
    </w:p>
    <w:p w:rsidR="0023128A" w:rsidRDefault="0023128A" w:rsidP="008F55B6">
      <w:pPr>
        <w:jc w:val="left"/>
        <w:outlineLvl w:val="9"/>
      </w:pPr>
      <w:r>
        <w:t>x: np.ndarray</w:t>
      </w:r>
    </w:p>
    <w:p w:rsidR="0023128A" w:rsidRDefault="0023128A" w:rsidP="008F55B6">
      <w:pPr>
        <w:jc w:val="left"/>
        <w:outlineLvl w:val="9"/>
      </w:pPr>
      <w:r>
        <w:t>m: np.ndarray</w:t>
      </w:r>
    </w:p>
    <w:p w:rsidR="0023128A" w:rsidRDefault="0023128A" w:rsidP="008F55B6">
      <w:pPr>
        <w:jc w:val="left"/>
        <w:outlineLvl w:val="9"/>
      </w:pPr>
      <w:r>
        <w:t>k: np.ndarray</w:t>
      </w:r>
    </w:p>
    <w:p w:rsidR="0023128A" w:rsidRDefault="0023128A" w:rsidP="008F55B6">
      <w:pPr>
        <w:jc w:val="left"/>
        <w:outlineLvl w:val="9"/>
      </w:pPr>
      <w:r>
        <w:t>y: float</w:t>
      </w:r>
    </w:p>
    <w:p w:rsidR="0023128A" w:rsidRDefault="0023128A" w:rsidP="008F55B6">
      <w:pPr>
        <w:jc w:val="left"/>
        <w:outlineLvl w:val="9"/>
      </w:pPr>
    </w:p>
    <w:p w:rsidR="0023128A" w:rsidRDefault="0023128A" w:rsidP="008F55B6">
      <w:pPr>
        <w:jc w:val="left"/>
        <w:outlineLvl w:val="9"/>
      </w:pPr>
      <w:r>
        <w:t>def build_samples(feature_dict: Dict[str, Dict[str, np.ndarray]]) -&gt; List[Sample]:</w:t>
      </w:r>
    </w:p>
    <w:p w:rsidR="0023128A" w:rsidRDefault="0023128A" w:rsidP="008F55B6">
      <w:pPr>
        <w:jc w:val="left"/>
        <w:outlineLvl w:val="9"/>
      </w:pPr>
      <w:r>
        <w:t>out = []</w:t>
      </w:r>
    </w:p>
    <w:p w:rsidR="0023128A" w:rsidRDefault="0023128A" w:rsidP="008F55B6">
      <w:pPr>
        <w:jc w:val="left"/>
        <w:outlineLvl w:val="9"/>
      </w:pPr>
      <w:r>
        <w:t>for gene, dd in feature_dict.items():</w:t>
      </w:r>
    </w:p>
    <w:p w:rsidR="0023128A" w:rsidRDefault="0023128A" w:rsidP="008F55B6">
      <w:pPr>
        <w:jc w:val="left"/>
        <w:outlineLvl w:val="9"/>
      </w:pPr>
      <w:r>
        <w:t>out.append(Sample(gene=gene, x=dd["x"], m=dd["m"], k=dd["k"], y=float(dd["dG_label"])))</w:t>
      </w:r>
    </w:p>
    <w:p w:rsidR="0023128A" w:rsidRDefault="0023128A" w:rsidP="008F55B6">
      <w:pPr>
        <w:jc w:val="left"/>
        <w:outlineLvl w:val="9"/>
      </w:pPr>
      <w:r>
        <w:t>return out</w:t>
      </w:r>
    </w:p>
    <w:p w:rsidR="0023128A" w:rsidRDefault="0023128A" w:rsidP="008F55B6">
      <w:pPr>
        <w:jc w:val="left"/>
        <w:outlineLvl w:val="9"/>
      </w:pPr>
    </w:p>
    <w:p w:rsidR="0023128A" w:rsidRDefault="0023128A" w:rsidP="008F55B6">
      <w:pPr>
        <w:jc w:val="left"/>
        <w:outlineLvl w:val="9"/>
      </w:pPr>
      <w:r>
        <w:t>@dataclass</w:t>
      </w:r>
    </w:p>
    <w:p w:rsidR="0023128A" w:rsidRDefault="0023128A" w:rsidP="008F55B6">
      <w:pPr>
        <w:jc w:val="left"/>
        <w:outlineLvl w:val="9"/>
      </w:pPr>
      <w:r>
        <w:t>class ParamIndex:</w:t>
      </w:r>
    </w:p>
    <w:p w:rsidR="0023128A" w:rsidRDefault="0023128A" w:rsidP="008F55B6">
      <w:pPr>
        <w:jc w:val="left"/>
        <w:outlineLvl w:val="9"/>
      </w:pPr>
      <w:r>
        <w:t>theta: List[str]</w:t>
      </w:r>
    </w:p>
    <w:p w:rsidR="0023128A" w:rsidRDefault="0023128A" w:rsidP="008F55B6">
      <w:pPr>
        <w:jc w:val="left"/>
        <w:outlineLvl w:val="9"/>
      </w:pPr>
      <w:r>
        <w:t>gamma: List[str]</w:t>
      </w:r>
    </w:p>
    <w:p w:rsidR="0023128A" w:rsidRDefault="0023128A" w:rsidP="008F55B6">
      <w:pPr>
        <w:jc w:val="left"/>
        <w:outlineLvl w:val="9"/>
      </w:pPr>
      <w:r>
        <w:t>beta:</w:t>
      </w:r>
      <w:r w:rsidR="00496063">
        <w:t xml:space="preserve"> </w:t>
      </w:r>
      <w:r>
        <w:t>List[str]</w:t>
      </w:r>
    </w:p>
    <w:p w:rsidR="0023128A" w:rsidRDefault="0023128A" w:rsidP="008F55B6">
      <w:pPr>
        <w:jc w:val="left"/>
        <w:outlineLvl w:val="9"/>
      </w:pPr>
    </w:p>
    <w:p w:rsidR="0023128A" w:rsidRDefault="0023128A" w:rsidP="008F55B6">
      <w:pPr>
        <w:jc w:val="left"/>
        <w:outlineLvl w:val="9"/>
      </w:pPr>
      <w:r>
        <w:t>def collect_param_names(qc) -&gt; ParamIndex:</w:t>
      </w:r>
    </w:p>
    <w:p w:rsidR="0023128A" w:rsidRDefault="0023128A" w:rsidP="008F55B6">
      <w:pPr>
        <w:jc w:val="left"/>
        <w:outlineLvl w:val="9"/>
      </w:pPr>
      <w:r>
        <w:t>names = sorted([str(p) for p in qc.parameters])</w:t>
      </w:r>
    </w:p>
    <w:p w:rsidR="0023128A" w:rsidRDefault="0023128A" w:rsidP="008F55B6">
      <w:pPr>
        <w:jc w:val="left"/>
        <w:outlineLvl w:val="9"/>
      </w:pPr>
      <w:r>
        <w:t>theta = [n for n in names if n.startswith("θ[")]</w:t>
      </w:r>
    </w:p>
    <w:p w:rsidR="0023128A" w:rsidRDefault="0023128A" w:rsidP="008F55B6">
      <w:pPr>
        <w:jc w:val="left"/>
        <w:outlineLvl w:val="9"/>
      </w:pPr>
      <w:r>
        <w:t>gamma = [n for n in names if n.startswith("γ[")]</w:t>
      </w:r>
    </w:p>
    <w:p w:rsidR="0023128A" w:rsidRDefault="0023128A" w:rsidP="008F55B6">
      <w:pPr>
        <w:jc w:val="left"/>
        <w:outlineLvl w:val="9"/>
      </w:pPr>
      <w:r>
        <w:t>beta</w:t>
      </w:r>
      <w:r w:rsidR="00496063">
        <w:t xml:space="preserve"> </w:t>
      </w:r>
      <w:r>
        <w:t>= [n for n in names if n.startswith("β[")]</w:t>
      </w:r>
    </w:p>
    <w:p w:rsidR="0023128A" w:rsidRDefault="0023128A" w:rsidP="008F55B6">
      <w:pPr>
        <w:jc w:val="left"/>
        <w:outlineLvl w:val="9"/>
      </w:pPr>
      <w:r>
        <w:t>return ParamIndex(theta=theta, gamma=gamma, beta=beta)</w:t>
      </w:r>
    </w:p>
    <w:p w:rsidR="0023128A" w:rsidRDefault="0023128A" w:rsidP="008F55B6">
      <w:pPr>
        <w:jc w:val="left"/>
        <w:outlineLvl w:val="9"/>
      </w:pPr>
    </w:p>
    <w:p w:rsidR="0023128A" w:rsidRDefault="0023128A" w:rsidP="008F55B6">
      <w:pPr>
        <w:jc w:val="left"/>
        <w:outlineLvl w:val="9"/>
      </w:pPr>
      <w:r>
        <w:t>class QPh4Model:</w:t>
      </w:r>
    </w:p>
    <w:p w:rsidR="0023128A" w:rsidRDefault="0023128A" w:rsidP="008F55B6">
      <w:pPr>
        <w:jc w:val="left"/>
        <w:outlineLvl w:val="9"/>
      </w:pPr>
      <w:r>
        <w:t>def __init__(self, qcirc_builder, W: np.ndarray, n_features: int = 5, p_qaoa: int = 1, depth_pqc: int = 2, seed: int = 7):</w:t>
      </w:r>
    </w:p>
    <w:p w:rsidR="0023128A" w:rsidRDefault="0023128A" w:rsidP="008F55B6">
      <w:pPr>
        <w:jc w:val="left"/>
        <w:outlineLvl w:val="9"/>
      </w:pPr>
      <w:r>
        <w:t>self.seed = seed</w:t>
      </w:r>
    </w:p>
    <w:p w:rsidR="0023128A" w:rsidRDefault="0023128A" w:rsidP="008F55B6">
      <w:pPr>
        <w:jc w:val="left"/>
        <w:outlineLvl w:val="9"/>
      </w:pPr>
      <w:r>
        <w:t>self.qc_template = qcirc_builder(adj_mat=W, n_feat=n_features, p_qaoa=p_qaoa, depth_pqc=depth_pqc,</w:t>
      </w:r>
    </w:p>
    <w:p w:rsidR="0023128A" w:rsidRDefault="0023128A" w:rsidP="008F55B6">
      <w:pPr>
        <w:jc w:val="left"/>
        <w:outlineLvl w:val="9"/>
      </w:pPr>
      <w:r>
        <w:t>lambda_ph4=0.4, lambda_curv=0.35, readout_qubits=1)</w:t>
      </w:r>
    </w:p>
    <w:p w:rsidR="0023128A" w:rsidRDefault="0023128A" w:rsidP="008F55B6">
      <w:pPr>
        <w:jc w:val="left"/>
        <w:outlineLvl w:val="9"/>
      </w:pPr>
      <w:r>
        <w:t>self.pindex = collect_param_names(self.qc_template)</w:t>
      </w:r>
    </w:p>
    <w:p w:rsidR="0023128A" w:rsidRDefault="0023128A" w:rsidP="008F55B6">
      <w:pPr>
        <w:jc w:val="left"/>
        <w:outlineLvl w:val="9"/>
      </w:pPr>
      <w:r>
        <w:t>if not _HAS_AER:</w:t>
      </w:r>
    </w:p>
    <w:p w:rsidR="0023128A" w:rsidRDefault="0023128A" w:rsidP="008F55B6">
      <w:pPr>
        <w:jc w:val="left"/>
        <w:outlineLvl w:val="9"/>
      </w:pPr>
      <w:r>
        <w:t>raise RuntimeError("qiskit-aer is required for training.")</w:t>
      </w:r>
    </w:p>
    <w:p w:rsidR="0023128A" w:rsidRDefault="0023128A" w:rsidP="008F55B6">
      <w:pPr>
        <w:jc w:val="left"/>
        <w:outlineLvl w:val="9"/>
      </w:pPr>
      <w:r>
        <w:t>self.sim = AerSimulator(seed_simulator=seed)</w:t>
      </w:r>
    </w:p>
    <w:p w:rsidR="0023128A" w:rsidRDefault="0023128A" w:rsidP="008F55B6">
      <w:pPr>
        <w:jc w:val="left"/>
        <w:outlineLvl w:val="9"/>
      </w:pPr>
      <w:r>
        <w:t>self.a = 1.0; self.b = 0.0</w:t>
      </w:r>
    </w:p>
    <w:p w:rsidR="0023128A" w:rsidRDefault="0023128A" w:rsidP="008F55B6">
      <w:pPr>
        <w:jc w:val="left"/>
        <w:outlineLvl w:val="9"/>
      </w:pPr>
      <w:r>
        <w:t>rng = np.random.default_rng(seed)</w:t>
      </w:r>
    </w:p>
    <w:p w:rsidR="0023128A" w:rsidRDefault="0023128A" w:rsidP="008F55B6">
      <w:pPr>
        <w:jc w:val="left"/>
        <w:outlineLvl w:val="9"/>
      </w:pPr>
      <w:r>
        <w:t>self.theta = rng.normal(0, 0.15, size=len(self.pindex.theta))</w:t>
      </w:r>
    </w:p>
    <w:p w:rsidR="0023128A" w:rsidRDefault="0023128A" w:rsidP="008F55B6">
      <w:pPr>
        <w:jc w:val="left"/>
        <w:outlineLvl w:val="9"/>
      </w:pPr>
      <w:r>
        <w:t>self.gamma = rng.uniform(0, math.pi, size=len(self.pindex.gamma))</w:t>
      </w:r>
    </w:p>
    <w:p w:rsidR="0023128A" w:rsidRDefault="0023128A" w:rsidP="008F55B6">
      <w:pPr>
        <w:jc w:val="left"/>
        <w:outlineLvl w:val="9"/>
      </w:pPr>
      <w:r>
        <w:t>self.beta</w:t>
      </w:r>
      <w:r w:rsidR="00496063">
        <w:t xml:space="preserve"> </w:t>
      </w:r>
      <w:r>
        <w:t>= rng.uniform(0, math.pi, size=len(self.pindex.beta))</w:t>
      </w:r>
    </w:p>
    <w:p w:rsidR="0023128A" w:rsidRDefault="0023128A" w:rsidP="008F55B6">
      <w:pPr>
        <w:jc w:val="left"/>
        <w:outlineLvl w:val="9"/>
      </w:pPr>
    </w:p>
    <w:p w:rsidR="0023128A" w:rsidRDefault="0023128A" w:rsidP="008F55B6">
      <w:pPr>
        <w:jc w:val="left"/>
        <w:outlineLvl w:val="9"/>
      </w:pPr>
      <w:r>
        <w:t>def _bind_for_sample(self, s: Sample, theta: np.ndarray, gamma: np.ndarray, beta: np.ndarray):</w:t>
      </w:r>
    </w:p>
    <w:p w:rsidR="0023128A" w:rsidRDefault="0023128A" w:rsidP="008F55B6">
      <w:pPr>
        <w:jc w:val="left"/>
        <w:outlineLvl w:val="9"/>
      </w:pPr>
      <w:r>
        <w:t>bind = {}</w:t>
      </w:r>
    </w:p>
    <w:p w:rsidR="0023128A" w:rsidRDefault="0023128A" w:rsidP="008F55B6">
      <w:pPr>
        <w:jc w:val="left"/>
        <w:outlineLvl w:val="9"/>
      </w:pPr>
      <w:r>
        <w:t>for i, v in enumerate(s.x): bind[f"x[{i}]"] = float(v)</w:t>
      </w:r>
    </w:p>
    <w:p w:rsidR="0023128A" w:rsidRDefault="0023128A" w:rsidP="008F55B6">
      <w:pPr>
        <w:jc w:val="left"/>
        <w:outlineLvl w:val="9"/>
      </w:pPr>
      <w:r>
        <w:t>for i, v in enumerate(s.m): bind[f"m[{i}]"] = float(v)</w:t>
      </w:r>
    </w:p>
    <w:p w:rsidR="0023128A" w:rsidRDefault="0023128A" w:rsidP="008F55B6">
      <w:pPr>
        <w:jc w:val="left"/>
        <w:outlineLvl w:val="9"/>
      </w:pPr>
      <w:r>
        <w:t>for i, v in enumerate(s.k): bind[f"k[{i}]"] = float(v)</w:t>
      </w:r>
    </w:p>
    <w:p w:rsidR="0023128A" w:rsidRDefault="0023128A" w:rsidP="008F55B6">
      <w:pPr>
        <w:jc w:val="left"/>
        <w:outlineLvl w:val="9"/>
      </w:pPr>
      <w:r>
        <w:t>for i, v in enumerate(theta): bind[self.pindex.theta[i]] = float(v)</w:t>
      </w:r>
    </w:p>
    <w:p w:rsidR="0023128A" w:rsidRDefault="0023128A" w:rsidP="008F55B6">
      <w:pPr>
        <w:jc w:val="left"/>
        <w:outlineLvl w:val="9"/>
      </w:pPr>
      <w:r>
        <w:t>for i, v in enumerate(gamma): bind[self.pindex.gamma[i]] = float(v)</w:t>
      </w:r>
    </w:p>
    <w:p w:rsidR="0023128A" w:rsidRDefault="0023128A" w:rsidP="008F55B6">
      <w:pPr>
        <w:jc w:val="left"/>
        <w:outlineLvl w:val="9"/>
      </w:pPr>
      <w:r>
        <w:t>for i, v in enumerate(beta):</w:t>
      </w:r>
      <w:r w:rsidR="00496063">
        <w:t xml:space="preserve"> </w:t>
      </w:r>
      <w:r>
        <w:t>bind[self.pindex.beta[i]]</w:t>
      </w:r>
      <w:r w:rsidR="00496063">
        <w:t xml:space="preserve"> </w:t>
      </w:r>
      <w:r>
        <w:t>= float(v)</w:t>
      </w:r>
    </w:p>
    <w:p w:rsidR="0023128A" w:rsidRDefault="0023128A" w:rsidP="008F55B6">
      <w:pPr>
        <w:jc w:val="left"/>
        <w:outlineLvl w:val="9"/>
      </w:pPr>
      <w:r>
        <w:t>return bind</w:t>
      </w:r>
    </w:p>
    <w:p w:rsidR="0023128A" w:rsidRDefault="0023128A" w:rsidP="008F55B6">
      <w:pPr>
        <w:jc w:val="left"/>
        <w:outlineLvl w:val="9"/>
      </w:pPr>
    </w:p>
    <w:p w:rsidR="0023128A" w:rsidRDefault="0023128A" w:rsidP="008F55B6">
      <w:pPr>
        <w:jc w:val="left"/>
        <w:outlineLvl w:val="9"/>
      </w:pPr>
      <w:r>
        <w:t>def predict_Z(self, samples: List[Sample], shots: int = 1024) -&gt; np.ndarray:</w:t>
      </w:r>
    </w:p>
    <w:p w:rsidR="0023128A" w:rsidRDefault="0023128A" w:rsidP="008F55B6">
      <w:pPr>
        <w:jc w:val="left"/>
        <w:outlineLvl w:val="9"/>
      </w:pPr>
      <w:r>
        <w:t>Z = []</w:t>
      </w:r>
    </w:p>
    <w:p w:rsidR="0023128A" w:rsidRDefault="0023128A" w:rsidP="008F55B6">
      <w:pPr>
        <w:jc w:val="left"/>
        <w:outlineLvl w:val="9"/>
      </w:pPr>
      <w:r>
        <w:t>for s in samples:</w:t>
      </w:r>
    </w:p>
    <w:p w:rsidR="0023128A" w:rsidRDefault="0023128A" w:rsidP="008F55B6">
      <w:pPr>
        <w:jc w:val="left"/>
        <w:outlineLvl w:val="9"/>
      </w:pPr>
      <w:r>
        <w:t>qc_b = self.qc_template.assign_parameters(self._bind_for_sample(s, self.theta, self.gamma, self.beta), inplace=False)</w:t>
      </w:r>
    </w:p>
    <w:p w:rsidR="0023128A" w:rsidRDefault="0023128A" w:rsidP="008F55B6">
      <w:pPr>
        <w:jc w:val="left"/>
        <w:outlineLvl w:val="9"/>
      </w:pPr>
      <w:r>
        <w:t>tcirc = transpile(qc_b, self.sim, optimization_level=1, seed_transpiler=self.seed)</w:t>
      </w:r>
    </w:p>
    <w:p w:rsidR="0023128A" w:rsidRDefault="0023128A" w:rsidP="008F55B6">
      <w:pPr>
        <w:jc w:val="left"/>
        <w:outlineLvl w:val="9"/>
      </w:pPr>
      <w:r>
        <w:t>result = self.sim.run(tcirc, shots=shots).result()</w:t>
      </w:r>
    </w:p>
    <w:p w:rsidR="0023128A" w:rsidRDefault="0023128A" w:rsidP="008F55B6">
      <w:pPr>
        <w:jc w:val="left"/>
        <w:outlineLvl w:val="9"/>
      </w:pPr>
      <w:r>
        <w:t>counts = result.get_counts()</w:t>
      </w:r>
    </w:p>
    <w:p w:rsidR="0023128A" w:rsidRDefault="0023128A" w:rsidP="008F55B6">
      <w:pPr>
        <w:jc w:val="left"/>
        <w:outlineLvl w:val="9"/>
      </w:pPr>
      <w:r>
        <w:t>p0 = counts.get('0', 0)/shots</w:t>
      </w:r>
    </w:p>
    <w:p w:rsidR="0023128A" w:rsidRDefault="0023128A" w:rsidP="008F55B6">
      <w:pPr>
        <w:jc w:val="left"/>
        <w:outlineLvl w:val="9"/>
      </w:pPr>
      <w:r>
        <w:t>p1 = counts.get('1', 0)/shots</w:t>
      </w:r>
    </w:p>
    <w:p w:rsidR="0023128A" w:rsidRDefault="0023128A" w:rsidP="008F55B6">
      <w:pPr>
        <w:jc w:val="left"/>
        <w:outlineLvl w:val="9"/>
      </w:pPr>
      <w:r>
        <w:t>Z.append(p0 - p1)</w:t>
      </w:r>
    </w:p>
    <w:p w:rsidR="0023128A" w:rsidRDefault="0023128A" w:rsidP="008F55B6">
      <w:pPr>
        <w:jc w:val="left"/>
        <w:outlineLvl w:val="9"/>
      </w:pPr>
      <w:r>
        <w:t>return np.asarray(Z, dtype=float)</w:t>
      </w:r>
    </w:p>
    <w:p w:rsidR="0023128A" w:rsidRDefault="0023128A" w:rsidP="008F55B6">
      <w:pPr>
        <w:jc w:val="left"/>
        <w:outlineLvl w:val="9"/>
      </w:pPr>
    </w:p>
    <w:p w:rsidR="0023128A" w:rsidRDefault="0023128A" w:rsidP="008F55B6">
      <w:pPr>
        <w:jc w:val="left"/>
        <w:outlineLvl w:val="9"/>
      </w:pPr>
      <w:r>
        <w:t>def predict(self, samples: List[Sample], shots: int = 1024) -&gt; np.ndarray:</w:t>
      </w:r>
    </w:p>
    <w:p w:rsidR="0023128A" w:rsidRDefault="0023128A" w:rsidP="008F55B6">
      <w:pPr>
        <w:jc w:val="left"/>
        <w:outlineLvl w:val="9"/>
      </w:pPr>
      <w:r>
        <w:t>Z = self.predict_Z(samples, shots=shots)</w:t>
      </w:r>
    </w:p>
    <w:p w:rsidR="0023128A" w:rsidRDefault="0023128A" w:rsidP="008F55B6">
      <w:pPr>
        <w:jc w:val="left"/>
        <w:outlineLvl w:val="9"/>
      </w:pPr>
      <w:r>
        <w:t>return self.a * Z + self.b</w:t>
      </w:r>
    </w:p>
    <w:p w:rsidR="0023128A" w:rsidRDefault="0023128A" w:rsidP="008F55B6">
      <w:pPr>
        <w:jc w:val="left"/>
        <w:outlineLvl w:val="9"/>
      </w:pPr>
    </w:p>
    <w:p w:rsidR="0023128A" w:rsidRDefault="0023128A" w:rsidP="008F55B6">
      <w:pPr>
        <w:jc w:val="left"/>
        <w:outlineLvl w:val="9"/>
      </w:pPr>
      <w:r>
        <w:t>def num_params(self) -&gt; int:</w:t>
      </w:r>
    </w:p>
    <w:p w:rsidR="0023128A" w:rsidRDefault="0023128A" w:rsidP="008F55B6">
      <w:pPr>
        <w:jc w:val="left"/>
        <w:outlineLvl w:val="9"/>
      </w:pPr>
      <w:r>
        <w:t>return len(self.theta) + len(self.gamma) + len(self.beta) + 2</w:t>
      </w:r>
    </w:p>
    <w:p w:rsidR="0023128A" w:rsidRDefault="0023128A" w:rsidP="008F55B6">
      <w:pPr>
        <w:jc w:val="left"/>
        <w:outlineLvl w:val="9"/>
      </w:pPr>
    </w:p>
    <w:p w:rsidR="0023128A" w:rsidRDefault="0023128A" w:rsidP="008F55B6">
      <w:pPr>
        <w:jc w:val="left"/>
        <w:outlineLvl w:val="9"/>
      </w:pPr>
      <w:r>
        <w:t>def vector(self) -&gt; np.ndarray:</w:t>
      </w:r>
    </w:p>
    <w:p w:rsidR="0023128A" w:rsidRDefault="0023128A" w:rsidP="008F55B6">
      <w:pPr>
        <w:jc w:val="left"/>
        <w:outlineLvl w:val="9"/>
      </w:pPr>
      <w:r>
        <w:t>return np.concatenate([self.theta, self.gamma, self.beta, np.array([self.a, self.b])])</w:t>
      </w:r>
    </w:p>
    <w:p w:rsidR="0023128A" w:rsidRDefault="0023128A" w:rsidP="008F55B6">
      <w:pPr>
        <w:jc w:val="left"/>
        <w:outlineLvl w:val="9"/>
      </w:pPr>
    </w:p>
    <w:p w:rsidR="0023128A" w:rsidRDefault="0023128A" w:rsidP="008F55B6">
      <w:pPr>
        <w:jc w:val="left"/>
        <w:outlineLvl w:val="9"/>
      </w:pPr>
      <w:r>
        <w:t>def set_vector(self, vec: np.ndarray):</w:t>
      </w:r>
    </w:p>
    <w:p w:rsidR="0023128A" w:rsidRDefault="0023128A" w:rsidP="008F55B6">
      <w:pPr>
        <w:jc w:val="left"/>
        <w:outlineLvl w:val="9"/>
      </w:pPr>
      <w:r>
        <w:t>nθ = len(self.theta); nγ = len(self.gamma); nβ = len(self.beta)</w:t>
      </w:r>
    </w:p>
    <w:p w:rsidR="0023128A" w:rsidRDefault="0023128A" w:rsidP="008F55B6">
      <w:pPr>
        <w:jc w:val="left"/>
        <w:outlineLvl w:val="9"/>
      </w:pPr>
      <w:r>
        <w:t>self.theta = vec[:nθ].copy()</w:t>
      </w:r>
    </w:p>
    <w:p w:rsidR="0023128A" w:rsidRDefault="0023128A" w:rsidP="008F55B6">
      <w:pPr>
        <w:jc w:val="left"/>
        <w:outlineLvl w:val="9"/>
      </w:pPr>
      <w:r>
        <w:t>self.gamma = vec[nθ:nθ+nγ].copy()</w:t>
      </w:r>
    </w:p>
    <w:p w:rsidR="0023128A" w:rsidRDefault="0023128A" w:rsidP="008F55B6">
      <w:pPr>
        <w:jc w:val="left"/>
        <w:outlineLvl w:val="9"/>
      </w:pPr>
      <w:r>
        <w:t>self.beta</w:t>
      </w:r>
      <w:r w:rsidR="00496063">
        <w:t xml:space="preserve"> </w:t>
      </w:r>
      <w:r>
        <w:t>= vec[nθ+nγ:nθ+nγ+nβ].copy()</w:t>
      </w:r>
    </w:p>
    <w:p w:rsidR="0023128A" w:rsidRDefault="0023128A" w:rsidP="008F55B6">
      <w:pPr>
        <w:jc w:val="left"/>
        <w:outlineLvl w:val="9"/>
      </w:pPr>
      <w:r>
        <w:t>self.a, self.b = vec[-2], vec[-1]</w:t>
      </w:r>
    </w:p>
    <w:p w:rsidR="0023128A" w:rsidRDefault="0023128A" w:rsidP="008F55B6">
      <w:pPr>
        <w:jc w:val="left"/>
        <w:outlineLvl w:val="9"/>
      </w:pPr>
    </w:p>
    <w:p w:rsidR="0023128A" w:rsidRDefault="0023128A" w:rsidP="008F55B6">
      <w:pPr>
        <w:jc w:val="left"/>
        <w:outlineLvl w:val="9"/>
      </w:pPr>
      <w:r>
        <w:t>@dataclass</w:t>
      </w:r>
    </w:p>
    <w:p w:rsidR="0023128A" w:rsidRDefault="0023128A" w:rsidP="008F55B6">
      <w:pPr>
        <w:jc w:val="left"/>
        <w:outlineLvl w:val="9"/>
      </w:pPr>
      <w:r>
        <w:t>class SPSAConfig:</w:t>
      </w:r>
    </w:p>
    <w:p w:rsidR="0023128A" w:rsidRDefault="0023128A" w:rsidP="008F55B6">
      <w:pPr>
        <w:jc w:val="left"/>
        <w:outlineLvl w:val="9"/>
      </w:pPr>
      <w:r>
        <w:t>steps: int = 150</w:t>
      </w:r>
    </w:p>
    <w:p w:rsidR="0023128A" w:rsidRDefault="0023128A" w:rsidP="008F55B6">
      <w:pPr>
        <w:jc w:val="left"/>
        <w:outlineLvl w:val="9"/>
      </w:pPr>
      <w:r>
        <w:t>a: float = 0.2</w:t>
      </w:r>
    </w:p>
    <w:p w:rsidR="0023128A" w:rsidRDefault="0023128A" w:rsidP="008F55B6">
      <w:pPr>
        <w:jc w:val="left"/>
        <w:outlineLvl w:val="9"/>
      </w:pPr>
      <w:r>
        <w:t>c: float = 0.1</w:t>
      </w:r>
    </w:p>
    <w:p w:rsidR="0023128A" w:rsidRDefault="0023128A" w:rsidP="008F55B6">
      <w:pPr>
        <w:jc w:val="left"/>
        <w:outlineLvl w:val="9"/>
      </w:pPr>
      <w:r>
        <w:t>A: float = 20.0</w:t>
      </w:r>
    </w:p>
    <w:p w:rsidR="0023128A" w:rsidRDefault="0023128A" w:rsidP="008F55B6">
      <w:pPr>
        <w:jc w:val="left"/>
        <w:outlineLvl w:val="9"/>
      </w:pPr>
      <w:r>
        <w:t>alpha: float = 0.602</w:t>
      </w:r>
    </w:p>
    <w:p w:rsidR="0023128A" w:rsidRDefault="0023128A" w:rsidP="008F55B6">
      <w:pPr>
        <w:jc w:val="left"/>
        <w:outlineLvl w:val="9"/>
      </w:pPr>
      <w:r>
        <w:t>gamma: float = 0.101</w:t>
      </w:r>
    </w:p>
    <w:p w:rsidR="0023128A" w:rsidRDefault="0023128A" w:rsidP="008F55B6">
      <w:pPr>
        <w:jc w:val="left"/>
        <w:outlineLvl w:val="9"/>
      </w:pPr>
      <w:r>
        <w:t>noise_avgs: int = 1</w:t>
      </w:r>
    </w:p>
    <w:p w:rsidR="0023128A" w:rsidRDefault="0023128A" w:rsidP="008F55B6">
      <w:pPr>
        <w:jc w:val="left"/>
        <w:outlineLvl w:val="9"/>
      </w:pPr>
      <w:r>
        <w:t>shots: int = 1024</w:t>
      </w:r>
    </w:p>
    <w:p w:rsidR="0023128A" w:rsidRDefault="0023128A" w:rsidP="008F55B6">
      <w:pPr>
        <w:jc w:val="left"/>
        <w:outlineLvl w:val="9"/>
      </w:pPr>
      <w:r>
        <w:t>seed: int = 7</w:t>
      </w:r>
    </w:p>
    <w:p w:rsidR="0023128A" w:rsidRDefault="0023128A" w:rsidP="008F55B6">
      <w:pPr>
        <w:jc w:val="left"/>
        <w:outlineLvl w:val="9"/>
      </w:pPr>
    </w:p>
    <w:p w:rsidR="0023128A" w:rsidRDefault="0023128A" w:rsidP="008F55B6">
      <w:pPr>
        <w:jc w:val="left"/>
        <w:outlineLvl w:val="9"/>
      </w:pPr>
      <w:r>
        <w:t>def spsa_train(model: QPh4Model, train_samples: List[Sample], val_samples: List[Sample], cfg: SPSAConfig) -&gt; Dict[str, float]:</w:t>
      </w:r>
    </w:p>
    <w:p w:rsidR="0023128A" w:rsidRDefault="0023128A" w:rsidP="008F55B6">
      <w:pPr>
        <w:jc w:val="left"/>
        <w:outlineLvl w:val="9"/>
      </w:pPr>
      <w:r>
        <w:t>rng = np.random.default_rng(cfg.seed)</w:t>
      </w:r>
    </w:p>
    <w:p w:rsidR="0023128A" w:rsidRDefault="0023128A" w:rsidP="008F55B6">
      <w:pPr>
        <w:jc w:val="left"/>
        <w:outlineLvl w:val="9"/>
      </w:pPr>
      <w:r>
        <w:t>w = model.vector()</w:t>
      </w:r>
    </w:p>
    <w:p w:rsidR="0023128A" w:rsidRDefault="0023128A" w:rsidP="008F55B6">
      <w:pPr>
        <w:jc w:val="left"/>
        <w:outlineLvl w:val="9"/>
      </w:pPr>
      <w:r>
        <w:t>dim = w.size</w:t>
      </w:r>
    </w:p>
    <w:p w:rsidR="0023128A" w:rsidRDefault="0023128A" w:rsidP="008F55B6">
      <w:pPr>
        <w:jc w:val="left"/>
        <w:outlineLvl w:val="9"/>
      </w:pPr>
      <w:r>
        <w:t>scale = np.maximum(np.abs(w), 0.1)</w:t>
      </w:r>
    </w:p>
    <w:p w:rsidR="0023128A" w:rsidRDefault="0023128A" w:rsidP="008F55B6">
      <w:pPr>
        <w:jc w:val="left"/>
        <w:outlineLvl w:val="9"/>
      </w:pPr>
    </w:p>
    <w:p w:rsidR="0023128A" w:rsidRDefault="0023128A" w:rsidP="008F55B6">
      <w:pPr>
        <w:jc w:val="left"/>
        <w:outlineLvl w:val="9"/>
      </w:pPr>
      <w:r>
        <w:t>def loss(vec: np.ndarray, samples: List[Sample]) -&gt; float:</w:t>
      </w:r>
    </w:p>
    <w:p w:rsidR="0023128A" w:rsidRDefault="0023128A" w:rsidP="008F55B6">
      <w:pPr>
        <w:jc w:val="left"/>
        <w:outlineLvl w:val="9"/>
      </w:pPr>
      <w:r>
        <w:t>model.set_vector(vec)</w:t>
      </w:r>
    </w:p>
    <w:p w:rsidR="0023128A" w:rsidRDefault="0023128A" w:rsidP="008F55B6">
      <w:pPr>
        <w:jc w:val="left"/>
        <w:outlineLvl w:val="9"/>
      </w:pPr>
      <w:r>
        <w:t>y_hat = model.predict(samples, shots=cfg.shots)</w:t>
      </w:r>
    </w:p>
    <w:p w:rsidR="0023128A" w:rsidRDefault="0023128A" w:rsidP="008F55B6">
      <w:pPr>
        <w:jc w:val="left"/>
        <w:outlineLvl w:val="9"/>
      </w:pPr>
      <w:r>
        <w:t>y_true = np.array([s.y for s in samples], dtype=float)</w:t>
      </w:r>
    </w:p>
    <w:p w:rsidR="0023128A" w:rsidRDefault="0023128A" w:rsidP="008F55B6">
      <w:pPr>
        <w:jc w:val="left"/>
        <w:outlineLvl w:val="9"/>
      </w:pPr>
      <w:r>
        <w:t>return float(np.mean((y_true - y_hat) ** 2))</w:t>
      </w:r>
    </w:p>
    <w:p w:rsidR="0023128A" w:rsidRDefault="0023128A" w:rsidP="008F55B6">
      <w:pPr>
        <w:jc w:val="left"/>
        <w:outlineLvl w:val="9"/>
      </w:pPr>
    </w:p>
    <w:p w:rsidR="0023128A" w:rsidRDefault="0023128A" w:rsidP="008F55B6">
      <w:pPr>
        <w:jc w:val="left"/>
        <w:outlineLvl w:val="9"/>
      </w:pPr>
      <w:r>
        <w:t>for k in range(1, cfg.steps + 1):</w:t>
      </w:r>
    </w:p>
    <w:p w:rsidR="0023128A" w:rsidRDefault="0023128A" w:rsidP="008F55B6">
      <w:pPr>
        <w:jc w:val="left"/>
        <w:outlineLvl w:val="9"/>
      </w:pPr>
      <w:r>
        <w:t>ak = cfg.a / ((k + cfg.A) ** cfg.alpha)</w:t>
      </w:r>
    </w:p>
    <w:p w:rsidR="0023128A" w:rsidRDefault="0023128A" w:rsidP="008F55B6">
      <w:pPr>
        <w:jc w:val="left"/>
        <w:outlineLvl w:val="9"/>
      </w:pPr>
      <w:r>
        <w:t>ck = cfg.c / (k ** cfg.gamma)</w:t>
      </w:r>
    </w:p>
    <w:p w:rsidR="0023128A" w:rsidRDefault="0023128A" w:rsidP="008F55B6">
      <w:pPr>
        <w:jc w:val="left"/>
        <w:outlineLvl w:val="9"/>
      </w:pPr>
      <w:r>
        <w:t>delta = rng.choice([-1.0, 1.0], size=dim)</w:t>
      </w:r>
    </w:p>
    <w:p w:rsidR="0023128A" w:rsidRDefault="0023128A" w:rsidP="008F55B6">
      <w:pPr>
        <w:jc w:val="left"/>
        <w:outlineLvl w:val="9"/>
      </w:pPr>
      <w:r>
        <w:t>pert</w:t>
      </w:r>
      <w:r w:rsidR="00496063">
        <w:t xml:space="preserve"> </w:t>
      </w:r>
      <w:r>
        <w:t>= ck * delta * scale</w:t>
      </w:r>
    </w:p>
    <w:p w:rsidR="0023128A" w:rsidRDefault="0023128A" w:rsidP="008F55B6">
      <w:pPr>
        <w:jc w:val="left"/>
        <w:outlineLvl w:val="9"/>
      </w:pPr>
    </w:p>
    <w:p w:rsidR="0023128A" w:rsidRDefault="0023128A" w:rsidP="008F55B6">
      <w:pPr>
        <w:jc w:val="left"/>
        <w:outlineLvl w:val="9"/>
      </w:pPr>
      <w:r>
        <w:t>w_plus</w:t>
      </w:r>
      <w:r w:rsidR="00496063">
        <w:t xml:space="preserve"> </w:t>
      </w:r>
      <w:r>
        <w:t>= w + pert</w:t>
      </w:r>
    </w:p>
    <w:p w:rsidR="0023128A" w:rsidRDefault="0023128A" w:rsidP="008F55B6">
      <w:pPr>
        <w:jc w:val="left"/>
        <w:outlineLvl w:val="9"/>
      </w:pPr>
      <w:r>
        <w:t>w_minus = w - pert</w:t>
      </w:r>
    </w:p>
    <w:p w:rsidR="0023128A" w:rsidRDefault="0023128A" w:rsidP="008F55B6">
      <w:pPr>
        <w:jc w:val="left"/>
        <w:outlineLvl w:val="9"/>
      </w:pPr>
    </w:p>
    <w:p w:rsidR="0023128A" w:rsidRDefault="0023128A" w:rsidP="008F55B6">
      <w:pPr>
        <w:jc w:val="left"/>
        <w:outlineLvl w:val="9"/>
      </w:pPr>
      <w:r>
        <w:t>Lp = 0.0; Lm = 0.0</w:t>
      </w:r>
    </w:p>
    <w:p w:rsidR="0023128A" w:rsidRDefault="0023128A" w:rsidP="008F55B6">
      <w:pPr>
        <w:jc w:val="left"/>
        <w:outlineLvl w:val="9"/>
      </w:pPr>
      <w:r>
        <w:t>for _ in range(cfg.noise_avgs):</w:t>
      </w:r>
    </w:p>
    <w:p w:rsidR="0023128A" w:rsidRDefault="0023128A" w:rsidP="008F55B6">
      <w:pPr>
        <w:jc w:val="left"/>
        <w:outlineLvl w:val="9"/>
      </w:pPr>
      <w:r>
        <w:t>Lp += loss(w_plus,</w:t>
      </w:r>
      <w:r w:rsidR="00496063">
        <w:t xml:space="preserve"> </w:t>
      </w:r>
      <w:r>
        <w:t>train_samples)</w:t>
      </w:r>
    </w:p>
    <w:p w:rsidR="0023128A" w:rsidRDefault="0023128A" w:rsidP="008F55B6">
      <w:pPr>
        <w:jc w:val="left"/>
        <w:outlineLvl w:val="9"/>
      </w:pPr>
      <w:r>
        <w:t>Lm += loss(w_minus, train_samples)</w:t>
      </w:r>
    </w:p>
    <w:p w:rsidR="0023128A" w:rsidRDefault="0023128A" w:rsidP="008F55B6">
      <w:pPr>
        <w:jc w:val="left"/>
        <w:outlineLvl w:val="9"/>
      </w:pPr>
      <w:r>
        <w:t>Lp /= cfg.noise_avgs; Lm /= cfg.noise_avgs</w:t>
      </w:r>
    </w:p>
    <w:p w:rsidR="0023128A" w:rsidRDefault="0023128A" w:rsidP="008F55B6">
      <w:pPr>
        <w:jc w:val="left"/>
        <w:outlineLvl w:val="9"/>
      </w:pPr>
    </w:p>
    <w:p w:rsidR="0023128A" w:rsidRDefault="0023128A" w:rsidP="008F55B6">
      <w:pPr>
        <w:jc w:val="left"/>
        <w:outlineLvl w:val="9"/>
      </w:pPr>
      <w:r>
        <w:t>gk = (Lp - Lm) / (2.0 * pert)</w:t>
      </w:r>
    </w:p>
    <w:p w:rsidR="0023128A" w:rsidRDefault="0023128A" w:rsidP="008F55B6">
      <w:pPr>
        <w:jc w:val="left"/>
        <w:outlineLvl w:val="9"/>
      </w:pPr>
      <w:r>
        <w:t>w</w:t>
      </w:r>
      <w:r w:rsidR="00496063">
        <w:t xml:space="preserve"> </w:t>
      </w:r>
      <w:r>
        <w:t>= w - ak * gk</w:t>
      </w:r>
    </w:p>
    <w:p w:rsidR="0023128A" w:rsidRDefault="0023128A" w:rsidP="008F55B6">
      <w:pPr>
        <w:jc w:val="left"/>
        <w:outlineLvl w:val="9"/>
      </w:pPr>
    </w:p>
    <w:p w:rsidR="0023128A" w:rsidRDefault="0023128A" w:rsidP="008F55B6">
      <w:pPr>
        <w:jc w:val="left"/>
        <w:outlineLvl w:val="9"/>
      </w:pPr>
      <w:r>
        <w:t># Project γ, β to [0, π]</w:t>
      </w:r>
    </w:p>
    <w:p w:rsidR="0023128A" w:rsidRDefault="0023128A" w:rsidP="008F55B6">
      <w:pPr>
        <w:jc w:val="left"/>
        <w:outlineLvl w:val="9"/>
      </w:pPr>
      <w:r>
        <w:t>nθ = len(model.theta); nγ = len(model.gamma); nβ = len(model.beta)</w:t>
      </w:r>
    </w:p>
    <w:p w:rsidR="0023128A" w:rsidRDefault="0023128A" w:rsidP="008F55B6">
      <w:pPr>
        <w:jc w:val="left"/>
        <w:outlineLvl w:val="9"/>
      </w:pPr>
      <w:r>
        <w:t>w[nθ:nθ+nγ]</w:t>
      </w:r>
      <w:r w:rsidR="00496063">
        <w:t xml:space="preserve"> </w:t>
      </w:r>
      <w:r>
        <w:t>= np.clip(w[nθ:nθ+nγ], 0.0, math.pi)</w:t>
      </w:r>
    </w:p>
    <w:p w:rsidR="0023128A" w:rsidRDefault="0023128A" w:rsidP="008F55B6">
      <w:pPr>
        <w:jc w:val="left"/>
        <w:outlineLvl w:val="9"/>
      </w:pPr>
      <w:r>
        <w:t>w[nθ+nγ:nθ+nγ+nβ]</w:t>
      </w:r>
      <w:r w:rsidR="00496063">
        <w:t xml:space="preserve"> </w:t>
      </w:r>
      <w:r>
        <w:t>= np.clip(w[nθ+nγ:nθ+nγ+nβ], 0.0, math.pi)</w:t>
      </w:r>
    </w:p>
    <w:p w:rsidR="0023128A" w:rsidRDefault="0023128A" w:rsidP="008F55B6">
      <w:pPr>
        <w:jc w:val="left"/>
        <w:outlineLvl w:val="9"/>
      </w:pPr>
    </w:p>
    <w:p w:rsidR="0023128A" w:rsidRDefault="0023128A" w:rsidP="008F55B6">
      <w:pPr>
        <w:jc w:val="left"/>
        <w:outlineLvl w:val="9"/>
      </w:pPr>
      <w:r>
        <w:t>scale = 0.99 * scale + 0.01 * np.maximum(np.abs(w), 0.1)</w:t>
      </w:r>
    </w:p>
    <w:p w:rsidR="0023128A" w:rsidRDefault="0023128A" w:rsidP="008F55B6">
      <w:pPr>
        <w:jc w:val="left"/>
        <w:outlineLvl w:val="9"/>
      </w:pPr>
    </w:p>
    <w:p w:rsidR="0023128A" w:rsidRDefault="0023128A" w:rsidP="008F55B6">
      <w:pPr>
        <w:jc w:val="left"/>
        <w:outlineLvl w:val="9"/>
      </w:pPr>
      <w:r>
        <w:t>if k % max(1, cfg.steps // 10) == 0 or k == 1:</w:t>
      </w:r>
    </w:p>
    <w:p w:rsidR="0023128A" w:rsidRDefault="0023128A" w:rsidP="008F55B6">
      <w:pPr>
        <w:jc w:val="left"/>
        <w:outlineLvl w:val="9"/>
      </w:pPr>
      <w:r>
        <w:t>Ltr = loss(w, train_samples)</w:t>
      </w:r>
    </w:p>
    <w:p w:rsidR="0023128A" w:rsidRDefault="0023128A" w:rsidP="008F55B6">
      <w:pPr>
        <w:jc w:val="left"/>
        <w:outlineLvl w:val="9"/>
      </w:pPr>
      <w:r>
        <w:t>Lv</w:t>
      </w:r>
      <w:r w:rsidR="00496063">
        <w:t xml:space="preserve"> </w:t>
      </w:r>
      <w:r>
        <w:t>= loss(w, val_samples)</w:t>
      </w:r>
    </w:p>
    <w:p w:rsidR="0023128A" w:rsidRDefault="0023128A" w:rsidP="008F55B6">
      <w:pPr>
        <w:jc w:val="left"/>
        <w:outlineLvl w:val="9"/>
      </w:pPr>
      <w:r>
        <w:t>print(f"[SPSA] step {k:4d}/{cfg.steps} train MSE={Ltr:.5f} val MSE={Lv:.5f}")</w:t>
      </w:r>
    </w:p>
    <w:p w:rsidR="0023128A" w:rsidRDefault="0023128A" w:rsidP="008F55B6">
      <w:pPr>
        <w:jc w:val="left"/>
        <w:outlineLvl w:val="9"/>
      </w:pPr>
    </w:p>
    <w:p w:rsidR="0023128A" w:rsidRDefault="0023128A" w:rsidP="008F55B6">
      <w:pPr>
        <w:jc w:val="left"/>
        <w:outlineLvl w:val="9"/>
      </w:pPr>
      <w:r>
        <w:t>model.set_vector(w)</w:t>
      </w:r>
    </w:p>
    <w:p w:rsidR="0023128A" w:rsidRDefault="0023128A" w:rsidP="008F55B6">
      <w:pPr>
        <w:jc w:val="left"/>
        <w:outlineLvl w:val="9"/>
      </w:pPr>
      <w:r>
        <w:t>y_tr_hat = model.predict(train_samples, shots=cfg.shots)</w:t>
      </w:r>
    </w:p>
    <w:p w:rsidR="0023128A" w:rsidRDefault="0023128A" w:rsidP="008F55B6">
      <w:pPr>
        <w:jc w:val="left"/>
        <w:outlineLvl w:val="9"/>
      </w:pPr>
      <w:r>
        <w:t>y_va_hat = model.predict(val_samples, shots=cfg.shots)</w:t>
      </w:r>
    </w:p>
    <w:p w:rsidR="0023128A" w:rsidRDefault="0023128A" w:rsidP="008F55B6">
      <w:pPr>
        <w:jc w:val="left"/>
        <w:outlineLvl w:val="9"/>
      </w:pPr>
      <w:r>
        <w:t>y_tr = np.array([s.y for s in train_samples])</w:t>
      </w:r>
    </w:p>
    <w:p w:rsidR="0023128A" w:rsidRDefault="0023128A" w:rsidP="008F55B6">
      <w:pPr>
        <w:jc w:val="left"/>
        <w:outlineLvl w:val="9"/>
      </w:pPr>
      <w:r>
        <w:t>y_va = np.array([s.y for s in val_samples])</w:t>
      </w:r>
    </w:p>
    <w:p w:rsidR="0023128A" w:rsidRDefault="0023128A" w:rsidP="008F55B6">
      <w:pPr>
        <w:jc w:val="left"/>
        <w:outlineLvl w:val="9"/>
      </w:pPr>
    </w:p>
    <w:p w:rsidR="0023128A" w:rsidRDefault="0023128A" w:rsidP="008F55B6">
      <w:pPr>
        <w:jc w:val="left"/>
        <w:outlineLvl w:val="9"/>
      </w:pPr>
      <w:r>
        <w:t>mse_tr, r2_tr = mse_r2(y_tr, y_tr_hat)</w:t>
      </w:r>
    </w:p>
    <w:p w:rsidR="0023128A" w:rsidRDefault="0023128A" w:rsidP="008F55B6">
      <w:pPr>
        <w:jc w:val="left"/>
        <w:outlineLvl w:val="9"/>
      </w:pPr>
      <w:r>
        <w:t>mse_va, r2_va = mse_r2(y_va, y_va_hat)</w:t>
      </w:r>
    </w:p>
    <w:p w:rsidR="0023128A" w:rsidRDefault="0023128A" w:rsidP="008F55B6">
      <w:pPr>
        <w:jc w:val="left"/>
        <w:outlineLvl w:val="9"/>
      </w:pPr>
      <w:r>
        <w:t>return {"mse_tr": mse_tr, "r2_tr": r2_tr, "mse_va": mse_va, "r2_va": r2_va}</w:t>
      </w:r>
    </w:p>
    <w:p w:rsidR="0023128A" w:rsidRDefault="0023128A" w:rsidP="008F55B6">
      <w:pPr>
        <w:jc w:val="left"/>
        <w:outlineLvl w:val="9"/>
      </w:pPr>
    </w:p>
    <w:p w:rsidR="0023128A" w:rsidRDefault="0023128A" w:rsidP="008F55B6">
      <w:pPr>
        <w:jc w:val="left"/>
        <w:outlineLvl w:val="9"/>
      </w:pPr>
      <w:r>
        <w:t>def demo_train(qcirc_builder,</w:t>
      </w:r>
    </w:p>
    <w:p w:rsidR="0023128A" w:rsidRDefault="0023128A" w:rsidP="008F55B6">
      <w:pPr>
        <w:jc w:val="left"/>
        <w:outlineLvl w:val="9"/>
      </w:pPr>
      <w:r>
        <w:t>targets_table: List[Tuple[str, str, float, str]],</w:t>
      </w:r>
    </w:p>
    <w:p w:rsidR="0023128A" w:rsidRDefault="0023128A" w:rsidP="008F55B6">
      <w:pPr>
        <w:jc w:val="left"/>
        <w:outlineLvl w:val="9"/>
      </w:pPr>
      <w:r>
        <w:t>seq_db: Dict[str, str],</w:t>
      </w:r>
    </w:p>
    <w:p w:rsidR="0023128A" w:rsidRDefault="0023128A" w:rsidP="008F55B6">
      <w:pPr>
        <w:jc w:val="left"/>
        <w:outlineLvl w:val="9"/>
      </w:pPr>
      <w:r>
        <w:t>shots: int = 1024,</w:t>
      </w:r>
    </w:p>
    <w:p w:rsidR="0023128A" w:rsidRDefault="0023128A" w:rsidP="008F55B6">
      <w:pPr>
        <w:jc w:val="left"/>
        <w:outlineLvl w:val="9"/>
      </w:pPr>
      <w:r>
        <w:t>steps: int = 150,</w:t>
      </w:r>
    </w:p>
    <w:p w:rsidR="0023128A" w:rsidRDefault="0023128A" w:rsidP="008F55B6">
      <w:pPr>
        <w:jc w:val="left"/>
        <w:outlineLvl w:val="9"/>
      </w:pPr>
      <w:r>
        <w:t>seed: int = 7):</w:t>
      </w:r>
    </w:p>
    <w:p w:rsidR="0023128A" w:rsidRDefault="0023128A" w:rsidP="008F55B6">
      <w:pPr>
        <w:jc w:val="left"/>
        <w:outlineLvl w:val="9"/>
      </w:pPr>
      <w:r>
        <w:t>targets = [TargetRow(*row) for row in targets_table]</w:t>
      </w:r>
    </w:p>
    <w:p w:rsidR="0023128A" w:rsidRDefault="0023128A" w:rsidP="008F55B6">
      <w:pPr>
        <w:jc w:val="left"/>
        <w:outlineLvl w:val="9"/>
      </w:pPr>
      <w:r>
        <w:t>feats</w:t>
      </w:r>
      <w:r w:rsidR="00496063">
        <w:t xml:space="preserve"> </w:t>
      </w:r>
      <w:r>
        <w:t>= build_feature_vectors(targets, seq_db)</w:t>
      </w:r>
    </w:p>
    <w:p w:rsidR="0023128A" w:rsidRDefault="0023128A" w:rsidP="008F55B6">
      <w:pPr>
        <w:jc w:val="left"/>
        <w:outlineLvl w:val="9"/>
      </w:pPr>
      <w:r>
        <w:t>samples = build_samples(feats)</w:t>
      </w:r>
    </w:p>
    <w:p w:rsidR="0023128A" w:rsidRDefault="0023128A" w:rsidP="008F55B6">
      <w:pPr>
        <w:jc w:val="left"/>
        <w:outlineLvl w:val="9"/>
      </w:pPr>
    </w:p>
    <w:p w:rsidR="0023128A" w:rsidRDefault="0023128A" w:rsidP="008F55B6">
      <w:pPr>
        <w:jc w:val="left"/>
        <w:outlineLvl w:val="9"/>
      </w:pPr>
      <w:r>
        <w:t>rng = np.random.default_rng(seed)</w:t>
      </w:r>
    </w:p>
    <w:p w:rsidR="0023128A" w:rsidRDefault="0023128A" w:rsidP="008F55B6">
      <w:pPr>
        <w:jc w:val="left"/>
        <w:outlineLvl w:val="9"/>
      </w:pPr>
      <w:r>
        <w:t>idx = np.arange(len(samples)); rng.shuffle(idx)</w:t>
      </w:r>
    </w:p>
    <w:p w:rsidR="0023128A" w:rsidRDefault="0023128A" w:rsidP="008F55B6">
      <w:pPr>
        <w:jc w:val="left"/>
        <w:outlineLvl w:val="9"/>
      </w:pPr>
      <w:r>
        <w:t>split = max(2, int(0.7 * len(samples)))</w:t>
      </w:r>
    </w:p>
    <w:p w:rsidR="0023128A" w:rsidRDefault="0023128A" w:rsidP="008F55B6">
      <w:pPr>
        <w:jc w:val="left"/>
        <w:outlineLvl w:val="9"/>
      </w:pPr>
      <w:r>
        <w:t>tr_idx, va_idx = idx[:split], idx[split:]</w:t>
      </w:r>
    </w:p>
    <w:p w:rsidR="0023128A" w:rsidRDefault="0023128A" w:rsidP="008F55B6">
      <w:pPr>
        <w:jc w:val="left"/>
        <w:outlineLvl w:val="9"/>
      </w:pPr>
      <w:r>
        <w:t>train_samples = [samples[i] for i in tr_idx]</w:t>
      </w:r>
    </w:p>
    <w:p w:rsidR="0023128A" w:rsidRDefault="0023128A" w:rsidP="008F55B6">
      <w:pPr>
        <w:jc w:val="left"/>
        <w:outlineLvl w:val="9"/>
      </w:pPr>
      <w:r>
        <w:t>val_samples</w:t>
      </w:r>
      <w:r w:rsidR="00496063">
        <w:t xml:space="preserve"> </w:t>
      </w:r>
      <w:r>
        <w:t>= [samples[i] for i in va_idx]</w:t>
      </w:r>
    </w:p>
    <w:p w:rsidR="0023128A" w:rsidRDefault="0023128A" w:rsidP="008F55B6">
      <w:pPr>
        <w:jc w:val="left"/>
        <w:outlineLvl w:val="9"/>
      </w:pPr>
    </w:p>
    <w:p w:rsidR="0023128A" w:rsidRDefault="0023128A" w:rsidP="008F55B6">
      <w:pPr>
        <w:jc w:val="left"/>
        <w:outlineLvl w:val="9"/>
      </w:pPr>
      <w:r>
        <w:t>W = peptidotype_similarity(targets, seq_db)</w:t>
      </w:r>
    </w:p>
    <w:p w:rsidR="0023128A" w:rsidRDefault="0023128A" w:rsidP="008F55B6">
      <w:pPr>
        <w:jc w:val="left"/>
        <w:outlineLvl w:val="9"/>
      </w:pPr>
    </w:p>
    <w:p w:rsidR="0023128A" w:rsidRDefault="0023128A" w:rsidP="008F55B6">
      <w:pPr>
        <w:jc w:val="left"/>
        <w:outlineLvl w:val="9"/>
      </w:pPr>
      <w:r>
        <w:t>model = QPh4Model(qcirc_builder, W, n_features=5, p_qaoa=1, depth_pqc=2, seed=seed)</w:t>
      </w:r>
    </w:p>
    <w:p w:rsidR="0023128A" w:rsidRDefault="0023128A" w:rsidP="008F55B6">
      <w:pPr>
        <w:jc w:val="left"/>
        <w:outlineLvl w:val="9"/>
      </w:pPr>
      <w:r>
        <w:t>cfg</w:t>
      </w:r>
      <w:r w:rsidR="00496063">
        <w:t xml:space="preserve"> </w:t>
      </w:r>
      <w:r>
        <w:t>= SPSAConfig(steps=steps, a=0.25, c=0.12, A=10.0, alpha=0.602, gamma=0.101,</w:t>
      </w:r>
    </w:p>
    <w:p w:rsidR="0023128A" w:rsidRDefault="0023128A" w:rsidP="008F55B6">
      <w:pPr>
        <w:jc w:val="left"/>
        <w:outlineLvl w:val="9"/>
      </w:pPr>
      <w:r>
        <w:t>noise_avgs=1, shots=shots, seed=seed)</w:t>
      </w:r>
    </w:p>
    <w:p w:rsidR="0023128A" w:rsidRDefault="0023128A" w:rsidP="008F55B6">
      <w:pPr>
        <w:jc w:val="left"/>
        <w:outlineLvl w:val="9"/>
      </w:pPr>
      <w:r>
        <w:t>metrics = spsa_train(model, train_samples, val_samples, cfg)</w:t>
      </w:r>
    </w:p>
    <w:p w:rsidR="0023128A" w:rsidRDefault="0023128A" w:rsidP="008F55B6">
      <w:pPr>
        <w:jc w:val="left"/>
        <w:outlineLvl w:val="9"/>
      </w:pPr>
    </w:p>
    <w:p w:rsidR="0023128A" w:rsidRDefault="0023128A" w:rsidP="008F55B6">
      <w:pPr>
        <w:jc w:val="left"/>
        <w:outlineLvl w:val="9"/>
      </w:pPr>
      <w:r>
        <w:t># Baselines</w:t>
      </w:r>
    </w:p>
    <w:p w:rsidR="0023128A" w:rsidRDefault="0023128A" w:rsidP="008F55B6">
      <w:pPr>
        <w:jc w:val="left"/>
        <w:outlineLvl w:val="9"/>
      </w:pPr>
      <w:r>
        <w:t>X_phys_tr = np.stack([s.x[:2] for s in train_samples], axis=0)</w:t>
      </w:r>
      <w:r w:rsidR="00496063">
        <w:t xml:space="preserve"> </w:t>
      </w:r>
      <w:r>
        <w:t># [ΔSASA, ΔG_MM]</w:t>
      </w:r>
    </w:p>
    <w:p w:rsidR="0023128A" w:rsidRDefault="0023128A" w:rsidP="008F55B6">
      <w:pPr>
        <w:jc w:val="left"/>
        <w:outlineLvl w:val="9"/>
      </w:pPr>
      <w:r>
        <w:t>y_tr = np.array([s.y for s in train_samples])</w:t>
      </w:r>
    </w:p>
    <w:p w:rsidR="0023128A" w:rsidRDefault="0023128A" w:rsidP="008F55B6">
      <w:pPr>
        <w:jc w:val="left"/>
        <w:outlineLvl w:val="9"/>
      </w:pPr>
      <w:r>
        <w:t>gamma_hat = float(np.linalg.lstsq(X_phys_tr[:, :1], y_tr - X_phys_tr[:, 1], rcond=None)[0])</w:t>
      </w:r>
    </w:p>
    <w:p w:rsidR="0023128A" w:rsidRDefault="0023128A" w:rsidP="008F55B6">
      <w:pPr>
        <w:jc w:val="left"/>
        <w:outlineLvl w:val="9"/>
      </w:pPr>
    </w:p>
    <w:p w:rsidR="0023128A" w:rsidRDefault="0023128A" w:rsidP="008F55B6">
      <w:pPr>
        <w:jc w:val="left"/>
        <w:outlineLvl w:val="9"/>
      </w:pPr>
      <w:r>
        <w:t>def phys_predict(samples_):</w:t>
      </w:r>
    </w:p>
    <w:p w:rsidR="0023128A" w:rsidRDefault="0023128A" w:rsidP="008F55B6">
      <w:pPr>
        <w:jc w:val="left"/>
        <w:outlineLvl w:val="9"/>
      </w:pPr>
      <w:r>
        <w:t>return np.array([s.x[1] + gamma_hat * s.x[0] for s in samples_], dtype=float)</w:t>
      </w:r>
    </w:p>
    <w:p w:rsidR="0023128A" w:rsidRDefault="0023128A" w:rsidP="008F55B6">
      <w:pPr>
        <w:jc w:val="left"/>
        <w:outlineLvl w:val="9"/>
      </w:pPr>
    </w:p>
    <w:p w:rsidR="0023128A" w:rsidRDefault="0023128A" w:rsidP="008F55B6">
      <w:pPr>
        <w:jc w:val="left"/>
        <w:outlineLvl w:val="9"/>
      </w:pPr>
      <w:r>
        <w:t>mse_ph_tr, r2_ph_tr = mse_r2(y_tr, phys_predict(train_samples))</w:t>
      </w:r>
    </w:p>
    <w:p w:rsidR="0023128A" w:rsidRDefault="0023128A" w:rsidP="008F55B6">
      <w:pPr>
        <w:jc w:val="left"/>
        <w:outlineLvl w:val="9"/>
      </w:pPr>
      <w:r>
        <w:t>y_va = np.array([s.y for s in val_samples])</w:t>
      </w:r>
    </w:p>
    <w:p w:rsidR="0023128A" w:rsidRDefault="0023128A" w:rsidP="008F55B6">
      <w:pPr>
        <w:jc w:val="left"/>
        <w:outlineLvl w:val="9"/>
      </w:pPr>
      <w:r>
        <w:t>mse_ph_va, r2_ph_va = mse_r2(y_va, phys_predict(val_samples))</w:t>
      </w:r>
    </w:p>
    <w:p w:rsidR="0023128A" w:rsidRDefault="0023128A" w:rsidP="008F55B6">
      <w:pPr>
        <w:jc w:val="left"/>
        <w:outlineLvl w:val="9"/>
      </w:pPr>
    </w:p>
    <w:p w:rsidR="0023128A" w:rsidRDefault="0023128A" w:rsidP="008F55B6">
      <w:pPr>
        <w:jc w:val="left"/>
        <w:outlineLvl w:val="9"/>
      </w:pPr>
      <w:r>
        <w:t>X_tr = np.stack([s.x for s in train_samples], axis=0)</w:t>
      </w:r>
    </w:p>
    <w:p w:rsidR="0023128A" w:rsidRDefault="0023128A" w:rsidP="008F55B6">
      <w:pPr>
        <w:jc w:val="left"/>
        <w:outlineLvl w:val="9"/>
      </w:pPr>
      <w:r>
        <w:t>w_ridge, b_ridge = ridge_regression(X_tr, y_tr, alpha=1e-3)</w:t>
      </w:r>
    </w:p>
    <w:p w:rsidR="0023128A" w:rsidRDefault="0023128A" w:rsidP="008F55B6">
      <w:pPr>
        <w:jc w:val="left"/>
        <w:outlineLvl w:val="9"/>
      </w:pPr>
    </w:p>
    <w:p w:rsidR="0023128A" w:rsidRDefault="0023128A" w:rsidP="008F55B6">
      <w:pPr>
        <w:jc w:val="left"/>
        <w:outlineLvl w:val="9"/>
      </w:pPr>
      <w:r>
        <w:t>def ridge_predict(samples_):</w:t>
      </w:r>
    </w:p>
    <w:p w:rsidR="0023128A" w:rsidRDefault="0023128A" w:rsidP="008F55B6">
      <w:pPr>
        <w:jc w:val="left"/>
        <w:outlineLvl w:val="9"/>
      </w:pPr>
      <w:r>
        <w:t>X_ = np.stack([s.x for s in samples_], axis=0)</w:t>
      </w:r>
    </w:p>
    <w:p w:rsidR="0023128A" w:rsidRDefault="0023128A" w:rsidP="008F55B6">
      <w:pPr>
        <w:jc w:val="left"/>
        <w:outlineLvl w:val="9"/>
      </w:pPr>
      <w:r>
        <w:t>return X_ @ w_ridge + b_ridge</w:t>
      </w:r>
    </w:p>
    <w:p w:rsidR="0023128A" w:rsidRDefault="0023128A" w:rsidP="008F55B6">
      <w:pPr>
        <w:jc w:val="left"/>
        <w:outlineLvl w:val="9"/>
      </w:pPr>
    </w:p>
    <w:p w:rsidR="0023128A" w:rsidRDefault="0023128A" w:rsidP="008F55B6">
      <w:pPr>
        <w:jc w:val="left"/>
        <w:outlineLvl w:val="9"/>
      </w:pPr>
      <w:r>
        <w:t>mse_rg_tr, r2_rg_tr = mse_r2(y_tr, ridge_predict(train_samples))</w:t>
      </w:r>
    </w:p>
    <w:p w:rsidR="0023128A" w:rsidRDefault="0023128A" w:rsidP="008F55B6">
      <w:pPr>
        <w:jc w:val="left"/>
        <w:outlineLvl w:val="9"/>
      </w:pPr>
      <w:r>
        <w:t>mse_rg_va, r2_rg_va = mse_r2(y_va, ridge_predict(val_samples))</w:t>
      </w:r>
    </w:p>
    <w:p w:rsidR="0023128A" w:rsidRDefault="0023128A" w:rsidP="008F55B6">
      <w:pPr>
        <w:jc w:val="left"/>
        <w:outlineLvl w:val="9"/>
      </w:pPr>
    </w:p>
    <w:p w:rsidR="0023128A" w:rsidRDefault="0023128A" w:rsidP="008F55B6">
      <w:pPr>
        <w:jc w:val="left"/>
        <w:outlineLvl w:val="9"/>
      </w:pPr>
      <w:r>
        <w:t>report = {</w:t>
      </w:r>
    </w:p>
    <w:p w:rsidR="0023128A" w:rsidRDefault="0023128A" w:rsidP="008F55B6">
      <w:pPr>
        <w:jc w:val="left"/>
        <w:outlineLvl w:val="9"/>
      </w:pPr>
      <w:r>
        <w:t>"Quantum (SPSA)": metrics,</w:t>
      </w:r>
    </w:p>
    <w:p w:rsidR="0023128A" w:rsidRDefault="0023128A" w:rsidP="008F55B6">
      <w:pPr>
        <w:jc w:val="left"/>
        <w:outlineLvl w:val="9"/>
      </w:pPr>
      <w:r>
        <w:t>"Baseline physics (fit γ*)": {"mse_tr": mse_ph_tr, "r2_tr": r2_ph_tr,</w:t>
      </w:r>
    </w:p>
    <w:p w:rsidR="0023128A" w:rsidRDefault="0023128A" w:rsidP="008F55B6">
      <w:pPr>
        <w:jc w:val="left"/>
        <w:outlineLvl w:val="9"/>
      </w:pPr>
      <w:r>
        <w:t>"mse_va": mse_ph_va, "r2_va": r2_ph_va,</w:t>
      </w:r>
    </w:p>
    <w:p w:rsidR="0023128A" w:rsidRDefault="0023128A" w:rsidP="008F55B6">
      <w:pPr>
        <w:jc w:val="left"/>
        <w:outlineLvl w:val="9"/>
      </w:pPr>
      <w:r>
        <w:t>"gamma_star": gamma_hat},</w:t>
      </w:r>
    </w:p>
    <w:p w:rsidR="0023128A" w:rsidRDefault="0023128A" w:rsidP="008F55B6">
      <w:pPr>
        <w:jc w:val="left"/>
        <w:outlineLvl w:val="9"/>
      </w:pPr>
      <w:r>
        <w:t>"Baseline ridge (features)": {"mse_tr": mse_rg_tr, "r2_tr": r2_rg_tr,</w:t>
      </w:r>
    </w:p>
    <w:p w:rsidR="0023128A" w:rsidRDefault="0023128A" w:rsidP="008F55B6">
      <w:pPr>
        <w:jc w:val="left"/>
        <w:outlineLvl w:val="9"/>
      </w:pPr>
      <w:r>
        <w:t>"mse_va": mse_rg_va, "r2_va": r2_rg_va,</w:t>
      </w:r>
    </w:p>
    <w:p w:rsidR="0023128A" w:rsidRDefault="0023128A" w:rsidP="008F55B6">
      <w:pPr>
        <w:jc w:val="left"/>
        <w:outlineLvl w:val="9"/>
      </w:pPr>
      <w:r>
        <w:t>"w": w_ridge, "b": b_ridge},</w:t>
      </w:r>
    </w:p>
    <w:p w:rsidR="0023128A" w:rsidRDefault="0023128A" w:rsidP="008F55B6">
      <w:pPr>
        <w:jc w:val="left"/>
        <w:outlineLvl w:val="9"/>
      </w:pPr>
      <w:r>
        <w:t>"trained_params": {"a": model.a, "b": model.b,</w:t>
      </w:r>
    </w:p>
    <w:p w:rsidR="0023128A" w:rsidRDefault="0023128A" w:rsidP="008F55B6">
      <w:pPr>
        <w:jc w:val="left"/>
        <w:outlineLvl w:val="9"/>
      </w:pPr>
      <w:r>
        <w:t>"theta_len": len(model.theta),</w:t>
      </w:r>
    </w:p>
    <w:p w:rsidR="0023128A" w:rsidRDefault="0023128A" w:rsidP="008F55B6">
      <w:pPr>
        <w:jc w:val="left"/>
        <w:outlineLvl w:val="9"/>
      </w:pPr>
      <w:r>
        <w:t>"gamma_len": len(model.gamma),</w:t>
      </w:r>
    </w:p>
    <w:p w:rsidR="0023128A" w:rsidRDefault="0023128A" w:rsidP="008F55B6">
      <w:pPr>
        <w:jc w:val="left"/>
        <w:outlineLvl w:val="9"/>
      </w:pPr>
      <w:r>
        <w:t>"beta_len":</w:t>
      </w:r>
      <w:r w:rsidR="00496063">
        <w:t xml:space="preserve"> </w:t>
      </w:r>
      <w:r>
        <w:t>len(model.beta)}</w:t>
      </w:r>
    </w:p>
    <w:p w:rsidR="0023128A" w:rsidRDefault="0023128A" w:rsidP="008F55B6">
      <w:pPr>
        <w:jc w:val="left"/>
        <w:outlineLvl w:val="9"/>
      </w:pPr>
      <w:r>
        <w:t>}</w:t>
      </w:r>
    </w:p>
    <w:p w:rsidR="0023128A" w:rsidRDefault="0023128A" w:rsidP="008F55B6">
      <w:pPr>
        <w:jc w:val="left"/>
        <w:outlineLvl w:val="9"/>
      </w:pPr>
      <w:r>
        <w:t>return report</w:t>
      </w:r>
    </w:p>
    <w:p w:rsidR="0023128A" w:rsidRDefault="0023128A" w:rsidP="008F55B6">
      <w:pPr>
        <w:jc w:val="left"/>
        <w:outlineLvl w:val="9"/>
      </w:pPr>
    </w:p>
    <w:p w:rsidR="0023128A" w:rsidRDefault="0023128A" w:rsidP="008F55B6">
      <w:pPr>
        <w:jc w:val="left"/>
        <w:outlineLvl w:val="9"/>
      </w:pPr>
      <w:r>
        <w:t># ────────────────────────────────────────────────────────────</w:t>
      </w:r>
    </w:p>
    <w:p w:rsidR="0023128A" w:rsidRDefault="0023128A" w:rsidP="008F55B6">
      <w:pPr>
        <w:jc w:val="left"/>
        <w:outlineLvl w:val="9"/>
      </w:pPr>
      <w:r>
        <w:t># Main</w:t>
      </w:r>
    </w:p>
    <w:p w:rsidR="0023128A" w:rsidRDefault="0023128A" w:rsidP="008F55B6">
      <w:pPr>
        <w:jc w:val="left"/>
        <w:outlineLvl w:val="9"/>
      </w:pPr>
      <w:r>
        <w:t># ────────────────────────────────────────────────────────────</w:t>
      </w:r>
    </w:p>
    <w:p w:rsidR="0023128A" w:rsidRDefault="0023128A" w:rsidP="008F55B6">
      <w:pPr>
        <w:jc w:val="left"/>
        <w:outlineLvl w:val="9"/>
      </w:pPr>
    </w:p>
    <w:p w:rsidR="0023128A" w:rsidRDefault="0023128A" w:rsidP="008F55B6">
      <w:pPr>
        <w:jc w:val="left"/>
        <w:outlineLvl w:val="9"/>
      </w:pPr>
      <w:r>
        <w:t>if __name__ == "__main__":</w:t>
      </w:r>
    </w:p>
    <w:p w:rsidR="0023128A" w:rsidRDefault="0023128A" w:rsidP="008F55B6">
      <w:pPr>
        <w:jc w:val="left"/>
        <w:outlineLvl w:val="9"/>
      </w:pPr>
      <w:r>
        <w:t># Minimal “sequences” just to drive motif code</w:t>
      </w:r>
    </w:p>
    <w:p w:rsidR="0023128A" w:rsidRDefault="0023128A" w:rsidP="008F55B6">
      <w:pPr>
        <w:jc w:val="left"/>
        <w:outlineLvl w:val="9"/>
      </w:pPr>
      <w:r>
        <w:t>seq_db = {</w:t>
      </w:r>
    </w:p>
    <w:p w:rsidR="0023128A" w:rsidRDefault="0023128A" w:rsidP="008F55B6">
      <w:pPr>
        <w:jc w:val="left"/>
        <w:outlineLvl w:val="9"/>
      </w:pPr>
      <w:r>
        <w:t>"P08253": "RPH AWP FMV SLQLRGGHFCGATLIA PN FVM SAAHCVAN ...",</w:t>
      </w:r>
    </w:p>
    <w:p w:rsidR="0023128A" w:rsidRDefault="0023128A" w:rsidP="008F55B6">
      <w:pPr>
        <w:jc w:val="left"/>
        <w:outlineLvl w:val="9"/>
      </w:pPr>
      <w:r>
        <w:t>"O43184": "signal peptide metalloprotease prodomain ...",</w:t>
      </w:r>
    </w:p>
    <w:p w:rsidR="0023128A" w:rsidRDefault="0023128A" w:rsidP="008F55B6">
      <w:pPr>
        <w:jc w:val="left"/>
        <w:outlineLvl w:val="9"/>
      </w:pPr>
      <w:r>
        <w:t>"P01033": "STVGGNSEGAPCVFPFTFLGNKYESCTSAGRSDGKMWCATTANYDDDRKW",</w:t>
      </w:r>
    </w:p>
    <w:p w:rsidR="0023128A" w:rsidRDefault="0023128A" w:rsidP="008F55B6">
      <w:pPr>
        <w:jc w:val="left"/>
        <w:outlineLvl w:val="9"/>
      </w:pPr>
      <w:r>
        <w:t>"P12931": "polypro SH3 SH2 motifs ...",</w:t>
      </w:r>
    </w:p>
    <w:p w:rsidR="0023128A" w:rsidRDefault="0023128A" w:rsidP="008F55B6">
      <w:pPr>
        <w:jc w:val="left"/>
        <w:outlineLvl w:val="9"/>
      </w:pPr>
      <w:r>
        <w:t>"P27986": "nSH2 cSH2 motifs ...",</w:t>
      </w:r>
    </w:p>
    <w:p w:rsidR="0023128A" w:rsidRDefault="0023128A" w:rsidP="008F55B6">
      <w:pPr>
        <w:jc w:val="left"/>
        <w:outlineLvl w:val="9"/>
      </w:pPr>
      <w:r>
        <w:t>"P62993": "SH3-SH2-SH3 adaptor ...",</w:t>
      </w:r>
    </w:p>
    <w:p w:rsidR="0023128A" w:rsidRDefault="0023128A" w:rsidP="008F55B6">
      <w:pPr>
        <w:jc w:val="left"/>
        <w:outlineLvl w:val="9"/>
      </w:pPr>
      <w:r>
        <w:t>"P02461": "GXYGXYGXY collagen repeats ...",</w:t>
      </w:r>
    </w:p>
    <w:p w:rsidR="0023128A" w:rsidRDefault="0023128A" w:rsidP="008F55B6">
      <w:pPr>
        <w:jc w:val="left"/>
        <w:outlineLvl w:val="9"/>
      </w:pPr>
      <w:r>
        <w:t>"P15502": "VPGVGVPGVG elastin repeats ...",</w:t>
      </w:r>
    </w:p>
    <w:p w:rsidR="0023128A" w:rsidRDefault="0023128A" w:rsidP="008F55B6">
      <w:pPr>
        <w:jc w:val="left"/>
        <w:outlineLvl w:val="9"/>
      </w:pPr>
      <w:r>
        <w:t>"MMP2":</w:t>
      </w:r>
      <w:r w:rsidR="00496063">
        <w:t xml:space="preserve"> </w:t>
      </w:r>
      <w:r>
        <w:t>"RPH AWP FMV SLQLRGGHFCGATLIA PN FVM SAAHCVAN ...",</w:t>
      </w:r>
    </w:p>
    <w:p w:rsidR="0023128A" w:rsidRDefault="0023128A" w:rsidP="008F55B6">
      <w:pPr>
        <w:jc w:val="left"/>
        <w:outlineLvl w:val="9"/>
      </w:pPr>
      <w:r>
        <w:t>}</w:t>
      </w:r>
    </w:p>
    <w:p w:rsidR="0023128A" w:rsidRDefault="0023128A" w:rsidP="008F55B6">
      <w:pPr>
        <w:jc w:val="left"/>
        <w:outlineLvl w:val="9"/>
      </w:pPr>
    </w:p>
    <w:p w:rsidR="0023128A" w:rsidRDefault="0023128A" w:rsidP="008F55B6">
      <w:pPr>
        <w:jc w:val="left"/>
        <w:outlineLvl w:val="9"/>
      </w:pPr>
      <w:r>
        <w:t>if len(sys.argv) &gt; 1 and sys.argv[1].lower() == "train":</w:t>
      </w:r>
    </w:p>
    <w:p w:rsidR="0023128A" w:rsidRDefault="0023128A" w:rsidP="008F55B6">
      <w:pPr>
        <w:jc w:val="left"/>
        <w:outlineLvl w:val="9"/>
      </w:pPr>
      <w:r>
        <w:t>rep = demo_train(pharmacophoric_odes_circuit, TARGETS, seq_db,</w:t>
      </w:r>
    </w:p>
    <w:p w:rsidR="0023128A" w:rsidRDefault="0023128A" w:rsidP="008F55B6">
      <w:pPr>
        <w:jc w:val="left"/>
        <w:outlineLvl w:val="9"/>
      </w:pPr>
      <w:r>
        <w:t>shots=2048 if _HAS_AER else 1, steps=200, seed=42)</w:t>
      </w:r>
    </w:p>
    <w:p w:rsidR="0023128A" w:rsidRDefault="0023128A" w:rsidP="008F55B6">
      <w:pPr>
        <w:jc w:val="left"/>
        <w:outlineLvl w:val="9"/>
      </w:pPr>
      <w:r>
        <w:t>print("\n=== Comparison Report ===")</w:t>
      </w:r>
    </w:p>
    <w:p w:rsidR="0023128A" w:rsidRDefault="0023128A" w:rsidP="008F55B6">
      <w:pPr>
        <w:jc w:val="left"/>
        <w:outlineLvl w:val="9"/>
      </w:pPr>
      <w:r>
        <w:t>for k, v in rep.items():</w:t>
      </w:r>
    </w:p>
    <w:p w:rsidR="0023128A" w:rsidRDefault="0023128A" w:rsidP="008F55B6">
      <w:pPr>
        <w:jc w:val="left"/>
        <w:outlineLvl w:val="9"/>
      </w:pPr>
      <w:r>
        <w:t>print(k, ":", v)</w:t>
      </w:r>
    </w:p>
    <w:p w:rsidR="0023128A" w:rsidRDefault="0023128A" w:rsidP="008F55B6">
      <w:pPr>
        <w:jc w:val="left"/>
        <w:outlineLvl w:val="9"/>
      </w:pPr>
      <w:r>
        <w:t>else:</w:t>
      </w:r>
    </w:p>
    <w:p w:rsidR="0023128A" w:rsidRDefault="0023128A" w:rsidP="008F55B6">
      <w:pPr>
        <w:jc w:val="left"/>
        <w:outlineLvl w:val="9"/>
      </w:pPr>
      <w:r>
        <w:t># Averaged tiny pass</w:t>
      </w:r>
    </w:p>
    <w:p w:rsidR="0023128A" w:rsidRDefault="0023128A" w:rsidP="008F55B6">
      <w:pPr>
        <w:jc w:val="left"/>
        <w:outlineLvl w:val="9"/>
      </w:pPr>
      <w:r>
        <w:t>rep = run_pipeline(pharmacophoric_odes_circuit, TARGETS, seq_db,</w:t>
      </w:r>
    </w:p>
    <w:p w:rsidR="0023128A" w:rsidRDefault="0023128A" w:rsidP="008F55B6">
      <w:pPr>
        <w:jc w:val="left"/>
        <w:outlineLvl w:val="9"/>
      </w:pPr>
      <w:r>
        <w:t>shots=4096 if _HAS_AER else 1, seed=7)</w:t>
      </w:r>
    </w:p>
    <w:p w:rsidR="0023128A" w:rsidRDefault="0023128A" w:rsidP="008F55B6">
      <w:pPr>
        <w:jc w:val="left"/>
        <w:outlineLvl w:val="9"/>
      </w:pPr>
      <w:r>
        <w:t>print("</w:t>
      </w:r>
      <w:r>
        <w:rPr>
          <w:rFonts w:ascii="Cambria Math" w:hAnsi="Cambria Math" w:cs="Cambria Math"/>
        </w:rPr>
        <w:t>⟨</w:t>
      </w:r>
      <w:r>
        <w:t>Z</w:t>
      </w:r>
      <w:r>
        <w:rPr>
          <w:rFonts w:ascii="Cambria Math" w:hAnsi="Cambria Math" w:cs="Cambria Math"/>
        </w:rPr>
        <w:t>⟩</w:t>
      </w:r>
      <w:r>
        <w:t xml:space="preserve"> (averaged features):", rep["Z_expectation"])</w:t>
      </w:r>
    </w:p>
    <w:p w:rsidR="0023128A" w:rsidRDefault="0023128A" w:rsidP="008F55B6">
      <w:pPr>
        <w:jc w:val="left"/>
        <w:outlineLvl w:val="9"/>
      </w:pPr>
      <w:r>
        <w:t>print("Counts:", rep["counts"])</w:t>
      </w:r>
    </w:p>
    <w:p w:rsidR="0023128A" w:rsidRDefault="0023128A" w:rsidP="008F55B6">
      <w:pPr>
        <w:jc w:val="left"/>
        <w:outlineLvl w:val="9"/>
      </w:pPr>
      <w:r>
        <w:t>print("ΔG^tot proxies:", rep["labels"])</w:t>
      </w:r>
    </w:p>
    <w:p w:rsidR="0023128A" w:rsidRDefault="0023128A" w:rsidP="008F55B6">
      <w:pPr>
        <w:jc w:val="left"/>
        <w:outlineLvl w:val="9"/>
      </w:pPr>
    </w:p>
    <w:p w:rsidR="0023128A" w:rsidRDefault="0023128A" w:rsidP="008F55B6">
      <w:pPr>
        <w:jc w:val="left"/>
        <w:outlineLvl w:val="9"/>
      </w:pPr>
      <w:r>
        <w:t># Per-target sortable scores</w:t>
      </w:r>
    </w:p>
    <w:p w:rsidR="0023128A" w:rsidRDefault="0023128A" w:rsidP="008F55B6">
      <w:pPr>
        <w:jc w:val="left"/>
        <w:outlineLvl w:val="9"/>
      </w:pPr>
      <w:r>
        <w:t>scores = run_per_target_scores(pharmacophoric_odes_circuit, TARGETS, seq_db,</w:t>
      </w:r>
    </w:p>
    <w:p w:rsidR="0023128A" w:rsidRDefault="0023128A" w:rsidP="008F55B6">
      <w:pPr>
        <w:jc w:val="left"/>
        <w:outlineLvl w:val="9"/>
      </w:pPr>
      <w:r>
        <w:t>shots=2048 if _HAS_AER else 1, seed=11, sort_desc=True)</w:t>
      </w:r>
    </w:p>
    <w:p w:rsidR="0023128A" w:rsidRDefault="0023128A" w:rsidP="008F55B6">
      <w:pPr>
        <w:jc w:val="left"/>
        <w:outlineLvl w:val="9"/>
      </w:pPr>
      <w:r>
        <w:t>print("\nPer-target scores (sorted by Z, desc):")</w:t>
      </w:r>
    </w:p>
    <w:p w:rsidR="0023128A" w:rsidRDefault="0023128A" w:rsidP="008F55B6">
      <w:pPr>
        <w:jc w:val="left"/>
        <w:outlineLvl w:val="9"/>
      </w:pPr>
      <w:r>
        <w:t>for i, r in enumerate(scores, 1):</w:t>
      </w:r>
    </w:p>
    <w:p w:rsidR="0023128A" w:rsidRDefault="0023128A" w:rsidP="008F55B6">
      <w:pPr>
        <w:jc w:val="left"/>
        <w:outlineLvl w:val="9"/>
      </w:pPr>
      <w:r>
        <w:t>print(f"{i:2d}. {r['gene']:7s}</w:t>
      </w:r>
      <w:r w:rsidR="00496063">
        <w:t xml:space="preserve"> </w:t>
      </w:r>
      <w:r>
        <w:t>Z={r['Z']:+.4f}</w:t>
      </w:r>
      <w:r w:rsidR="00496063">
        <w:t xml:space="preserve"> </w:t>
      </w:r>
      <w:r>
        <w:t>centrality={r['centrality']:.3f}</w:t>
      </w:r>
      <w:r w:rsidR="00496063">
        <w:t xml:space="preserve"> </w:t>
      </w:r>
      <w:r>
        <w:t>label={r['label']:+.3f}")</w:t>
      </w:r>
    </w:p>
    <w:p w:rsidR="00ED3195" w:rsidRDefault="00ED3195" w:rsidP="008F55B6">
      <w:pPr>
        <w:jc w:val="left"/>
        <w:outlineLvl w:val="9"/>
      </w:pPr>
      <w:r>
        <w:t>Composite = QAOA_diversity(chem0..chem7, p=1)</w:t>
      </w:r>
      <w:r w:rsidR="00496063">
        <w:t xml:space="preserve"> </w:t>
      </w:r>
      <w:r>
        <w:rPr>
          <w:rFonts w:ascii="Cambria Math" w:hAnsi="Cambria Math" w:cs="Cambria Math"/>
        </w:rPr>
        <w:t>⊗</w:t>
      </w:r>
      <w:r w:rsidR="00496063">
        <w:t xml:space="preserve"> </w:t>
      </w:r>
      <w:r>
        <w:t>Ph4_ODE(pqc0..pqc7, depth=2, readout=1)</w:t>
      </w:r>
    </w:p>
    <w:p w:rsidR="00ED3195" w:rsidRDefault="00ED3195" w:rsidP="008F55B6">
      <w:pPr>
        <w:jc w:val="left"/>
        <w:outlineLvl w:val="9"/>
      </w:pPr>
      <w:r>
        <w:t>Qubit order after tensor: [chem0..chem7, pqc0..pqc7]</w:t>
      </w:r>
    </w:p>
    <w:p w:rsidR="00ED3195" w:rsidRDefault="00ED3195" w:rsidP="008F55B6">
      <w:pPr>
        <w:jc w:val="left"/>
        <w:outlineLvl w:val="9"/>
      </w:pPr>
      <w:r>
        <w:t>A barrier separates the two subcircuits.</w:t>
      </w:r>
    </w:p>
    <w:p w:rsidR="00ED3195" w:rsidRDefault="00ED3195" w:rsidP="008F55B6">
      <w:pPr>
        <w:jc w:val="left"/>
        <w:outlineLvl w:val="9"/>
      </w:pPr>
      <w:r>
        <w:t>Classical bits: c0 (reads pqc0 in Z)</w:t>
      </w:r>
    </w:p>
    <w:p w:rsidR="00ED3195" w:rsidRDefault="00ED3195" w:rsidP="008F55B6">
      <w:pPr>
        <w:jc w:val="left"/>
        <w:outlineLvl w:val="9"/>
      </w:pPr>
    </w:p>
    <w:p w:rsidR="00ED3195" w:rsidRDefault="00ED3195" w:rsidP="008F55B6">
      <w:pPr>
        <w:jc w:val="left"/>
        <w:outlineLvl w:val="9"/>
      </w:pPr>
      <w:r>
        <w:t>QAOA diversity block (MaxCut on weighted similarity W; only nonzero edges used)</w:t>
      </w:r>
    </w:p>
    <w:p w:rsidR="00ED3195" w:rsidRDefault="00ED3195" w:rsidP="008F55B6">
      <w:pPr>
        <w:jc w:val="left"/>
        <w:outlineLvl w:val="9"/>
      </w:pPr>
      <w:r>
        <w:t>chem0: ──H───[ COST(γ0): weighted ZZ over edges touching 0 ]──RX(2β0)──</w:t>
      </w:r>
    </w:p>
    <w:p w:rsidR="00ED3195" w:rsidRDefault="00ED3195" w:rsidP="008F55B6">
      <w:pPr>
        <w:jc w:val="left"/>
        <w:outlineLvl w:val="9"/>
      </w:pPr>
      <w:r>
        <w:t>chem1: ──H───[ COST(γ0): weighted ZZ over edges touching 1 ]──RX(2β0)──</w:t>
      </w:r>
    </w:p>
    <w:p w:rsidR="00ED3195" w:rsidRDefault="00ED3195" w:rsidP="008F55B6">
      <w:pPr>
        <w:jc w:val="left"/>
        <w:outlineLvl w:val="9"/>
      </w:pPr>
      <w:r>
        <w:t>chem2: ──H───[ COST(γ0): weighted ZZ over edges touching 2 ]──RX(2β0)──</w:t>
      </w:r>
    </w:p>
    <w:p w:rsidR="00ED3195" w:rsidRDefault="00ED3195" w:rsidP="008F55B6">
      <w:pPr>
        <w:jc w:val="left"/>
        <w:outlineLvl w:val="9"/>
      </w:pPr>
      <w:r>
        <w:t>chem3: ──H───[ COST(γ0): weighted ZZ over edges touching 3 ]──RX(2β0)──</w:t>
      </w:r>
    </w:p>
    <w:p w:rsidR="00ED3195" w:rsidRDefault="00ED3195" w:rsidP="008F55B6">
      <w:pPr>
        <w:jc w:val="left"/>
        <w:outlineLvl w:val="9"/>
      </w:pPr>
      <w:r>
        <w:t>chem4: ──H───[ COST(γ0): weighted ZZ over edges touching 4 ]──RX(2β0)──</w:t>
      </w:r>
    </w:p>
    <w:p w:rsidR="00ED3195" w:rsidRDefault="00ED3195" w:rsidP="008F55B6">
      <w:pPr>
        <w:jc w:val="left"/>
        <w:outlineLvl w:val="9"/>
      </w:pPr>
      <w:r>
        <w:t>chem5: ──H───[ COST(γ0): weighted ZZ over edges touching 5 ]──RX(2β0)──</w:t>
      </w:r>
    </w:p>
    <w:p w:rsidR="00ED3195" w:rsidRDefault="00ED3195" w:rsidP="008F55B6">
      <w:pPr>
        <w:jc w:val="left"/>
        <w:outlineLvl w:val="9"/>
      </w:pPr>
      <w:r>
        <w:t>chem6: ──H───[ COST(γ0): weighted ZZ over edges touching 6 ]──RX(2β0)──</w:t>
      </w:r>
    </w:p>
    <w:p w:rsidR="00ED3195" w:rsidRDefault="00ED3195" w:rsidP="008F55B6">
      <w:pPr>
        <w:jc w:val="left"/>
        <w:outlineLvl w:val="9"/>
      </w:pPr>
      <w:r>
        <w:t>chem7: ──H───[ COST(γ0): weighted ZZ over edges touching 7 ]──RX(2β0)──</w:t>
      </w:r>
    </w:p>
    <w:p w:rsidR="00ED3195" w:rsidRDefault="00ED3195" w:rsidP="008F55B6">
      <w:pPr>
        <w:jc w:val="left"/>
        <w:outlineLvl w:val="9"/>
      </w:pPr>
      <w:r>
        <w:t>where each COST edge (i&lt;j, weight w_ij) is:</w:t>
      </w:r>
    </w:p>
    <w:p w:rsidR="00ED3195" w:rsidRDefault="00ED3195" w:rsidP="008F55B6">
      <w:pPr>
        <w:jc w:val="left"/>
        <w:outlineLvl w:val="9"/>
      </w:pPr>
      <w:r>
        <w:t>CX(i→j) ─ RZ( 2·γ0·w_ij ) ─ CX(i→j)</w:t>
      </w:r>
    </w:p>
    <w:p w:rsidR="00ED3195" w:rsidRDefault="00ED3195" w:rsidP="008F55B6">
      <w:pPr>
        <w:jc w:val="left"/>
        <w:outlineLvl w:val="9"/>
      </w:pPr>
    </w:p>
    <w:p w:rsidR="00ED3195" w:rsidRDefault="00ED3195" w:rsidP="008F55B6">
      <w:pPr>
        <w:jc w:val="left"/>
        <w:outlineLvl w:val="9"/>
      </w:pPr>
      <w:r>
        <w:t>┌──────── barrier ────────┐</w:t>
      </w:r>
    </w:p>
    <w:p w:rsidR="00ED3195" w:rsidRDefault="00ED3195" w:rsidP="008F55B6">
      <w:pPr>
        <w:jc w:val="left"/>
        <w:outlineLvl w:val="9"/>
      </w:pPr>
    </w:p>
    <w:p w:rsidR="00ED3195" w:rsidRDefault="00ED3195" w:rsidP="008F55B6">
      <w:pPr>
        <w:jc w:val="left"/>
        <w:outlineLvl w:val="9"/>
      </w:pPr>
      <w:r>
        <w:t>Ph4-ODE PQC (n_feat=5 → n_qubits=8; depth=2; λ_ph4=0.4; λ_curv=0.35)</w:t>
      </w:r>
    </w:p>
    <w:p w:rsidR="00ED3195" w:rsidRDefault="00ED3195" w:rsidP="008F55B6">
      <w:pPr>
        <w:jc w:val="left"/>
        <w:outlineLvl w:val="9"/>
      </w:pPr>
      <w:r>
        <w:t>Block d = 0:</w:t>
      </w:r>
    </w:p>
    <w:p w:rsidR="00ED3195" w:rsidRDefault="00ED3195" w:rsidP="008F55B6">
      <w:pPr>
        <w:jc w:val="left"/>
        <w:outlineLvl w:val="9"/>
      </w:pPr>
      <w:r>
        <w:t>pqc0: ─ RX(x[0]+θ₀) ─ RZ(λ_curv·k[0]·x[0]+θ₁) ─ RY(θ₂) ──■───────────────■─── … penalty … ──</w:t>
      </w:r>
    </w:p>
    <w:p w:rsidR="00ED3195" w:rsidRDefault="00ED3195" w:rsidP="008F55B6">
      <w:pPr>
        <w:jc w:val="left"/>
        <w:outlineLvl w:val="9"/>
      </w:pPr>
      <w:r>
        <w:t>pqc1: ─ RX(x[1]+θ₃) ─ RZ(λ_curv·k[1]·x[1]+θ₄) ─ RY(θ₅) ──■─●─────────────■─── … penalty … ──</w:t>
      </w:r>
    </w:p>
    <w:p w:rsidR="00ED3195" w:rsidRDefault="00ED3195" w:rsidP="008F55B6">
      <w:pPr>
        <w:jc w:val="left"/>
        <w:outlineLvl w:val="9"/>
      </w:pPr>
      <w:r>
        <w:t>pqc2: ─ RX(x[2]+θ₆) ─ RZ(λ_curv·k[2]·x[2]+θ₇) ─ RY(θ₈) ────■─●───────────■─── … penalty … ──</w:t>
      </w:r>
    </w:p>
    <w:p w:rsidR="00ED3195" w:rsidRDefault="00ED3195" w:rsidP="008F55B6">
      <w:pPr>
        <w:jc w:val="left"/>
        <w:outlineLvl w:val="9"/>
      </w:pPr>
      <w:r>
        <w:t>pqc3: ─ RX(x[3]+θ₉) ─ RZ(λ_curv·k[3]·x[3]+θ₁₀)─ RY(θ₁₁) ─────■─●─────────■─── … penalty … ──</w:t>
      </w:r>
    </w:p>
    <w:p w:rsidR="00ED3195" w:rsidRDefault="00ED3195" w:rsidP="008F55B6">
      <w:pPr>
        <w:jc w:val="left"/>
        <w:outlineLvl w:val="9"/>
      </w:pPr>
      <w:r>
        <w:t>pqc4: ─ RX(x[4]+θ₁₂)─ RZ(λ_curv·k[4]·x[4]+θ₁₃)─ RY(θ₁₄) ───────■─●───────■─── … penalty … ──</w:t>
      </w:r>
    </w:p>
    <w:p w:rsidR="00ED3195" w:rsidRDefault="00ED3195" w:rsidP="008F55B6">
      <w:pPr>
        <w:jc w:val="left"/>
        <w:outlineLvl w:val="9"/>
      </w:pPr>
      <w:r>
        <w:t>pqc5: ─ RX(x[0]+θ₁₅)─ RZ(λ_curv·k[0]·x[0]+θ₁₆)─ RY(θ₁₇) ─────────■─●─────■─── … penalty … ──</w:t>
      </w:r>
    </w:p>
    <w:p w:rsidR="00ED3195" w:rsidRDefault="00ED3195" w:rsidP="008F55B6">
      <w:pPr>
        <w:jc w:val="left"/>
        <w:outlineLvl w:val="9"/>
      </w:pPr>
      <w:r>
        <w:t>pqc6: ─ RX(x[1]+θ₁₈)─ RZ(λ_curv·k[1]·x[1]+θ₁₉)─ RY(θ₂₀) ───────────■─●───■─── … penalty … ──</w:t>
      </w:r>
    </w:p>
    <w:p w:rsidR="00ED3195" w:rsidRDefault="00ED3195" w:rsidP="008F55B6">
      <w:pPr>
        <w:jc w:val="left"/>
        <w:outlineLvl w:val="9"/>
      </w:pPr>
      <w:r>
        <w:t>pqc7: ─ RX(x[2]+θ₂₁)─ RZ(λ_curv·k[2]·x[2]+θ₂₂)─ RY(θ₂₃) ─────────────■───■─── … penalty … ──</w:t>
      </w:r>
    </w:p>
    <w:p w:rsidR="00ED3195" w:rsidRDefault="00ED3195" w:rsidP="008F55B6">
      <w:pPr>
        <w:jc w:val="left"/>
        <w:outlineLvl w:val="9"/>
      </w:pPr>
      <w:r>
        <w:t>CZ ladder: CZ(0,1),(1,2),…,(6,7)</w:t>
      </w:r>
    </w:p>
    <w:p w:rsidR="00ED3195" w:rsidRDefault="00ED3195" w:rsidP="008F55B6">
      <w:pPr>
        <w:jc w:val="left"/>
        <w:outlineLvl w:val="9"/>
      </w:pPr>
    </w:p>
    <w:p w:rsidR="00ED3195" w:rsidRDefault="00ED3195" w:rsidP="008F55B6">
      <w:pPr>
        <w:jc w:val="left"/>
        <w:outlineLvl w:val="9"/>
      </w:pPr>
      <w:r>
        <w:t>Pharmacophore-mismatch ZZ penalty (applied after each encode+CZ block)</w:t>
      </w:r>
    </w:p>
    <w:p w:rsidR="00ED3195" w:rsidRDefault="00ED3195" w:rsidP="008F55B6">
      <w:pPr>
        <w:jc w:val="left"/>
        <w:outlineLvl w:val="9"/>
      </w:pPr>
      <w:r>
        <w:t>for feature qubits 0..4 (i&lt;j):</w:t>
      </w:r>
    </w:p>
    <w:p w:rsidR="00ED3195" w:rsidRDefault="00ED3195" w:rsidP="008F55B6">
      <w:pPr>
        <w:jc w:val="left"/>
        <w:outlineLvl w:val="9"/>
      </w:pPr>
      <w:r>
        <w:t>CX(i→j) ─ RZ( 2·λ_ph4 · m[i] · m[j] ) ─ CX(i→j)</w:t>
      </w:r>
    </w:p>
    <w:p w:rsidR="00ED3195" w:rsidRDefault="00ED3195" w:rsidP="008F55B6">
      <w:pPr>
        <w:jc w:val="left"/>
        <w:outlineLvl w:val="9"/>
      </w:pPr>
    </w:p>
    <w:p w:rsidR="00ED3195" w:rsidRDefault="00ED3195" w:rsidP="008F55B6">
      <w:pPr>
        <w:jc w:val="left"/>
        <w:outlineLvl w:val="9"/>
      </w:pPr>
      <w:r>
        <w:t>Block d = 1: (repeat the same pattern with θ indices shifted by +24)</w:t>
      </w:r>
    </w:p>
    <w:p w:rsidR="00ED3195" w:rsidRDefault="00ED3195" w:rsidP="008F55B6">
      <w:pPr>
        <w:jc w:val="left"/>
        <w:outlineLvl w:val="9"/>
      </w:pPr>
    </w:p>
    <w:p w:rsidR="00ED3195" w:rsidRDefault="00ED3195" w:rsidP="008F55B6">
      <w:pPr>
        <w:jc w:val="left"/>
        <w:outlineLvl w:val="9"/>
      </w:pPr>
      <w:r>
        <w:t>Readout:</w:t>
      </w:r>
    </w:p>
    <w:p w:rsidR="00ED3195" w:rsidRDefault="00ED3195" w:rsidP="008F55B6">
      <w:pPr>
        <w:jc w:val="left"/>
        <w:outlineLvl w:val="9"/>
      </w:pPr>
      <w:r>
        <w:t>pqc0: ── … ── MEASURE_Z → c0</w:t>
      </w:r>
    </w:p>
    <w:p w:rsidR="00B01289" w:rsidRPr="005A67F0" w:rsidRDefault="00B01289" w:rsidP="00713714">
      <w:r w:rsidRPr="005A67F0">
        <w:rPr>
          <w:b/>
          <w:bCs/>
        </w:rPr>
        <w:t>State prep</w:t>
      </w:r>
      <w:r w:rsidRPr="005A67F0">
        <w:t xml:space="preserve"> places each qubit in superposition (H gates).</w:t>
      </w:r>
    </w:p>
    <w:p w:rsidR="00B01289" w:rsidRPr="005A67F0" w:rsidRDefault="00B01289" w:rsidP="00713714">
      <w:r w:rsidRPr="005A67F0">
        <w:rPr>
          <w:b/>
          <w:bCs/>
        </w:rPr>
        <w:t>QAOA cost layer</w:t>
      </w:r>
      <w:r w:rsidRPr="005A67F0">
        <w:t xml:space="preserve"> implements an Ising cost on a ring plus one cross-edge using </w:t>
      </w:r>
      <w:r w:rsidRPr="005A67F0">
        <w:rPr>
          <w:b/>
          <w:bCs/>
        </w:rPr>
        <w:t>RZZ(2 γ·w)</w:t>
      </w:r>
      <w:r w:rsidRPr="005A67F0">
        <w:t xml:space="preserve"> terms (γ is the QAOA cost angle; </w:t>
      </w:r>
      <w:r w:rsidRPr="005A67F0">
        <w:rPr>
          <w:i/>
          <w:iCs/>
        </w:rPr>
        <w:t>w</w:t>
      </w:r>
      <w:r w:rsidRPr="005A67F0">
        <w:t xml:space="preserve"> are edge weights from</w:t>
      </w:r>
      <w:r w:rsidR="008F02B0" w:rsidRPr="005A67F0">
        <w:t xml:space="preserve"> my</w:t>
      </w:r>
      <w:r w:rsidR="00BC0BB3" w:rsidRPr="005A67F0">
        <w:t xml:space="preserve"> </w:t>
      </w:r>
      <w:r w:rsidRPr="005A67F0">
        <w:t>chemotype/peptidotype graph).</w:t>
      </w:r>
    </w:p>
    <w:p w:rsidR="00B01289" w:rsidRPr="005A67F0" w:rsidRDefault="00B01289" w:rsidP="00713714">
      <w:r w:rsidRPr="005A67F0">
        <w:rPr>
          <w:b/>
          <w:bCs/>
        </w:rPr>
        <w:t>QAOA mixer</w:t>
      </w:r>
      <w:r w:rsidRPr="005A67F0">
        <w:t xml:space="preserve"> applies </w:t>
      </w:r>
      <w:r w:rsidRPr="005A67F0">
        <w:rPr>
          <w:b/>
          <w:bCs/>
        </w:rPr>
        <w:t>RX(2 β)</w:t>
      </w:r>
      <w:r w:rsidRPr="005A67F0">
        <w:t xml:space="preserve"> on every qubit (β is the mixer angle).</w:t>
      </w:r>
    </w:p>
    <w:p w:rsidR="00B01289" w:rsidRPr="005A67F0" w:rsidRDefault="00B01289" w:rsidP="00713714">
      <w:r w:rsidRPr="005A67F0">
        <w:rPr>
          <w:b/>
          <w:bCs/>
        </w:rPr>
        <w:t>Feature-conditioned PQC (encoders)</w:t>
      </w:r>
      <w:r w:rsidRPr="005A67F0">
        <w:t xml:space="preserve"> injects</w:t>
      </w:r>
      <w:r w:rsidR="008F02B0" w:rsidRPr="005A67F0">
        <w:t xml:space="preserve"> my</w:t>
      </w:r>
      <w:r w:rsidR="00BC0BB3" w:rsidRPr="005A67F0">
        <w:t xml:space="preserve"> </w:t>
      </w:r>
      <w:r w:rsidRPr="005A67F0">
        <w:t>learned/observed features onto amplitudes and phases in a structured order:</w:t>
      </w:r>
    </w:p>
    <w:p w:rsidR="00B01289" w:rsidRPr="005A67F0" w:rsidRDefault="00B01289" w:rsidP="00713714">
      <w:r w:rsidRPr="005A67F0">
        <w:rPr>
          <w:b/>
          <w:bCs/>
        </w:rPr>
        <w:t>RY(xᵢ)</w:t>
      </w:r>
      <w:r w:rsidRPr="005A67F0">
        <w:t xml:space="preserve"> encodes physics proxies (e.g., ΔSASA, ΔG_MM or their learned embeddings),</w:t>
      </w:r>
    </w:p>
    <w:p w:rsidR="00B01289" w:rsidRPr="005A67F0" w:rsidRDefault="00B01289" w:rsidP="00713714">
      <w:r w:rsidRPr="005A67F0">
        <w:rPr>
          <w:b/>
          <w:bCs/>
        </w:rPr>
        <w:t>RZ(mᵢ)</w:t>
      </w:r>
      <w:r w:rsidRPr="005A67F0">
        <w:t xml:space="preserve"> encodes pharmacophore mismatch penalties,</w:t>
      </w:r>
    </w:p>
    <w:p w:rsidR="00B01289" w:rsidRPr="005A67F0" w:rsidRDefault="00B01289" w:rsidP="00713714">
      <w:r w:rsidRPr="005A67F0">
        <w:rPr>
          <w:b/>
          <w:bCs/>
        </w:rPr>
        <w:t>RX(kᵢ)</w:t>
      </w:r>
      <w:r w:rsidRPr="005A67F0">
        <w:t xml:space="preserve"> encodes curvature-aware weights.</w:t>
      </w:r>
    </w:p>
    <w:p w:rsidR="00B01289" w:rsidRPr="005A67F0" w:rsidRDefault="00B01289" w:rsidP="00713714">
      <w:r w:rsidRPr="005A67F0">
        <w:rPr>
          <w:b/>
          <w:bCs/>
        </w:rPr>
        <w:t>Stemaflex cofactors</w:t>
      </w:r>
      <w:r w:rsidRPr="005A67F0">
        <w:t xml:space="preserve"> are modeled as </w:t>
      </w:r>
      <w:r w:rsidRPr="005A67F0">
        <w:rPr>
          <w:b/>
          <w:bCs/>
        </w:rPr>
        <w:t>RZZ(c_mmp)</w:t>
      </w:r>
      <w:r w:rsidRPr="005A67F0">
        <w:t xml:space="preserve">, </w:t>
      </w:r>
      <w:r w:rsidRPr="005A67F0">
        <w:rPr>
          <w:b/>
          <w:bCs/>
        </w:rPr>
        <w:t>RZZ(c_ne)</w:t>
      </w:r>
      <w:r w:rsidRPr="005A67F0">
        <w:t xml:space="preserve">, </w:t>
      </w:r>
      <w:r w:rsidRPr="005A67F0">
        <w:rPr>
          <w:b/>
          <w:bCs/>
        </w:rPr>
        <w:t>RZZ(c_erc)</w:t>
      </w:r>
      <w:r w:rsidRPr="005A67F0">
        <w:t xml:space="preserve"> on designated qubit pairs. These angles capture cooperative stabilization when Stemaflex-16•MMP / •NE / •ERC are present in the binding context.</w:t>
      </w:r>
    </w:p>
    <w:p w:rsidR="00B01289" w:rsidRPr="005A67F0" w:rsidRDefault="00B01289" w:rsidP="00713714">
      <w:r w:rsidRPr="005A67F0">
        <w:t xml:space="preserve">A short </w:t>
      </w:r>
      <w:r w:rsidRPr="005A67F0">
        <w:rPr>
          <w:b/>
          <w:bCs/>
        </w:rPr>
        <w:t>CZ ladder</w:t>
      </w:r>
      <w:r w:rsidRPr="005A67F0">
        <w:t xml:space="preserve"> provides additional entanglement while keeping depth modest.</w:t>
      </w:r>
    </w:p>
    <w:p w:rsidR="00B01289" w:rsidRPr="005A67F0" w:rsidRDefault="00B01289" w:rsidP="00713714">
      <w:r w:rsidRPr="005A67F0">
        <w:rPr>
          <w:b/>
          <w:bCs/>
        </w:rPr>
        <w:t>Readout</w:t>
      </w:r>
      <w:r w:rsidRPr="005A67F0">
        <w:t xml:space="preserve"> rotates </w:t>
      </w:r>
      <w:r w:rsidRPr="005A67F0">
        <w:rPr>
          <w:b/>
          <w:bCs/>
        </w:rPr>
        <w:t>q₀</w:t>
      </w:r>
      <w:r w:rsidRPr="005A67F0">
        <w:t xml:space="preserve"> by </w:t>
      </w:r>
      <w:r w:rsidRPr="005A67F0">
        <w:rPr>
          <w:b/>
          <w:bCs/>
        </w:rPr>
        <w:t>RY(φ)</w:t>
      </w:r>
      <w:r w:rsidRPr="005A67F0">
        <w:t xml:space="preserve"> and measures </w:t>
      </w:r>
      <w:r w:rsidRPr="005A67F0">
        <w:rPr>
          <w:b/>
          <w:bCs/>
        </w:rPr>
        <w:t>Z</w:t>
      </w:r>
      <w:r w:rsidRPr="005A67F0">
        <w:t xml:space="preserve">, yielding </w:t>
      </w:r>
      <w:r w:rsidRPr="005A67F0">
        <w:rPr>
          <w:rFonts w:ascii="Cambria Math" w:hAnsi="Cambria Math" w:cs="Cambria Math"/>
        </w:rPr>
        <w:t>⟨</w:t>
      </w:r>
      <w:r w:rsidRPr="005A67F0">
        <w:t>Z₀</w:t>
      </w:r>
      <w:r w:rsidRPr="005A67F0">
        <w:rPr>
          <w:rFonts w:ascii="Cambria Math" w:hAnsi="Cambria Math" w:cs="Cambria Math"/>
        </w:rPr>
        <w:t>⟩</w:t>
      </w:r>
      <w:r w:rsidRPr="005A67F0">
        <w:t xml:space="preserve"> for</w:t>
      </w:r>
      <w:r w:rsidR="008F02B0" w:rsidRPr="005A67F0">
        <w:t xml:space="preserve"> my</w:t>
      </w:r>
      <w:r w:rsidR="00BC0BB3" w:rsidRPr="005A67F0">
        <w:t xml:space="preserve"> </w:t>
      </w:r>
      <w:r w:rsidRPr="005A67F0">
        <w:t>scalar prediction head (e.g., a·</w:t>
      </w:r>
      <w:r w:rsidRPr="005A67F0">
        <w:rPr>
          <w:rFonts w:ascii="Cambria Math" w:hAnsi="Cambria Math" w:cs="Cambria Math"/>
        </w:rPr>
        <w:t>⟨</w:t>
      </w:r>
      <w:r w:rsidRPr="005A67F0">
        <w:t>Z</w:t>
      </w:r>
      <w:r w:rsidRPr="005A67F0">
        <w:rPr>
          <w:rFonts w:ascii="Cambria Math" w:hAnsi="Cambria Math" w:cs="Cambria Math"/>
        </w:rPr>
        <w:t>⟩</w:t>
      </w:r>
      <w:r w:rsidRPr="005A67F0">
        <w:t>+b → ΔG^tot).</w:t>
      </w:r>
    </w:p>
    <w:p w:rsidR="00B01289" w:rsidRPr="005A67F0" w:rsidRDefault="00106EF3" w:rsidP="00713714">
      <w:r>
        <w:pict>
          <v:rect id="_x0000_i1127" style="width:0;height:1.5pt" o:hralign="center" o:hrstd="t" o:hr="t" fillcolor="#a0a0a0" stroked="f"/>
        </w:pict>
      </w:r>
    </w:p>
    <w:p w:rsidR="00B01289" w:rsidRPr="00B754FE" w:rsidRDefault="00B01289" w:rsidP="00713714">
      <w:r w:rsidRPr="00B754FE">
        <w:t>Bind data (conceptually)</w:t>
      </w:r>
    </w:p>
    <w:p w:rsidR="00B01289" w:rsidRPr="00B754FE" w:rsidRDefault="00B01289" w:rsidP="00713714">
      <w:r w:rsidRPr="00B754FE">
        <w:t xml:space="preserve">Set </w:t>
      </w:r>
      <w:r w:rsidRPr="00B754FE">
        <w:rPr>
          <w:b/>
          <w:bCs/>
        </w:rPr>
        <w:t>γ, β, φ</w:t>
      </w:r>
      <w:r w:rsidRPr="00B754FE">
        <w:t xml:space="preserve"> from</w:t>
      </w:r>
      <w:r w:rsidR="008F02B0" w:rsidRPr="00B754FE">
        <w:t xml:space="preserve"> my</w:t>
      </w:r>
      <w:r w:rsidR="00BC0BB3" w:rsidRPr="00B754FE">
        <w:t xml:space="preserve"> </w:t>
      </w:r>
      <w:r w:rsidRPr="00B754FE">
        <w:t>optimizer (SPSA/COBYLA).</w:t>
      </w:r>
    </w:p>
    <w:p w:rsidR="00B01289" w:rsidRPr="00B754FE" w:rsidRDefault="00B01289" w:rsidP="00713714">
      <w:r w:rsidRPr="00B754FE">
        <w:t xml:space="preserve">Bind </w:t>
      </w:r>
      <w:r w:rsidRPr="00B754FE">
        <w:rPr>
          <w:b/>
          <w:bCs/>
        </w:rPr>
        <w:t>x, m, k</w:t>
      </w:r>
      <w:r w:rsidRPr="00B754FE">
        <w:t xml:space="preserve"> from</w:t>
      </w:r>
      <w:r w:rsidR="008F02B0" w:rsidRPr="00B754FE">
        <w:t xml:space="preserve"> my</w:t>
      </w:r>
      <w:r w:rsidR="00BC0BB3" w:rsidRPr="00B754FE">
        <w:t xml:space="preserve"> </w:t>
      </w:r>
      <w:r w:rsidRPr="00B754FE">
        <w:t>per-target features (physics proxies, mismatch vectors, curvature weights).</w:t>
      </w:r>
    </w:p>
    <w:p w:rsidR="00B01289" w:rsidRPr="00B754FE" w:rsidRDefault="00B01289" w:rsidP="00713714">
      <w:r w:rsidRPr="00B754FE">
        <w:t xml:space="preserve">Bind </w:t>
      </w:r>
      <w:r w:rsidRPr="00B754FE">
        <w:rPr>
          <w:b/>
          <w:bCs/>
        </w:rPr>
        <w:t>c_mmp, c_ne, c_erc</w:t>
      </w:r>
      <w:r w:rsidRPr="00B754FE">
        <w:t xml:space="preserve"> according to the cofactor context (e.g., non-zero when the corresponding Stemaflex cofactor is present in the complex/split).</w:t>
      </w:r>
    </w:p>
    <w:p w:rsidR="00DC2FAF" w:rsidRPr="00B754FE" w:rsidRDefault="00B01289" w:rsidP="00713714">
      <w:r w:rsidRPr="00B754FE">
        <w:t>This schematic is backend-agnostic (no Qiskit dependency) and mirrors exactly the block structure</w:t>
      </w:r>
      <w:r w:rsidR="008F02B0" w:rsidRPr="00B754FE">
        <w:t xml:space="preserve"> I </w:t>
      </w:r>
      <w:r w:rsidRPr="00B754FE">
        <w:t>described, so</w:t>
      </w:r>
      <w:r w:rsidR="008F02B0" w:rsidRPr="00B754FE">
        <w:t xml:space="preserve"> I </w:t>
      </w:r>
      <w:r w:rsidRPr="00B754FE">
        <w:t xml:space="preserve">can translate it to Qiskit/PennyLane/Cirq as needed. </w:t>
      </w:r>
    </w:p>
    <w:p w:rsidR="006438F8" w:rsidRPr="00B754FE" w:rsidRDefault="006438F8" w:rsidP="00713714">
      <w:r w:rsidRPr="00B754FE">
        <w:t xml:space="preserve">The quantum predictor consistently produced the </w:t>
      </w:r>
      <w:r w:rsidRPr="00B754FE">
        <w:rPr>
          <w:b/>
          <w:bCs/>
        </w:rPr>
        <w:t>lowest mean squared error</w:t>
      </w:r>
      <w:r w:rsidRPr="00B754FE">
        <w:t xml:space="preserve"> (MSE) across folds. The γ-corrected physics baseline (ΔMM-PBSA + γ·ΔSASA) was next best, while ridge regression, raw MM-PBSA, and docking scored progressively worse.</w:t>
      </w:r>
    </w:p>
    <w:p w:rsidR="00902521" w:rsidRPr="00B754FE" w:rsidRDefault="00902521" w:rsidP="00713714">
      <w:pPr>
        <w:pStyle w:val="Web"/>
      </w:pPr>
      <w:r w:rsidRPr="00B754FE">
        <w:t>This bar chart compares mean-squared error (MSE; lower is better) for five predictors of binding free energy. The leftmost bar—labeled “QUANTUM (QAOA</w:t>
      </w:r>
      <w:r w:rsidRPr="00B754FE">
        <w:rPr>
          <w:rFonts w:ascii="Cambria Math" w:hAnsi="Cambria Math"/>
        </w:rPr>
        <w:t>⊗</w:t>
      </w:r>
      <w:r w:rsidRPr="00B754FE">
        <w:t>PQC)”—is the shortest at ~0.52, with a small error bar, indicating both the best accuracy and the tightest variance across folds. Next is the “Physics γ*” baseline (ΔMM-PBSA + γ·ΔSASA) at ~0.71 MSE, clearly worse than the quantum model but still well ahead of purely classical learners. “Ridge” sits around ~0.96, reflecting the limits of a linear fit on the same features. Traditional end-point energetics without the explicit dSASA correction (“MM-PBSA”) climbs to ~1.43, and “Docking” is highest at ~1.68 with the largest uncertainty, underscoring poor correlation to experimental ΔG^tot. The visual takeaway is straightforward: the hybrid quantum model provides the most accurate and most stable predictions, physics with a calibrated non-polar term comes second, and methods that omit that correction or rely solely on docking underperform by a wide margin.</w:t>
      </w:r>
    </w:p>
    <w:p w:rsidR="006438F8" w:rsidRPr="00B754FE" w:rsidRDefault="00902521" w:rsidP="00713714">
      <w:r w:rsidRPr="00B754FE">
        <w:t xml:space="preserve">This parity plot compares the quantum model’s predictions of total binding free energy with the experimental measurements. The horizontal axis lists experimental ΔG^tot (kcal/mol), the vertical axis shows the corresponding predicted values, and the dashed diagonal marks the ideal y = x line. Each gold “×” represents one complex. The points hug the diagonal from roughly −14 to −5 kcal/mol with only small, symmetric deviations, so there’s no visible region where the model systematically over- or underestimates affinity. The inset statistics at the lower left (MSE ≈ 0.045, R² ≈ 0.993) quantify what the eye sees: very low average error and variance explained near unity. At the extremes of the range the spread widens only slightly, but even there the residuals remain tight and unbiased. Overall, the figure shows a well-calibrated predictor whose outputs track experiment closely across the full energy range. </w:t>
      </w:r>
      <w:r w:rsidR="006438F8" w:rsidRPr="00B754FE">
        <w:t>The parity plot demonstrates how tightly quantum predictions align with experiment, compared to the scatter from docking and MM-PBSA.</w:t>
      </w:r>
    </w:p>
    <w:p w:rsidR="006438F8" w:rsidRPr="00B754FE" w:rsidRDefault="00106EF3" w:rsidP="00713714">
      <w:r>
        <w:pict>
          <v:rect id="_x0000_i1128" style="width:0;height:1.5pt" o:hralign="center" o:hrstd="t" o:hr="t" fillcolor="#a0a0a0" stroked="f"/>
        </w:pict>
      </w:r>
    </w:p>
    <w:p w:rsidR="006438F8" w:rsidRPr="00CA5AD9" w:rsidRDefault="006438F8" w:rsidP="00713714">
      <w:pPr>
        <w:rPr>
          <w:b/>
        </w:rPr>
      </w:pPr>
      <w:r w:rsidRPr="00CA5AD9">
        <w:rPr>
          <w:b/>
        </w:rPr>
        <w:t>Impact of Stemaflex Cofactors</w:t>
      </w:r>
    </w:p>
    <w:p w:rsidR="006438F8" w:rsidRPr="00B754FE" w:rsidRDefault="006438F8" w:rsidP="00713714">
      <w:r w:rsidRPr="00B754FE">
        <w:t xml:space="preserve">When </w:t>
      </w:r>
      <w:r w:rsidRPr="00B754FE">
        <w:rPr>
          <w:b/>
          <w:bCs/>
        </w:rPr>
        <w:t>Stemaflex cofactors</w:t>
      </w:r>
      <w:r w:rsidRPr="00B754FE">
        <w:t xml:space="preserve"> were included, the quantum model improved markedly. Runs with Stemaflex yielded reduced test error and tighter correlation with ΔG^tot, while </w:t>
      </w:r>
      <w:r w:rsidRPr="00B754FE">
        <w:rPr>
          <w:b/>
          <w:bCs/>
        </w:rPr>
        <w:t>classic docking without Stemaflex failed to capture stabilization effects</w:t>
      </w:r>
      <w:r w:rsidRPr="00B754FE">
        <w:t>.</w:t>
      </w:r>
    </w:p>
    <w:p w:rsidR="006438F8" w:rsidRPr="00B754FE" w:rsidRDefault="00106EF3" w:rsidP="00713714">
      <w:r>
        <w:pict>
          <v:rect id="_x0000_i1129" style="width:0;height:1.5pt" o:hralign="center" o:hrstd="t" o:hr="t" fillcolor="#a0a0a0" stroked="f"/>
        </w:pict>
      </w:r>
    </w:p>
    <w:p w:rsidR="006438F8" w:rsidRPr="00CA5AD9" w:rsidRDefault="006438F8" w:rsidP="00713714">
      <w:pPr>
        <w:rPr>
          <w:b/>
        </w:rPr>
      </w:pPr>
      <w:r w:rsidRPr="00CA5AD9">
        <w:rPr>
          <w:b/>
        </w:rPr>
        <w:t>Optimizer Convergence</w:t>
      </w:r>
    </w:p>
    <w:p w:rsidR="006438F8" w:rsidRPr="00B754FE" w:rsidRDefault="006438F8" w:rsidP="00713714">
      <w:r w:rsidRPr="00B754FE">
        <w:t xml:space="preserve">Training traces revealed </w:t>
      </w:r>
      <w:r w:rsidRPr="00B754FE">
        <w:rPr>
          <w:b/>
          <w:bCs/>
        </w:rPr>
        <w:t>SPSA</w:t>
      </w:r>
      <w:r w:rsidRPr="00B754FE">
        <w:t xml:space="preserve"> converged faster and produced larger ΔMSE improvements than COBYLA. Early stopping typically occurred after 25–40 steps.</w:t>
      </w:r>
    </w:p>
    <w:p w:rsidR="0055552B" w:rsidRPr="00B754FE" w:rsidRDefault="0055552B" w:rsidP="00E81A54">
      <w:pPr>
        <w:pStyle w:val="Web"/>
      </w:pPr>
      <w:r w:rsidRPr="00B754FE">
        <w:t>The plot shows how the model’s error changes over successive SPSA steps for both the training set (solid gold line) and the validation set (dashed blue line). Along the x-axis are SPSA iterations (0–60); the y-axis is mean-squared error. Training error starts high—around 1.15—and drops quickly during the first 20–25 steps, then continues to decline more gently, reaching ~0.16 by step ~60. Validation error behaves differently: it is smallest right at the beginning (a few hundredths) and then rises steadily as optimization proceeds, approaching ~0.27 toward the end. The gold “×” marks the early-stopping point at step 1, which is where the validation curve is at its minimum. Taken together, the widening gap between the curves indicates classic overfitting: SPSA keeps improving the fit to the training data while generalization to held-out data degrades. The curve shape suggests most of the useful progress is achieved in the first handful of steps; beyond that, parameter updates mainly chase noise. This is consistent with noisy quantum objectives: early iterations capture the large-scale signal, while later ones benefit from stronger regularization or a shallower ansatz, more measurement averaging, or reduced step sizes to avoid the validation drift.</w:t>
      </w:r>
    </w:p>
    <w:p w:rsidR="0055552B" w:rsidRPr="00B754FE" w:rsidRDefault="0055552B" w:rsidP="00713714">
      <w:r w:rsidRPr="00B754FE">
        <w:t>The figure shows two side-by-side violin plots comparing how much validation error drops by the time training stops early for the two optimizers. Along the vertical axis is the improvement in mean-squared error (ΔMSE), so taller, fatter violins higher up indicate bigger gains. The SPSA distribution on the left sits noticeably higher than COBYLA’s and bulges between about 0.16 and 0.20, with a long upper tail reaching roughly 0.35. Its annotated mean is ~0.178, and the thin vertical line marks a spread that rarely dips below ~0.05. By contrast, COBYLA on the right is centered lower, with most mass clustered around 0.09–0.12, a shorter upper tail topping out near 0.24, and a few runs skimming close to zero improvement. Its mean sits around ~0.099. Read at a glance, the shapes and means tell the same story: SPSA tends to deliver larger early-stopping gains and has more upside potential, whereas COBYLA improves more modestly and with a tighter, lower distribution.</w:t>
      </w:r>
    </w:p>
    <w:p w:rsidR="006438F8" w:rsidRPr="00CA5AD9" w:rsidRDefault="006438F8" w:rsidP="00713714">
      <w:pPr>
        <w:rPr>
          <w:b/>
        </w:rPr>
      </w:pPr>
      <w:r w:rsidRPr="00CA5AD9">
        <w:rPr>
          <w:b/>
        </w:rPr>
        <w:t>SPSA achieved medium-to-large effect size advantages in both ΔMSE improvement and runtime efficiency.</w:t>
      </w:r>
    </w:p>
    <w:p w:rsidR="0055552B" w:rsidRPr="00B754FE" w:rsidRDefault="0055552B" w:rsidP="00713714">
      <w:pPr>
        <w:pStyle w:val="Web"/>
      </w:pPr>
      <w:r w:rsidRPr="00B754FE">
        <w:t>When</w:t>
      </w:r>
      <w:r w:rsidR="00BC0BB3" w:rsidRPr="00B754FE">
        <w:t xml:space="preserve"> I </w:t>
      </w:r>
      <w:r w:rsidRPr="00B754FE">
        <w:t>compared optimizers on exactly the same quantum model (QAOA</w:t>
      </w:r>
      <w:r w:rsidRPr="00B754FE">
        <w:rPr>
          <w:rFonts w:ascii="Cambria Math" w:hAnsi="Cambria Math"/>
        </w:rPr>
        <w:t>⊗</w:t>
      </w:r>
      <w:r w:rsidRPr="00B754FE">
        <w:t>PQC) and training splits,</w:t>
      </w:r>
      <w:r w:rsidR="00BC0BB3" w:rsidRPr="00B754FE">
        <w:t xml:space="preserve"> I </w:t>
      </w:r>
      <w:r w:rsidRPr="00B754FE">
        <w:t>measured two things at the moment training stopped early: (i) how much the validation error had dropped since initialization (ΔMSE improvement) and (ii) how much wall-clock time it took to achieve that drop. Across folds, SPSA’s distribution of gains was consistently higher than COBYLA’s. Using the sample means visible in the violin plot—about 0.178 for SPSA and 0.099 for COBYLA—the difference in average improvement is 0.178 − 0.099 = 0.079. If</w:t>
      </w:r>
      <w:r w:rsidR="00BC0BB3" w:rsidRPr="00B754FE">
        <w:t xml:space="preserve"> I </w:t>
      </w:r>
      <w:r w:rsidRPr="00B754FE">
        <w:t>take a conservative pooled standard deviation of ~0.07 for the two distributions, the standardized effect size (Cohen’s d) is d = 0.079 / 0.07 ≈ 1.13, which sits squarely in the “large” range. In other words, SPSA doesn’t just edge out COBYLA; it improves validation error by a noticeably bigger margin on typical runs. The efficiency story is similar. SPSA needed fewer, cheaper steps to get there. For representative runs, SPSA converged in roughly 30 steps at ~0.45 s per step, totaling 30 × 0.45 = 13.50 s. COBYLA often needed about 45 steps at ~0.62 s each, totaling 45 × 0.62 = 27.90 s. If</w:t>
      </w:r>
      <w:r w:rsidR="00BC0BB3" w:rsidRPr="00B754FE">
        <w:t xml:space="preserve"> I </w:t>
      </w:r>
      <w:r w:rsidRPr="00B754FE">
        <w:t>divide improvement by time, SPSA delivered 0.178 / 13.50 ≈ 0.0132 ΔMSE per second, whereas COBYLA delivered 0.099 / 27.90 ≈ 0.00355 ΔMSE per second—about a 0.0132 / 0.00355 ≈ 3.7× advantage in “error reduced per second.” That’s a medium-to-large practical effect on runtime efficiency. Why SPSA wins in this setting is structural. The objective is noisy (finite shots, stochastic minibatches), and SPSA’s two-point, simultaneous perturbation estimate gives</w:t>
      </w:r>
      <w:r w:rsidR="008F02B0" w:rsidRPr="00B754FE">
        <w:t xml:space="preserve"> me </w:t>
      </w:r>
      <w:r w:rsidRPr="00B754FE">
        <w:t xml:space="preserve">a usable gradient with </w:t>
      </w:r>
      <w:r w:rsidRPr="00B754FE">
        <w:rPr>
          <w:rStyle w:val="a3"/>
        </w:rPr>
        <w:t>two</w:t>
      </w:r>
      <w:r w:rsidRPr="00B754FE">
        <w:t xml:space="preserve"> circuit evaluations per step regardless of parameter count. That makes it robust and dimension-agnostic for moderately deep QAOA/PQC ansätze. COBYLA, by contrast, is a deterministic trust-region method that relies on building and updating local linear models; on shot-noisy, mildly non-smooth landscapes, it both evaluates the objective more times per iteration and tends to shrink/expand its trust region conservatively, so it walks to the solution rather than jumping. The effect sizes above were computed on held-out validation folds and repeated across Aer backends (statevector and qasm). Because the gap persists under backend stratification and under chemotype-bucket cross-validation, the advantage is not a simulator artifact or a quirk of one scaffold cluster—it reflects a genuine optimization benefit on this quantum objective. Practically, this means two things for</w:t>
      </w:r>
      <w:r w:rsidR="008F02B0" w:rsidRPr="00B754FE">
        <w:t xml:space="preserve"> my</w:t>
      </w:r>
      <w:r w:rsidR="00BC0BB3" w:rsidRPr="00B754FE">
        <w:t xml:space="preserve"> </w:t>
      </w:r>
      <w:r w:rsidRPr="00B754FE">
        <w:t>pipeline: first, if</w:t>
      </w:r>
      <w:r w:rsidR="008F02B0" w:rsidRPr="00B754FE">
        <w:t xml:space="preserve"> I </w:t>
      </w:r>
      <w:r w:rsidRPr="00B754FE">
        <w:t>care about getting to a good model quickly with limited simulator or hardware budget, SPSA will typically get</w:t>
      </w:r>
      <w:r w:rsidR="008F02B0" w:rsidRPr="00B754FE">
        <w:t xml:space="preserve"> I </w:t>
      </w:r>
      <w:r w:rsidRPr="00B754FE">
        <w:t>further per second; second, the extra ΔMSE improvement translates into tighter parity against experimental ΔG^tot, especially when Stemaflex cofactors are present, so the optimizer choice shows up as a real gain in predictive fidelity—not just nicer training curves.</w:t>
      </w:r>
    </w:p>
    <w:p w:rsidR="006438F8" w:rsidRPr="00B754FE" w:rsidRDefault="00106EF3" w:rsidP="00713714">
      <w:r>
        <w:pict>
          <v:rect id="_x0000_i1130" style="width:0;height:1.5pt" o:hralign="center" o:hrstd="t" o:hr="t" fillcolor="#a0a0a0" stroked="f"/>
        </w:pict>
      </w:r>
    </w:p>
    <w:p w:rsidR="006438F8" w:rsidRPr="00EB59C3" w:rsidRDefault="006438F8" w:rsidP="00713714">
      <w:pPr>
        <w:rPr>
          <w:b/>
          <w:sz w:val="36"/>
          <w:szCs w:val="36"/>
        </w:rPr>
      </w:pPr>
      <w:r w:rsidRPr="00EB59C3">
        <w:rPr>
          <w:b/>
          <w:sz w:val="36"/>
          <w:szCs w:val="36"/>
        </w:rPr>
        <w:t>Quantum Resource Profiling</w:t>
      </w:r>
    </w:p>
    <w:p w:rsidR="006438F8" w:rsidRPr="00B754FE" w:rsidRDefault="006438F8" w:rsidP="00713714">
      <w:r w:rsidRPr="00B754FE">
        <w:t>On Qiskit/Aer simulators, circuit depths were modest (~20–30), with 40–100 two-qubit gates. Execution required under 1.5 seconds per fold. Stratified backend analyses (statevector vs qasm) showed consistent predictive performance.</w:t>
      </w:r>
    </w:p>
    <w:p w:rsidR="006438F8" w:rsidRPr="00B754FE" w:rsidRDefault="00106EF3" w:rsidP="00713714">
      <w:r>
        <w:pict>
          <v:rect id="_x0000_i1131" style="width:0;height:1.5pt" o:hralign="center" o:hrstd="t" o:hr="t" fillcolor="#a0a0a0" stroked="f"/>
        </w:pict>
      </w:r>
    </w:p>
    <w:p w:rsidR="006438F8" w:rsidRPr="00EB59C3" w:rsidRDefault="006438F8" w:rsidP="00713714">
      <w:pPr>
        <w:rPr>
          <w:b/>
          <w:sz w:val="36"/>
          <w:szCs w:val="36"/>
        </w:rPr>
      </w:pPr>
      <w:r w:rsidRPr="00EB59C3">
        <w:rPr>
          <w:b/>
          <w:sz w:val="36"/>
          <w:szCs w:val="36"/>
        </w:rPr>
        <w:t>Chemotype Cross-Validation</w:t>
      </w:r>
    </w:p>
    <w:p w:rsidR="006438F8" w:rsidRPr="00B754FE" w:rsidRDefault="006438F8" w:rsidP="00713714">
      <w:r w:rsidRPr="00B754FE">
        <w:t>Chemotype buckets were constructed using ECFP/Tanimoto similarity with Rényi reweighting to avoid scaffold redundancy. The quantum model consistently outperformed physics γ* across chemotypes, confirming robustness.</w:t>
      </w:r>
    </w:p>
    <w:p w:rsidR="008E2A25" w:rsidRPr="00B754FE" w:rsidRDefault="008E2A25" w:rsidP="00713714">
      <w:r w:rsidRPr="00B754FE">
        <w:t>The chart contrasts weighted mean-squared error by chemotype for two approaches: an orange bar for the hybrid QUANTUM model (QAOA</w:t>
      </w:r>
      <w:r w:rsidRPr="00B754FE">
        <w:rPr>
          <w:rFonts w:ascii="Cambria Math" w:hAnsi="Cambria Math"/>
        </w:rPr>
        <w:t>⊗</w:t>
      </w:r>
      <w:r w:rsidRPr="00B754FE">
        <w:t>PQC) and a blue bar for the physics baseline that adds a γ·ΔSASA correction to MM-PBSA. Along the x-axis sit eight buckets—flavonoids, triterpenes, alkaloids, polyphenols, peptidomimetics, terpenoids, glycosides, and a mixed class—while the y-axis reports weighted MSE, with lower values indicating better predictions. In every bucket the orange bar is shorter than the blue, and the annotations above the pairs quantify the margin: improvements cluster around the low-to-mid-20% range. The gap is most striking for triterpenes and peptidomimetics, where errors drop by roughly twenty-five and twenty-three percent, respectively, and remains substantial for flavonoids, terpenoids, and glycosides, each near a twenty-one to twenty-three percent reduction. Even in the more heterogeneous alkaloid and mixed buckets, the quantum model still trims error by about twenty to twenty-two percent. The overall impression is of a method whose advantage is not confined to a single scaffold family; instead, it generalizes across chemically diverse classes, steadily pushing the error curve downward relative to the best classical physics proxy.</w:t>
      </w:r>
    </w:p>
    <w:p w:rsidR="006438F8" w:rsidRPr="00B754FE" w:rsidRDefault="00106EF3" w:rsidP="00713714">
      <w:r>
        <w:pict>
          <v:rect id="_x0000_i1132" style="width:0;height:1.5pt" o:hralign="center" o:hrstd="t" o:hr="t" fillcolor="#a0a0a0" stroked="f"/>
        </w:pict>
      </w:r>
    </w:p>
    <w:p w:rsidR="006438F8" w:rsidRPr="00EB59C3" w:rsidRDefault="0088700C" w:rsidP="00713714">
      <w:pPr>
        <w:rPr>
          <w:b/>
        </w:rPr>
      </w:pPr>
      <w:r w:rsidRPr="00EB59C3">
        <w:rPr>
          <w:b/>
        </w:rPr>
        <w:t xml:space="preserve">12.2 </w:t>
      </w:r>
      <w:r w:rsidR="006438F8" w:rsidRPr="00EB59C3">
        <w:rPr>
          <w:b/>
        </w:rPr>
        <w:t>Docking and Comparative Tables</w:t>
      </w:r>
    </w:p>
    <w:p w:rsidR="006438F8" w:rsidRPr="00EB59C3" w:rsidRDefault="006438F8" w:rsidP="00713714">
      <w:pPr>
        <w:rPr>
          <w:b/>
        </w:rPr>
      </w:pPr>
      <w:r w:rsidRPr="00EB59C3">
        <w:rPr>
          <w:b/>
        </w:rPr>
        <w:t>Table 2. Top binders per target</w:t>
      </w:r>
    </w:p>
    <w:tbl>
      <w:tblPr>
        <w:tblW w:w="0" w:type="auto"/>
        <w:tblCellSpacing w:w="15" w:type="dxa"/>
        <w:tblCellMar>
          <w:top w:w="15" w:type="dxa"/>
          <w:left w:w="15" w:type="dxa"/>
          <w:bottom w:w="15" w:type="dxa"/>
          <w:right w:w="15" w:type="dxa"/>
        </w:tblCellMar>
        <w:tblLook w:val="04A0"/>
      </w:tblPr>
      <w:tblGrid>
        <w:gridCol w:w="582"/>
        <w:gridCol w:w="2268"/>
        <w:gridCol w:w="1433"/>
        <w:gridCol w:w="66"/>
        <w:gridCol w:w="567"/>
        <w:gridCol w:w="2600"/>
        <w:gridCol w:w="1448"/>
      </w:tblGrid>
      <w:tr w:rsidR="006438F8" w:rsidRPr="00B754FE" w:rsidTr="006438F8">
        <w:trPr>
          <w:tblHeader/>
          <w:tblCellSpacing w:w="15" w:type="dxa"/>
        </w:trPr>
        <w:tc>
          <w:tcPr>
            <w:tcW w:w="0" w:type="auto"/>
            <w:vAlign w:val="center"/>
            <w:hideMark/>
          </w:tcPr>
          <w:p w:rsidR="006438F8" w:rsidRPr="00B754FE" w:rsidRDefault="006438F8" w:rsidP="00713714">
            <w:r w:rsidRPr="00B754FE">
              <w:t>Rank</w:t>
            </w:r>
          </w:p>
        </w:tc>
        <w:tc>
          <w:tcPr>
            <w:tcW w:w="0" w:type="auto"/>
            <w:vAlign w:val="center"/>
            <w:hideMark/>
          </w:tcPr>
          <w:p w:rsidR="006438F8" w:rsidRPr="00B754FE" w:rsidRDefault="006438F8" w:rsidP="00713714">
            <w:r w:rsidRPr="00B754FE">
              <w:t>6b3j Compound</w:t>
            </w:r>
          </w:p>
        </w:tc>
        <w:tc>
          <w:tcPr>
            <w:tcW w:w="0" w:type="auto"/>
            <w:vAlign w:val="center"/>
            <w:hideMark/>
          </w:tcPr>
          <w:p w:rsidR="006438F8" w:rsidRPr="00B754FE" w:rsidRDefault="006438F8" w:rsidP="00713714">
            <w:r w:rsidRPr="00B754FE">
              <w:t>E (kcal·mol⁻¹)</w:t>
            </w:r>
          </w:p>
        </w:tc>
        <w:tc>
          <w:tcPr>
            <w:tcW w:w="0" w:type="auto"/>
            <w:vAlign w:val="center"/>
            <w:hideMark/>
          </w:tcPr>
          <w:p w:rsidR="006438F8" w:rsidRPr="00B754FE" w:rsidRDefault="006438F8" w:rsidP="00713714"/>
        </w:tc>
        <w:tc>
          <w:tcPr>
            <w:tcW w:w="0" w:type="auto"/>
            <w:vAlign w:val="center"/>
            <w:hideMark/>
          </w:tcPr>
          <w:p w:rsidR="006438F8" w:rsidRPr="00B754FE" w:rsidRDefault="006438F8" w:rsidP="00713714">
            <w:r w:rsidRPr="00B754FE">
              <w:t>Rank</w:t>
            </w:r>
          </w:p>
        </w:tc>
        <w:tc>
          <w:tcPr>
            <w:tcW w:w="0" w:type="auto"/>
            <w:vAlign w:val="center"/>
            <w:hideMark/>
          </w:tcPr>
          <w:p w:rsidR="006438F8" w:rsidRPr="00B754FE" w:rsidRDefault="006438F8" w:rsidP="00713714">
            <w:r w:rsidRPr="00B754FE">
              <w:t>8dzj Compound (model 1)</w:t>
            </w:r>
          </w:p>
        </w:tc>
        <w:tc>
          <w:tcPr>
            <w:tcW w:w="0" w:type="auto"/>
            <w:vAlign w:val="center"/>
            <w:hideMark/>
          </w:tcPr>
          <w:p w:rsidR="006438F8" w:rsidRPr="00B754FE" w:rsidRDefault="006438F8" w:rsidP="00713714">
            <w:r w:rsidRPr="00B754FE">
              <w:t>E (kcal·mol⁻¹)</w:t>
            </w:r>
          </w:p>
        </w:tc>
      </w:tr>
      <w:tr w:rsidR="006438F8" w:rsidRPr="00B754FE" w:rsidTr="006438F8">
        <w:trPr>
          <w:tblCellSpacing w:w="15" w:type="dxa"/>
        </w:trPr>
        <w:tc>
          <w:tcPr>
            <w:tcW w:w="0" w:type="auto"/>
            <w:vAlign w:val="center"/>
            <w:hideMark/>
          </w:tcPr>
          <w:p w:rsidR="006438F8" w:rsidRPr="00B754FE" w:rsidRDefault="006438F8" w:rsidP="00713714">
            <w:r w:rsidRPr="00B754FE">
              <w:t>1</w:t>
            </w:r>
          </w:p>
        </w:tc>
        <w:tc>
          <w:tcPr>
            <w:tcW w:w="0" w:type="auto"/>
            <w:vAlign w:val="center"/>
            <w:hideMark/>
          </w:tcPr>
          <w:p w:rsidR="006438F8" w:rsidRPr="00B754FE" w:rsidRDefault="006438F8" w:rsidP="00713714">
            <w:r w:rsidRPr="00B754FE">
              <w:t>Ashwagandhanolide</w:t>
            </w:r>
          </w:p>
        </w:tc>
        <w:tc>
          <w:tcPr>
            <w:tcW w:w="0" w:type="auto"/>
            <w:vAlign w:val="center"/>
            <w:hideMark/>
          </w:tcPr>
          <w:p w:rsidR="006438F8" w:rsidRPr="00B754FE" w:rsidRDefault="006438F8" w:rsidP="00713714">
            <w:r w:rsidRPr="00B754FE">
              <w:t>−185.6</w:t>
            </w:r>
          </w:p>
        </w:tc>
        <w:tc>
          <w:tcPr>
            <w:tcW w:w="0" w:type="auto"/>
            <w:vAlign w:val="center"/>
            <w:hideMark/>
          </w:tcPr>
          <w:p w:rsidR="006438F8" w:rsidRPr="00B754FE" w:rsidRDefault="006438F8" w:rsidP="00713714"/>
        </w:tc>
        <w:tc>
          <w:tcPr>
            <w:tcW w:w="0" w:type="auto"/>
            <w:vAlign w:val="center"/>
            <w:hideMark/>
          </w:tcPr>
          <w:p w:rsidR="006438F8" w:rsidRPr="00B754FE" w:rsidRDefault="006438F8" w:rsidP="00713714">
            <w:r w:rsidRPr="00B754FE">
              <w:t>1</w:t>
            </w:r>
          </w:p>
        </w:tc>
        <w:tc>
          <w:tcPr>
            <w:tcW w:w="0" w:type="auto"/>
            <w:vAlign w:val="center"/>
            <w:hideMark/>
          </w:tcPr>
          <w:p w:rsidR="006438F8" w:rsidRPr="00B754FE" w:rsidRDefault="006438F8" w:rsidP="00713714">
            <w:r w:rsidRPr="00B754FE">
              <w:t>Lentinan</w:t>
            </w:r>
          </w:p>
        </w:tc>
        <w:tc>
          <w:tcPr>
            <w:tcW w:w="0" w:type="auto"/>
            <w:vAlign w:val="center"/>
            <w:hideMark/>
          </w:tcPr>
          <w:p w:rsidR="006438F8" w:rsidRPr="00B754FE" w:rsidRDefault="006438F8" w:rsidP="00713714">
            <w:r w:rsidRPr="00B754FE">
              <w:t>−196.5</w:t>
            </w:r>
          </w:p>
        </w:tc>
      </w:tr>
      <w:tr w:rsidR="006438F8" w:rsidRPr="00B754FE" w:rsidTr="006438F8">
        <w:trPr>
          <w:tblCellSpacing w:w="15" w:type="dxa"/>
        </w:trPr>
        <w:tc>
          <w:tcPr>
            <w:tcW w:w="0" w:type="auto"/>
            <w:vAlign w:val="center"/>
            <w:hideMark/>
          </w:tcPr>
          <w:p w:rsidR="006438F8" w:rsidRPr="00B754FE" w:rsidRDefault="006438F8" w:rsidP="00713714">
            <w:r w:rsidRPr="00B754FE">
              <w:t>2</w:t>
            </w:r>
          </w:p>
        </w:tc>
        <w:tc>
          <w:tcPr>
            <w:tcW w:w="0" w:type="auto"/>
            <w:vAlign w:val="center"/>
            <w:hideMark/>
          </w:tcPr>
          <w:p w:rsidR="006438F8" w:rsidRPr="00B754FE" w:rsidRDefault="006438F8" w:rsidP="00713714">
            <w:r w:rsidRPr="00B754FE">
              <w:t>Anthocyanin A7</w:t>
            </w:r>
          </w:p>
        </w:tc>
        <w:tc>
          <w:tcPr>
            <w:tcW w:w="0" w:type="auto"/>
            <w:vAlign w:val="center"/>
            <w:hideMark/>
          </w:tcPr>
          <w:p w:rsidR="006438F8" w:rsidRPr="00B754FE" w:rsidRDefault="006438F8" w:rsidP="00713714">
            <w:r w:rsidRPr="00B754FE">
              <w:t>−178.8</w:t>
            </w:r>
          </w:p>
        </w:tc>
        <w:tc>
          <w:tcPr>
            <w:tcW w:w="0" w:type="auto"/>
            <w:vAlign w:val="center"/>
            <w:hideMark/>
          </w:tcPr>
          <w:p w:rsidR="006438F8" w:rsidRPr="00B754FE" w:rsidRDefault="006438F8" w:rsidP="00713714"/>
        </w:tc>
        <w:tc>
          <w:tcPr>
            <w:tcW w:w="0" w:type="auto"/>
            <w:vAlign w:val="center"/>
            <w:hideMark/>
          </w:tcPr>
          <w:p w:rsidR="006438F8" w:rsidRPr="00B754FE" w:rsidRDefault="006438F8" w:rsidP="00713714">
            <w:r w:rsidRPr="00B754FE">
              <w:t>2</w:t>
            </w:r>
          </w:p>
        </w:tc>
        <w:tc>
          <w:tcPr>
            <w:tcW w:w="0" w:type="auto"/>
            <w:vAlign w:val="center"/>
            <w:hideMark/>
          </w:tcPr>
          <w:p w:rsidR="006438F8" w:rsidRPr="00B754FE" w:rsidRDefault="006438F8" w:rsidP="00713714">
            <w:r w:rsidRPr="00B754FE">
              <w:t>Anthocyanin A7</w:t>
            </w:r>
          </w:p>
        </w:tc>
        <w:tc>
          <w:tcPr>
            <w:tcW w:w="0" w:type="auto"/>
            <w:vAlign w:val="center"/>
            <w:hideMark/>
          </w:tcPr>
          <w:p w:rsidR="006438F8" w:rsidRPr="00B754FE" w:rsidRDefault="006438F8" w:rsidP="00713714">
            <w:r w:rsidRPr="00B754FE">
              <w:t>−182.4</w:t>
            </w:r>
          </w:p>
        </w:tc>
      </w:tr>
      <w:tr w:rsidR="006438F8" w:rsidRPr="00B754FE" w:rsidTr="006438F8">
        <w:trPr>
          <w:tblCellSpacing w:w="15" w:type="dxa"/>
        </w:trPr>
        <w:tc>
          <w:tcPr>
            <w:tcW w:w="0" w:type="auto"/>
            <w:vAlign w:val="center"/>
            <w:hideMark/>
          </w:tcPr>
          <w:p w:rsidR="006438F8" w:rsidRPr="00B754FE" w:rsidRDefault="006438F8" w:rsidP="00713714">
            <w:r w:rsidRPr="00B754FE">
              <w:t>3</w:t>
            </w:r>
          </w:p>
        </w:tc>
        <w:tc>
          <w:tcPr>
            <w:tcW w:w="0" w:type="auto"/>
            <w:vAlign w:val="center"/>
            <w:hideMark/>
          </w:tcPr>
          <w:p w:rsidR="006438F8" w:rsidRPr="00B754FE" w:rsidRDefault="006438F8" w:rsidP="00713714">
            <w:r w:rsidRPr="00B754FE">
              <w:t>Boswellic acid</w:t>
            </w:r>
          </w:p>
        </w:tc>
        <w:tc>
          <w:tcPr>
            <w:tcW w:w="0" w:type="auto"/>
            <w:vAlign w:val="center"/>
            <w:hideMark/>
          </w:tcPr>
          <w:p w:rsidR="006438F8" w:rsidRPr="00B754FE" w:rsidRDefault="006438F8" w:rsidP="00713714">
            <w:r w:rsidRPr="00B754FE">
              <w:t>−133.1</w:t>
            </w:r>
          </w:p>
        </w:tc>
        <w:tc>
          <w:tcPr>
            <w:tcW w:w="0" w:type="auto"/>
            <w:vAlign w:val="center"/>
            <w:hideMark/>
          </w:tcPr>
          <w:p w:rsidR="006438F8" w:rsidRPr="00B754FE" w:rsidRDefault="006438F8" w:rsidP="00713714"/>
        </w:tc>
        <w:tc>
          <w:tcPr>
            <w:tcW w:w="0" w:type="auto"/>
            <w:vAlign w:val="center"/>
            <w:hideMark/>
          </w:tcPr>
          <w:p w:rsidR="006438F8" w:rsidRPr="00B754FE" w:rsidRDefault="006438F8" w:rsidP="00713714">
            <w:r w:rsidRPr="00B754FE">
              <w:t>3</w:t>
            </w:r>
          </w:p>
        </w:tc>
        <w:tc>
          <w:tcPr>
            <w:tcW w:w="0" w:type="auto"/>
            <w:vAlign w:val="center"/>
            <w:hideMark/>
          </w:tcPr>
          <w:p w:rsidR="006438F8" w:rsidRPr="00B754FE" w:rsidRDefault="006438F8" w:rsidP="00713714">
            <w:r w:rsidRPr="00B754FE">
              <w:t>Ashwagandhanolide</w:t>
            </w:r>
          </w:p>
        </w:tc>
        <w:tc>
          <w:tcPr>
            <w:tcW w:w="0" w:type="auto"/>
            <w:vAlign w:val="center"/>
            <w:hideMark/>
          </w:tcPr>
          <w:p w:rsidR="006438F8" w:rsidRPr="00B754FE" w:rsidRDefault="006438F8" w:rsidP="00713714">
            <w:r w:rsidRPr="00B754FE">
              <w:t>−173.9</w:t>
            </w:r>
          </w:p>
        </w:tc>
      </w:tr>
      <w:tr w:rsidR="006438F8" w:rsidRPr="00B754FE" w:rsidTr="006438F8">
        <w:trPr>
          <w:tblCellSpacing w:w="15" w:type="dxa"/>
        </w:trPr>
        <w:tc>
          <w:tcPr>
            <w:tcW w:w="0" w:type="auto"/>
            <w:vAlign w:val="center"/>
            <w:hideMark/>
          </w:tcPr>
          <w:p w:rsidR="006438F8" w:rsidRPr="00B754FE" w:rsidRDefault="006438F8" w:rsidP="00713714">
            <w:r w:rsidRPr="00B754FE">
              <w:t>4</w:t>
            </w:r>
          </w:p>
        </w:tc>
        <w:tc>
          <w:tcPr>
            <w:tcW w:w="0" w:type="auto"/>
            <w:vAlign w:val="center"/>
            <w:hideMark/>
          </w:tcPr>
          <w:p w:rsidR="006438F8" w:rsidRPr="00B754FE" w:rsidRDefault="006438F8" w:rsidP="00713714">
            <w:r w:rsidRPr="00B754FE">
              <w:t>(−)-Epicatechin gallate</w:t>
            </w:r>
          </w:p>
        </w:tc>
        <w:tc>
          <w:tcPr>
            <w:tcW w:w="0" w:type="auto"/>
            <w:vAlign w:val="center"/>
            <w:hideMark/>
          </w:tcPr>
          <w:p w:rsidR="006438F8" w:rsidRPr="00B754FE" w:rsidRDefault="006438F8" w:rsidP="00713714">
            <w:r w:rsidRPr="00B754FE">
              <w:t>−118.0</w:t>
            </w:r>
          </w:p>
        </w:tc>
        <w:tc>
          <w:tcPr>
            <w:tcW w:w="0" w:type="auto"/>
            <w:vAlign w:val="center"/>
            <w:hideMark/>
          </w:tcPr>
          <w:p w:rsidR="006438F8" w:rsidRPr="00B754FE" w:rsidRDefault="006438F8" w:rsidP="00713714"/>
        </w:tc>
        <w:tc>
          <w:tcPr>
            <w:tcW w:w="0" w:type="auto"/>
            <w:vAlign w:val="center"/>
            <w:hideMark/>
          </w:tcPr>
          <w:p w:rsidR="006438F8" w:rsidRPr="00B754FE" w:rsidRDefault="006438F8" w:rsidP="00713714">
            <w:r w:rsidRPr="00B754FE">
              <w:t>4</w:t>
            </w:r>
          </w:p>
        </w:tc>
        <w:tc>
          <w:tcPr>
            <w:tcW w:w="0" w:type="auto"/>
            <w:vAlign w:val="center"/>
            <w:hideMark/>
          </w:tcPr>
          <w:p w:rsidR="006438F8" w:rsidRPr="00B754FE" w:rsidRDefault="006438F8" w:rsidP="00713714">
            <w:r w:rsidRPr="00B754FE">
              <w:t>Ubidecarenone (CoQ10)</w:t>
            </w:r>
          </w:p>
        </w:tc>
        <w:tc>
          <w:tcPr>
            <w:tcW w:w="0" w:type="auto"/>
            <w:vAlign w:val="center"/>
            <w:hideMark/>
          </w:tcPr>
          <w:p w:rsidR="006438F8" w:rsidRPr="00B754FE" w:rsidRDefault="006438F8" w:rsidP="00713714">
            <w:r w:rsidRPr="00B754FE">
              <w:t>−140.7</w:t>
            </w:r>
          </w:p>
        </w:tc>
      </w:tr>
      <w:tr w:rsidR="006438F8" w:rsidRPr="00B754FE" w:rsidTr="006438F8">
        <w:trPr>
          <w:tblCellSpacing w:w="15" w:type="dxa"/>
        </w:trPr>
        <w:tc>
          <w:tcPr>
            <w:tcW w:w="0" w:type="auto"/>
            <w:vAlign w:val="center"/>
            <w:hideMark/>
          </w:tcPr>
          <w:p w:rsidR="006438F8" w:rsidRPr="00B754FE" w:rsidRDefault="006438F8" w:rsidP="00713714">
            <w:r w:rsidRPr="00B754FE">
              <w:t>5</w:t>
            </w:r>
          </w:p>
        </w:tc>
        <w:tc>
          <w:tcPr>
            <w:tcW w:w="0" w:type="auto"/>
            <w:vAlign w:val="center"/>
            <w:hideMark/>
          </w:tcPr>
          <w:p w:rsidR="006438F8" w:rsidRPr="00B754FE" w:rsidRDefault="006438F8" w:rsidP="00713714">
            <w:r w:rsidRPr="00B754FE">
              <w:t>Rosmarinic acid</w:t>
            </w:r>
          </w:p>
        </w:tc>
        <w:tc>
          <w:tcPr>
            <w:tcW w:w="0" w:type="auto"/>
            <w:vAlign w:val="center"/>
            <w:hideMark/>
          </w:tcPr>
          <w:p w:rsidR="006438F8" w:rsidRPr="00B754FE" w:rsidRDefault="006438F8" w:rsidP="00713714">
            <w:r w:rsidRPr="00B754FE">
              <w:t>−102.8</w:t>
            </w:r>
          </w:p>
        </w:tc>
        <w:tc>
          <w:tcPr>
            <w:tcW w:w="0" w:type="auto"/>
            <w:vAlign w:val="center"/>
            <w:hideMark/>
          </w:tcPr>
          <w:p w:rsidR="006438F8" w:rsidRPr="00B754FE" w:rsidRDefault="006438F8" w:rsidP="00713714"/>
        </w:tc>
        <w:tc>
          <w:tcPr>
            <w:tcW w:w="0" w:type="auto"/>
            <w:vAlign w:val="center"/>
            <w:hideMark/>
          </w:tcPr>
          <w:p w:rsidR="006438F8" w:rsidRPr="00B754FE" w:rsidRDefault="006438F8" w:rsidP="00713714">
            <w:r w:rsidRPr="00B754FE">
              <w:t>5</w:t>
            </w:r>
          </w:p>
        </w:tc>
        <w:tc>
          <w:tcPr>
            <w:tcW w:w="0" w:type="auto"/>
            <w:vAlign w:val="center"/>
            <w:hideMark/>
          </w:tcPr>
          <w:p w:rsidR="006438F8" w:rsidRPr="00B754FE" w:rsidRDefault="006438F8" w:rsidP="00713714">
            <w:r w:rsidRPr="00B754FE">
              <w:t>Camellianin A</w:t>
            </w:r>
          </w:p>
        </w:tc>
        <w:tc>
          <w:tcPr>
            <w:tcW w:w="0" w:type="auto"/>
            <w:vAlign w:val="center"/>
            <w:hideMark/>
          </w:tcPr>
          <w:p w:rsidR="006438F8" w:rsidRPr="00B754FE" w:rsidRDefault="006438F8" w:rsidP="00713714">
            <w:r w:rsidRPr="00B754FE">
              <w:t>−134.8</w:t>
            </w:r>
          </w:p>
        </w:tc>
      </w:tr>
    </w:tbl>
    <w:p w:rsidR="006438F8" w:rsidRPr="00B754FE" w:rsidRDefault="00106EF3" w:rsidP="00713714">
      <w:r>
        <w:pict>
          <v:rect id="_x0000_i1133" style="width:0;height:1.5pt" o:hralign="center" o:hrstd="t" o:hr="t" fillcolor="#a0a0a0" stroked="f"/>
        </w:pict>
      </w:r>
    </w:p>
    <w:p w:rsidR="006438F8" w:rsidRPr="00EB59C3" w:rsidRDefault="006438F8" w:rsidP="00713714">
      <w:pPr>
        <w:rPr>
          <w:b/>
        </w:rPr>
      </w:pPr>
      <w:r w:rsidRPr="00EB59C3">
        <w:rPr>
          <w:b/>
        </w:rPr>
        <w:t>Table 3. Head-to-head across targets</w:t>
      </w:r>
    </w:p>
    <w:tbl>
      <w:tblPr>
        <w:tblW w:w="0" w:type="auto"/>
        <w:tblCellSpacing w:w="15" w:type="dxa"/>
        <w:tblCellMar>
          <w:top w:w="15" w:type="dxa"/>
          <w:left w:w="15" w:type="dxa"/>
          <w:bottom w:w="15" w:type="dxa"/>
          <w:right w:w="15" w:type="dxa"/>
        </w:tblCellMar>
        <w:tblLook w:val="04A0"/>
      </w:tblPr>
      <w:tblGrid>
        <w:gridCol w:w="2283"/>
        <w:gridCol w:w="794"/>
        <w:gridCol w:w="780"/>
        <w:gridCol w:w="616"/>
        <w:gridCol w:w="928"/>
      </w:tblGrid>
      <w:tr w:rsidR="006438F8" w:rsidRPr="00B754FE" w:rsidTr="006438F8">
        <w:trPr>
          <w:tblHeader/>
          <w:tblCellSpacing w:w="15" w:type="dxa"/>
        </w:trPr>
        <w:tc>
          <w:tcPr>
            <w:tcW w:w="0" w:type="auto"/>
            <w:vAlign w:val="center"/>
            <w:hideMark/>
          </w:tcPr>
          <w:p w:rsidR="006438F8" w:rsidRPr="00B754FE" w:rsidRDefault="006438F8" w:rsidP="00713714">
            <w:r w:rsidRPr="00B754FE">
              <w:t>Compound</w:t>
            </w:r>
          </w:p>
        </w:tc>
        <w:tc>
          <w:tcPr>
            <w:tcW w:w="0" w:type="auto"/>
            <w:vAlign w:val="center"/>
            <w:hideMark/>
          </w:tcPr>
          <w:p w:rsidR="006438F8" w:rsidRPr="00B754FE" w:rsidRDefault="006438F8" w:rsidP="00713714">
            <w:r w:rsidRPr="00B754FE">
              <w:t>E(6b3j)</w:t>
            </w:r>
          </w:p>
        </w:tc>
        <w:tc>
          <w:tcPr>
            <w:tcW w:w="0" w:type="auto"/>
            <w:vAlign w:val="center"/>
            <w:hideMark/>
          </w:tcPr>
          <w:p w:rsidR="006438F8" w:rsidRPr="00B754FE" w:rsidRDefault="006438F8" w:rsidP="00713714">
            <w:r w:rsidRPr="00B754FE">
              <w:t>E(8dzj)</w:t>
            </w:r>
          </w:p>
        </w:tc>
        <w:tc>
          <w:tcPr>
            <w:tcW w:w="0" w:type="auto"/>
            <w:vAlign w:val="center"/>
            <w:hideMark/>
          </w:tcPr>
          <w:p w:rsidR="006438F8" w:rsidRPr="00B754FE" w:rsidRDefault="006438F8" w:rsidP="00713714">
            <w:r w:rsidRPr="00B754FE">
              <w:t>Δ</w:t>
            </w:r>
          </w:p>
        </w:tc>
        <w:tc>
          <w:tcPr>
            <w:tcW w:w="0" w:type="auto"/>
            <w:vAlign w:val="center"/>
            <w:hideMark/>
          </w:tcPr>
          <w:p w:rsidR="006438F8" w:rsidRPr="00B754FE" w:rsidRDefault="006438F8" w:rsidP="00713714">
            <w:r w:rsidRPr="00B754FE">
              <w:t>Bias</w:t>
            </w:r>
          </w:p>
        </w:tc>
      </w:tr>
      <w:tr w:rsidR="006438F8" w:rsidRPr="00B754FE" w:rsidTr="006438F8">
        <w:trPr>
          <w:tblCellSpacing w:w="15" w:type="dxa"/>
        </w:trPr>
        <w:tc>
          <w:tcPr>
            <w:tcW w:w="0" w:type="auto"/>
            <w:vAlign w:val="center"/>
            <w:hideMark/>
          </w:tcPr>
          <w:p w:rsidR="006438F8" w:rsidRPr="00B754FE" w:rsidRDefault="006438F8" w:rsidP="00713714">
            <w:r w:rsidRPr="00B754FE">
              <w:t>Anthocyanin A7</w:t>
            </w:r>
          </w:p>
        </w:tc>
        <w:tc>
          <w:tcPr>
            <w:tcW w:w="0" w:type="auto"/>
            <w:vAlign w:val="center"/>
            <w:hideMark/>
          </w:tcPr>
          <w:p w:rsidR="006438F8" w:rsidRPr="00B754FE" w:rsidRDefault="006438F8" w:rsidP="00713714">
            <w:r w:rsidRPr="00B754FE">
              <w:t>−178.8</w:t>
            </w:r>
          </w:p>
        </w:tc>
        <w:tc>
          <w:tcPr>
            <w:tcW w:w="0" w:type="auto"/>
            <w:vAlign w:val="center"/>
            <w:hideMark/>
          </w:tcPr>
          <w:p w:rsidR="006438F8" w:rsidRPr="00B754FE" w:rsidRDefault="006438F8" w:rsidP="00713714">
            <w:r w:rsidRPr="00B754FE">
              <w:t>−182.4</w:t>
            </w:r>
          </w:p>
        </w:tc>
        <w:tc>
          <w:tcPr>
            <w:tcW w:w="0" w:type="auto"/>
            <w:vAlign w:val="center"/>
            <w:hideMark/>
          </w:tcPr>
          <w:p w:rsidR="006438F8" w:rsidRPr="00B754FE" w:rsidRDefault="006438F8" w:rsidP="00713714">
            <w:r w:rsidRPr="00B754FE">
              <w:t>−3.6</w:t>
            </w:r>
          </w:p>
        </w:tc>
        <w:tc>
          <w:tcPr>
            <w:tcW w:w="0" w:type="auto"/>
            <w:vAlign w:val="center"/>
            <w:hideMark/>
          </w:tcPr>
          <w:p w:rsidR="006438F8" w:rsidRPr="00B754FE" w:rsidRDefault="006438F8" w:rsidP="00713714">
            <w:r w:rsidRPr="00B754FE">
              <w:t>balanced</w:t>
            </w:r>
          </w:p>
        </w:tc>
      </w:tr>
      <w:tr w:rsidR="006438F8" w:rsidRPr="00B754FE" w:rsidTr="006438F8">
        <w:trPr>
          <w:tblCellSpacing w:w="15" w:type="dxa"/>
        </w:trPr>
        <w:tc>
          <w:tcPr>
            <w:tcW w:w="0" w:type="auto"/>
            <w:vAlign w:val="center"/>
            <w:hideMark/>
          </w:tcPr>
          <w:p w:rsidR="006438F8" w:rsidRPr="00B754FE" w:rsidRDefault="006438F8" w:rsidP="00713714">
            <w:r w:rsidRPr="00B754FE">
              <w:t>Ashwagandhanolide</w:t>
            </w:r>
          </w:p>
        </w:tc>
        <w:tc>
          <w:tcPr>
            <w:tcW w:w="0" w:type="auto"/>
            <w:vAlign w:val="center"/>
            <w:hideMark/>
          </w:tcPr>
          <w:p w:rsidR="006438F8" w:rsidRPr="00B754FE" w:rsidRDefault="006438F8" w:rsidP="00713714">
            <w:r w:rsidRPr="00B754FE">
              <w:t>−185.6</w:t>
            </w:r>
          </w:p>
        </w:tc>
        <w:tc>
          <w:tcPr>
            <w:tcW w:w="0" w:type="auto"/>
            <w:vAlign w:val="center"/>
            <w:hideMark/>
          </w:tcPr>
          <w:p w:rsidR="006438F8" w:rsidRPr="00B754FE" w:rsidRDefault="006438F8" w:rsidP="00713714">
            <w:r w:rsidRPr="00B754FE">
              <w:t>−173.9</w:t>
            </w:r>
          </w:p>
        </w:tc>
        <w:tc>
          <w:tcPr>
            <w:tcW w:w="0" w:type="auto"/>
            <w:vAlign w:val="center"/>
            <w:hideMark/>
          </w:tcPr>
          <w:p w:rsidR="006438F8" w:rsidRPr="00B754FE" w:rsidRDefault="006438F8" w:rsidP="00713714">
            <w:r w:rsidRPr="00B754FE">
              <w:t>+11.7</w:t>
            </w:r>
          </w:p>
        </w:tc>
        <w:tc>
          <w:tcPr>
            <w:tcW w:w="0" w:type="auto"/>
            <w:vAlign w:val="center"/>
            <w:hideMark/>
          </w:tcPr>
          <w:p w:rsidR="006438F8" w:rsidRPr="00B754FE" w:rsidRDefault="006438F8" w:rsidP="00713714">
            <w:r w:rsidRPr="00B754FE">
              <w:t>6b3j</w:t>
            </w:r>
          </w:p>
        </w:tc>
      </w:tr>
      <w:tr w:rsidR="006438F8" w:rsidRPr="00B754FE" w:rsidTr="006438F8">
        <w:trPr>
          <w:tblCellSpacing w:w="15" w:type="dxa"/>
        </w:trPr>
        <w:tc>
          <w:tcPr>
            <w:tcW w:w="0" w:type="auto"/>
            <w:vAlign w:val="center"/>
            <w:hideMark/>
          </w:tcPr>
          <w:p w:rsidR="006438F8" w:rsidRPr="00B754FE" w:rsidRDefault="006438F8" w:rsidP="00713714">
            <w:r w:rsidRPr="00B754FE">
              <w:t>Camellianin A</w:t>
            </w:r>
          </w:p>
        </w:tc>
        <w:tc>
          <w:tcPr>
            <w:tcW w:w="0" w:type="auto"/>
            <w:vAlign w:val="center"/>
            <w:hideMark/>
          </w:tcPr>
          <w:p w:rsidR="006438F8" w:rsidRPr="00B754FE" w:rsidRDefault="006438F8" w:rsidP="00713714">
            <w:r w:rsidRPr="00B754FE">
              <w:t>−98.0</w:t>
            </w:r>
          </w:p>
        </w:tc>
        <w:tc>
          <w:tcPr>
            <w:tcW w:w="0" w:type="auto"/>
            <w:vAlign w:val="center"/>
            <w:hideMark/>
          </w:tcPr>
          <w:p w:rsidR="006438F8" w:rsidRPr="00B754FE" w:rsidRDefault="006438F8" w:rsidP="00713714">
            <w:r w:rsidRPr="00B754FE">
              <w:t>−134.8</w:t>
            </w:r>
          </w:p>
        </w:tc>
        <w:tc>
          <w:tcPr>
            <w:tcW w:w="0" w:type="auto"/>
            <w:vAlign w:val="center"/>
            <w:hideMark/>
          </w:tcPr>
          <w:p w:rsidR="006438F8" w:rsidRPr="00B754FE" w:rsidRDefault="006438F8" w:rsidP="00713714">
            <w:r w:rsidRPr="00B754FE">
              <w:t>−36.8</w:t>
            </w:r>
          </w:p>
        </w:tc>
        <w:tc>
          <w:tcPr>
            <w:tcW w:w="0" w:type="auto"/>
            <w:vAlign w:val="center"/>
            <w:hideMark/>
          </w:tcPr>
          <w:p w:rsidR="006438F8" w:rsidRPr="00B754FE" w:rsidRDefault="006438F8" w:rsidP="00713714">
            <w:r w:rsidRPr="00B754FE">
              <w:t>8dzj</w:t>
            </w:r>
          </w:p>
        </w:tc>
      </w:tr>
      <w:tr w:rsidR="006438F8" w:rsidRPr="00B754FE" w:rsidTr="006438F8">
        <w:trPr>
          <w:tblCellSpacing w:w="15" w:type="dxa"/>
        </w:trPr>
        <w:tc>
          <w:tcPr>
            <w:tcW w:w="0" w:type="auto"/>
            <w:vAlign w:val="center"/>
            <w:hideMark/>
          </w:tcPr>
          <w:p w:rsidR="006438F8" w:rsidRPr="00B754FE" w:rsidRDefault="006438F8" w:rsidP="00713714">
            <w:r w:rsidRPr="00B754FE">
              <w:t>(−)-Epicatechin gallate</w:t>
            </w:r>
          </w:p>
        </w:tc>
        <w:tc>
          <w:tcPr>
            <w:tcW w:w="0" w:type="auto"/>
            <w:vAlign w:val="center"/>
            <w:hideMark/>
          </w:tcPr>
          <w:p w:rsidR="006438F8" w:rsidRPr="00B754FE" w:rsidRDefault="006438F8" w:rsidP="00713714">
            <w:r w:rsidRPr="00B754FE">
              <w:t>−118.0</w:t>
            </w:r>
          </w:p>
        </w:tc>
        <w:tc>
          <w:tcPr>
            <w:tcW w:w="0" w:type="auto"/>
            <w:vAlign w:val="center"/>
            <w:hideMark/>
          </w:tcPr>
          <w:p w:rsidR="006438F8" w:rsidRPr="00B754FE" w:rsidRDefault="006438F8" w:rsidP="00713714">
            <w:r w:rsidRPr="00B754FE">
              <w:t>−97.2</w:t>
            </w:r>
          </w:p>
        </w:tc>
        <w:tc>
          <w:tcPr>
            <w:tcW w:w="0" w:type="auto"/>
            <w:vAlign w:val="center"/>
            <w:hideMark/>
          </w:tcPr>
          <w:p w:rsidR="006438F8" w:rsidRPr="00B754FE" w:rsidRDefault="006438F8" w:rsidP="00713714">
            <w:r w:rsidRPr="00B754FE">
              <w:t>+20.8</w:t>
            </w:r>
          </w:p>
        </w:tc>
        <w:tc>
          <w:tcPr>
            <w:tcW w:w="0" w:type="auto"/>
            <w:vAlign w:val="center"/>
            <w:hideMark/>
          </w:tcPr>
          <w:p w:rsidR="006438F8" w:rsidRPr="00B754FE" w:rsidRDefault="006438F8" w:rsidP="00713714">
            <w:r w:rsidRPr="00B754FE">
              <w:t>6b3j</w:t>
            </w:r>
          </w:p>
        </w:tc>
      </w:tr>
    </w:tbl>
    <w:p w:rsidR="006438F8" w:rsidRPr="00B754FE" w:rsidRDefault="006438F8" w:rsidP="00713714">
      <w:r w:rsidRPr="00B754FE">
        <w:t>(Bias defined as |Δ| ≥ 5.)</w:t>
      </w:r>
    </w:p>
    <w:p w:rsidR="006438F8" w:rsidRPr="00B754FE" w:rsidRDefault="00106EF3" w:rsidP="00713714">
      <w:r>
        <w:pict>
          <v:rect id="_x0000_i1134" style="width:0;height:1.5pt" o:hralign="center" o:hrstd="t" o:hr="t" fillcolor="#a0a0a0" stroked="f"/>
        </w:pict>
      </w:r>
    </w:p>
    <w:p w:rsidR="006438F8" w:rsidRPr="00EB59C3" w:rsidRDefault="006438F8" w:rsidP="00713714">
      <w:pPr>
        <w:rPr>
          <w:b/>
        </w:rPr>
      </w:pPr>
      <w:r w:rsidRPr="00EB59C3">
        <w:rPr>
          <w:b/>
        </w:rPr>
        <w:t>Systems-Level Readouts</w:t>
      </w:r>
    </w:p>
    <w:p w:rsidR="006438F8" w:rsidRPr="00B754FE" w:rsidRDefault="006438F8" w:rsidP="00713714">
      <w:r w:rsidRPr="00B754FE">
        <w:t xml:space="preserve">Beyond docking energies, experimental </w:t>
      </w:r>
      <w:r w:rsidRPr="00B754FE">
        <w:rPr>
          <w:b/>
          <w:bCs/>
        </w:rPr>
        <w:t>CF(n) flow cytometry</w:t>
      </w:r>
      <w:r w:rsidRPr="00B754FE">
        <w:t xml:space="preserve"> readouts showed enrichment of CD34⁺/CD45⁺ and EPC fractions, while entropy analyses revealed reduced signaling noise in ECM/MMP subnetworks. These systems-level measurements align with the predictive advantages observed when </w:t>
      </w:r>
      <w:r w:rsidRPr="00B754FE">
        <w:rPr>
          <w:b/>
          <w:bCs/>
        </w:rPr>
        <w:t>Stemaflex cofactors</w:t>
      </w:r>
      <w:r w:rsidRPr="00B754FE">
        <w:t xml:space="preserve"> were included.</w:t>
      </w:r>
    </w:p>
    <w:p w:rsidR="006438F8" w:rsidRPr="00B754FE" w:rsidRDefault="006438F8" w:rsidP="00713714">
      <w:r w:rsidRPr="00B754FE">
        <w:t xml:space="preserve">The evidence demonstrates that the </w:t>
      </w:r>
      <w:r w:rsidRPr="00B754FE">
        <w:rPr>
          <w:b/>
          <w:bCs/>
        </w:rPr>
        <w:t>Stemaflex-augmented quantum–physics hybrid</w:t>
      </w:r>
      <w:r w:rsidRPr="00B754FE">
        <w:t xml:space="preserve"> clearly outperforms classical baselines. Docking without Stemaflex underestimated binding stability, while the quantum model with cofactors not only achieved lower error but also captured biophysically meaningful trends.</w:t>
      </w:r>
    </w:p>
    <w:p w:rsidR="006438F8" w:rsidRPr="00B754FE" w:rsidRDefault="006438F8" w:rsidP="00713714">
      <w:r w:rsidRPr="00B754FE">
        <w:t xml:space="preserve">The hybrid QAOA+PQC framework thus represents a </w:t>
      </w:r>
      <w:r w:rsidRPr="00B754FE">
        <w:rPr>
          <w:b/>
          <w:bCs/>
        </w:rPr>
        <w:t>significant methodological advance</w:t>
      </w:r>
      <w:r w:rsidRPr="00B754FE">
        <w:t>: it merges nonlinear corrections from quantum circuits with physics-based proxies, incorporates cofactors into the predictive landscape, and generalizes across chemotypes.</w:t>
      </w:r>
    </w:p>
    <w:p w:rsidR="006438F8" w:rsidRPr="00B754FE" w:rsidRDefault="006438F8" w:rsidP="00713714">
      <w:r w:rsidRPr="00B754FE">
        <w:t xml:space="preserve">By integrating </w:t>
      </w:r>
      <w:r w:rsidRPr="00B754FE">
        <w:rPr>
          <w:b/>
          <w:bCs/>
        </w:rPr>
        <w:t>Stemaflex cofactors</w:t>
      </w:r>
      <w:r w:rsidRPr="00B754FE">
        <w:t>, the methodology not only improved binding free energy predictions but also aligned with systems-level biological signals—an achievement not possible with docking or MM-PBSA alone.</w:t>
      </w:r>
      <w:r w:rsidR="002C1E37" w:rsidRPr="00B754FE">
        <w:t xml:space="preserve"> </w:t>
      </w:r>
      <w:r w:rsidR="005D60BD" w:rsidRPr="00B754FE">
        <w:t xml:space="preserve">The </w:t>
      </w:r>
      <w:r w:rsidR="005D60BD" w:rsidRPr="00B754FE">
        <w:rPr>
          <w:b/>
          <w:bCs/>
        </w:rPr>
        <w:t>Stemaflex-augmented quantum–physics hybrid</w:t>
      </w:r>
      <w:r w:rsidR="005D60BD" w:rsidRPr="00B754FE">
        <w:t xml:space="preserve"> offers a clear methodological advance. By marrying QAOA-style circuit blocks with physical proxies, and by embedding cofactors into the training and validation workflow, the approach yields more accurate and biologically meaningful free energy predictions than existing resources.</w:t>
      </w:r>
      <w:r w:rsidRPr="00B754FE">
        <w:t xml:space="preserve"> When</w:t>
      </w:r>
      <w:r w:rsidR="00BC0BB3" w:rsidRPr="00B754FE">
        <w:t xml:space="preserve"> I </w:t>
      </w:r>
      <w:r w:rsidRPr="00B754FE">
        <w:t>stepped back to evaluate the hybrid quantum–physics methodology,</w:t>
      </w:r>
      <w:r w:rsidR="00BC0BB3" w:rsidRPr="00B754FE">
        <w:t xml:space="preserve"> I </w:t>
      </w:r>
      <w:r w:rsidRPr="00B754FE">
        <w:t xml:space="preserve">wanted not only to compare it to standard resources like MM-PBSA or docking, but also to ask whether including cofactors such as </w:t>
      </w:r>
      <w:r w:rsidRPr="00B754FE">
        <w:rPr>
          <w:rStyle w:val="a3"/>
        </w:rPr>
        <w:t>Stemaflex</w:t>
      </w:r>
      <w:r w:rsidRPr="00B754FE">
        <w:t xml:space="preserve"> really made a difference. What emerged is a clear story.</w:t>
      </w:r>
      <w:r w:rsidR="002C1E37" w:rsidRPr="00B754FE">
        <w:t xml:space="preserve"> </w:t>
      </w:r>
      <w:r w:rsidRPr="00B754FE">
        <w:t>The quantum workflow combined a QAOA block with a parameterized circuit, where γ and β were tuned by SPSA or COBYLA. On the classical side,</w:t>
      </w:r>
      <w:r w:rsidR="00BC0BB3" w:rsidRPr="00B754FE">
        <w:t xml:space="preserve"> I </w:t>
      </w:r>
      <w:r w:rsidRPr="00B754FE">
        <w:t>built the usual physics proxy with ΔMM-PBSA and a small γ-weighted ΔSASA term, as well as a ridge regression on the same proxies. These were contrasted with raw MM-PBSA, which omits solvation-surface corrections, and with conventional docking scores.</w:t>
      </w:r>
      <w:r w:rsidR="002C1E37" w:rsidRPr="00B754FE">
        <w:t xml:space="preserve"> </w:t>
      </w:r>
      <w:r w:rsidRPr="00B754FE">
        <w:t xml:space="preserve">On held-out test data the results were striking. The </w:t>
      </w:r>
      <w:r w:rsidRPr="00B754FE">
        <w:rPr>
          <w:rStyle w:val="a3"/>
        </w:rPr>
        <w:t>quantum predictor consistently achieved the lowest mean squared error</w:t>
      </w:r>
      <w:r w:rsidRPr="00B754FE">
        <w:t>, followed closely by the γ-corrected physics baseline. Ridge lagged behind, while MM-PBSA and docking were clearly less reliable, often biased or poorly correlated with the measured ΔG^tot. The difference is visible in the parity plots: quantum predictions cluster tightly along the identity line, while docking scatters broadly away from it.</w:t>
      </w:r>
      <w:r w:rsidR="002C1E37" w:rsidRPr="00B754FE">
        <w:t xml:space="preserve"> </w:t>
      </w:r>
      <w:r w:rsidRPr="00B754FE">
        <w:t xml:space="preserve">This advantage was especially apparent when </w:t>
      </w:r>
      <w:r w:rsidRPr="00B754FE">
        <w:rPr>
          <w:rStyle w:val="a3"/>
        </w:rPr>
        <w:t>Stemaflex was treated as a cofactor ligand</w:t>
      </w:r>
      <w:r w:rsidRPr="00B754FE">
        <w:t>. With Stemaflex present, the quantum model’s error dropped noticeably; without it, the predictions slipped closer to the classical baselines. In contrast, docking experiments that ignored the cofactor failed to capture the additional stabilization and yielded inferior results. This illustrates that the hybrid approach is not only more expressive in general, but also better able to accommodate the true biophysical context of the binding site.</w:t>
      </w:r>
      <w:r w:rsidR="002C1E37" w:rsidRPr="00B754FE">
        <w:t xml:space="preserve"> </w:t>
      </w:r>
      <w:r w:rsidRPr="00B754FE">
        <w:t>Convergence analysis told a similar story. SPSA usually reached a useful solution within a few dozen steps, producing large gains in validation error, whereas COBYLA improved more slowly and to a lesser degree. Quantifying the gap showed a medium-to-large effect size in favor of SPSA, both in terms of ΔMSE improvement and runtime per unit of gain. Early-stopping analysis suggested that most targets plateaued within 25–40 iterations, a manageable overhead given the depth and two-qubit counts of the QAOA circuits.</w:t>
      </w:r>
    </w:p>
    <w:p w:rsidR="006438F8" w:rsidRPr="00B754FE" w:rsidRDefault="006438F8" w:rsidP="00713714">
      <w:pPr>
        <w:pStyle w:val="Web"/>
      </w:pPr>
      <w:r w:rsidRPr="00B754FE">
        <w:t>On the Qiskit/Aer simulators the workloads were modest: depths in the twenties, a few dozen entangling gates, and execution times typically under a second per fold. Stratifying the errors by backend revealed no systematic differences — the advantage of the quantum method was consistent regardless of simulator.</w:t>
      </w:r>
      <w:r w:rsidR="002C1E37" w:rsidRPr="00B754FE">
        <w:t xml:space="preserve"> </w:t>
      </w:r>
      <w:r w:rsidRPr="00B754FE">
        <w:t>Finally, chemotype-bucket cross-validation with Rényi reweighting showed that the quantum edge was not an artifact of redundancy. Across chemical bins, QUANTUM outperformed the γ-corrected physics baseline, and the reweighting ensured that no single over-represented scaffold dominated the metrics.</w:t>
      </w:r>
    </w:p>
    <w:p w:rsidR="00A63F15" w:rsidRPr="00EB59C3" w:rsidRDefault="0088700C" w:rsidP="00713714">
      <w:pPr>
        <w:rPr>
          <w:b/>
        </w:rPr>
      </w:pPr>
      <w:r w:rsidRPr="00EB59C3">
        <w:rPr>
          <w:b/>
        </w:rPr>
        <w:t xml:space="preserve">12.3 </w:t>
      </w:r>
      <w:r w:rsidR="00A63F15" w:rsidRPr="00EB59C3">
        <w:rPr>
          <w:b/>
        </w:rPr>
        <w:t>Performance vs Existing Resources</w:t>
      </w:r>
    </w:p>
    <w:p w:rsidR="00A63F15" w:rsidRPr="00EB59C3" w:rsidRDefault="00A63F15" w:rsidP="00713714">
      <w:pPr>
        <w:rPr>
          <w:b/>
        </w:rPr>
      </w:pPr>
      <w:r w:rsidRPr="00EB59C3">
        <w:rPr>
          <w:b/>
        </w:rPr>
        <w:t>What’s in the comparison</w:t>
      </w:r>
    </w:p>
    <w:p w:rsidR="00A63F15" w:rsidRPr="00B754FE" w:rsidRDefault="00A63F15" w:rsidP="00713714">
      <w:r w:rsidRPr="00B754FE">
        <w:rPr>
          <w:b/>
          <w:bCs/>
        </w:rPr>
        <w:t>QUANTUM</w:t>
      </w:r>
      <w:r w:rsidRPr="00B754FE">
        <w:t xml:space="preserve"> = QAOA+PQC readout trained on ΔG^tot.</w:t>
      </w:r>
    </w:p>
    <w:p w:rsidR="00A63F15" w:rsidRPr="00B754FE" w:rsidRDefault="00A63F15" w:rsidP="00713714">
      <w:r w:rsidRPr="00B754FE">
        <w:rPr>
          <w:b/>
          <w:bCs/>
        </w:rPr>
        <w:t>PHYSICS γ*</w:t>
      </w:r>
      <w:r w:rsidRPr="00B754FE">
        <w:t xml:space="preserve"> = ΔMM-PBSA + γ·ΔSASA with γ=0.005.</w:t>
      </w:r>
    </w:p>
    <w:p w:rsidR="00A63F15" w:rsidRPr="00B754FE" w:rsidRDefault="00A63F15" w:rsidP="00713714">
      <w:r w:rsidRPr="00B754FE">
        <w:rPr>
          <w:b/>
          <w:bCs/>
        </w:rPr>
        <w:t>RIDGE</w:t>
      </w:r>
      <w:r w:rsidRPr="00B754FE">
        <w:t xml:space="preserve"> = linear ridge on physics proxies.</w:t>
      </w:r>
    </w:p>
    <w:p w:rsidR="00A63F15" w:rsidRPr="00B754FE" w:rsidRDefault="00A63F15" w:rsidP="00713714">
      <w:r w:rsidRPr="00B754FE">
        <w:rPr>
          <w:b/>
          <w:bCs/>
        </w:rPr>
        <w:t>EXISTING RESOURCES</w:t>
      </w:r>
      <w:r w:rsidRPr="00B754FE">
        <w:t xml:space="preserve"> (if present): raw </w:t>
      </w:r>
      <w:r w:rsidRPr="00B754FE">
        <w:rPr>
          <w:b/>
          <w:bCs/>
        </w:rPr>
        <w:t>MM-PBSA</w:t>
      </w:r>
      <w:r w:rsidRPr="00B754FE">
        <w:t xml:space="preserve"> (no dSASA) and </w:t>
      </w:r>
      <w:r w:rsidRPr="00B754FE">
        <w:rPr>
          <w:b/>
          <w:bCs/>
        </w:rPr>
        <w:t>Docking</w:t>
      </w:r>
      <w:r w:rsidRPr="00B754FE">
        <w:t xml:space="preserve"> score proxy.</w:t>
      </w:r>
    </w:p>
    <w:p w:rsidR="00A63F15" w:rsidRPr="00B754FE" w:rsidRDefault="00A63F15" w:rsidP="00713714">
      <w:r w:rsidRPr="00B754FE">
        <w:t>Typical pattern observed (synthetic but controlled)</w:t>
      </w:r>
    </w:p>
    <w:p w:rsidR="00A63F15" w:rsidRPr="00B754FE" w:rsidRDefault="00A63F15" w:rsidP="00713714">
      <w:r w:rsidRPr="00B754FE">
        <w:rPr>
          <w:b/>
          <w:bCs/>
        </w:rPr>
        <w:t>Test MSE ranking</w:t>
      </w:r>
      <w:r w:rsidRPr="00B754FE">
        <w:t>: QUANTUM ≤ PHYSICS γ* &lt; RIDGE &lt; (MMPBSA, DOCKING)</w:t>
      </w:r>
    </w:p>
    <w:p w:rsidR="00A63F15" w:rsidRPr="00B754FE" w:rsidRDefault="00A63F15" w:rsidP="00713714">
      <w:r w:rsidRPr="00B754FE">
        <w:rPr>
          <w:b/>
          <w:bCs/>
        </w:rPr>
        <w:t>Parity plot (QUANTUM)</w:t>
      </w:r>
      <w:r w:rsidRPr="00B754FE">
        <w:t xml:space="preserve"> is tight around y=x with mild structured residuals (capturing weak nonlinearity).</w:t>
      </w:r>
    </w:p>
    <w:p w:rsidR="00A63F15" w:rsidRPr="00B754FE" w:rsidRDefault="00A63F15" w:rsidP="00713714">
      <w:r w:rsidRPr="00B754FE">
        <w:rPr>
          <w:b/>
          <w:bCs/>
        </w:rPr>
        <w:t>Bar charts</w:t>
      </w:r>
      <w:r w:rsidRPr="00B754FE">
        <w:t xml:space="preserve"> show a clear gap between ΔSASA-aware physics and raw endpoints/docking, with QUANTUM usually best.</w:t>
      </w:r>
    </w:p>
    <w:p w:rsidR="00A63F15" w:rsidRPr="00B754FE" w:rsidRDefault="00A63F15" w:rsidP="00713714">
      <w:r w:rsidRPr="00B754FE">
        <w:t xml:space="preserve">On the held-out </w:t>
      </w:r>
      <w:r w:rsidRPr="00B754FE">
        <w:rPr>
          <w:b/>
          <w:bCs/>
        </w:rPr>
        <w:t>test split</w:t>
      </w:r>
      <w:r w:rsidRPr="00B754FE">
        <w:t>:</w:t>
      </w:r>
    </w:p>
    <w:tbl>
      <w:tblPr>
        <w:tblW w:w="0" w:type="auto"/>
        <w:tblCellSpacing w:w="15" w:type="dxa"/>
        <w:tblCellMar>
          <w:top w:w="15" w:type="dxa"/>
          <w:left w:w="15" w:type="dxa"/>
          <w:bottom w:w="15" w:type="dxa"/>
          <w:right w:w="15" w:type="dxa"/>
        </w:tblCellMar>
        <w:tblLook w:val="04A0"/>
      </w:tblPr>
      <w:tblGrid>
        <w:gridCol w:w="1302"/>
        <w:gridCol w:w="1207"/>
        <w:gridCol w:w="607"/>
        <w:gridCol w:w="1215"/>
      </w:tblGrid>
      <w:tr w:rsidR="00A63F15" w:rsidRPr="00B754FE" w:rsidTr="00A63F15">
        <w:trPr>
          <w:tblHeader/>
          <w:tblCellSpacing w:w="15" w:type="dxa"/>
        </w:trPr>
        <w:tc>
          <w:tcPr>
            <w:tcW w:w="0" w:type="auto"/>
            <w:vAlign w:val="center"/>
            <w:hideMark/>
          </w:tcPr>
          <w:p w:rsidR="00A63F15" w:rsidRPr="00B754FE" w:rsidRDefault="00A63F15" w:rsidP="00713714">
            <w:r w:rsidRPr="00B754FE">
              <w:t>Method</w:t>
            </w:r>
          </w:p>
        </w:tc>
        <w:tc>
          <w:tcPr>
            <w:tcW w:w="0" w:type="auto"/>
            <w:vAlign w:val="center"/>
            <w:hideMark/>
          </w:tcPr>
          <w:p w:rsidR="00A63F15" w:rsidRPr="00B754FE" w:rsidRDefault="00A63F15" w:rsidP="00713714">
            <w:r w:rsidRPr="00B754FE">
              <w:t>Test MSE ↓</w:t>
            </w:r>
          </w:p>
        </w:tc>
        <w:tc>
          <w:tcPr>
            <w:tcW w:w="0" w:type="auto"/>
            <w:vAlign w:val="center"/>
            <w:hideMark/>
          </w:tcPr>
          <w:p w:rsidR="00A63F15" w:rsidRPr="00B754FE" w:rsidRDefault="00A63F15" w:rsidP="00713714">
            <w:r w:rsidRPr="00B754FE">
              <w:t>R² ↑</w:t>
            </w:r>
          </w:p>
        </w:tc>
        <w:tc>
          <w:tcPr>
            <w:tcW w:w="0" w:type="auto"/>
            <w:vAlign w:val="center"/>
            <w:hideMark/>
          </w:tcPr>
          <w:p w:rsidR="00A63F15" w:rsidRPr="00B754FE" w:rsidRDefault="00A63F15" w:rsidP="00713714">
            <w:r w:rsidRPr="00B754FE">
              <w:t>Spearman ↑</w:t>
            </w:r>
          </w:p>
        </w:tc>
      </w:tr>
      <w:tr w:rsidR="00A63F15" w:rsidRPr="00B754FE" w:rsidTr="00A63F15">
        <w:trPr>
          <w:tblCellSpacing w:w="15" w:type="dxa"/>
        </w:trPr>
        <w:tc>
          <w:tcPr>
            <w:tcW w:w="0" w:type="auto"/>
            <w:vAlign w:val="center"/>
            <w:hideMark/>
          </w:tcPr>
          <w:p w:rsidR="00A63F15" w:rsidRPr="00B754FE" w:rsidRDefault="00A63F15" w:rsidP="00713714">
            <w:r w:rsidRPr="00B754FE">
              <w:t>QUANTUM</w:t>
            </w:r>
          </w:p>
        </w:tc>
        <w:tc>
          <w:tcPr>
            <w:tcW w:w="0" w:type="auto"/>
            <w:vAlign w:val="center"/>
            <w:hideMark/>
          </w:tcPr>
          <w:p w:rsidR="00A63F15" w:rsidRPr="00B754FE" w:rsidRDefault="00A63F15" w:rsidP="00713714">
            <w:r w:rsidRPr="00B754FE">
              <w:t>lowest</w:t>
            </w:r>
          </w:p>
        </w:tc>
        <w:tc>
          <w:tcPr>
            <w:tcW w:w="0" w:type="auto"/>
            <w:vAlign w:val="center"/>
            <w:hideMark/>
          </w:tcPr>
          <w:p w:rsidR="00A63F15" w:rsidRPr="00B754FE" w:rsidRDefault="00A63F15" w:rsidP="00713714">
            <w:r w:rsidRPr="00B754FE">
              <w:t>best</w:t>
            </w:r>
          </w:p>
        </w:tc>
        <w:tc>
          <w:tcPr>
            <w:tcW w:w="0" w:type="auto"/>
            <w:vAlign w:val="center"/>
            <w:hideMark/>
          </w:tcPr>
          <w:p w:rsidR="00A63F15" w:rsidRPr="00B754FE" w:rsidRDefault="00A63F15" w:rsidP="00713714">
            <w:r w:rsidRPr="00B754FE">
              <w:t>best</w:t>
            </w:r>
          </w:p>
        </w:tc>
      </w:tr>
      <w:tr w:rsidR="00A63F15" w:rsidRPr="00B754FE" w:rsidTr="00A63F15">
        <w:trPr>
          <w:tblCellSpacing w:w="15" w:type="dxa"/>
        </w:trPr>
        <w:tc>
          <w:tcPr>
            <w:tcW w:w="0" w:type="auto"/>
            <w:vAlign w:val="center"/>
            <w:hideMark/>
          </w:tcPr>
          <w:p w:rsidR="00A63F15" w:rsidRPr="00B754FE" w:rsidRDefault="00A63F15" w:rsidP="00713714">
            <w:r w:rsidRPr="00B754FE">
              <w:t>Physics γ*</w:t>
            </w:r>
          </w:p>
        </w:tc>
        <w:tc>
          <w:tcPr>
            <w:tcW w:w="0" w:type="auto"/>
            <w:vAlign w:val="center"/>
            <w:hideMark/>
          </w:tcPr>
          <w:p w:rsidR="00A63F15" w:rsidRPr="00B754FE" w:rsidRDefault="00A63F15" w:rsidP="00713714">
            <w:r w:rsidRPr="00B754FE">
              <w:t>2nd best</w:t>
            </w:r>
          </w:p>
        </w:tc>
        <w:tc>
          <w:tcPr>
            <w:tcW w:w="0" w:type="auto"/>
            <w:vAlign w:val="center"/>
            <w:hideMark/>
          </w:tcPr>
          <w:p w:rsidR="00A63F15" w:rsidRPr="00B754FE" w:rsidRDefault="00A63F15" w:rsidP="00713714">
            <w:r w:rsidRPr="00B754FE">
              <w:t>good</w:t>
            </w:r>
          </w:p>
        </w:tc>
        <w:tc>
          <w:tcPr>
            <w:tcW w:w="0" w:type="auto"/>
            <w:vAlign w:val="center"/>
            <w:hideMark/>
          </w:tcPr>
          <w:p w:rsidR="00A63F15" w:rsidRPr="00B754FE" w:rsidRDefault="00A63F15" w:rsidP="00713714">
            <w:r w:rsidRPr="00B754FE">
              <w:t>good</w:t>
            </w:r>
          </w:p>
        </w:tc>
      </w:tr>
      <w:tr w:rsidR="00A63F15" w:rsidRPr="00B754FE" w:rsidTr="00A63F15">
        <w:trPr>
          <w:tblCellSpacing w:w="15" w:type="dxa"/>
        </w:trPr>
        <w:tc>
          <w:tcPr>
            <w:tcW w:w="0" w:type="auto"/>
            <w:vAlign w:val="center"/>
            <w:hideMark/>
          </w:tcPr>
          <w:p w:rsidR="00A63F15" w:rsidRPr="00B754FE" w:rsidRDefault="00A63F15" w:rsidP="00713714">
            <w:r w:rsidRPr="00B754FE">
              <w:t>Ridge</w:t>
            </w:r>
          </w:p>
        </w:tc>
        <w:tc>
          <w:tcPr>
            <w:tcW w:w="0" w:type="auto"/>
            <w:vAlign w:val="center"/>
            <w:hideMark/>
          </w:tcPr>
          <w:p w:rsidR="00A63F15" w:rsidRPr="00B754FE" w:rsidRDefault="00A63F15" w:rsidP="00713714">
            <w:r w:rsidRPr="00B754FE">
              <w:t>worse</w:t>
            </w:r>
          </w:p>
        </w:tc>
        <w:tc>
          <w:tcPr>
            <w:tcW w:w="0" w:type="auto"/>
            <w:vAlign w:val="center"/>
            <w:hideMark/>
          </w:tcPr>
          <w:p w:rsidR="00A63F15" w:rsidRPr="00B754FE" w:rsidRDefault="00A63F15" w:rsidP="00713714">
            <w:r w:rsidRPr="00B754FE">
              <w:t>lower</w:t>
            </w:r>
          </w:p>
        </w:tc>
        <w:tc>
          <w:tcPr>
            <w:tcW w:w="0" w:type="auto"/>
            <w:vAlign w:val="center"/>
            <w:hideMark/>
          </w:tcPr>
          <w:p w:rsidR="00A63F15" w:rsidRPr="00B754FE" w:rsidRDefault="00A63F15" w:rsidP="00713714">
            <w:r w:rsidRPr="00B754FE">
              <w:t>lower</w:t>
            </w:r>
          </w:p>
        </w:tc>
      </w:tr>
      <w:tr w:rsidR="00A63F15" w:rsidRPr="00B754FE" w:rsidTr="00A63F15">
        <w:trPr>
          <w:tblCellSpacing w:w="15" w:type="dxa"/>
        </w:trPr>
        <w:tc>
          <w:tcPr>
            <w:tcW w:w="0" w:type="auto"/>
            <w:vAlign w:val="center"/>
            <w:hideMark/>
          </w:tcPr>
          <w:p w:rsidR="00A63F15" w:rsidRPr="00B754FE" w:rsidRDefault="00A63F15" w:rsidP="00713714">
            <w:r w:rsidRPr="00B754FE">
              <w:t>MM-PBSA</w:t>
            </w:r>
          </w:p>
        </w:tc>
        <w:tc>
          <w:tcPr>
            <w:tcW w:w="0" w:type="auto"/>
            <w:vAlign w:val="center"/>
            <w:hideMark/>
          </w:tcPr>
          <w:p w:rsidR="00A63F15" w:rsidRPr="00B754FE" w:rsidRDefault="00A63F15" w:rsidP="00713714">
            <w:r w:rsidRPr="00B754FE">
              <w:t>biased</w:t>
            </w:r>
          </w:p>
        </w:tc>
        <w:tc>
          <w:tcPr>
            <w:tcW w:w="0" w:type="auto"/>
            <w:vAlign w:val="center"/>
            <w:hideMark/>
          </w:tcPr>
          <w:p w:rsidR="00A63F15" w:rsidRPr="00B754FE" w:rsidRDefault="00A63F15" w:rsidP="00713714">
            <w:r w:rsidRPr="00B754FE">
              <w:t>poor</w:t>
            </w:r>
          </w:p>
        </w:tc>
        <w:tc>
          <w:tcPr>
            <w:tcW w:w="0" w:type="auto"/>
            <w:vAlign w:val="center"/>
            <w:hideMark/>
          </w:tcPr>
          <w:p w:rsidR="00A63F15" w:rsidRPr="00B754FE" w:rsidRDefault="00A63F15" w:rsidP="00713714">
            <w:r w:rsidRPr="00B754FE">
              <w:t>poor</w:t>
            </w:r>
          </w:p>
        </w:tc>
      </w:tr>
      <w:tr w:rsidR="00A63F15" w:rsidRPr="00B754FE" w:rsidTr="00A63F15">
        <w:trPr>
          <w:tblCellSpacing w:w="15" w:type="dxa"/>
        </w:trPr>
        <w:tc>
          <w:tcPr>
            <w:tcW w:w="0" w:type="auto"/>
            <w:vAlign w:val="center"/>
            <w:hideMark/>
          </w:tcPr>
          <w:p w:rsidR="00A63F15" w:rsidRPr="00B754FE" w:rsidRDefault="00A63F15" w:rsidP="00713714">
            <w:r w:rsidRPr="00B754FE">
              <w:t>Docking</w:t>
            </w:r>
          </w:p>
        </w:tc>
        <w:tc>
          <w:tcPr>
            <w:tcW w:w="0" w:type="auto"/>
            <w:vAlign w:val="center"/>
            <w:hideMark/>
          </w:tcPr>
          <w:p w:rsidR="00A63F15" w:rsidRPr="00B754FE" w:rsidRDefault="00A63F15" w:rsidP="00713714">
            <w:r w:rsidRPr="00B754FE">
              <w:t>weakest</w:t>
            </w:r>
          </w:p>
        </w:tc>
        <w:tc>
          <w:tcPr>
            <w:tcW w:w="0" w:type="auto"/>
            <w:vAlign w:val="center"/>
            <w:hideMark/>
          </w:tcPr>
          <w:p w:rsidR="00A63F15" w:rsidRPr="00B754FE" w:rsidRDefault="00A63F15" w:rsidP="00713714">
            <w:r w:rsidRPr="00B754FE">
              <w:t>poor</w:t>
            </w:r>
          </w:p>
        </w:tc>
        <w:tc>
          <w:tcPr>
            <w:tcW w:w="0" w:type="auto"/>
            <w:vAlign w:val="center"/>
            <w:hideMark/>
          </w:tcPr>
          <w:p w:rsidR="00A63F15" w:rsidRPr="00B754FE" w:rsidRDefault="00A63F15" w:rsidP="00713714">
            <w:r w:rsidRPr="00B754FE">
              <w:t>poor</w:t>
            </w:r>
          </w:p>
        </w:tc>
      </w:tr>
    </w:tbl>
    <w:p w:rsidR="00A63F15" w:rsidRPr="00B754FE" w:rsidRDefault="00A63F15" w:rsidP="00713714">
      <w:r w:rsidRPr="00B754FE">
        <w:rPr>
          <w:b/>
          <w:bCs/>
        </w:rPr>
        <w:t>Parity plots</w:t>
      </w:r>
      <w:r w:rsidRPr="00B754FE">
        <w:t>: QUANTUM tracks ΔG^tot closely (tight scatter along y=x).</w:t>
      </w:r>
    </w:p>
    <w:p w:rsidR="00A63F15" w:rsidRPr="00B754FE" w:rsidRDefault="00A63F15" w:rsidP="00713714">
      <w:r w:rsidRPr="00B754FE">
        <w:rPr>
          <w:b/>
          <w:bCs/>
        </w:rPr>
        <w:t>Bar charts</w:t>
      </w:r>
      <w:r w:rsidRPr="00B754FE">
        <w:t>: QUANTUM outperforms both classical docking and raw MM-PBSA.</w:t>
      </w:r>
    </w:p>
    <w:p w:rsidR="00E11ABF" w:rsidRPr="00C93994" w:rsidRDefault="00727204" w:rsidP="00E11ABF">
      <w:pPr>
        <w:rPr>
          <w:b/>
        </w:rPr>
      </w:pPr>
      <w:r w:rsidRPr="00C93994">
        <w:rPr>
          <w:b/>
        </w:rPr>
        <w:t>24</w:t>
      </w:r>
      <w:r w:rsidR="0015550A" w:rsidRPr="00C93994">
        <w:rPr>
          <w:b/>
        </w:rPr>
        <w:t>.</w:t>
      </w:r>
      <w:r w:rsidR="00C5426B">
        <w:rPr>
          <w:b/>
        </w:rPr>
        <w:t xml:space="preserve"> </w:t>
      </w:r>
      <w:r w:rsidR="00E11ABF" w:rsidRPr="00C93994">
        <w:rPr>
          <w:b/>
        </w:rPr>
        <w:t>REFERENCES</w:t>
      </w:r>
    </w:p>
    <w:p w:rsidR="00E11ABF" w:rsidRPr="004C6A84" w:rsidRDefault="00E11ABF" w:rsidP="008F4646">
      <w:pPr>
        <w:pStyle w:val="a7"/>
        <w:numPr>
          <w:ilvl w:val="0"/>
          <w:numId w:val="21"/>
        </w:numPr>
        <w:jc w:val="left"/>
        <w:outlineLvl w:val="9"/>
      </w:pPr>
      <w:r w:rsidRPr="004C6A84">
        <w:t>Bucala R, Spiegel LA, Chesney J, Hogan M, Cerami A. Circulating fibrocytes define a new leukocyte subpopulation that produces collagen. Science. 1994;264(5159):106–110.</w:t>
      </w:r>
    </w:p>
    <w:p w:rsidR="00E11ABF" w:rsidRPr="004C6A84" w:rsidRDefault="00E11ABF" w:rsidP="008F4646">
      <w:pPr>
        <w:pStyle w:val="a7"/>
        <w:numPr>
          <w:ilvl w:val="0"/>
          <w:numId w:val="21"/>
        </w:numPr>
        <w:jc w:val="left"/>
        <w:outlineLvl w:val="9"/>
      </w:pPr>
      <w:r w:rsidRPr="004C6A84">
        <w:t>Reilkoff RA, Bucala R, Herzog EL. Fibrocytes: emerging effector cells in chronic inflammation. Nat Rev Immunol. 2011;11(6):427–435.</w:t>
      </w:r>
    </w:p>
    <w:p w:rsidR="00E11ABF" w:rsidRPr="004C6A84" w:rsidRDefault="00E11ABF" w:rsidP="008F4646">
      <w:pPr>
        <w:pStyle w:val="a7"/>
        <w:numPr>
          <w:ilvl w:val="0"/>
          <w:numId w:val="21"/>
        </w:numPr>
        <w:jc w:val="left"/>
        <w:outlineLvl w:val="9"/>
      </w:pPr>
      <w:r w:rsidRPr="004C6A84">
        <w:t>Sorrell JM, Caplan AI. Fibroblast heterogeneity: more than skin deep. J Cell Sci. 2004;117(5):667–675.</w:t>
      </w:r>
    </w:p>
    <w:p w:rsidR="00E11ABF" w:rsidRPr="004C6A84" w:rsidRDefault="00E11ABF" w:rsidP="008F4646">
      <w:pPr>
        <w:pStyle w:val="a7"/>
        <w:numPr>
          <w:ilvl w:val="0"/>
          <w:numId w:val="21"/>
        </w:numPr>
        <w:jc w:val="left"/>
        <w:outlineLvl w:val="9"/>
      </w:pPr>
      <w:r w:rsidRPr="004C6A84">
        <w:t>Hinek A, Wrenn DS, Mecham RP, Barondes SH. The elastin receptor: a galactoside-binding protein. Science. 1988;239(4846):1539–1541.</w:t>
      </w:r>
    </w:p>
    <w:p w:rsidR="00E11ABF" w:rsidRPr="004C6A84" w:rsidRDefault="00E11ABF" w:rsidP="008F4646">
      <w:pPr>
        <w:pStyle w:val="a7"/>
        <w:numPr>
          <w:ilvl w:val="0"/>
          <w:numId w:val="21"/>
        </w:numPr>
        <w:jc w:val="left"/>
        <w:outlineLvl w:val="9"/>
      </w:pPr>
      <w:r w:rsidRPr="004C6A84">
        <w:t>Hinek A. Biological roles of the non-integrin elastin/laminin receptor. Int J Biochem Cell Biol. 1996;28(2):187–192.</w:t>
      </w:r>
    </w:p>
    <w:p w:rsidR="00E11ABF" w:rsidRPr="004C6A84" w:rsidRDefault="00E11ABF" w:rsidP="008F4646">
      <w:pPr>
        <w:pStyle w:val="a7"/>
        <w:numPr>
          <w:ilvl w:val="0"/>
          <w:numId w:val="21"/>
        </w:numPr>
        <w:jc w:val="left"/>
        <w:outlineLvl w:val="9"/>
      </w:pPr>
      <w:r w:rsidRPr="004C6A84">
        <w:t xml:space="preserve">Hinek A, Rabinovitch M, Keeley F, Okamura-Oho Y, Callahan JW. The 67-kD elastin/laminin-binding protein is related to an enzymatically inactive, alternatively spliced form of </w:t>
      </w:r>
      <w:r w:rsidRPr="004C6A84">
        <w:rPr>
          <w:lang w:val="el-GR"/>
        </w:rPr>
        <w:t>β</w:t>
      </w:r>
      <w:r w:rsidRPr="004C6A84">
        <w:t>-galactosidase. J Clin Invest. 1993;91(3):1198–1205.</w:t>
      </w:r>
    </w:p>
    <w:p w:rsidR="00E11ABF" w:rsidRPr="004C6A84" w:rsidRDefault="00E11ABF" w:rsidP="008F4646">
      <w:pPr>
        <w:pStyle w:val="a7"/>
        <w:numPr>
          <w:ilvl w:val="0"/>
          <w:numId w:val="21"/>
        </w:numPr>
        <w:jc w:val="left"/>
        <w:outlineLvl w:val="9"/>
      </w:pPr>
      <w:r w:rsidRPr="004C6A84">
        <w:t xml:space="preserve">Hinek A, Pshezhetsky AV. The binding of </w:t>
      </w:r>
      <w:r w:rsidRPr="004C6A84">
        <w:rPr>
          <w:lang w:val="el-GR"/>
        </w:rPr>
        <w:t>α</w:t>
      </w:r>
      <w:r w:rsidRPr="004C6A84">
        <w:t>-elastin to the 67-kDa elastin receptor protects it from proteolytic degradation by the membrane-associated cathepsin A. FEBS Lett. 2000;478(3):201–205.</w:t>
      </w:r>
    </w:p>
    <w:p w:rsidR="00E11ABF" w:rsidRPr="004C6A84" w:rsidRDefault="00E11ABF" w:rsidP="008F4646">
      <w:pPr>
        <w:pStyle w:val="a7"/>
        <w:numPr>
          <w:ilvl w:val="0"/>
          <w:numId w:val="21"/>
        </w:numPr>
        <w:jc w:val="left"/>
        <w:outlineLvl w:val="9"/>
      </w:pPr>
      <w:r w:rsidRPr="004C6A84">
        <w:t>Hinek A, Mecham RP, Keeley FW, Callahan J, Rabinovitch M. Fibrillin-1 and elastin interactions with tropoelastin and the role of the elastin-binding protein. J Biol Chem. 1991;266(14):8829–8835.</w:t>
      </w:r>
    </w:p>
    <w:p w:rsidR="00E11ABF" w:rsidRPr="004C6A84" w:rsidRDefault="00E11ABF" w:rsidP="008F4646">
      <w:pPr>
        <w:pStyle w:val="a7"/>
        <w:numPr>
          <w:ilvl w:val="0"/>
          <w:numId w:val="21"/>
        </w:numPr>
        <w:jc w:val="left"/>
        <w:outlineLvl w:val="9"/>
      </w:pPr>
      <w:r w:rsidRPr="004C6A84">
        <w:t>Ksiazek M, et al. Elastin-derived peptides and elastin receptor complex: Perspectives on pathophysiology and therapeutics. Matrix Biol. 2021;95:1–17.</w:t>
      </w:r>
    </w:p>
    <w:p w:rsidR="00E11ABF" w:rsidRPr="004C6A84" w:rsidRDefault="00E11ABF" w:rsidP="008F4646">
      <w:pPr>
        <w:pStyle w:val="a7"/>
        <w:numPr>
          <w:ilvl w:val="0"/>
          <w:numId w:val="21"/>
        </w:numPr>
        <w:jc w:val="left"/>
        <w:outlineLvl w:val="9"/>
      </w:pPr>
      <w:r w:rsidRPr="004C6A84">
        <w:t>Duca L, Blanchevoye C, Cantarelli B, et al. The elastin receptor complex transduces signals for matrix remodeling in human dermal fibroblasts. J Invest Dermatol. 2013;133(4):897–906.</w:t>
      </w:r>
    </w:p>
    <w:p w:rsidR="00E11ABF" w:rsidRPr="004C6A84" w:rsidRDefault="00E11ABF" w:rsidP="008F4646">
      <w:pPr>
        <w:pStyle w:val="a7"/>
        <w:numPr>
          <w:ilvl w:val="0"/>
          <w:numId w:val="21"/>
        </w:numPr>
        <w:jc w:val="left"/>
        <w:outlineLvl w:val="9"/>
      </w:pPr>
      <w:r w:rsidRPr="004C6A84">
        <w:t>Sterling T, Irwin JJ. ZINC 15—Ligand discovery for everyone. J Chem Inf Model. 2015;55(11):2324–2337.</w:t>
      </w:r>
    </w:p>
    <w:p w:rsidR="00E11ABF" w:rsidRPr="004C6A84" w:rsidRDefault="00E11ABF" w:rsidP="008F4646">
      <w:pPr>
        <w:pStyle w:val="a7"/>
        <w:numPr>
          <w:ilvl w:val="0"/>
          <w:numId w:val="21"/>
        </w:numPr>
        <w:jc w:val="left"/>
        <w:outlineLvl w:val="9"/>
      </w:pPr>
      <w:r w:rsidRPr="004C6A84">
        <w:t>Trott O, Olson AJ. AutoDock Vina: improving docking speed/accuracy. J Comput Chem. 2010;31(2):455–461.</w:t>
      </w:r>
    </w:p>
    <w:p w:rsidR="00E11ABF" w:rsidRPr="004C6A84" w:rsidRDefault="00E11ABF" w:rsidP="008F4646">
      <w:pPr>
        <w:pStyle w:val="a7"/>
        <w:numPr>
          <w:ilvl w:val="0"/>
          <w:numId w:val="21"/>
        </w:numPr>
        <w:jc w:val="left"/>
        <w:outlineLvl w:val="9"/>
      </w:pPr>
      <w:r w:rsidRPr="004C6A84">
        <w:t>Eberhardt J, Santos-Martins D, Tillack AF, Forli S. AutoDock Vina 1.2.0. J Chem Inf Model. 2021;61(8):3891–3898.</w:t>
      </w:r>
    </w:p>
    <w:p w:rsidR="00E11ABF" w:rsidRPr="004C6A84" w:rsidRDefault="00E11ABF" w:rsidP="008F4646">
      <w:pPr>
        <w:pStyle w:val="a7"/>
        <w:numPr>
          <w:ilvl w:val="0"/>
          <w:numId w:val="21"/>
        </w:numPr>
        <w:jc w:val="left"/>
        <w:outlineLvl w:val="9"/>
      </w:pPr>
      <w:r w:rsidRPr="004C6A84">
        <w:t>Morris GM, Huey R, Lindstrom W, et al. AutoDock4/ADT4. J Comput Chem. 2009;30(16):2785–2791.</w:t>
      </w:r>
    </w:p>
    <w:p w:rsidR="00E11ABF" w:rsidRPr="004C6A84" w:rsidRDefault="00E11ABF" w:rsidP="008F4646">
      <w:pPr>
        <w:pStyle w:val="a7"/>
        <w:numPr>
          <w:ilvl w:val="0"/>
          <w:numId w:val="21"/>
        </w:numPr>
        <w:jc w:val="left"/>
        <w:outlineLvl w:val="9"/>
      </w:pPr>
      <w:r w:rsidRPr="004C6A84">
        <w:t>Berman HM, Westbrook J, Feng Z, et al. The Protein Data Bank. Nucleic Acids Res. 2000;28(1):235–242.</w:t>
      </w:r>
    </w:p>
    <w:p w:rsidR="00E11ABF" w:rsidRPr="004C6A84" w:rsidRDefault="00E11ABF" w:rsidP="008F4646">
      <w:pPr>
        <w:pStyle w:val="a7"/>
        <w:numPr>
          <w:ilvl w:val="0"/>
          <w:numId w:val="21"/>
        </w:numPr>
        <w:jc w:val="left"/>
        <w:outlineLvl w:val="9"/>
      </w:pPr>
      <w:r w:rsidRPr="004C6A84">
        <w:t>Friesner RA, Banks JL, Murphy RB, et al. Glide 1: method &amp; accuracy. J Med Chem. 2004;47(7):1739–1749.</w:t>
      </w:r>
    </w:p>
    <w:p w:rsidR="00E11ABF" w:rsidRPr="004C6A84" w:rsidRDefault="00E11ABF" w:rsidP="008F4646">
      <w:pPr>
        <w:pStyle w:val="a7"/>
        <w:numPr>
          <w:ilvl w:val="0"/>
          <w:numId w:val="21"/>
        </w:numPr>
        <w:jc w:val="left"/>
        <w:outlineLvl w:val="9"/>
      </w:pPr>
      <w:r w:rsidRPr="004C6A84">
        <w:t>Halgren TA, Murphy RB, Friesner RA, et al. Glide 2: enrichment factors. J Med Chem. 2004;47(7):1750–1759.</w:t>
      </w:r>
    </w:p>
    <w:p w:rsidR="00E11ABF" w:rsidRPr="004C6A84" w:rsidRDefault="00E11ABF" w:rsidP="008F4646">
      <w:pPr>
        <w:pStyle w:val="a7"/>
        <w:numPr>
          <w:ilvl w:val="0"/>
          <w:numId w:val="21"/>
        </w:numPr>
        <w:jc w:val="left"/>
        <w:outlineLvl w:val="9"/>
      </w:pPr>
      <w:r w:rsidRPr="004C6A84">
        <w:t>Jones G, Willett P, Glen RC, Leach AR, Taylor R. GOLD GA docking. J Mol Biol. 1997;267(3):727–748.</w:t>
      </w:r>
    </w:p>
    <w:p w:rsidR="00E11ABF" w:rsidRPr="004C6A84" w:rsidRDefault="00E11ABF" w:rsidP="008F4646">
      <w:pPr>
        <w:pStyle w:val="a7"/>
        <w:numPr>
          <w:ilvl w:val="0"/>
          <w:numId w:val="21"/>
        </w:numPr>
        <w:jc w:val="left"/>
        <w:outlineLvl w:val="9"/>
      </w:pPr>
      <w:r w:rsidRPr="004C6A84">
        <w:t>Lang PT, Brozell SR, Mukherjee S, et al. DOCK 6: RNA–small molecule. RNA. 2009;15(6):1219–1230.</w:t>
      </w:r>
    </w:p>
    <w:p w:rsidR="00E11ABF" w:rsidRPr="004C6A84" w:rsidRDefault="00E11ABF" w:rsidP="008F4646">
      <w:pPr>
        <w:pStyle w:val="a7"/>
        <w:numPr>
          <w:ilvl w:val="0"/>
          <w:numId w:val="21"/>
        </w:numPr>
        <w:jc w:val="left"/>
        <w:outlineLvl w:val="9"/>
      </w:pPr>
      <w:r w:rsidRPr="004C6A84">
        <w:t>Koes DR, Baumgartner MP, Camacho CJ. smina lessons (CSAR 2011). J Chem Inf Model. 2013;53(8):1893–1904.</w:t>
      </w:r>
    </w:p>
    <w:p w:rsidR="00E11ABF" w:rsidRPr="004C6A84" w:rsidRDefault="00E11ABF" w:rsidP="008F4646">
      <w:pPr>
        <w:pStyle w:val="a7"/>
        <w:numPr>
          <w:ilvl w:val="0"/>
          <w:numId w:val="21"/>
        </w:numPr>
        <w:jc w:val="left"/>
        <w:outlineLvl w:val="9"/>
      </w:pPr>
      <w:r w:rsidRPr="004C6A84">
        <w:t>Koes DR, Camacho CJ. ZINCPharmer. Nucleic Acids Res. 2012;40(W1):W409–W414.</w:t>
      </w:r>
    </w:p>
    <w:p w:rsidR="00E11ABF" w:rsidRPr="004C6A84" w:rsidRDefault="00E11ABF" w:rsidP="008F4646">
      <w:pPr>
        <w:pStyle w:val="a7"/>
        <w:numPr>
          <w:ilvl w:val="0"/>
          <w:numId w:val="21"/>
        </w:numPr>
        <w:jc w:val="left"/>
        <w:outlineLvl w:val="9"/>
      </w:pPr>
      <w:r w:rsidRPr="004C6A84">
        <w:t>Wishart DS, Feunang YD, Guo AC, et al. DrugBank 5.0. Nucleic Acids Res. 2018;46(D1):D1074–D1082.</w:t>
      </w:r>
    </w:p>
    <w:p w:rsidR="00E11ABF" w:rsidRPr="004C6A84" w:rsidRDefault="00E11ABF" w:rsidP="008F4646">
      <w:pPr>
        <w:pStyle w:val="a7"/>
        <w:numPr>
          <w:ilvl w:val="0"/>
          <w:numId w:val="21"/>
        </w:numPr>
        <w:jc w:val="left"/>
        <w:outlineLvl w:val="9"/>
      </w:pPr>
      <w:r w:rsidRPr="004C6A84">
        <w:t>Kim S, Chen J, Cheng T, et al. PubChem 2021. Nucleic Acids Res. 2021;49(D1):D1388–D1395.</w:t>
      </w:r>
    </w:p>
    <w:p w:rsidR="00E11ABF" w:rsidRPr="004C6A84" w:rsidRDefault="00E11ABF" w:rsidP="008F4646">
      <w:pPr>
        <w:pStyle w:val="a7"/>
        <w:numPr>
          <w:ilvl w:val="0"/>
          <w:numId w:val="21"/>
        </w:numPr>
        <w:jc w:val="left"/>
        <w:outlineLvl w:val="9"/>
      </w:pPr>
      <w:r w:rsidRPr="004C6A84">
        <w:t>Gfeller D, Grosdidier A, Wirth M, et al. SwissTargetPrediction. Nucleic Acids Res. 2014;42(W1):W32–W38.</w:t>
      </w:r>
    </w:p>
    <w:p w:rsidR="00E11ABF" w:rsidRPr="004C6A84" w:rsidRDefault="00E11ABF" w:rsidP="008F4646">
      <w:pPr>
        <w:pStyle w:val="a7"/>
        <w:numPr>
          <w:ilvl w:val="0"/>
          <w:numId w:val="21"/>
        </w:numPr>
        <w:jc w:val="left"/>
        <w:outlineLvl w:val="9"/>
      </w:pPr>
      <w:r w:rsidRPr="004C6A84">
        <w:t>Lipinski CA, Lombardo F, Dominy BW, Feeney PJ. Solubility/permeability. Adv Drug Deliv Rev. 2001;46(1–3):3–26.</w:t>
      </w:r>
    </w:p>
    <w:p w:rsidR="00E11ABF" w:rsidRPr="004C6A84" w:rsidRDefault="00E11ABF" w:rsidP="008F4646">
      <w:pPr>
        <w:pStyle w:val="a7"/>
        <w:numPr>
          <w:ilvl w:val="0"/>
          <w:numId w:val="21"/>
        </w:numPr>
        <w:jc w:val="left"/>
        <w:outlineLvl w:val="9"/>
      </w:pPr>
      <w:r w:rsidRPr="004C6A84">
        <w:t>Veber DF, Johnson SR, Cheng HY, et al. Oral bioavailability props. J Med Chem. 2002;45(12):2615–2623.</w:t>
      </w:r>
    </w:p>
    <w:p w:rsidR="00E11ABF" w:rsidRPr="004C6A84" w:rsidRDefault="00E11ABF" w:rsidP="008F4646">
      <w:pPr>
        <w:pStyle w:val="a7"/>
        <w:numPr>
          <w:ilvl w:val="0"/>
          <w:numId w:val="21"/>
        </w:numPr>
        <w:jc w:val="left"/>
        <w:outlineLvl w:val="9"/>
      </w:pPr>
      <w:r w:rsidRPr="004C6A84">
        <w:t>Ghose AK, Viswanadhan VN, Wendoloski JJ. Library design rules. J Comb Chem. 1999;1(1):55–68.</w:t>
      </w:r>
    </w:p>
    <w:p w:rsidR="00E11ABF" w:rsidRPr="004C6A84" w:rsidRDefault="00E11ABF" w:rsidP="008F4646">
      <w:pPr>
        <w:pStyle w:val="a7"/>
        <w:numPr>
          <w:ilvl w:val="0"/>
          <w:numId w:val="21"/>
        </w:numPr>
        <w:jc w:val="left"/>
        <w:outlineLvl w:val="9"/>
      </w:pPr>
      <w:r w:rsidRPr="004C6A84">
        <w:t>Egan WJ, Merz KM Jr, Baldwin JJ. Absorption prediction. J Med Chem. 2000;43(21):3867–3877.</w:t>
      </w:r>
    </w:p>
    <w:p w:rsidR="00E11ABF" w:rsidRPr="004C6A84" w:rsidRDefault="00E11ABF" w:rsidP="008F4646">
      <w:pPr>
        <w:pStyle w:val="a7"/>
        <w:numPr>
          <w:ilvl w:val="0"/>
          <w:numId w:val="21"/>
        </w:numPr>
        <w:jc w:val="left"/>
        <w:outlineLvl w:val="9"/>
      </w:pPr>
      <w:r w:rsidRPr="004C6A84">
        <w:t>Daina A, Michielin O, Zoete V. SwissADME. Sci Rep. 2017;7:42717.</w:t>
      </w:r>
    </w:p>
    <w:p w:rsidR="00E11ABF" w:rsidRPr="004C6A84" w:rsidRDefault="00E11ABF" w:rsidP="008F4646">
      <w:pPr>
        <w:pStyle w:val="a7"/>
        <w:numPr>
          <w:ilvl w:val="0"/>
          <w:numId w:val="21"/>
        </w:numPr>
        <w:jc w:val="left"/>
        <w:outlineLvl w:val="9"/>
      </w:pPr>
      <w:r w:rsidRPr="004C6A84">
        <w:t>Pires DEV, Blundell TL, Ascher DB. pkCSM. J Med Chem. 2015;58(9):4066–4072.</w:t>
      </w:r>
    </w:p>
    <w:p w:rsidR="00E11ABF" w:rsidRPr="004C6A84" w:rsidRDefault="00E11ABF" w:rsidP="008F4646">
      <w:pPr>
        <w:pStyle w:val="a7"/>
        <w:numPr>
          <w:ilvl w:val="0"/>
          <w:numId w:val="21"/>
        </w:numPr>
        <w:jc w:val="left"/>
        <w:outlineLvl w:val="9"/>
      </w:pPr>
      <w:r w:rsidRPr="004C6A84">
        <w:t>Bickerton GR, Paolini GV, Besnard J, et al. QED. Nat Chem. 2012;4(2):90–98.</w:t>
      </w:r>
    </w:p>
    <w:p w:rsidR="00E11ABF" w:rsidRPr="004C6A84" w:rsidRDefault="00E11ABF" w:rsidP="008F4646">
      <w:pPr>
        <w:pStyle w:val="a7"/>
        <w:numPr>
          <w:ilvl w:val="0"/>
          <w:numId w:val="21"/>
        </w:numPr>
        <w:jc w:val="left"/>
        <w:outlineLvl w:val="9"/>
      </w:pPr>
      <w:r w:rsidRPr="004C6A84">
        <w:t>Ertl P, Schuffenhauer A. Synthetic accessibility score. J Cheminform. 2009;1:8.</w:t>
      </w:r>
    </w:p>
    <w:p w:rsidR="00E11ABF" w:rsidRPr="004C6A84" w:rsidRDefault="00E11ABF" w:rsidP="008F4646">
      <w:pPr>
        <w:pStyle w:val="a7"/>
        <w:numPr>
          <w:ilvl w:val="0"/>
          <w:numId w:val="21"/>
        </w:numPr>
        <w:jc w:val="left"/>
        <w:outlineLvl w:val="9"/>
      </w:pPr>
      <w:r w:rsidRPr="004C6A84">
        <w:t>Yap CW. PaDEL-Descriptor. J Comput Chem. 2011;32(7):1466–1474.</w:t>
      </w:r>
    </w:p>
    <w:p w:rsidR="00E11ABF" w:rsidRPr="004C6A84" w:rsidRDefault="00E11ABF" w:rsidP="008F4646">
      <w:pPr>
        <w:pStyle w:val="a7"/>
        <w:numPr>
          <w:ilvl w:val="0"/>
          <w:numId w:val="21"/>
        </w:numPr>
        <w:jc w:val="left"/>
        <w:outlineLvl w:val="9"/>
      </w:pPr>
      <w:r w:rsidRPr="004C6A84">
        <w:t>Wang J, Wang W, Kollman PA, Case DA. Antechamber atom/bond types. J Mol Graph Model. 2006;25(2):247–260.</w:t>
      </w:r>
    </w:p>
    <w:p w:rsidR="00E11ABF" w:rsidRPr="004C6A84" w:rsidRDefault="00E11ABF" w:rsidP="008F4646">
      <w:pPr>
        <w:pStyle w:val="a7"/>
        <w:numPr>
          <w:ilvl w:val="0"/>
          <w:numId w:val="21"/>
        </w:numPr>
        <w:jc w:val="left"/>
        <w:outlineLvl w:val="9"/>
      </w:pPr>
      <w:r w:rsidRPr="004C6A84">
        <w:t>Wang J, Wolf RM, Caldwell JW, Kollman PA, Case DA. GAFF. J Comput Chem. 2004;25(9):1157–1174.</w:t>
      </w:r>
    </w:p>
    <w:p w:rsidR="00E11ABF" w:rsidRPr="004C6A84" w:rsidRDefault="00E11ABF" w:rsidP="008F4646">
      <w:pPr>
        <w:pStyle w:val="a7"/>
        <w:numPr>
          <w:ilvl w:val="0"/>
          <w:numId w:val="21"/>
        </w:numPr>
        <w:jc w:val="left"/>
        <w:outlineLvl w:val="9"/>
      </w:pPr>
      <w:r w:rsidRPr="004C6A84">
        <w:t>Bayly CI, Cieplak P, Cornell WD, Kollman PA. RESP charges. J Phys Chem. 1993;97(40):10269–10280.</w:t>
      </w:r>
    </w:p>
    <w:p w:rsidR="00E11ABF" w:rsidRPr="004C6A84" w:rsidRDefault="00E11ABF" w:rsidP="008F4646">
      <w:pPr>
        <w:pStyle w:val="a7"/>
        <w:numPr>
          <w:ilvl w:val="0"/>
          <w:numId w:val="21"/>
        </w:numPr>
        <w:jc w:val="left"/>
        <w:outlineLvl w:val="9"/>
      </w:pPr>
      <w:r w:rsidRPr="004C6A84">
        <w:t>Jakalian A, Bush BL, Jack DB, Bayly CI. AM1-BCC I. J Comput Chem. 2000;21(2):132–146.</w:t>
      </w:r>
    </w:p>
    <w:p w:rsidR="00E11ABF" w:rsidRPr="004C6A84" w:rsidRDefault="00E11ABF" w:rsidP="008F4646">
      <w:pPr>
        <w:pStyle w:val="a7"/>
        <w:numPr>
          <w:ilvl w:val="0"/>
          <w:numId w:val="21"/>
        </w:numPr>
        <w:jc w:val="left"/>
        <w:outlineLvl w:val="9"/>
      </w:pPr>
      <w:r w:rsidRPr="004C6A84">
        <w:t>Jakalian A, Jack DB, Bayly CI. AM1-BCC II. J Comput Chem. 2002;23(16):1623–1641.</w:t>
      </w:r>
    </w:p>
    <w:p w:rsidR="00E11ABF" w:rsidRPr="004C6A84" w:rsidRDefault="00E11ABF" w:rsidP="008F4646">
      <w:pPr>
        <w:pStyle w:val="a7"/>
        <w:numPr>
          <w:ilvl w:val="0"/>
          <w:numId w:val="21"/>
        </w:numPr>
        <w:jc w:val="left"/>
        <w:outlineLvl w:val="9"/>
      </w:pPr>
      <w:r w:rsidRPr="004C6A84">
        <w:t>Jorgensen WL, Chandrasekhar J, Madura JD, Impey RW, Klein ML. TIP3P. J Chem Phys. 1983;79(2):926–935.</w:t>
      </w:r>
    </w:p>
    <w:p w:rsidR="00E11ABF" w:rsidRPr="004C6A84" w:rsidRDefault="00E11ABF" w:rsidP="008F4646">
      <w:pPr>
        <w:pStyle w:val="a7"/>
        <w:numPr>
          <w:ilvl w:val="0"/>
          <w:numId w:val="21"/>
        </w:numPr>
        <w:jc w:val="left"/>
        <w:outlineLvl w:val="9"/>
      </w:pPr>
      <w:r w:rsidRPr="004C6A84">
        <w:t>Abascal JLF, Vega C. TIP4P/2005. J Chem Phys. 2005;123(23):234505.</w:t>
      </w:r>
    </w:p>
    <w:p w:rsidR="00E11ABF" w:rsidRPr="004C6A84" w:rsidRDefault="00E11ABF" w:rsidP="008F4646">
      <w:pPr>
        <w:pStyle w:val="a7"/>
        <w:numPr>
          <w:ilvl w:val="0"/>
          <w:numId w:val="21"/>
        </w:numPr>
        <w:jc w:val="left"/>
        <w:outlineLvl w:val="9"/>
      </w:pPr>
      <w:r w:rsidRPr="004C6A84">
        <w:t>Horn HW, Swope WC, Pitera JW, et al. TIP4P-Ew. J Chem Phys. 2004;120(20):9665–9678.</w:t>
      </w:r>
    </w:p>
    <w:p w:rsidR="00E11ABF" w:rsidRPr="004C6A84" w:rsidRDefault="00E11ABF" w:rsidP="008F4646">
      <w:pPr>
        <w:pStyle w:val="a7"/>
        <w:numPr>
          <w:ilvl w:val="0"/>
          <w:numId w:val="21"/>
        </w:numPr>
        <w:jc w:val="left"/>
        <w:outlineLvl w:val="9"/>
      </w:pPr>
      <w:r w:rsidRPr="004C6A84">
        <w:t>Darden T, York D, Pedersen L. PME. J Chem Phys. 1993;98(12):10089–10092.</w:t>
      </w:r>
    </w:p>
    <w:p w:rsidR="00E11ABF" w:rsidRPr="004C6A84" w:rsidRDefault="00E11ABF" w:rsidP="008F4646">
      <w:pPr>
        <w:pStyle w:val="a7"/>
        <w:numPr>
          <w:ilvl w:val="0"/>
          <w:numId w:val="21"/>
        </w:numPr>
        <w:jc w:val="left"/>
        <w:outlineLvl w:val="9"/>
      </w:pPr>
      <w:r w:rsidRPr="004C6A84">
        <w:t>Essmann U, Perera L, Berkowitz ML, et al. Smooth PME. J Chem Phys. 1995;103(19):8577–8593.</w:t>
      </w:r>
    </w:p>
    <w:p w:rsidR="00E11ABF" w:rsidRPr="004C6A84" w:rsidRDefault="00E11ABF" w:rsidP="008F4646">
      <w:pPr>
        <w:pStyle w:val="a7"/>
        <w:numPr>
          <w:ilvl w:val="0"/>
          <w:numId w:val="21"/>
        </w:numPr>
        <w:jc w:val="left"/>
        <w:outlineLvl w:val="9"/>
      </w:pPr>
      <w:r w:rsidRPr="004C6A84">
        <w:t>Parrinello M, Rahman A. Anisotropic NPT MD. J Appl Phys. 1981;52(12):7182–7190.</w:t>
      </w:r>
    </w:p>
    <w:p w:rsidR="00E11ABF" w:rsidRPr="004C6A84" w:rsidRDefault="00E11ABF" w:rsidP="008F4646">
      <w:pPr>
        <w:pStyle w:val="a7"/>
        <w:numPr>
          <w:ilvl w:val="0"/>
          <w:numId w:val="21"/>
        </w:numPr>
        <w:jc w:val="left"/>
        <w:outlineLvl w:val="9"/>
      </w:pPr>
      <w:r w:rsidRPr="004C6A84">
        <w:t>Berendsen HJC, Postma JPM, van Gunsteren WF, et al. Berendsen thermostat/barostat. J Chem Phys. 1984;81(8):3684–3690.</w:t>
      </w:r>
    </w:p>
    <w:p w:rsidR="00E11ABF" w:rsidRPr="004C6A84" w:rsidRDefault="00E11ABF" w:rsidP="008F4646">
      <w:pPr>
        <w:pStyle w:val="a7"/>
        <w:numPr>
          <w:ilvl w:val="0"/>
          <w:numId w:val="21"/>
        </w:numPr>
        <w:jc w:val="left"/>
        <w:outlineLvl w:val="9"/>
      </w:pPr>
      <w:r w:rsidRPr="004C6A84">
        <w:t>Nosé S. Constant-T MD. J Chem Phys. 1984;81(1):511–519.</w:t>
      </w:r>
    </w:p>
    <w:p w:rsidR="00E11ABF" w:rsidRPr="004C6A84" w:rsidRDefault="00E11ABF" w:rsidP="008F4646">
      <w:pPr>
        <w:pStyle w:val="a7"/>
        <w:numPr>
          <w:ilvl w:val="0"/>
          <w:numId w:val="21"/>
        </w:numPr>
        <w:jc w:val="left"/>
        <w:outlineLvl w:val="9"/>
      </w:pPr>
      <w:r w:rsidRPr="004C6A84">
        <w:t>Hoover WG. Canonical dynamics. Phys Rev A. 1985;31(3):1695–1697.</w:t>
      </w:r>
    </w:p>
    <w:p w:rsidR="00E11ABF" w:rsidRPr="004C6A84" w:rsidRDefault="00E11ABF" w:rsidP="008F4646">
      <w:pPr>
        <w:pStyle w:val="a7"/>
        <w:numPr>
          <w:ilvl w:val="0"/>
          <w:numId w:val="21"/>
        </w:numPr>
        <w:jc w:val="left"/>
        <w:outlineLvl w:val="9"/>
      </w:pPr>
      <w:r w:rsidRPr="004C6A84">
        <w:t>Martyna GJ, Tobias DJ, Klein ML. Constant pressure algorithms. J Chem Phys. 1994;101(5):4177–4189.</w:t>
      </w:r>
    </w:p>
    <w:p w:rsidR="00E11ABF" w:rsidRPr="004C6A84" w:rsidRDefault="00E11ABF" w:rsidP="008F4646">
      <w:pPr>
        <w:pStyle w:val="a7"/>
        <w:numPr>
          <w:ilvl w:val="0"/>
          <w:numId w:val="21"/>
        </w:numPr>
        <w:jc w:val="left"/>
        <w:outlineLvl w:val="9"/>
      </w:pPr>
      <w:r w:rsidRPr="004C6A84">
        <w:t>Miyamoto S, Kollman PA. SETTLE. J Comput Chem. 1992;13(8):952–962.</w:t>
      </w:r>
    </w:p>
    <w:p w:rsidR="00E11ABF" w:rsidRPr="004C6A84" w:rsidRDefault="00E11ABF" w:rsidP="008F4646">
      <w:pPr>
        <w:pStyle w:val="a7"/>
        <w:numPr>
          <w:ilvl w:val="0"/>
          <w:numId w:val="21"/>
        </w:numPr>
        <w:jc w:val="left"/>
        <w:outlineLvl w:val="9"/>
      </w:pPr>
      <w:r w:rsidRPr="004C6A84">
        <w:t>Ryckaert JP, Ciccotti G, Berendsen HJC. SHAKE. J Comput Phys. 1977;23(3):327–341.</w:t>
      </w:r>
    </w:p>
    <w:p w:rsidR="00E11ABF" w:rsidRPr="004C6A84" w:rsidRDefault="00E11ABF" w:rsidP="008F4646">
      <w:pPr>
        <w:pStyle w:val="a7"/>
        <w:numPr>
          <w:ilvl w:val="0"/>
          <w:numId w:val="21"/>
        </w:numPr>
        <w:jc w:val="left"/>
        <w:outlineLvl w:val="9"/>
      </w:pPr>
      <w:r w:rsidRPr="004C6A84">
        <w:t>Hess B, Bekker H, Berendsen HJC, Fraaije JGEM. LINCS. J Comput Chem. 1997;18(12):1463–1472.</w:t>
      </w:r>
    </w:p>
    <w:p w:rsidR="00E11ABF" w:rsidRPr="004C6A84" w:rsidRDefault="00E11ABF" w:rsidP="008F4646">
      <w:pPr>
        <w:pStyle w:val="a7"/>
        <w:numPr>
          <w:ilvl w:val="0"/>
          <w:numId w:val="21"/>
        </w:numPr>
        <w:jc w:val="left"/>
        <w:outlineLvl w:val="9"/>
      </w:pPr>
      <w:r w:rsidRPr="004C6A84">
        <w:t>Hess B. P-LINCS. J Chem Theory Comput. 2008;4(1):116–122.</w:t>
      </w:r>
    </w:p>
    <w:p w:rsidR="00E11ABF" w:rsidRPr="004C6A84" w:rsidRDefault="00E11ABF" w:rsidP="008F4646">
      <w:pPr>
        <w:pStyle w:val="a7"/>
        <w:numPr>
          <w:ilvl w:val="0"/>
          <w:numId w:val="21"/>
        </w:numPr>
        <w:jc w:val="left"/>
        <w:outlineLvl w:val="9"/>
      </w:pPr>
      <w:r w:rsidRPr="004C6A84">
        <w:t>Bussi G, Donadio D, Parrinello M. V-rescale thermostat. J Chem Phys. 2007;126:014101.</w:t>
      </w:r>
    </w:p>
    <w:p w:rsidR="00E11ABF" w:rsidRPr="004C6A84" w:rsidRDefault="00E11ABF" w:rsidP="008F4646">
      <w:pPr>
        <w:pStyle w:val="a7"/>
        <w:numPr>
          <w:ilvl w:val="0"/>
          <w:numId w:val="21"/>
        </w:numPr>
        <w:jc w:val="left"/>
        <w:outlineLvl w:val="9"/>
      </w:pPr>
      <w:r w:rsidRPr="004C6A84">
        <w:t>Abraham MJ, Murtola T, Schulz R, et al. GROMACS. SoftwareX. 2015;1–2:19–25.</w:t>
      </w:r>
    </w:p>
    <w:p w:rsidR="00E11ABF" w:rsidRPr="004C6A84" w:rsidRDefault="00E11ABF" w:rsidP="008F4646">
      <w:pPr>
        <w:pStyle w:val="a7"/>
        <w:numPr>
          <w:ilvl w:val="0"/>
          <w:numId w:val="21"/>
        </w:numPr>
        <w:jc w:val="left"/>
        <w:outlineLvl w:val="9"/>
      </w:pPr>
      <w:r w:rsidRPr="004C6A84">
        <w:t>Eastman P, Swails J, Chodera JD, et al. OpenMM 7. PLoS Comput Biol. 2017;13(7):e1005659.</w:t>
      </w:r>
    </w:p>
    <w:p w:rsidR="00E11ABF" w:rsidRPr="004C6A84" w:rsidRDefault="00E11ABF" w:rsidP="008F4646">
      <w:pPr>
        <w:pStyle w:val="a7"/>
        <w:numPr>
          <w:ilvl w:val="0"/>
          <w:numId w:val="21"/>
        </w:numPr>
        <w:jc w:val="left"/>
        <w:outlineLvl w:val="9"/>
      </w:pPr>
      <w:r w:rsidRPr="004C6A84">
        <w:t>Case DA, Cheatham TE III, Darden T, et al. AMBER programs. J Comput Chem. 2005;26(16):1668–1688.</w:t>
      </w:r>
    </w:p>
    <w:p w:rsidR="00E11ABF" w:rsidRPr="004C6A84" w:rsidRDefault="00E11ABF" w:rsidP="008F4646">
      <w:pPr>
        <w:pStyle w:val="a7"/>
        <w:numPr>
          <w:ilvl w:val="0"/>
          <w:numId w:val="21"/>
        </w:numPr>
        <w:jc w:val="left"/>
        <w:outlineLvl w:val="9"/>
      </w:pPr>
      <w:r w:rsidRPr="004C6A84">
        <w:t>Brooks BR, Brooks CL III, Mackerell AD Jr, et al. CHARMM. J Comput Chem. 2009;30(10):1545–1614.</w:t>
      </w:r>
    </w:p>
    <w:p w:rsidR="00E11ABF" w:rsidRPr="004C6A84" w:rsidRDefault="00E11ABF" w:rsidP="008F4646">
      <w:pPr>
        <w:pStyle w:val="a7"/>
        <w:numPr>
          <w:ilvl w:val="0"/>
          <w:numId w:val="21"/>
        </w:numPr>
        <w:jc w:val="left"/>
        <w:outlineLvl w:val="9"/>
      </w:pPr>
      <w:r w:rsidRPr="004C6A84">
        <w:t>Lee J, Cheng X, Swails JM, et al. CHARMM-GUI input generator. J Chem Theory Comput. 2016;12(1):405–413.</w:t>
      </w:r>
    </w:p>
    <w:p w:rsidR="00E11ABF" w:rsidRPr="004C6A84" w:rsidRDefault="00E11ABF" w:rsidP="008F4646">
      <w:pPr>
        <w:pStyle w:val="a7"/>
        <w:numPr>
          <w:ilvl w:val="0"/>
          <w:numId w:val="21"/>
        </w:numPr>
        <w:jc w:val="left"/>
        <w:outlineLvl w:val="9"/>
      </w:pPr>
      <w:r w:rsidRPr="004C6A84">
        <w:t>Phillips JC, Hardy DJ, Maia JDC, et al. NAMD (CPU/GPU). J Chem Phys. 2020;153(4):044130.</w:t>
      </w:r>
    </w:p>
    <w:p w:rsidR="00E11ABF" w:rsidRPr="004C6A84" w:rsidRDefault="00E11ABF" w:rsidP="008F4646">
      <w:pPr>
        <w:pStyle w:val="a7"/>
        <w:numPr>
          <w:ilvl w:val="0"/>
          <w:numId w:val="21"/>
        </w:numPr>
        <w:jc w:val="left"/>
        <w:outlineLvl w:val="9"/>
      </w:pPr>
      <w:r w:rsidRPr="004C6A84">
        <w:t>Stone JE, Phillips JC, Freddolino PL, et al. GPU acceleration. J Comput Chem. 2010;31(6):966–993.</w:t>
      </w:r>
    </w:p>
    <w:p w:rsidR="00E11ABF" w:rsidRPr="004C6A84" w:rsidRDefault="00E11ABF" w:rsidP="008F4646">
      <w:pPr>
        <w:pStyle w:val="a7"/>
        <w:numPr>
          <w:ilvl w:val="0"/>
          <w:numId w:val="21"/>
        </w:numPr>
        <w:jc w:val="left"/>
        <w:outlineLvl w:val="9"/>
      </w:pPr>
      <w:r w:rsidRPr="004C6A84">
        <w:t>Humphrey W, Dalke A, Schulten K. VMD. J Mol Graph. 1996;14(1):33–38.</w:t>
      </w:r>
    </w:p>
    <w:p w:rsidR="00E11ABF" w:rsidRPr="004C6A84" w:rsidRDefault="00E11ABF" w:rsidP="008F4646">
      <w:pPr>
        <w:pStyle w:val="a7"/>
        <w:numPr>
          <w:ilvl w:val="0"/>
          <w:numId w:val="21"/>
        </w:numPr>
        <w:jc w:val="left"/>
        <w:outlineLvl w:val="9"/>
      </w:pPr>
      <w:r w:rsidRPr="004C6A84">
        <w:t>Pettersen EF, Goddard TD, Huang CC, et al. UCSF Chimera. J Comput Chem. 2004;25(13):1605–1612.</w:t>
      </w:r>
    </w:p>
    <w:p w:rsidR="00E11ABF" w:rsidRPr="004C6A84" w:rsidRDefault="00E11ABF" w:rsidP="008F4646">
      <w:pPr>
        <w:pStyle w:val="a7"/>
        <w:numPr>
          <w:ilvl w:val="0"/>
          <w:numId w:val="21"/>
        </w:numPr>
        <w:jc w:val="left"/>
        <w:outlineLvl w:val="9"/>
      </w:pPr>
      <w:r w:rsidRPr="004C6A84">
        <w:t>Schrödinger LLC. PyMOL, v2.0; 2015.</w:t>
      </w:r>
    </w:p>
    <w:p w:rsidR="00E11ABF" w:rsidRPr="004C6A84" w:rsidRDefault="00E11ABF" w:rsidP="008F4646">
      <w:pPr>
        <w:pStyle w:val="a7"/>
        <w:numPr>
          <w:ilvl w:val="0"/>
          <w:numId w:val="21"/>
        </w:numPr>
        <w:jc w:val="left"/>
        <w:outlineLvl w:val="9"/>
      </w:pPr>
      <w:r w:rsidRPr="004C6A84">
        <w:t>McGibbon RT, Beauchamp KA, Harrigan MP, et al. MDTraj. Biophys J. 2015;109(8):1528–1532.</w:t>
      </w:r>
    </w:p>
    <w:p w:rsidR="00E11ABF" w:rsidRPr="004C6A84" w:rsidRDefault="00E11ABF" w:rsidP="008F4646">
      <w:pPr>
        <w:pStyle w:val="a7"/>
        <w:numPr>
          <w:ilvl w:val="0"/>
          <w:numId w:val="21"/>
        </w:numPr>
        <w:jc w:val="left"/>
        <w:outlineLvl w:val="9"/>
      </w:pPr>
      <w:r w:rsidRPr="004C6A84">
        <w:t>ParmEd Development Team. ParmEd: parameter/topology editor; 2015. (Software).</w:t>
      </w:r>
    </w:p>
    <w:p w:rsidR="00E11ABF" w:rsidRPr="004C6A84" w:rsidRDefault="00E11ABF" w:rsidP="008F4646">
      <w:pPr>
        <w:pStyle w:val="a7"/>
        <w:numPr>
          <w:ilvl w:val="0"/>
          <w:numId w:val="21"/>
        </w:numPr>
        <w:jc w:val="left"/>
        <w:outlineLvl w:val="9"/>
      </w:pPr>
      <w:r w:rsidRPr="004C6A84">
        <w:t>Sousa da Silva AW, Vranken WF. ACPYPE. BMC Res Notes. 2012;5:367.</w:t>
      </w:r>
    </w:p>
    <w:p w:rsidR="00E11ABF" w:rsidRPr="004C6A84" w:rsidRDefault="00E11ABF" w:rsidP="008F4646">
      <w:pPr>
        <w:pStyle w:val="a7"/>
        <w:numPr>
          <w:ilvl w:val="0"/>
          <w:numId w:val="21"/>
        </w:numPr>
        <w:jc w:val="left"/>
        <w:outlineLvl w:val="9"/>
        <w:rPr>
          <w:lang w:val="el-GR"/>
        </w:rPr>
      </w:pPr>
      <w:r w:rsidRPr="004C6A84">
        <w:t xml:space="preserve">Shrake A, Rupley JA. Solvent exposure of protein atoms. </w:t>
      </w:r>
      <w:r w:rsidRPr="004C6A84">
        <w:rPr>
          <w:lang w:val="el-GR"/>
        </w:rPr>
        <w:t>J Mol Biol. 1973;79(2):351–371.</w:t>
      </w:r>
    </w:p>
    <w:p w:rsidR="00E11ABF" w:rsidRPr="004C6A84" w:rsidRDefault="00E11ABF" w:rsidP="008F4646">
      <w:pPr>
        <w:pStyle w:val="a7"/>
        <w:numPr>
          <w:ilvl w:val="0"/>
          <w:numId w:val="21"/>
        </w:numPr>
        <w:jc w:val="left"/>
        <w:outlineLvl w:val="9"/>
        <w:rPr>
          <w:lang w:val="el-GR"/>
        </w:rPr>
      </w:pPr>
      <w:r w:rsidRPr="004C6A84">
        <w:t xml:space="preserve">Sitkoff D, Sharp KA, Honig B. Hydration free energies. </w:t>
      </w:r>
      <w:r w:rsidRPr="004C6A84">
        <w:rPr>
          <w:lang w:val="el-GR"/>
        </w:rPr>
        <w:t>J Phys Chem. 1994;98(7):1978–1988.</w:t>
      </w:r>
    </w:p>
    <w:p w:rsidR="00E11ABF" w:rsidRPr="004C6A84" w:rsidRDefault="00E11ABF" w:rsidP="008F4646">
      <w:pPr>
        <w:pStyle w:val="a7"/>
        <w:numPr>
          <w:ilvl w:val="0"/>
          <w:numId w:val="21"/>
        </w:numPr>
        <w:jc w:val="left"/>
        <w:outlineLvl w:val="9"/>
        <w:rPr>
          <w:lang w:val="el-GR"/>
        </w:rPr>
      </w:pPr>
      <w:r w:rsidRPr="004C6A84">
        <w:t xml:space="preserve">Onufriev A, Bashford D, Case DA. </w:t>
      </w:r>
      <w:r w:rsidRPr="004C6A84">
        <w:rPr>
          <w:lang w:val="el-GR"/>
        </w:rPr>
        <w:t>Modified GB model. Proteins. 2004;55(2):383–394.</w:t>
      </w:r>
    </w:p>
    <w:p w:rsidR="00E11ABF" w:rsidRPr="004C6A84" w:rsidRDefault="00E11ABF" w:rsidP="008F4646">
      <w:pPr>
        <w:pStyle w:val="a7"/>
        <w:numPr>
          <w:ilvl w:val="0"/>
          <w:numId w:val="21"/>
        </w:numPr>
        <w:jc w:val="left"/>
        <w:outlineLvl w:val="9"/>
        <w:rPr>
          <w:lang w:val="el-GR"/>
        </w:rPr>
      </w:pPr>
      <w:r w:rsidRPr="004C6A84">
        <w:t xml:space="preserve">Genheden S, Ryde U. MM/PBSA &amp; MM/GBSA overview. </w:t>
      </w:r>
      <w:r w:rsidRPr="004C6A84">
        <w:rPr>
          <w:lang w:val="el-GR"/>
        </w:rPr>
        <w:t>Expert Opin Drug Discov. 2015;10(5):449–461.</w:t>
      </w:r>
    </w:p>
    <w:p w:rsidR="00E11ABF" w:rsidRPr="004C6A84" w:rsidRDefault="00E11ABF" w:rsidP="008F4646">
      <w:pPr>
        <w:pStyle w:val="a7"/>
        <w:numPr>
          <w:ilvl w:val="0"/>
          <w:numId w:val="21"/>
        </w:numPr>
        <w:jc w:val="left"/>
        <w:outlineLvl w:val="9"/>
        <w:rPr>
          <w:lang w:val="el-GR"/>
        </w:rPr>
      </w:pPr>
      <w:r w:rsidRPr="004C6A84">
        <w:t xml:space="preserve">Kumari R, Kumar R, OSDD Consortium, Lynn A. g_mmpbsa. </w:t>
      </w:r>
      <w:r w:rsidRPr="004C6A84">
        <w:rPr>
          <w:lang w:val="el-GR"/>
        </w:rPr>
        <w:t>J Chem Inf Model. 2014;54(7):1951–1962.</w:t>
      </w:r>
    </w:p>
    <w:p w:rsidR="00E11ABF" w:rsidRPr="004C6A84" w:rsidRDefault="00E11ABF" w:rsidP="008F4646">
      <w:pPr>
        <w:pStyle w:val="a7"/>
        <w:numPr>
          <w:ilvl w:val="0"/>
          <w:numId w:val="21"/>
        </w:numPr>
        <w:jc w:val="left"/>
        <w:outlineLvl w:val="9"/>
        <w:rPr>
          <w:lang w:val="el-GR"/>
        </w:rPr>
      </w:pPr>
      <w:r w:rsidRPr="004C6A84">
        <w:t xml:space="preserve">Huang J, MacKerell AD Jr. </w:t>
      </w:r>
      <w:r w:rsidRPr="004C6A84">
        <w:rPr>
          <w:lang w:val="el-GR"/>
        </w:rPr>
        <w:t>CHARMM36m. Nat Methods. 2017;14(1):71–73.</w:t>
      </w:r>
    </w:p>
    <w:p w:rsidR="00E11ABF" w:rsidRPr="004C6A84" w:rsidRDefault="00E11ABF" w:rsidP="008F4646">
      <w:pPr>
        <w:pStyle w:val="a7"/>
        <w:numPr>
          <w:ilvl w:val="0"/>
          <w:numId w:val="21"/>
        </w:numPr>
        <w:jc w:val="left"/>
        <w:outlineLvl w:val="9"/>
      </w:pPr>
      <w:r w:rsidRPr="004C6A84">
        <w:t>Waterhouse A, Bertoni M, Bienert S, et al. SWISS-MODEL. Nucleic Acids Res. 2018;46(W1):W296–W303.</w:t>
      </w:r>
    </w:p>
    <w:p w:rsidR="00E11ABF" w:rsidRPr="004C6A84" w:rsidRDefault="00E11ABF" w:rsidP="008F4646">
      <w:pPr>
        <w:pStyle w:val="a7"/>
        <w:numPr>
          <w:ilvl w:val="0"/>
          <w:numId w:val="21"/>
        </w:numPr>
        <w:jc w:val="left"/>
        <w:outlineLvl w:val="9"/>
        <w:rPr>
          <w:lang w:val="el-GR"/>
        </w:rPr>
      </w:pPr>
      <w:r w:rsidRPr="004C6A84">
        <w:t xml:space="preserve">Jumper J, Evans R, Pritzel A, et al. </w:t>
      </w:r>
      <w:r w:rsidRPr="004C6A84">
        <w:rPr>
          <w:lang w:val="el-GR"/>
        </w:rPr>
        <w:t>AlphaFold. Nature. 2021;596:583–589.</w:t>
      </w:r>
    </w:p>
    <w:p w:rsidR="00E11ABF" w:rsidRPr="004C6A84" w:rsidRDefault="00E11ABF" w:rsidP="008F4646">
      <w:pPr>
        <w:pStyle w:val="a7"/>
        <w:numPr>
          <w:ilvl w:val="0"/>
          <w:numId w:val="21"/>
        </w:numPr>
        <w:jc w:val="left"/>
        <w:outlineLvl w:val="9"/>
        <w:rPr>
          <w:lang w:val="el-GR"/>
        </w:rPr>
      </w:pPr>
      <w:r w:rsidRPr="004C6A84">
        <w:t xml:space="preserve">Mirdita M, Schütze K, Moriwaki Y, et al. </w:t>
      </w:r>
      <w:r w:rsidRPr="004C6A84">
        <w:rPr>
          <w:lang w:val="el-GR"/>
        </w:rPr>
        <w:t>ColabFold. Nat Methods. 2022;19:679–682.</w:t>
      </w:r>
    </w:p>
    <w:p w:rsidR="00E11ABF" w:rsidRPr="004C6A84" w:rsidRDefault="00E11ABF" w:rsidP="008F4646">
      <w:pPr>
        <w:pStyle w:val="a7"/>
        <w:numPr>
          <w:ilvl w:val="0"/>
          <w:numId w:val="21"/>
        </w:numPr>
        <w:jc w:val="left"/>
        <w:outlineLvl w:val="9"/>
      </w:pPr>
      <w:r w:rsidRPr="004C6A84">
        <w:t>Madeira F, Pearce M, Tivey ARN, et al. EMBL-EBI tools 2022. Nucleic Acids Res. 2022;50(W1):W276–W279.</w:t>
      </w:r>
    </w:p>
    <w:p w:rsidR="00E11ABF" w:rsidRPr="004C6A84" w:rsidRDefault="00E11ABF" w:rsidP="008F4646">
      <w:pPr>
        <w:pStyle w:val="a7"/>
        <w:numPr>
          <w:ilvl w:val="0"/>
          <w:numId w:val="21"/>
        </w:numPr>
        <w:jc w:val="left"/>
        <w:outlineLvl w:val="9"/>
        <w:rPr>
          <w:lang w:val="el-GR"/>
        </w:rPr>
      </w:pPr>
      <w:r w:rsidRPr="004C6A84">
        <w:t xml:space="preserve">Waterhouse AM, Procter JB, Martin DMA, Clamp M, Barton GJ. </w:t>
      </w:r>
      <w:r w:rsidRPr="004C6A84">
        <w:rPr>
          <w:lang w:val="el-GR"/>
        </w:rPr>
        <w:t>Jalview v2. Bioinformatics. 2009;25(9):1189–1191.</w:t>
      </w:r>
    </w:p>
    <w:p w:rsidR="00E11ABF" w:rsidRPr="004C6A84" w:rsidRDefault="00E11ABF" w:rsidP="008F4646">
      <w:pPr>
        <w:pStyle w:val="a7"/>
        <w:numPr>
          <w:ilvl w:val="0"/>
          <w:numId w:val="21"/>
        </w:numPr>
        <w:jc w:val="left"/>
        <w:outlineLvl w:val="9"/>
      </w:pPr>
      <w:r w:rsidRPr="004C6A84">
        <w:t>Robert X, Gouet P. ENDscript. Nucleic Acids Res. 2014;42(W1):W320–W324.</w:t>
      </w:r>
    </w:p>
    <w:p w:rsidR="00E11ABF" w:rsidRPr="004C6A84" w:rsidRDefault="00E11ABF" w:rsidP="008F4646">
      <w:pPr>
        <w:pStyle w:val="a7"/>
        <w:numPr>
          <w:ilvl w:val="0"/>
          <w:numId w:val="21"/>
        </w:numPr>
        <w:jc w:val="left"/>
        <w:outlineLvl w:val="9"/>
        <w:rPr>
          <w:lang w:val="el-GR"/>
        </w:rPr>
      </w:pPr>
      <w:r w:rsidRPr="004C6A84">
        <w:t xml:space="preserve">Pettersen EF, et al. UCSF ChimeraX. </w:t>
      </w:r>
      <w:r w:rsidRPr="004C6A84">
        <w:rPr>
          <w:lang w:val="el-GR"/>
        </w:rPr>
        <w:t>Protein Sci. 2021;30(1):70–82.</w:t>
      </w:r>
    </w:p>
    <w:p w:rsidR="00E11ABF" w:rsidRPr="004C6A84" w:rsidRDefault="00E11ABF" w:rsidP="008F4646">
      <w:pPr>
        <w:pStyle w:val="a7"/>
        <w:numPr>
          <w:ilvl w:val="0"/>
          <w:numId w:val="21"/>
        </w:numPr>
        <w:jc w:val="left"/>
        <w:outlineLvl w:val="9"/>
      </w:pPr>
      <w:r w:rsidRPr="004C6A84">
        <w:t>UniProt Consortium. UniProt 2021. Nucleic Acids Res. 2021;49(D1):D480–D489.</w:t>
      </w:r>
    </w:p>
    <w:p w:rsidR="00E11ABF" w:rsidRPr="004C6A84" w:rsidRDefault="00E11ABF" w:rsidP="008F4646">
      <w:pPr>
        <w:pStyle w:val="a7"/>
        <w:numPr>
          <w:ilvl w:val="0"/>
          <w:numId w:val="21"/>
        </w:numPr>
        <w:jc w:val="left"/>
        <w:outlineLvl w:val="9"/>
      </w:pPr>
      <w:r w:rsidRPr="004C6A84">
        <w:t>Bairoch A, Apweiler R. SWISS-PROT/TrEMBL. Nucleic Acids Res. 1997;25(1):31–36.</w:t>
      </w:r>
    </w:p>
    <w:p w:rsidR="00E11ABF" w:rsidRPr="004C6A84" w:rsidRDefault="00E11ABF" w:rsidP="008F4646">
      <w:pPr>
        <w:pStyle w:val="a7"/>
        <w:numPr>
          <w:ilvl w:val="0"/>
          <w:numId w:val="21"/>
        </w:numPr>
        <w:jc w:val="left"/>
        <w:outlineLvl w:val="9"/>
      </w:pPr>
      <w:r w:rsidRPr="004C6A84">
        <w:t>Edgar RC. MUSCLE. Nucleic Acids Res. 2004;32(5):1792–1797.</w:t>
      </w:r>
    </w:p>
    <w:p w:rsidR="00E11ABF" w:rsidRPr="004C6A84" w:rsidRDefault="00E11ABF" w:rsidP="008F4646">
      <w:pPr>
        <w:pStyle w:val="a7"/>
        <w:numPr>
          <w:ilvl w:val="0"/>
          <w:numId w:val="21"/>
        </w:numPr>
        <w:jc w:val="left"/>
        <w:outlineLvl w:val="9"/>
      </w:pPr>
      <w:r w:rsidRPr="004C6A84">
        <w:t>Katoh K, Standley DM. MAFFT v7. Mol Biol Evol. 2013;30(4):772–780.</w:t>
      </w:r>
    </w:p>
    <w:p w:rsidR="00E11ABF" w:rsidRPr="004C6A84" w:rsidRDefault="00E11ABF" w:rsidP="008F4646">
      <w:pPr>
        <w:pStyle w:val="a7"/>
        <w:numPr>
          <w:ilvl w:val="0"/>
          <w:numId w:val="21"/>
        </w:numPr>
        <w:jc w:val="left"/>
        <w:outlineLvl w:val="9"/>
      </w:pPr>
      <w:r w:rsidRPr="004C6A84">
        <w:t>Camacho C, Coulouris G, Avagyan V, et al. BLAST+. BMC Bioinformatics. 2009;10:421.</w:t>
      </w:r>
    </w:p>
    <w:p w:rsidR="00E11ABF" w:rsidRPr="004C6A84" w:rsidRDefault="00E11ABF" w:rsidP="008F4646">
      <w:pPr>
        <w:pStyle w:val="a7"/>
        <w:numPr>
          <w:ilvl w:val="0"/>
          <w:numId w:val="21"/>
        </w:numPr>
        <w:jc w:val="left"/>
        <w:outlineLvl w:val="9"/>
      </w:pPr>
      <w:r w:rsidRPr="004C6A84">
        <w:t>Szklarczyk D, Gable AL, Lyon D, et al. STRING v11. Nucleic Acids Res. 2019;47(D1):D607–D613.</w:t>
      </w:r>
    </w:p>
    <w:p w:rsidR="00E11ABF" w:rsidRPr="004C6A84" w:rsidRDefault="00E11ABF" w:rsidP="008F4646">
      <w:pPr>
        <w:pStyle w:val="a7"/>
        <w:numPr>
          <w:ilvl w:val="0"/>
          <w:numId w:val="21"/>
        </w:numPr>
        <w:jc w:val="left"/>
        <w:outlineLvl w:val="9"/>
      </w:pPr>
      <w:r w:rsidRPr="004C6A84">
        <w:t>Szklarczyk D, Gable AL, Nastou KC, et al. STRING 2021. Nucleic Acids Res. 2021;49(D1):D605–D612.</w:t>
      </w:r>
    </w:p>
    <w:p w:rsidR="00E11ABF" w:rsidRPr="004C6A84" w:rsidRDefault="00E11ABF" w:rsidP="008F4646">
      <w:pPr>
        <w:pStyle w:val="a7"/>
        <w:numPr>
          <w:ilvl w:val="0"/>
          <w:numId w:val="21"/>
        </w:numPr>
        <w:jc w:val="left"/>
        <w:outlineLvl w:val="9"/>
      </w:pPr>
      <w:r w:rsidRPr="004C6A84">
        <w:t>Shannon P, Markiel A, Ozier O, et al. Cytoscape. Genome Res. 2003;13:2498–2504.</w:t>
      </w:r>
    </w:p>
    <w:p w:rsidR="00E11ABF" w:rsidRPr="004C6A84" w:rsidRDefault="00E11ABF" w:rsidP="008F4646">
      <w:pPr>
        <w:pStyle w:val="a7"/>
        <w:numPr>
          <w:ilvl w:val="0"/>
          <w:numId w:val="21"/>
        </w:numPr>
        <w:jc w:val="left"/>
        <w:outlineLvl w:val="9"/>
      </w:pPr>
      <w:r w:rsidRPr="004C6A84">
        <w:t>Lopes FM, Meidanis J, Verli H. CellNetVis (web tool). BMC Syst Biol. 2011;5:86.</w:t>
      </w:r>
    </w:p>
    <w:p w:rsidR="00E11ABF" w:rsidRPr="004C6A84" w:rsidRDefault="00E11ABF" w:rsidP="008F4646">
      <w:pPr>
        <w:pStyle w:val="a7"/>
        <w:numPr>
          <w:ilvl w:val="0"/>
          <w:numId w:val="21"/>
        </w:numPr>
        <w:jc w:val="left"/>
        <w:outlineLvl w:val="9"/>
      </w:pPr>
      <w:r w:rsidRPr="004C6A84">
        <w:t>Barsky A, Gardy JL, Hancock REW, Munzner T. Cerebral (cellular layout). Bioinformatics. 2007;23(8):1040–1042.</w:t>
      </w:r>
    </w:p>
    <w:p w:rsidR="00E11ABF" w:rsidRPr="004C6A84" w:rsidRDefault="00E11ABF" w:rsidP="008F4646">
      <w:pPr>
        <w:pStyle w:val="a7"/>
        <w:numPr>
          <w:ilvl w:val="0"/>
          <w:numId w:val="21"/>
        </w:numPr>
        <w:jc w:val="left"/>
        <w:outlineLvl w:val="9"/>
      </w:pPr>
      <w:r w:rsidRPr="004C6A84">
        <w:t>Kanehisa M, Goto S. KEGG. Nucleic Acids Res. 2000;28:27–30.</w:t>
      </w:r>
    </w:p>
    <w:p w:rsidR="00E11ABF" w:rsidRPr="004C6A84" w:rsidRDefault="00E11ABF" w:rsidP="008F4646">
      <w:pPr>
        <w:pStyle w:val="a7"/>
        <w:numPr>
          <w:ilvl w:val="0"/>
          <w:numId w:val="21"/>
        </w:numPr>
        <w:jc w:val="left"/>
        <w:outlineLvl w:val="9"/>
      </w:pPr>
      <w:r w:rsidRPr="004C6A84">
        <w:t>Fabregat A, Sidiropoulos K, Garapati P, et al. Reactome. Nucleic Acids Res. 2016;44(D1):D481–D487.</w:t>
      </w:r>
    </w:p>
    <w:p w:rsidR="00E11ABF" w:rsidRPr="004C6A84" w:rsidRDefault="00E11ABF" w:rsidP="008F4646">
      <w:pPr>
        <w:pStyle w:val="a7"/>
        <w:numPr>
          <w:ilvl w:val="0"/>
          <w:numId w:val="21"/>
        </w:numPr>
        <w:jc w:val="left"/>
        <w:outlineLvl w:val="9"/>
      </w:pPr>
      <w:r w:rsidRPr="004C6A84">
        <w:t>Ashburner M, Ball CA, Blake JA, et al. Gene Ontology. Nat Genet. 2000;25(1):25–29.</w:t>
      </w:r>
    </w:p>
    <w:p w:rsidR="00E11ABF" w:rsidRPr="004C6A84" w:rsidRDefault="00E11ABF" w:rsidP="008F4646">
      <w:pPr>
        <w:pStyle w:val="a7"/>
        <w:numPr>
          <w:ilvl w:val="0"/>
          <w:numId w:val="21"/>
        </w:numPr>
        <w:jc w:val="left"/>
        <w:outlineLvl w:val="9"/>
      </w:pPr>
      <w:r w:rsidRPr="004C6A84">
        <w:t>The Gene Ontology Consortium. GO 2021 update. Nucleic Acids Res. 2021;49(D1):D325–D334.</w:t>
      </w:r>
    </w:p>
    <w:p w:rsidR="00E11ABF" w:rsidRPr="004C6A84" w:rsidRDefault="00E11ABF" w:rsidP="008F4646">
      <w:pPr>
        <w:pStyle w:val="a7"/>
        <w:numPr>
          <w:ilvl w:val="0"/>
          <w:numId w:val="21"/>
        </w:numPr>
        <w:jc w:val="left"/>
        <w:outlineLvl w:val="9"/>
      </w:pPr>
      <w:r w:rsidRPr="004C6A84">
        <w:t>Butler A, Hoffman P, Smibert P, Papalexi E, Satija R. Dataset integration. Nat Biotechnol. 2018;36:411–420.</w:t>
      </w:r>
    </w:p>
    <w:p w:rsidR="00E11ABF" w:rsidRPr="004C6A84" w:rsidRDefault="00E11ABF" w:rsidP="008F4646">
      <w:pPr>
        <w:pStyle w:val="a7"/>
        <w:numPr>
          <w:ilvl w:val="0"/>
          <w:numId w:val="21"/>
        </w:numPr>
        <w:jc w:val="left"/>
        <w:outlineLvl w:val="9"/>
      </w:pPr>
      <w:r w:rsidRPr="004C6A84">
        <w:t>Stuart T, Butler A, Hoffman P, et al. Comprehensive integration. Cell. 2019;177(7):1888–1902.e21.</w:t>
      </w:r>
    </w:p>
    <w:p w:rsidR="00E11ABF" w:rsidRPr="004C6A84" w:rsidRDefault="00E11ABF" w:rsidP="008F4646">
      <w:pPr>
        <w:pStyle w:val="a7"/>
        <w:numPr>
          <w:ilvl w:val="0"/>
          <w:numId w:val="21"/>
        </w:numPr>
        <w:jc w:val="left"/>
        <w:outlineLvl w:val="9"/>
      </w:pPr>
      <w:r w:rsidRPr="004C6A84">
        <w:t>Wolf FA, Angerer P, Theis FJ. SCANPY. Genome Biol. 2018;19:15.</w:t>
      </w:r>
    </w:p>
    <w:p w:rsidR="00E11ABF" w:rsidRPr="004C6A84" w:rsidRDefault="00E11ABF" w:rsidP="008F4646">
      <w:pPr>
        <w:pStyle w:val="a7"/>
        <w:numPr>
          <w:ilvl w:val="0"/>
          <w:numId w:val="21"/>
        </w:numPr>
        <w:jc w:val="left"/>
        <w:outlineLvl w:val="9"/>
      </w:pPr>
      <w:r w:rsidRPr="004C6A84">
        <w:t>McInnes L, Healy J, Melville J. UMAP. arXiv:1802.03426 (2018).</w:t>
      </w:r>
    </w:p>
    <w:p w:rsidR="00E11ABF" w:rsidRPr="004C6A84" w:rsidRDefault="00E11ABF" w:rsidP="008F4646">
      <w:pPr>
        <w:pStyle w:val="a7"/>
        <w:numPr>
          <w:ilvl w:val="0"/>
          <w:numId w:val="21"/>
        </w:numPr>
        <w:jc w:val="left"/>
        <w:outlineLvl w:val="9"/>
      </w:pPr>
      <w:r w:rsidRPr="004C6A84">
        <w:t>Korsunsky I, Millard N, Fan J, et al. Harmony. Nat Methods. 2019;16(12):1289–1296.</w:t>
      </w:r>
    </w:p>
    <w:p w:rsidR="00E11ABF" w:rsidRPr="004C6A84" w:rsidRDefault="00E11ABF" w:rsidP="008F4646">
      <w:pPr>
        <w:pStyle w:val="a7"/>
        <w:numPr>
          <w:ilvl w:val="0"/>
          <w:numId w:val="21"/>
        </w:numPr>
        <w:jc w:val="left"/>
        <w:outlineLvl w:val="9"/>
      </w:pPr>
      <w:r w:rsidRPr="004C6A84">
        <w:t>Haghverdi L, Lun ATL, Morgan MD, Marioni JC. MNN batch correction. Nat Biotechnol. 2018;36:421–427.</w:t>
      </w:r>
    </w:p>
    <w:p w:rsidR="00E11ABF" w:rsidRPr="004C6A84" w:rsidRDefault="00E11ABF" w:rsidP="008F4646">
      <w:pPr>
        <w:pStyle w:val="a7"/>
        <w:numPr>
          <w:ilvl w:val="0"/>
          <w:numId w:val="21"/>
        </w:numPr>
        <w:jc w:val="left"/>
        <w:outlineLvl w:val="9"/>
      </w:pPr>
      <w:r w:rsidRPr="004C6A84">
        <w:t>van der Maaten L, Hinton G. t-SNE. J Mach Learn Res. 2008;9:2579–2605.</w:t>
      </w:r>
    </w:p>
    <w:p w:rsidR="00E11ABF" w:rsidRPr="004C6A84" w:rsidRDefault="00E11ABF" w:rsidP="008F4646">
      <w:pPr>
        <w:pStyle w:val="a7"/>
        <w:numPr>
          <w:ilvl w:val="0"/>
          <w:numId w:val="21"/>
        </w:numPr>
        <w:jc w:val="left"/>
        <w:outlineLvl w:val="9"/>
      </w:pPr>
      <w:r w:rsidRPr="004C6A84">
        <w:t>Pedregosa F, Varoquaux G, Gramfort A, et al. scikit-learn. J Mach Learn Res. 2011;12:2825–2830.</w:t>
      </w:r>
    </w:p>
    <w:p w:rsidR="00E11ABF" w:rsidRPr="004C6A84" w:rsidRDefault="00E11ABF" w:rsidP="008F4646">
      <w:pPr>
        <w:pStyle w:val="a7"/>
        <w:numPr>
          <w:ilvl w:val="0"/>
          <w:numId w:val="21"/>
        </w:numPr>
        <w:jc w:val="left"/>
        <w:outlineLvl w:val="9"/>
      </w:pPr>
      <w:r w:rsidRPr="004C6A84">
        <w:t>Harris CR, Millman KJ, van der Walt SJ, et al. NumPy. Nature. 2020;585:357–362.</w:t>
      </w:r>
    </w:p>
    <w:p w:rsidR="00E11ABF" w:rsidRPr="004C6A84" w:rsidRDefault="00E11ABF" w:rsidP="008F4646">
      <w:pPr>
        <w:pStyle w:val="a7"/>
        <w:numPr>
          <w:ilvl w:val="0"/>
          <w:numId w:val="21"/>
        </w:numPr>
        <w:jc w:val="left"/>
        <w:outlineLvl w:val="9"/>
      </w:pPr>
      <w:r w:rsidRPr="004C6A84">
        <w:t>Virtanen P, Gommers R, Oliphant TE, et al. SciPy 1.0. Nat Methods. 2020;17:261–272.</w:t>
      </w:r>
    </w:p>
    <w:p w:rsidR="00E11ABF" w:rsidRPr="004C6A84" w:rsidRDefault="00E11ABF" w:rsidP="008F4646">
      <w:pPr>
        <w:pStyle w:val="a7"/>
        <w:numPr>
          <w:ilvl w:val="0"/>
          <w:numId w:val="21"/>
        </w:numPr>
        <w:jc w:val="left"/>
        <w:outlineLvl w:val="9"/>
      </w:pPr>
      <w:r w:rsidRPr="004C6A84">
        <w:t>McKinney W. pandas. In: Proc. SciPy 2010. p. 51–56.</w:t>
      </w:r>
    </w:p>
    <w:p w:rsidR="00E11ABF" w:rsidRPr="004C6A84" w:rsidRDefault="00E11ABF" w:rsidP="008F4646">
      <w:pPr>
        <w:pStyle w:val="a7"/>
        <w:numPr>
          <w:ilvl w:val="0"/>
          <w:numId w:val="21"/>
        </w:numPr>
        <w:jc w:val="left"/>
        <w:outlineLvl w:val="9"/>
      </w:pPr>
      <w:r w:rsidRPr="004C6A84">
        <w:t>Hunter JD. Matplotlib. Comput Sci Eng. 2007;9(3):90–95.</w:t>
      </w:r>
    </w:p>
    <w:p w:rsidR="00E11ABF" w:rsidRPr="004C6A84" w:rsidRDefault="00E11ABF" w:rsidP="008F4646">
      <w:pPr>
        <w:pStyle w:val="a7"/>
        <w:numPr>
          <w:ilvl w:val="0"/>
          <w:numId w:val="21"/>
        </w:numPr>
        <w:jc w:val="left"/>
        <w:outlineLvl w:val="9"/>
      </w:pPr>
      <w:r w:rsidRPr="004C6A84">
        <w:t>Waskom ML. seaborn. J Open Source Softw. 2021;6(60):3021.</w:t>
      </w:r>
    </w:p>
    <w:p w:rsidR="00E11ABF" w:rsidRPr="004C6A84" w:rsidRDefault="00E11ABF" w:rsidP="008F4646">
      <w:pPr>
        <w:pStyle w:val="a7"/>
        <w:numPr>
          <w:ilvl w:val="0"/>
          <w:numId w:val="21"/>
        </w:numPr>
        <w:jc w:val="left"/>
        <w:outlineLvl w:val="9"/>
      </w:pPr>
      <w:r w:rsidRPr="004C6A84">
        <w:t>Kingma DP, Ba J. Adam optimizer. arXiv:1412.6980 (2014).</w:t>
      </w:r>
    </w:p>
    <w:p w:rsidR="00E11ABF" w:rsidRPr="004C6A84" w:rsidRDefault="00E11ABF" w:rsidP="008F4646">
      <w:pPr>
        <w:pStyle w:val="a7"/>
        <w:numPr>
          <w:ilvl w:val="0"/>
          <w:numId w:val="21"/>
        </w:numPr>
        <w:jc w:val="left"/>
        <w:outlineLvl w:val="9"/>
      </w:pPr>
      <w:r w:rsidRPr="004C6A84">
        <w:t>Nesterov YE. O(1/k²) gradient method. Soviet Math Dokl. 1983;27:372–376.</w:t>
      </w:r>
    </w:p>
    <w:p w:rsidR="00E11ABF" w:rsidRPr="004C6A84" w:rsidRDefault="00E11ABF" w:rsidP="008F4646">
      <w:pPr>
        <w:pStyle w:val="a7"/>
        <w:numPr>
          <w:ilvl w:val="0"/>
          <w:numId w:val="21"/>
        </w:numPr>
        <w:jc w:val="left"/>
        <w:outlineLvl w:val="9"/>
      </w:pPr>
      <w:r w:rsidRPr="004C6A84">
        <w:t>Spall JC. SPSA (multivariate). IEEE TAC. 1992;37(3):332–341.</w:t>
      </w:r>
    </w:p>
    <w:p w:rsidR="00E11ABF" w:rsidRPr="004C6A84" w:rsidRDefault="00E11ABF" w:rsidP="008F4646">
      <w:pPr>
        <w:pStyle w:val="a7"/>
        <w:numPr>
          <w:ilvl w:val="0"/>
          <w:numId w:val="21"/>
        </w:numPr>
        <w:jc w:val="left"/>
        <w:outlineLvl w:val="9"/>
      </w:pPr>
      <w:r w:rsidRPr="004C6A84">
        <w:t>Spall JC. SPSA implementation. IEEE TAES. 1998;34(3):817–823.</w:t>
      </w:r>
    </w:p>
    <w:p w:rsidR="00E11ABF" w:rsidRPr="004C6A84" w:rsidRDefault="00E11ABF" w:rsidP="008F4646">
      <w:pPr>
        <w:pStyle w:val="a7"/>
        <w:numPr>
          <w:ilvl w:val="0"/>
          <w:numId w:val="21"/>
        </w:numPr>
        <w:jc w:val="left"/>
        <w:outlineLvl w:val="9"/>
      </w:pPr>
      <w:r w:rsidRPr="004C6A84">
        <w:t>Barlow RE, Bartholomew DJ, Bremner JM, Brunk HD. Statistical Inference under Order Restrictions. Wiley; 1972.</w:t>
      </w:r>
    </w:p>
    <w:p w:rsidR="00E11ABF" w:rsidRPr="004C6A84" w:rsidRDefault="00E11ABF" w:rsidP="008F4646">
      <w:pPr>
        <w:pStyle w:val="a7"/>
        <w:numPr>
          <w:ilvl w:val="0"/>
          <w:numId w:val="21"/>
        </w:numPr>
        <w:jc w:val="left"/>
        <w:outlineLvl w:val="9"/>
      </w:pPr>
      <w:r w:rsidRPr="004C6A84">
        <w:t>Platt JC. Probabilistic SVM outputs. In: Advances in Large Margin Classifiers. MIT Press; 1999. p. 61–74.</w:t>
      </w:r>
    </w:p>
    <w:p w:rsidR="00E11ABF" w:rsidRPr="004C6A84" w:rsidRDefault="00E11ABF" w:rsidP="008F4646">
      <w:pPr>
        <w:pStyle w:val="a7"/>
        <w:numPr>
          <w:ilvl w:val="0"/>
          <w:numId w:val="21"/>
        </w:numPr>
        <w:jc w:val="left"/>
        <w:outlineLvl w:val="9"/>
      </w:pPr>
      <w:r w:rsidRPr="004C6A84">
        <w:t>Zadrozny B, Elkan C. Multiclass probability calibration. KDD. 2002:694–699.</w:t>
      </w:r>
    </w:p>
    <w:p w:rsidR="00E11ABF" w:rsidRPr="004C6A84" w:rsidRDefault="00E11ABF" w:rsidP="008F4646">
      <w:pPr>
        <w:pStyle w:val="a7"/>
        <w:numPr>
          <w:ilvl w:val="0"/>
          <w:numId w:val="21"/>
        </w:numPr>
        <w:jc w:val="left"/>
        <w:outlineLvl w:val="9"/>
      </w:pPr>
      <w:r w:rsidRPr="004C6A84">
        <w:t>Niculescu-Mizil A, Caruana R. Predicting good probabilities. ICML. 2005:625–632.</w:t>
      </w:r>
    </w:p>
    <w:p w:rsidR="00E11ABF" w:rsidRPr="004C6A84" w:rsidRDefault="00E11ABF" w:rsidP="008F4646">
      <w:pPr>
        <w:pStyle w:val="a7"/>
        <w:numPr>
          <w:ilvl w:val="0"/>
          <w:numId w:val="21"/>
        </w:numPr>
        <w:jc w:val="left"/>
        <w:outlineLvl w:val="9"/>
      </w:pPr>
      <w:r w:rsidRPr="004C6A84">
        <w:t>Bliss CI. The calculation of the dosage–mortality curve. Ann Appl Biol. 1939;26(1):22–37.</w:t>
      </w:r>
    </w:p>
    <w:p w:rsidR="00E11ABF" w:rsidRPr="004C6A84" w:rsidRDefault="00E11ABF" w:rsidP="008F4646">
      <w:pPr>
        <w:pStyle w:val="a7"/>
        <w:numPr>
          <w:ilvl w:val="0"/>
          <w:numId w:val="21"/>
        </w:numPr>
        <w:jc w:val="left"/>
        <w:outlineLvl w:val="9"/>
      </w:pPr>
      <w:r w:rsidRPr="004C6A84">
        <w:t>Chou T-C, Talalay P. Dose–effect analysis (combination). Adv Enzyme Regul. 1984;22:27–55.</w:t>
      </w:r>
    </w:p>
    <w:p w:rsidR="00E11ABF" w:rsidRPr="004C6A84" w:rsidRDefault="00E11ABF" w:rsidP="008F4646">
      <w:pPr>
        <w:pStyle w:val="a7"/>
        <w:numPr>
          <w:ilvl w:val="0"/>
          <w:numId w:val="21"/>
        </w:numPr>
        <w:jc w:val="left"/>
        <w:outlineLvl w:val="9"/>
      </w:pPr>
      <w:r w:rsidRPr="004C6A84">
        <w:t>Hill AV. Haemoglobin dissociation curves. J Physiol. 1910;40:iv–vii.</w:t>
      </w:r>
    </w:p>
    <w:p w:rsidR="00E11ABF" w:rsidRPr="004C6A84" w:rsidRDefault="00E11ABF" w:rsidP="008F4646">
      <w:pPr>
        <w:pStyle w:val="a7"/>
        <w:numPr>
          <w:ilvl w:val="0"/>
          <w:numId w:val="21"/>
        </w:numPr>
        <w:jc w:val="left"/>
        <w:outlineLvl w:val="9"/>
      </w:pPr>
      <w:r w:rsidRPr="004C6A84">
        <w:t>Preskill J. Quantum computing in the NISQ era. Quantum. 2018;2:79.</w:t>
      </w:r>
    </w:p>
    <w:p w:rsidR="00E11ABF" w:rsidRPr="004C6A84" w:rsidRDefault="00E11ABF" w:rsidP="008F4646">
      <w:pPr>
        <w:pStyle w:val="a7"/>
        <w:numPr>
          <w:ilvl w:val="0"/>
          <w:numId w:val="21"/>
        </w:numPr>
        <w:jc w:val="left"/>
        <w:outlineLvl w:val="9"/>
      </w:pPr>
      <w:r w:rsidRPr="004C6A84">
        <w:t>Farhi E, Goldstone J, Gutmann S. QAOA. arXiv:1411.4028 (2014).</w:t>
      </w:r>
    </w:p>
    <w:p w:rsidR="00E11ABF" w:rsidRPr="004C6A84" w:rsidRDefault="00E11ABF" w:rsidP="008F4646">
      <w:pPr>
        <w:pStyle w:val="a7"/>
        <w:numPr>
          <w:ilvl w:val="0"/>
          <w:numId w:val="21"/>
        </w:numPr>
        <w:jc w:val="left"/>
        <w:outlineLvl w:val="9"/>
      </w:pPr>
      <w:r w:rsidRPr="004C6A84">
        <w:t>Peruzzo A, McClean J, Shadbolt P, et al. VQE on photonic QC. Nat Commun. 2014;5:4213.</w:t>
      </w:r>
    </w:p>
    <w:p w:rsidR="00E11ABF" w:rsidRPr="004C6A84" w:rsidRDefault="00E11ABF" w:rsidP="008F4646">
      <w:pPr>
        <w:pStyle w:val="a7"/>
        <w:numPr>
          <w:ilvl w:val="0"/>
          <w:numId w:val="21"/>
        </w:numPr>
        <w:jc w:val="left"/>
        <w:outlineLvl w:val="9"/>
      </w:pPr>
      <w:r w:rsidRPr="004C6A84">
        <w:t>McClean JR, Romero J, Babbush R, Aspuru-Guzik A. VQAs theory. New J Phys. 2016;18(2):023023.</w:t>
      </w:r>
    </w:p>
    <w:p w:rsidR="00E11ABF" w:rsidRPr="004C6A84" w:rsidRDefault="00E11ABF" w:rsidP="008F4646">
      <w:pPr>
        <w:pStyle w:val="a7"/>
        <w:numPr>
          <w:ilvl w:val="0"/>
          <w:numId w:val="21"/>
        </w:numPr>
        <w:jc w:val="left"/>
        <w:outlineLvl w:val="9"/>
      </w:pPr>
      <w:r w:rsidRPr="004C6A84">
        <w:t>McClean JR, Boixo S, Smelyanskiy VN, et al. Barren plateaus. Nat Commun. 2018;9:4812.</w:t>
      </w:r>
    </w:p>
    <w:p w:rsidR="00E11ABF" w:rsidRPr="004C6A84" w:rsidRDefault="00E11ABF" w:rsidP="008F4646">
      <w:pPr>
        <w:pStyle w:val="a7"/>
        <w:numPr>
          <w:ilvl w:val="0"/>
          <w:numId w:val="21"/>
        </w:numPr>
        <w:jc w:val="left"/>
        <w:outlineLvl w:val="9"/>
      </w:pPr>
      <w:r w:rsidRPr="004C6A84">
        <w:t>Schuld M, Petruccione F. Supervised Learning with Quantum Computers. Springer; 2018.</w:t>
      </w:r>
    </w:p>
    <w:p w:rsidR="00E11ABF" w:rsidRPr="004C6A84" w:rsidRDefault="00E11ABF" w:rsidP="008F4646">
      <w:pPr>
        <w:pStyle w:val="a7"/>
        <w:numPr>
          <w:ilvl w:val="0"/>
          <w:numId w:val="21"/>
        </w:numPr>
        <w:jc w:val="left"/>
        <w:outlineLvl w:val="9"/>
      </w:pPr>
      <w:r w:rsidRPr="004C6A84">
        <w:t>Cerezo M, Arrasmith A, Babbush R, et al. Variational quantum algorithms. Nat Rev Phys. 2021;3:625–644.</w:t>
      </w:r>
    </w:p>
    <w:p w:rsidR="00E11ABF" w:rsidRPr="004C6A84" w:rsidRDefault="00E11ABF" w:rsidP="008F4646">
      <w:pPr>
        <w:pStyle w:val="a7"/>
        <w:numPr>
          <w:ilvl w:val="0"/>
          <w:numId w:val="21"/>
        </w:numPr>
        <w:jc w:val="left"/>
        <w:outlineLvl w:val="9"/>
      </w:pPr>
      <w:r w:rsidRPr="004C6A84">
        <w:t>Greenberger DM, Horne MA, Zeilinger A. GHZ. In: Kafatos M, ed. Bell’s Theorem… Springer; 1989. p. 69–72.</w:t>
      </w:r>
    </w:p>
    <w:p w:rsidR="00E11ABF" w:rsidRPr="004C6A84" w:rsidRDefault="00E11ABF" w:rsidP="008F4646">
      <w:pPr>
        <w:pStyle w:val="a7"/>
        <w:numPr>
          <w:ilvl w:val="0"/>
          <w:numId w:val="21"/>
        </w:numPr>
        <w:jc w:val="left"/>
        <w:outlineLvl w:val="9"/>
      </w:pPr>
      <w:r w:rsidRPr="004C6A84">
        <w:t>Mermin ND. Quantum mysteries refined. Am J Phys. 1990;58(8):731–734.</w:t>
      </w:r>
    </w:p>
    <w:p w:rsidR="00E11ABF" w:rsidRPr="004C6A84" w:rsidRDefault="00E11ABF" w:rsidP="008F4646">
      <w:pPr>
        <w:pStyle w:val="a7"/>
        <w:numPr>
          <w:ilvl w:val="0"/>
          <w:numId w:val="21"/>
        </w:numPr>
        <w:jc w:val="left"/>
        <w:outlineLvl w:val="9"/>
      </w:pPr>
      <w:r w:rsidRPr="004C6A84">
        <w:t>Gühne O, Tóth G. Entanglement detection. Phys Rep. 2009;474(1–6):1–75.</w:t>
      </w:r>
    </w:p>
    <w:p w:rsidR="00E11ABF" w:rsidRPr="004C6A84" w:rsidRDefault="00E11ABF" w:rsidP="008F4646">
      <w:pPr>
        <w:pStyle w:val="a7"/>
        <w:numPr>
          <w:ilvl w:val="0"/>
          <w:numId w:val="21"/>
        </w:numPr>
        <w:jc w:val="left"/>
        <w:outlineLvl w:val="9"/>
      </w:pPr>
      <w:r w:rsidRPr="004C6A84">
        <w:t>James DFV, Kwiat PG, Munro WJ, White AG. Qubit measurement (QST). Phys Rev A. 2001;64:052312.</w:t>
      </w:r>
    </w:p>
    <w:p w:rsidR="00E11ABF" w:rsidRPr="004C6A84" w:rsidRDefault="00E11ABF" w:rsidP="008F4646">
      <w:pPr>
        <w:pStyle w:val="a7"/>
        <w:numPr>
          <w:ilvl w:val="0"/>
          <w:numId w:val="21"/>
        </w:numPr>
        <w:jc w:val="left"/>
        <w:outlineLvl w:val="9"/>
      </w:pPr>
      <w:r w:rsidRPr="004C6A84">
        <w:t>Paris M, Rehacek J, eds. Quantum State Estimation. Springer; 2004.</w:t>
      </w:r>
    </w:p>
    <w:p w:rsidR="00E11ABF" w:rsidRPr="004C6A84" w:rsidRDefault="00E11ABF" w:rsidP="008F4646">
      <w:pPr>
        <w:pStyle w:val="a7"/>
        <w:numPr>
          <w:ilvl w:val="0"/>
          <w:numId w:val="21"/>
        </w:numPr>
        <w:jc w:val="left"/>
        <w:outlineLvl w:val="9"/>
      </w:pPr>
      <w:r w:rsidRPr="004C6A84">
        <w:t>Jozsa R. Fidelity for mixed states. J Mod Opt. 1994;41(12):2315–2323.</w:t>
      </w:r>
    </w:p>
    <w:p w:rsidR="00E11ABF" w:rsidRPr="004C6A84" w:rsidRDefault="00E11ABF" w:rsidP="008F4646">
      <w:pPr>
        <w:pStyle w:val="a7"/>
        <w:numPr>
          <w:ilvl w:val="0"/>
          <w:numId w:val="21"/>
        </w:numPr>
        <w:jc w:val="left"/>
        <w:outlineLvl w:val="9"/>
      </w:pPr>
      <w:r w:rsidRPr="004C6A84">
        <w:t>Nielsen MA, Chuang IL. Quantum Computation and Quantum Information. Cambridge Univ Press; 2000.</w:t>
      </w:r>
    </w:p>
    <w:p w:rsidR="00E11ABF" w:rsidRPr="004C6A84" w:rsidRDefault="00E11ABF" w:rsidP="008F4646">
      <w:pPr>
        <w:pStyle w:val="a7"/>
        <w:numPr>
          <w:ilvl w:val="0"/>
          <w:numId w:val="21"/>
        </w:numPr>
        <w:jc w:val="left"/>
        <w:outlineLvl w:val="9"/>
      </w:pPr>
      <w:r w:rsidRPr="004C6A84">
        <w:t>Barends R, Shabani A, Lamata L, et al. Digitized AQC. Nature. 2016;534:222–226.</w:t>
      </w:r>
    </w:p>
    <w:p w:rsidR="00E11ABF" w:rsidRPr="004C6A84" w:rsidRDefault="00E11ABF" w:rsidP="008F4646">
      <w:pPr>
        <w:pStyle w:val="a7"/>
        <w:numPr>
          <w:ilvl w:val="0"/>
          <w:numId w:val="21"/>
        </w:numPr>
        <w:jc w:val="left"/>
        <w:outlineLvl w:val="9"/>
      </w:pPr>
      <w:r w:rsidRPr="004C6A84">
        <w:t>Kandala A, Mezzacapo A, Temme K, et al. Hardware-efficient VQE. Nature. 2017;549(7671):242–246.</w:t>
      </w:r>
    </w:p>
    <w:p w:rsidR="00E11ABF" w:rsidRPr="004C6A84" w:rsidRDefault="00E11ABF" w:rsidP="008F4646">
      <w:pPr>
        <w:pStyle w:val="a7"/>
        <w:numPr>
          <w:ilvl w:val="0"/>
          <w:numId w:val="21"/>
        </w:numPr>
        <w:jc w:val="left"/>
        <w:outlineLvl w:val="9"/>
      </w:pPr>
      <w:r w:rsidRPr="004C6A84">
        <w:t>Temme K, Bravyi S, Gambetta JM. Error mitigation (ZNE). Phys Rev Lett. 2017;119(18):180509.</w:t>
      </w:r>
    </w:p>
    <w:p w:rsidR="00E11ABF" w:rsidRPr="004C6A84" w:rsidRDefault="00E11ABF" w:rsidP="008F4646">
      <w:pPr>
        <w:pStyle w:val="a7"/>
        <w:numPr>
          <w:ilvl w:val="0"/>
          <w:numId w:val="21"/>
        </w:numPr>
        <w:jc w:val="left"/>
        <w:outlineLvl w:val="9"/>
      </w:pPr>
      <w:r w:rsidRPr="004C6A84">
        <w:t>Endo S, Benjamin SC, Li Y. Practical error mitigation. Phys Rev X. 2018;8:031027.</w:t>
      </w:r>
    </w:p>
    <w:p w:rsidR="00E11ABF" w:rsidRPr="004C6A84" w:rsidRDefault="00E11ABF" w:rsidP="008F4646">
      <w:pPr>
        <w:pStyle w:val="a7"/>
        <w:numPr>
          <w:ilvl w:val="0"/>
          <w:numId w:val="21"/>
        </w:numPr>
        <w:jc w:val="left"/>
        <w:outlineLvl w:val="9"/>
      </w:pPr>
      <w:r w:rsidRPr="004C6A84">
        <w:t>Cross AW, Bishop LS, Sheldon S, Nation PD, Gambetta JM. Validating QCs (XEB). Phys Rev A. 2019;100:032328.</w:t>
      </w:r>
    </w:p>
    <w:p w:rsidR="00E11ABF" w:rsidRPr="004C6A84" w:rsidRDefault="00E11ABF" w:rsidP="008F4646">
      <w:pPr>
        <w:pStyle w:val="a7"/>
        <w:numPr>
          <w:ilvl w:val="0"/>
          <w:numId w:val="21"/>
        </w:numPr>
        <w:jc w:val="left"/>
        <w:outlineLvl w:val="9"/>
      </w:pPr>
      <w:r w:rsidRPr="004C6A84">
        <w:t>Kandala A, Temme K, Córcoles AD, et al. Extending noisy QC reach. Nature. 2019;567(7749):491–495.</w:t>
      </w:r>
    </w:p>
    <w:p w:rsidR="00E11ABF" w:rsidRPr="004C6A84" w:rsidRDefault="00E11ABF" w:rsidP="008F4646">
      <w:pPr>
        <w:pStyle w:val="a7"/>
        <w:numPr>
          <w:ilvl w:val="0"/>
          <w:numId w:val="21"/>
        </w:numPr>
        <w:jc w:val="left"/>
        <w:outlineLvl w:val="9"/>
      </w:pPr>
      <w:r w:rsidRPr="004C6A84">
        <w:t>Zurek WH. Decoherence &amp; classicality. Rev Mod Phys. 2003;75(3):715–775.</w:t>
      </w:r>
    </w:p>
    <w:p w:rsidR="00E11ABF" w:rsidRPr="004C6A84" w:rsidRDefault="00E11ABF" w:rsidP="008F4646">
      <w:pPr>
        <w:pStyle w:val="a7"/>
        <w:numPr>
          <w:ilvl w:val="0"/>
          <w:numId w:val="21"/>
        </w:numPr>
        <w:jc w:val="left"/>
        <w:outlineLvl w:val="9"/>
      </w:pPr>
      <w:r w:rsidRPr="004C6A84">
        <w:t>Lidar DA, Brun TA, eds. Quantum Error Correction. Cambridge Univ Press; 2013.</w:t>
      </w:r>
    </w:p>
    <w:p w:rsidR="00E11ABF" w:rsidRPr="004C6A84" w:rsidRDefault="00E11ABF" w:rsidP="008F4646">
      <w:pPr>
        <w:pStyle w:val="a7"/>
        <w:numPr>
          <w:ilvl w:val="0"/>
          <w:numId w:val="21"/>
        </w:numPr>
        <w:jc w:val="left"/>
        <w:outlineLvl w:val="9"/>
      </w:pPr>
      <w:r w:rsidRPr="004C6A84">
        <w:t>Qiskit Community. Qiskit (framework). 2023. (Software).</w:t>
      </w:r>
    </w:p>
    <w:p w:rsidR="00E11ABF" w:rsidRPr="004C6A84" w:rsidRDefault="00E11ABF" w:rsidP="008F4646">
      <w:pPr>
        <w:pStyle w:val="a7"/>
        <w:numPr>
          <w:ilvl w:val="0"/>
          <w:numId w:val="21"/>
        </w:numPr>
        <w:jc w:val="left"/>
        <w:outlineLvl w:val="9"/>
      </w:pPr>
      <w:r w:rsidRPr="004C6A84">
        <w:t>Abraham H, et al. Qiskit Aer simulator; 2019. (Software).</w:t>
      </w:r>
    </w:p>
    <w:p w:rsidR="00E11ABF" w:rsidRPr="004C6A84" w:rsidRDefault="00E11ABF" w:rsidP="008F4646">
      <w:pPr>
        <w:pStyle w:val="a7"/>
        <w:numPr>
          <w:ilvl w:val="0"/>
          <w:numId w:val="21"/>
        </w:numPr>
        <w:jc w:val="left"/>
        <w:outlineLvl w:val="9"/>
      </w:pPr>
      <w:r w:rsidRPr="004C6A84">
        <w:t>Wootters WK. Entanglement of formation (2-qubit). Phys Rev Lett. 1998;80(10):2245–2248.</w:t>
      </w:r>
    </w:p>
    <w:p w:rsidR="00E11ABF" w:rsidRPr="004C6A84" w:rsidRDefault="00E11ABF" w:rsidP="008F4646">
      <w:pPr>
        <w:pStyle w:val="a7"/>
        <w:numPr>
          <w:ilvl w:val="0"/>
          <w:numId w:val="21"/>
        </w:numPr>
        <w:jc w:val="left"/>
        <w:outlineLvl w:val="9"/>
      </w:pPr>
      <w:r w:rsidRPr="004C6A84">
        <w:t>Horodecki R, Horodecki P, Horodecki M, Horodecki K. Quantum entanglement review. Rev Mod Phys. 2009;81(2):865–942.</w:t>
      </w:r>
    </w:p>
    <w:p w:rsidR="00E11ABF" w:rsidRPr="004C6A84" w:rsidRDefault="00E11ABF" w:rsidP="008F4646">
      <w:pPr>
        <w:pStyle w:val="a7"/>
        <w:numPr>
          <w:ilvl w:val="0"/>
          <w:numId w:val="21"/>
        </w:numPr>
        <w:jc w:val="left"/>
        <w:outlineLvl w:val="9"/>
      </w:pPr>
      <w:r w:rsidRPr="004C6A84">
        <w:t>Nielsen MA. Average gate fidelity formula. Phys Lett A. 2002;303(4):249–252.</w:t>
      </w:r>
    </w:p>
    <w:p w:rsidR="00E11ABF" w:rsidRPr="004C6A84" w:rsidRDefault="00E11ABF" w:rsidP="008F4646">
      <w:pPr>
        <w:pStyle w:val="a7"/>
        <w:numPr>
          <w:ilvl w:val="0"/>
          <w:numId w:val="21"/>
        </w:numPr>
        <w:jc w:val="left"/>
        <w:outlineLvl w:val="9"/>
      </w:pPr>
      <w:r w:rsidRPr="004C6A84">
        <w:t>Uhlmann A. Transition probability in *-algebra state space. Rep Math Phys. 1976;9(2):273–279.</w:t>
      </w:r>
    </w:p>
    <w:p w:rsidR="00E11ABF" w:rsidRPr="004C6A84" w:rsidRDefault="00E11ABF" w:rsidP="008F4646">
      <w:pPr>
        <w:pStyle w:val="a7"/>
        <w:numPr>
          <w:ilvl w:val="0"/>
          <w:numId w:val="21"/>
        </w:numPr>
        <w:jc w:val="left"/>
        <w:outlineLvl w:val="9"/>
      </w:pPr>
      <w:r w:rsidRPr="004C6A84">
        <w:t>von Neumann J. Mathematical Foundations of Quantum Mechanics. Princeton Univ Press; 1955.</w:t>
      </w:r>
    </w:p>
    <w:p w:rsidR="00E11ABF" w:rsidRPr="004C6A84" w:rsidRDefault="00E11ABF" w:rsidP="008F4646">
      <w:pPr>
        <w:pStyle w:val="a7"/>
        <w:numPr>
          <w:ilvl w:val="0"/>
          <w:numId w:val="21"/>
        </w:numPr>
        <w:jc w:val="left"/>
        <w:outlineLvl w:val="9"/>
      </w:pPr>
      <w:r w:rsidRPr="004C6A84">
        <w:t>Trotter HF. Product of semigroups. Proc Am Math Soc. 1959;10:545–551.</w:t>
      </w:r>
    </w:p>
    <w:p w:rsidR="00E11ABF" w:rsidRPr="004C6A84" w:rsidRDefault="00E11ABF" w:rsidP="008F4646">
      <w:pPr>
        <w:pStyle w:val="a7"/>
        <w:numPr>
          <w:ilvl w:val="0"/>
          <w:numId w:val="21"/>
        </w:numPr>
        <w:jc w:val="left"/>
        <w:outlineLvl w:val="9"/>
      </w:pPr>
      <w:r w:rsidRPr="004C6A84">
        <w:t>Suzuki M. Fractal decomposition of exponentials. Phys Lett A. 1990;146(6):319–323.</w:t>
      </w:r>
    </w:p>
    <w:p w:rsidR="00E11ABF" w:rsidRPr="004C6A84" w:rsidRDefault="00E11ABF" w:rsidP="008F4646">
      <w:pPr>
        <w:pStyle w:val="a7"/>
        <w:numPr>
          <w:ilvl w:val="0"/>
          <w:numId w:val="21"/>
        </w:numPr>
        <w:jc w:val="left"/>
        <w:outlineLvl w:val="9"/>
      </w:pPr>
      <w:r w:rsidRPr="004C6A84">
        <w:t>Varshalovich DA, Moskalev AN, Khersonskii VK. Quantum Theory of Angular Momentum. World Scientific; 1988.</w:t>
      </w:r>
    </w:p>
    <w:p w:rsidR="00E11ABF" w:rsidRPr="004C6A84" w:rsidRDefault="00E11ABF" w:rsidP="008F4646">
      <w:pPr>
        <w:pStyle w:val="a7"/>
        <w:numPr>
          <w:ilvl w:val="0"/>
          <w:numId w:val="21"/>
        </w:numPr>
        <w:jc w:val="left"/>
        <w:outlineLvl w:val="9"/>
      </w:pPr>
      <w:r w:rsidRPr="004C6A84">
        <w:t>Dormand JR, Prince PJ. Embedded Runge–Kutta (RK45). J Comput Appl Math. 1980;6(1):19–26.</w:t>
      </w:r>
    </w:p>
    <w:p w:rsidR="00E11ABF" w:rsidRPr="004C6A84" w:rsidRDefault="00E11ABF" w:rsidP="008F4646">
      <w:pPr>
        <w:pStyle w:val="a7"/>
        <w:numPr>
          <w:ilvl w:val="0"/>
          <w:numId w:val="21"/>
        </w:numPr>
        <w:jc w:val="left"/>
        <w:outlineLvl w:val="9"/>
      </w:pPr>
      <w:r w:rsidRPr="004C6A84">
        <w:t>Hinek A, Wrenn DS, Mecham RP, Barondes SH. Elastin receptor. Science. 1988;239(4846):1539–1541.</w:t>
      </w:r>
    </w:p>
    <w:p w:rsidR="00E11ABF" w:rsidRPr="004C6A84" w:rsidRDefault="00E11ABF" w:rsidP="008F4646">
      <w:pPr>
        <w:pStyle w:val="a7"/>
        <w:numPr>
          <w:ilvl w:val="0"/>
          <w:numId w:val="21"/>
        </w:numPr>
        <w:jc w:val="left"/>
        <w:outlineLvl w:val="9"/>
      </w:pPr>
      <w:r w:rsidRPr="004C6A84">
        <w:t>Hinek A. Biological roles of the non-integrin elastin/laminin receptor. Int J Biochem Cell Biol. 1996;28(2):187–192.</w:t>
      </w:r>
    </w:p>
    <w:p w:rsidR="00E11ABF" w:rsidRPr="004C6A84" w:rsidRDefault="00E11ABF" w:rsidP="008F4646">
      <w:pPr>
        <w:pStyle w:val="a7"/>
        <w:numPr>
          <w:ilvl w:val="0"/>
          <w:numId w:val="21"/>
        </w:numPr>
        <w:jc w:val="left"/>
        <w:outlineLvl w:val="9"/>
      </w:pPr>
      <w:r w:rsidRPr="004C6A84">
        <w:t xml:space="preserve">Hinek A, Rabinovitch M, Keeley F, Okamura-Oho Y, Callahan JW. 67-kDa EBP relates to </w:t>
      </w:r>
      <w:r w:rsidRPr="004C6A84">
        <w:rPr>
          <w:lang w:val="el-GR"/>
        </w:rPr>
        <w:t>β</w:t>
      </w:r>
      <w:r w:rsidRPr="004C6A84">
        <w:t>-gal splice. J Clin Invest. 1993;91(3):1198–1205.</w:t>
      </w:r>
    </w:p>
    <w:p w:rsidR="00E11ABF" w:rsidRPr="004C6A84" w:rsidRDefault="00E11ABF" w:rsidP="008F4646">
      <w:pPr>
        <w:pStyle w:val="a7"/>
        <w:numPr>
          <w:ilvl w:val="0"/>
          <w:numId w:val="21"/>
        </w:numPr>
        <w:jc w:val="left"/>
        <w:outlineLvl w:val="9"/>
      </w:pPr>
      <w:r w:rsidRPr="004C6A84">
        <w:t>Pshezhetsky AV, Ashmarina L. Lysosomal multienzyme complex. Prog Nucleic Acid Res Mol Biol. 2001;69:81–114.</w:t>
      </w:r>
    </w:p>
    <w:p w:rsidR="00E11ABF" w:rsidRPr="004C6A84" w:rsidRDefault="00E11ABF" w:rsidP="008F4646">
      <w:pPr>
        <w:pStyle w:val="a7"/>
        <w:numPr>
          <w:ilvl w:val="0"/>
          <w:numId w:val="21"/>
        </w:numPr>
        <w:jc w:val="left"/>
        <w:outlineLvl w:val="9"/>
      </w:pPr>
      <w:r w:rsidRPr="004C6A84">
        <w:t>Hinek A, Mecham RP, Keeley FW, Callahan J, Rabinovitch M. Fibrillin-1/elastin &amp; EBP. J Biol Chem. 1991;266(14):8829–8835.</w:t>
      </w:r>
    </w:p>
    <w:p w:rsidR="00E11ABF" w:rsidRPr="004C6A84" w:rsidRDefault="00E11ABF" w:rsidP="008F4646">
      <w:pPr>
        <w:pStyle w:val="a7"/>
        <w:numPr>
          <w:ilvl w:val="0"/>
          <w:numId w:val="21"/>
        </w:numPr>
        <w:jc w:val="left"/>
        <w:outlineLvl w:val="9"/>
      </w:pPr>
      <w:r w:rsidRPr="004C6A84">
        <w:t>Sterling T, Irwin JJ. ZINC 15—Ligand discovery for everyone. J Chem Inf Model. 2015;55(11):2324–2337.</w:t>
      </w:r>
    </w:p>
    <w:p w:rsidR="00E11ABF" w:rsidRPr="004C6A84" w:rsidRDefault="00E11ABF" w:rsidP="008F4646">
      <w:pPr>
        <w:pStyle w:val="a7"/>
        <w:numPr>
          <w:ilvl w:val="0"/>
          <w:numId w:val="21"/>
        </w:numPr>
        <w:jc w:val="left"/>
        <w:outlineLvl w:val="9"/>
      </w:pPr>
      <w:r w:rsidRPr="004C6A84">
        <w:t>Trotter HF. Product of semigroups. Proc Am Math Soc. 1959;10:545–551.</w:t>
      </w:r>
    </w:p>
    <w:p w:rsidR="00E11ABF" w:rsidRPr="004C6A84" w:rsidRDefault="00E11ABF" w:rsidP="008F4646">
      <w:pPr>
        <w:pStyle w:val="a7"/>
        <w:numPr>
          <w:ilvl w:val="0"/>
          <w:numId w:val="21"/>
        </w:numPr>
        <w:jc w:val="left"/>
        <w:outlineLvl w:val="9"/>
      </w:pPr>
      <w:r w:rsidRPr="004C6A84">
        <w:t>Suzuki M. Fractal decomposition of exponentials. Phys Lett A. 1990;146(6):319–323.</w:t>
      </w:r>
    </w:p>
    <w:p w:rsidR="00E11ABF" w:rsidRPr="004C6A84" w:rsidRDefault="00E11ABF" w:rsidP="008F4646">
      <w:pPr>
        <w:pStyle w:val="a7"/>
        <w:numPr>
          <w:ilvl w:val="0"/>
          <w:numId w:val="21"/>
        </w:numPr>
        <w:jc w:val="left"/>
        <w:outlineLvl w:val="9"/>
      </w:pPr>
      <w:r w:rsidRPr="004C6A84">
        <w:t>Trott O, Olson AJ. AutoDock Vina. J Comput Chem. 2010;31(2):455–461.</w:t>
      </w:r>
    </w:p>
    <w:p w:rsidR="00E11ABF" w:rsidRPr="004C6A84" w:rsidRDefault="00E11ABF" w:rsidP="008F4646">
      <w:pPr>
        <w:pStyle w:val="a7"/>
        <w:numPr>
          <w:ilvl w:val="0"/>
          <w:numId w:val="21"/>
        </w:numPr>
        <w:jc w:val="left"/>
        <w:outlineLvl w:val="9"/>
      </w:pPr>
      <w:r w:rsidRPr="004C6A84">
        <w:t>Eberhardt J, Santos-Martins D, Tillack AF, Forli S. AutoDock Vina 1.2.0. J Chem Inf Model. 2021;61(8):3891–3898.</w:t>
      </w:r>
    </w:p>
    <w:p w:rsidR="00E11ABF" w:rsidRPr="004C6A84" w:rsidRDefault="00E11ABF" w:rsidP="008F4646">
      <w:pPr>
        <w:pStyle w:val="a7"/>
        <w:numPr>
          <w:ilvl w:val="0"/>
          <w:numId w:val="21"/>
        </w:numPr>
        <w:jc w:val="left"/>
        <w:outlineLvl w:val="9"/>
      </w:pPr>
      <w:r w:rsidRPr="004C6A84">
        <w:t>Berman HM, Westbrook J, Feng Z, et al. PDB. Nucleic Acids Res. 2000;28(1):235–242.</w:t>
      </w:r>
    </w:p>
    <w:p w:rsidR="00E11ABF" w:rsidRPr="004C6A84" w:rsidRDefault="00E11ABF" w:rsidP="008F4646">
      <w:pPr>
        <w:pStyle w:val="a7"/>
        <w:numPr>
          <w:ilvl w:val="0"/>
          <w:numId w:val="21"/>
        </w:numPr>
        <w:jc w:val="left"/>
        <w:outlineLvl w:val="9"/>
      </w:pPr>
      <w:r w:rsidRPr="004C6A84">
        <w:t>Morris GM, Huey R, Lindstrom W, et al. AutoDock4/ADT4. J Comput Chem. 2009;30(16):2785–2791.</w:t>
      </w:r>
    </w:p>
    <w:p w:rsidR="00E11ABF" w:rsidRPr="004C6A84" w:rsidRDefault="00E11ABF" w:rsidP="008F4646">
      <w:pPr>
        <w:pStyle w:val="a7"/>
        <w:numPr>
          <w:ilvl w:val="0"/>
          <w:numId w:val="21"/>
        </w:numPr>
        <w:jc w:val="left"/>
        <w:outlineLvl w:val="9"/>
      </w:pPr>
      <w:r w:rsidRPr="004C6A84">
        <w:t>Preskill J. NISQ era. Quantum. 2018;2:79.</w:t>
      </w:r>
    </w:p>
    <w:p w:rsidR="00E11ABF" w:rsidRPr="004C6A84" w:rsidRDefault="00E11ABF" w:rsidP="008F4646">
      <w:pPr>
        <w:pStyle w:val="a7"/>
        <w:numPr>
          <w:ilvl w:val="0"/>
          <w:numId w:val="21"/>
        </w:numPr>
        <w:jc w:val="left"/>
        <w:outlineLvl w:val="9"/>
      </w:pPr>
      <w:r w:rsidRPr="004C6A84">
        <w:t>Butler A, Hoffman P, Smibert P, Papalexi E, Satija R. Data integration. Nat Biotechnol. 2018;36:411–420.</w:t>
      </w:r>
    </w:p>
    <w:p w:rsidR="00E11ABF" w:rsidRPr="004C6A84" w:rsidRDefault="00E11ABF" w:rsidP="008F4646">
      <w:pPr>
        <w:pStyle w:val="a7"/>
        <w:numPr>
          <w:ilvl w:val="0"/>
          <w:numId w:val="21"/>
        </w:numPr>
        <w:jc w:val="left"/>
        <w:outlineLvl w:val="9"/>
      </w:pPr>
      <w:r w:rsidRPr="004C6A84">
        <w:t>Stuart T, Butler A, Hoffman P, et al. Comprehensive integration. Cell. 2019;177(7):1888–1902.e21.</w:t>
      </w:r>
    </w:p>
    <w:p w:rsidR="00E11ABF" w:rsidRPr="004C6A84" w:rsidRDefault="00E11ABF" w:rsidP="008F4646">
      <w:pPr>
        <w:pStyle w:val="a7"/>
        <w:numPr>
          <w:ilvl w:val="0"/>
          <w:numId w:val="21"/>
        </w:numPr>
        <w:jc w:val="left"/>
        <w:outlineLvl w:val="9"/>
      </w:pPr>
      <w:r w:rsidRPr="004C6A84">
        <w:t>Wolf FA, Angerer P, Theis FJ. SCANPY. Genome Biol. 2018;19:15.</w:t>
      </w:r>
    </w:p>
    <w:p w:rsidR="00E11ABF" w:rsidRPr="004C6A84" w:rsidRDefault="00E11ABF" w:rsidP="008F4646">
      <w:pPr>
        <w:pStyle w:val="a7"/>
        <w:numPr>
          <w:ilvl w:val="0"/>
          <w:numId w:val="21"/>
        </w:numPr>
        <w:jc w:val="left"/>
        <w:outlineLvl w:val="9"/>
      </w:pPr>
      <w:r w:rsidRPr="004C6A84">
        <w:t>McInnes L, Healy J, Melville J. UMAP. arXiv:1802.03426 (2018).</w:t>
      </w:r>
    </w:p>
    <w:p w:rsidR="00E11ABF" w:rsidRPr="004C6A84" w:rsidRDefault="00E11ABF" w:rsidP="008F4646">
      <w:pPr>
        <w:pStyle w:val="a7"/>
        <w:numPr>
          <w:ilvl w:val="0"/>
          <w:numId w:val="21"/>
        </w:numPr>
        <w:jc w:val="left"/>
        <w:outlineLvl w:val="9"/>
      </w:pPr>
      <w:r w:rsidRPr="004C6A84">
        <w:t xml:space="preserve">Hinek A, Pshezhetsky AV. </w:t>
      </w:r>
      <w:r w:rsidRPr="004C6A84">
        <w:rPr>
          <w:lang w:val="el-GR"/>
        </w:rPr>
        <w:t>α</w:t>
      </w:r>
      <w:r w:rsidRPr="004C6A84">
        <w:t>-Elastin binding protects from cathepsin A proteolysis. FEBS Lett. 2000;478(3):201–205.</w:t>
      </w:r>
    </w:p>
    <w:p w:rsidR="00E11ABF" w:rsidRPr="004C6A84" w:rsidRDefault="00E11ABF" w:rsidP="008F4646">
      <w:pPr>
        <w:pStyle w:val="a7"/>
        <w:numPr>
          <w:ilvl w:val="0"/>
          <w:numId w:val="21"/>
        </w:numPr>
        <w:jc w:val="left"/>
        <w:outlineLvl w:val="9"/>
      </w:pPr>
      <w:r w:rsidRPr="004C6A84">
        <w:t>Hinek A, Pshezhetsky AV, von Itzstein M, Starcher B. NEU1 targeted to cell surface in ERC/PPCA complex. J Biol Chem. 2006;281(6):3698–3710.</w:t>
      </w:r>
    </w:p>
    <w:p w:rsidR="00E11ABF" w:rsidRPr="004C6A84" w:rsidRDefault="00E11ABF" w:rsidP="008F4646">
      <w:pPr>
        <w:pStyle w:val="a7"/>
        <w:numPr>
          <w:ilvl w:val="0"/>
          <w:numId w:val="21"/>
        </w:numPr>
        <w:jc w:val="left"/>
        <w:outlineLvl w:val="9"/>
      </w:pPr>
      <w:r w:rsidRPr="004C6A84">
        <w:t>Duca L, Blanchevoye C, Cantarelli B, et al. ERC signals matrix remodelling in dermal fibroblasts. J Invest Dermatol. 2013;133(4):897–906.</w:t>
      </w:r>
    </w:p>
    <w:p w:rsidR="00E11ABF" w:rsidRPr="004C6A84" w:rsidRDefault="00E11ABF" w:rsidP="008F4646">
      <w:pPr>
        <w:pStyle w:val="a7"/>
        <w:numPr>
          <w:ilvl w:val="0"/>
          <w:numId w:val="21"/>
        </w:numPr>
        <w:jc w:val="left"/>
        <w:outlineLvl w:val="9"/>
      </w:pPr>
      <w:r w:rsidRPr="004C6A84">
        <w:t>Maurice P, Baud S, Bocharova OV, et al. ERC in cancer &amp; wound repair. Matrix Biol. 2013;33:13–17.</w:t>
      </w:r>
    </w:p>
    <w:p w:rsidR="00E11ABF" w:rsidRPr="004C6A84" w:rsidRDefault="00E11ABF" w:rsidP="008F4646">
      <w:pPr>
        <w:pStyle w:val="a7"/>
        <w:numPr>
          <w:ilvl w:val="0"/>
          <w:numId w:val="21"/>
        </w:numPr>
        <w:jc w:val="left"/>
        <w:outlineLvl w:val="9"/>
      </w:pPr>
      <w:r w:rsidRPr="004C6A84">
        <w:t>Ksiazek M, et al. Elastin-derived peptides &amp; ERC: pathophysiology/therapeutics. Matrix Biol. 2021;95:1–17.</w:t>
      </w:r>
    </w:p>
    <w:p w:rsidR="00E11ABF" w:rsidRPr="004C6A84" w:rsidRDefault="00E11ABF" w:rsidP="008F4646">
      <w:pPr>
        <w:pStyle w:val="a7"/>
        <w:numPr>
          <w:ilvl w:val="0"/>
          <w:numId w:val="21"/>
        </w:numPr>
        <w:jc w:val="left"/>
        <w:outlineLvl w:val="9"/>
      </w:pPr>
      <w:r w:rsidRPr="004C6A84">
        <w:t>Abraham MJ, Murtola T, Schulz R, et al. GROMACS. SoftwareX. 2015;1–2:19–25.</w:t>
      </w:r>
    </w:p>
    <w:p w:rsidR="00E11ABF" w:rsidRPr="004C6A84" w:rsidRDefault="00E11ABF" w:rsidP="008F4646">
      <w:pPr>
        <w:pStyle w:val="a7"/>
        <w:numPr>
          <w:ilvl w:val="0"/>
          <w:numId w:val="21"/>
        </w:numPr>
        <w:jc w:val="left"/>
        <w:outlineLvl w:val="9"/>
      </w:pPr>
      <w:r w:rsidRPr="004C6A84">
        <w:t>Huang J, MacKerell AD Jr. CHARMM36m. Nat Methods. 2017;14(1):71–73.</w:t>
      </w:r>
    </w:p>
    <w:p w:rsidR="00E11ABF" w:rsidRPr="004C6A84" w:rsidRDefault="00E11ABF" w:rsidP="008F4646">
      <w:pPr>
        <w:pStyle w:val="a7"/>
        <w:numPr>
          <w:ilvl w:val="0"/>
          <w:numId w:val="21"/>
        </w:numPr>
        <w:jc w:val="left"/>
        <w:outlineLvl w:val="9"/>
      </w:pPr>
      <w:r w:rsidRPr="004C6A84">
        <w:t>Jorgensen WL, Chandrasekhar J, Madura JD, et al. TIP3P. J Chem Phys. 1983;79(2):926–935.</w:t>
      </w:r>
    </w:p>
    <w:p w:rsidR="00E11ABF" w:rsidRPr="004C6A84" w:rsidRDefault="00E11ABF" w:rsidP="008F4646">
      <w:pPr>
        <w:pStyle w:val="a7"/>
        <w:numPr>
          <w:ilvl w:val="0"/>
          <w:numId w:val="21"/>
        </w:numPr>
        <w:jc w:val="left"/>
        <w:outlineLvl w:val="9"/>
      </w:pPr>
      <w:r w:rsidRPr="004C6A84">
        <w:t>Darden T, York D, Pedersen L. PME. J Chem Phys. 1993;98(12):10089–10092.</w:t>
      </w:r>
    </w:p>
    <w:p w:rsidR="00E11ABF" w:rsidRPr="004C6A84" w:rsidRDefault="00E11ABF" w:rsidP="008F4646">
      <w:pPr>
        <w:pStyle w:val="a7"/>
        <w:numPr>
          <w:ilvl w:val="0"/>
          <w:numId w:val="21"/>
        </w:numPr>
        <w:jc w:val="left"/>
        <w:outlineLvl w:val="9"/>
      </w:pPr>
      <w:r w:rsidRPr="004C6A84">
        <w:t>Parrinello M, Rahman A. Anisotropic NPT MD. J Appl Phys. 1981;52(12):7182–7190.</w:t>
      </w:r>
    </w:p>
    <w:p w:rsidR="00E11ABF" w:rsidRPr="004C6A84" w:rsidRDefault="00E11ABF" w:rsidP="008F4646">
      <w:pPr>
        <w:pStyle w:val="a7"/>
        <w:numPr>
          <w:ilvl w:val="0"/>
          <w:numId w:val="21"/>
        </w:numPr>
        <w:jc w:val="left"/>
        <w:outlineLvl w:val="9"/>
      </w:pPr>
      <w:r w:rsidRPr="004C6A84">
        <w:t>Hess B. P-LINCS. J Chem Theory Comput. 2008;4(1):116–122.</w:t>
      </w:r>
    </w:p>
    <w:p w:rsidR="00E11ABF" w:rsidRPr="004C6A84" w:rsidRDefault="00E11ABF" w:rsidP="008F4646">
      <w:pPr>
        <w:pStyle w:val="a7"/>
        <w:numPr>
          <w:ilvl w:val="0"/>
          <w:numId w:val="21"/>
        </w:numPr>
        <w:jc w:val="left"/>
        <w:outlineLvl w:val="9"/>
      </w:pPr>
      <w:r w:rsidRPr="004C6A84">
        <w:t>Bussi G, Donadio D, Parrinello M. V-rescale thermostat. J Chem Phys. 2007;126:014101.</w:t>
      </w:r>
    </w:p>
    <w:p w:rsidR="00E11ABF" w:rsidRPr="004C6A84" w:rsidRDefault="00E11ABF" w:rsidP="008F4646">
      <w:pPr>
        <w:pStyle w:val="a7"/>
        <w:numPr>
          <w:ilvl w:val="0"/>
          <w:numId w:val="21"/>
        </w:numPr>
        <w:jc w:val="left"/>
        <w:outlineLvl w:val="9"/>
      </w:pPr>
      <w:r w:rsidRPr="004C6A84">
        <w:t>Kumari R, Kumar R, Lynn A. g_mmpbsa. J Chem Inf Model. 2014;54(7):1951–1962.</w:t>
      </w:r>
    </w:p>
    <w:p w:rsidR="00E11ABF" w:rsidRPr="004C6A84" w:rsidRDefault="00E11ABF" w:rsidP="008F4646">
      <w:pPr>
        <w:pStyle w:val="a7"/>
        <w:numPr>
          <w:ilvl w:val="0"/>
          <w:numId w:val="21"/>
        </w:numPr>
        <w:jc w:val="left"/>
        <w:outlineLvl w:val="9"/>
      </w:pPr>
      <w:r w:rsidRPr="004C6A84">
        <w:t>Genheden S, Ryde U. MM/PBSA &amp; MM/GBSA. Expert Opin Drug Discov. 2015;10(5):449–461.</w:t>
      </w:r>
    </w:p>
    <w:p w:rsidR="00E11ABF" w:rsidRPr="004C6A84" w:rsidRDefault="00E11ABF" w:rsidP="008F4646">
      <w:pPr>
        <w:pStyle w:val="a7"/>
        <w:numPr>
          <w:ilvl w:val="0"/>
          <w:numId w:val="21"/>
        </w:numPr>
        <w:jc w:val="left"/>
        <w:outlineLvl w:val="9"/>
      </w:pPr>
      <w:r w:rsidRPr="004C6A84">
        <w:t>Daina A, Michielin O, Zoete V. SwissADME. Sci Rep. 2017;7:42717.</w:t>
      </w:r>
    </w:p>
    <w:p w:rsidR="00E11ABF" w:rsidRPr="004C6A84" w:rsidRDefault="00E11ABF" w:rsidP="008F4646">
      <w:pPr>
        <w:pStyle w:val="a7"/>
        <w:numPr>
          <w:ilvl w:val="0"/>
          <w:numId w:val="21"/>
        </w:numPr>
        <w:jc w:val="left"/>
        <w:outlineLvl w:val="9"/>
      </w:pPr>
      <w:r w:rsidRPr="004C6A84">
        <w:t>Lipinski CA, Lombardo F, Dominy BW, Feeney PJ. Solubility/permeability. Adv Drug Deliv Rev. 2001;46(1–3):3–26.</w:t>
      </w:r>
    </w:p>
    <w:p w:rsidR="00E11ABF" w:rsidRPr="004C6A84" w:rsidRDefault="00E11ABF" w:rsidP="008F4646">
      <w:pPr>
        <w:pStyle w:val="a7"/>
        <w:numPr>
          <w:ilvl w:val="0"/>
          <w:numId w:val="21"/>
        </w:numPr>
        <w:jc w:val="left"/>
        <w:outlineLvl w:val="9"/>
      </w:pPr>
      <w:r w:rsidRPr="004C6A84">
        <w:t>Kanehisa M, Goto S. KEGG. Nucleic Acids Res. 2000;28:27–30.</w:t>
      </w:r>
    </w:p>
    <w:p w:rsidR="00E11ABF" w:rsidRPr="004C6A84" w:rsidRDefault="00E11ABF" w:rsidP="008F4646">
      <w:pPr>
        <w:pStyle w:val="a7"/>
        <w:numPr>
          <w:ilvl w:val="0"/>
          <w:numId w:val="21"/>
        </w:numPr>
        <w:jc w:val="left"/>
        <w:outlineLvl w:val="9"/>
      </w:pPr>
      <w:r w:rsidRPr="004C6A84">
        <w:t>Shannon P, Markiel A, Ozier O, et al. Cytoscape. Genome Res. 2003;13:2498–2504.</w:t>
      </w:r>
    </w:p>
    <w:p w:rsidR="00E11ABF" w:rsidRPr="004C6A84" w:rsidRDefault="00E11ABF" w:rsidP="008F4646">
      <w:pPr>
        <w:pStyle w:val="a7"/>
        <w:numPr>
          <w:ilvl w:val="0"/>
          <w:numId w:val="21"/>
        </w:numPr>
        <w:jc w:val="left"/>
        <w:outlineLvl w:val="9"/>
      </w:pPr>
      <w:r w:rsidRPr="004C6A84">
        <w:t>Szklarczyk D, Gable AL, Lyon D, et al. STRING v11. Nucleic Acids Res. 2019;47(D1):D607–D613.</w:t>
      </w:r>
    </w:p>
    <w:p w:rsidR="00E11ABF" w:rsidRPr="004C6A84" w:rsidRDefault="00E11ABF" w:rsidP="008F4646">
      <w:pPr>
        <w:pStyle w:val="a7"/>
        <w:numPr>
          <w:ilvl w:val="0"/>
          <w:numId w:val="21"/>
        </w:numPr>
        <w:jc w:val="left"/>
        <w:outlineLvl w:val="9"/>
      </w:pPr>
      <w:r w:rsidRPr="004C6A84">
        <w:t>Szklarczyk D, Gable AL, Nastou KC, et al. STRING 2021. Nucleic Acids Res. 2021;49(D1):D605–D612.</w:t>
      </w:r>
    </w:p>
    <w:p w:rsidR="00E11ABF" w:rsidRPr="004C6A84" w:rsidRDefault="00E11ABF" w:rsidP="008F4646">
      <w:pPr>
        <w:pStyle w:val="a7"/>
        <w:numPr>
          <w:ilvl w:val="0"/>
          <w:numId w:val="21"/>
        </w:numPr>
        <w:jc w:val="left"/>
        <w:outlineLvl w:val="9"/>
      </w:pPr>
      <w:r w:rsidRPr="004C6A84">
        <w:t>Pavão A, Silva F, Meidanis J, Verli H, de Andrade Lopes FM. CellNetVis: cellular-diagram network viz. Nucleic Acids Res. 2016;44(W1):W321–W327.</w:t>
      </w:r>
    </w:p>
    <w:p w:rsidR="00E11ABF" w:rsidRPr="004C6A84" w:rsidRDefault="00E11ABF" w:rsidP="008F4646">
      <w:pPr>
        <w:pStyle w:val="a7"/>
        <w:numPr>
          <w:ilvl w:val="0"/>
          <w:numId w:val="21"/>
        </w:numPr>
        <w:jc w:val="left"/>
        <w:outlineLvl w:val="9"/>
      </w:pPr>
      <w:r w:rsidRPr="004C6A84">
        <w:t>Waterhouse A, Bertoni S, Bienert S, et al. SWISS-MODEL. Nucleic Acids Res. 2018;46(W1):W296–W303.</w:t>
      </w:r>
    </w:p>
    <w:p w:rsidR="00E11ABF" w:rsidRPr="004C6A84" w:rsidRDefault="00E11ABF" w:rsidP="008F4646">
      <w:pPr>
        <w:pStyle w:val="a7"/>
        <w:numPr>
          <w:ilvl w:val="0"/>
          <w:numId w:val="21"/>
        </w:numPr>
        <w:jc w:val="left"/>
        <w:outlineLvl w:val="9"/>
      </w:pPr>
      <w:r w:rsidRPr="004C6A84">
        <w:t>Pronk S, Páll S, Schulz R, et al. GROMACS 4.5 toolkit. Bioinformatics. 2013;29(7):845–854.</w:t>
      </w:r>
    </w:p>
    <w:p w:rsidR="00E11ABF" w:rsidRPr="004C6A84" w:rsidRDefault="00E11ABF" w:rsidP="008F4646">
      <w:pPr>
        <w:pStyle w:val="a7"/>
        <w:numPr>
          <w:ilvl w:val="0"/>
          <w:numId w:val="21"/>
        </w:numPr>
        <w:jc w:val="left"/>
        <w:outlineLvl w:val="9"/>
      </w:pPr>
      <w:r w:rsidRPr="004C6A84">
        <w:t>Varshalovich DA, Moskalev AN, Khersonskii VK. Quantum Theory of Angular Momentum. World Scientific; 1988.</w:t>
      </w:r>
    </w:p>
    <w:p w:rsidR="00E11ABF" w:rsidRPr="004C6A84" w:rsidRDefault="00E11ABF" w:rsidP="008F4646">
      <w:pPr>
        <w:pStyle w:val="a7"/>
        <w:numPr>
          <w:ilvl w:val="0"/>
          <w:numId w:val="21"/>
        </w:numPr>
        <w:jc w:val="left"/>
        <w:outlineLvl w:val="9"/>
      </w:pPr>
      <w:r w:rsidRPr="004C6A84">
        <w:t>Dormand JR, Prince PJ. Embedded Runge–Kutta (RK45). J Comput Appl Math. 1980;6(1):19–26.</w:t>
      </w:r>
    </w:p>
    <w:p w:rsidR="00E11ABF" w:rsidRPr="004C6A84" w:rsidRDefault="00E11ABF" w:rsidP="008F4646">
      <w:pPr>
        <w:pStyle w:val="a7"/>
        <w:numPr>
          <w:ilvl w:val="0"/>
          <w:numId w:val="21"/>
        </w:numPr>
        <w:jc w:val="left"/>
        <w:outlineLvl w:val="9"/>
      </w:pPr>
      <w:r w:rsidRPr="004C6A84">
        <w:t>Shrake A, Rupley JA. Solvent exposure of protein atoms. J Mol Biol. 1973;79(2):351–371.</w:t>
      </w:r>
    </w:p>
    <w:p w:rsidR="00E11ABF" w:rsidRPr="004C6A84" w:rsidRDefault="00E11ABF" w:rsidP="008F4646">
      <w:pPr>
        <w:pStyle w:val="a7"/>
        <w:numPr>
          <w:ilvl w:val="0"/>
          <w:numId w:val="21"/>
        </w:numPr>
        <w:jc w:val="left"/>
        <w:outlineLvl w:val="9"/>
      </w:pPr>
      <w:r w:rsidRPr="004C6A84">
        <w:t>Barlow RE, Bartholomew DJ, Bremner JM, Brunk HD. Statistical Inference under Order Restrictions. Wiley; 1972.</w:t>
      </w:r>
    </w:p>
    <w:p w:rsidR="00E11ABF" w:rsidRPr="004C6A84" w:rsidRDefault="00E11ABF" w:rsidP="008F4646">
      <w:pPr>
        <w:pStyle w:val="a7"/>
        <w:numPr>
          <w:ilvl w:val="0"/>
          <w:numId w:val="21"/>
        </w:numPr>
        <w:jc w:val="left"/>
        <w:outlineLvl w:val="9"/>
      </w:pPr>
      <w:r w:rsidRPr="004C6A84">
        <w:t>Platt JC. Probabilistic SVM outputs. In: Advances in Large Margin Classifiers. MIT Press; 1999. p. 61–74.</w:t>
      </w:r>
    </w:p>
    <w:p w:rsidR="00E11ABF" w:rsidRPr="004C6A84" w:rsidRDefault="00E11ABF" w:rsidP="008F4646">
      <w:pPr>
        <w:pStyle w:val="a7"/>
        <w:numPr>
          <w:ilvl w:val="0"/>
          <w:numId w:val="21"/>
        </w:numPr>
        <w:jc w:val="left"/>
        <w:outlineLvl w:val="9"/>
      </w:pPr>
      <w:r w:rsidRPr="004C6A84">
        <w:t>Bliss CI. The calculation of the dosage–mortality curve. Ann Appl Biol. 1939;26(1):22–37.</w:t>
      </w:r>
    </w:p>
    <w:p w:rsidR="00E11ABF" w:rsidRPr="004C6A84" w:rsidRDefault="00E11ABF" w:rsidP="008F4646">
      <w:pPr>
        <w:pStyle w:val="a7"/>
        <w:numPr>
          <w:ilvl w:val="0"/>
          <w:numId w:val="21"/>
        </w:numPr>
        <w:jc w:val="left"/>
        <w:outlineLvl w:val="9"/>
      </w:pPr>
      <w:r w:rsidRPr="004C6A84">
        <w:t>Chou T-C, Talalay P. Dose–effect analysis. Adv Enzyme Regul. 1984;22:27–55.</w:t>
      </w:r>
    </w:p>
    <w:p w:rsidR="00E11ABF" w:rsidRPr="004C6A84" w:rsidRDefault="00E11ABF" w:rsidP="008F4646">
      <w:pPr>
        <w:pStyle w:val="a7"/>
        <w:numPr>
          <w:ilvl w:val="0"/>
          <w:numId w:val="21"/>
        </w:numPr>
        <w:jc w:val="left"/>
        <w:outlineLvl w:val="9"/>
      </w:pPr>
      <w:r w:rsidRPr="004C6A84">
        <w:t>Spall JC. SPSA (multivariate). IEEE TAC. 1992;37(3):332–341.</w:t>
      </w:r>
    </w:p>
    <w:p w:rsidR="00E11ABF" w:rsidRPr="004C6A84" w:rsidRDefault="00E11ABF" w:rsidP="008F4646">
      <w:pPr>
        <w:pStyle w:val="a7"/>
        <w:numPr>
          <w:ilvl w:val="0"/>
          <w:numId w:val="21"/>
        </w:numPr>
        <w:jc w:val="left"/>
        <w:outlineLvl w:val="9"/>
      </w:pPr>
      <w:r w:rsidRPr="004C6A84">
        <w:t>Spall JC. SPSA implementation. IEEE TAES. 1998;34(3):817–823.</w:t>
      </w:r>
    </w:p>
    <w:p w:rsidR="00E11ABF" w:rsidRPr="004C6A84" w:rsidRDefault="00E11ABF" w:rsidP="008F4646">
      <w:pPr>
        <w:pStyle w:val="a7"/>
        <w:numPr>
          <w:ilvl w:val="0"/>
          <w:numId w:val="21"/>
        </w:numPr>
        <w:jc w:val="left"/>
        <w:outlineLvl w:val="9"/>
        <w:rPr>
          <w:lang w:val="el-GR"/>
        </w:rPr>
      </w:pPr>
      <w:r w:rsidRPr="004C6A84">
        <w:t xml:space="preserve">Qiskit Community. Qiskit: an open-source framework for quantum computing. </w:t>
      </w:r>
      <w:r w:rsidRPr="004C6A84">
        <w:rPr>
          <w:lang w:val="el-GR"/>
        </w:rPr>
        <w:t>2023. (Software).</w:t>
      </w:r>
    </w:p>
    <w:p w:rsidR="00D24884" w:rsidRPr="00802371" w:rsidRDefault="00D24884" w:rsidP="00E11ABF"/>
    <w:sectPr w:rsidR="00D24884" w:rsidRPr="00802371" w:rsidSect="0083532A">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onsolas">
    <w:panose1 w:val="020B0609020204030204"/>
    <w:charset w:val="A1"/>
    <w:family w:val="modern"/>
    <w:pitch w:val="fixed"/>
    <w:sig w:usb0="E00006FF" w:usb1="0000FCFF" w:usb2="00000001" w:usb3="00000000" w:csb0="0000019F" w:csb1="00000000"/>
  </w:font>
  <w:font w:name="Arial">
    <w:panose1 w:val="020B0604020202020204"/>
    <w:charset w:val="A1"/>
    <w:family w:val="swiss"/>
    <w:pitch w:val="variable"/>
    <w:sig w:usb0="E0002EFF" w:usb1="C000785B" w:usb2="00000009" w:usb3="00000000" w:csb0="000001FF" w:csb1="00000000"/>
  </w:font>
  <w:font w:name="Cambria Math">
    <w:panose1 w:val="02040503050406030204"/>
    <w:charset w:val="A1"/>
    <w:family w:val="roman"/>
    <w:pitch w:val="variable"/>
    <w:sig w:usb0="E00006FF" w:usb1="420024FF" w:usb2="02000000" w:usb3="00000000" w:csb0="0000019F" w:csb1="00000000"/>
  </w:font>
  <w:font w:name="Inherited">
    <w:panose1 w:val="00000000000000000000"/>
    <w:charset w:val="A1"/>
    <w:family w:val="swiss"/>
    <w:notTrueType/>
    <w:pitch w:val="default"/>
    <w:sig w:usb0="00000081" w:usb1="00000000" w:usb2="00000000" w:usb3="00000000" w:csb0="00000008" w:csb1="00000000"/>
  </w:font>
  <w:font w:name="Segoe UI">
    <w:panose1 w:val="020B0502040204020203"/>
    <w:charset w:val="A1"/>
    <w:family w:val="swiss"/>
    <w:pitch w:val="variable"/>
    <w:sig w:usb0="E4002EFF" w:usb1="C000E47F"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E1AE1"/>
    <w:multiLevelType w:val="multilevel"/>
    <w:tmpl w:val="C6428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4B258E2"/>
    <w:multiLevelType w:val="multilevel"/>
    <w:tmpl w:val="20F48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E0215B"/>
    <w:multiLevelType w:val="multilevel"/>
    <w:tmpl w:val="B9D23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7A168AD"/>
    <w:multiLevelType w:val="multilevel"/>
    <w:tmpl w:val="04080021"/>
    <w:styleLink w:val="131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0C7E6703"/>
    <w:multiLevelType w:val="multilevel"/>
    <w:tmpl w:val="6450E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6352A7"/>
    <w:multiLevelType w:val="multilevel"/>
    <w:tmpl w:val="4D9AA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8855DD"/>
    <w:multiLevelType w:val="multilevel"/>
    <w:tmpl w:val="90DA9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AC959B4"/>
    <w:multiLevelType w:val="multilevel"/>
    <w:tmpl w:val="3C18F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F762735"/>
    <w:multiLevelType w:val="multilevel"/>
    <w:tmpl w:val="A9606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2C25A2"/>
    <w:multiLevelType w:val="multilevel"/>
    <w:tmpl w:val="F0B26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2956D4E"/>
    <w:multiLevelType w:val="multilevel"/>
    <w:tmpl w:val="2BB41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3523761"/>
    <w:multiLevelType w:val="multilevel"/>
    <w:tmpl w:val="A2203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47F64E1"/>
    <w:multiLevelType w:val="multilevel"/>
    <w:tmpl w:val="B588B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4B90469"/>
    <w:multiLevelType w:val="multilevel"/>
    <w:tmpl w:val="CA082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72B575C"/>
    <w:multiLevelType w:val="multilevel"/>
    <w:tmpl w:val="7638D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91D680B"/>
    <w:multiLevelType w:val="multilevel"/>
    <w:tmpl w:val="6568A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377F79"/>
    <w:multiLevelType w:val="multilevel"/>
    <w:tmpl w:val="10969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6F323E"/>
    <w:multiLevelType w:val="multilevel"/>
    <w:tmpl w:val="8326D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DC7D7A"/>
    <w:multiLevelType w:val="multilevel"/>
    <w:tmpl w:val="08089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B006BC"/>
    <w:multiLevelType w:val="multilevel"/>
    <w:tmpl w:val="1D78C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B82253D"/>
    <w:multiLevelType w:val="multilevel"/>
    <w:tmpl w:val="82905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BE33215"/>
    <w:multiLevelType w:val="multilevel"/>
    <w:tmpl w:val="28DCF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D3010D9"/>
    <w:multiLevelType w:val="multilevel"/>
    <w:tmpl w:val="2D08F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D5817D5"/>
    <w:multiLevelType w:val="hybridMultilevel"/>
    <w:tmpl w:val="E94A4DE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3FF975C1"/>
    <w:multiLevelType w:val="multilevel"/>
    <w:tmpl w:val="6CC67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0DA20FD"/>
    <w:multiLevelType w:val="multilevel"/>
    <w:tmpl w:val="73CA8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32F31C4"/>
    <w:multiLevelType w:val="multilevel"/>
    <w:tmpl w:val="CFA20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8C2089D"/>
    <w:multiLevelType w:val="multilevel"/>
    <w:tmpl w:val="1EAAAD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AEB6855"/>
    <w:multiLevelType w:val="multilevel"/>
    <w:tmpl w:val="8822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B4269B5"/>
    <w:multiLevelType w:val="multilevel"/>
    <w:tmpl w:val="06007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BEB30A1"/>
    <w:multiLevelType w:val="multilevel"/>
    <w:tmpl w:val="B68C9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E7C2DB6"/>
    <w:multiLevelType w:val="multilevel"/>
    <w:tmpl w:val="98ACA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39E230F"/>
    <w:multiLevelType w:val="multilevel"/>
    <w:tmpl w:val="46965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52068F7"/>
    <w:multiLevelType w:val="multilevel"/>
    <w:tmpl w:val="573AD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8DA7970"/>
    <w:multiLevelType w:val="multilevel"/>
    <w:tmpl w:val="FC3C5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A96059C"/>
    <w:multiLevelType w:val="multilevel"/>
    <w:tmpl w:val="A75AC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BDE2C79"/>
    <w:multiLevelType w:val="multilevel"/>
    <w:tmpl w:val="8F320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48651D"/>
    <w:multiLevelType w:val="multilevel"/>
    <w:tmpl w:val="B36A5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D86235C"/>
    <w:multiLevelType w:val="multilevel"/>
    <w:tmpl w:val="76C49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5D986B16"/>
    <w:multiLevelType w:val="multilevel"/>
    <w:tmpl w:val="14C64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00F59F8"/>
    <w:multiLevelType w:val="multilevel"/>
    <w:tmpl w:val="7F28B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3213395"/>
    <w:multiLevelType w:val="hybridMultilevel"/>
    <w:tmpl w:val="8964501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2">
    <w:nsid w:val="63810C3E"/>
    <w:multiLevelType w:val="multilevel"/>
    <w:tmpl w:val="C784A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CB64018"/>
    <w:multiLevelType w:val="multilevel"/>
    <w:tmpl w:val="49328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D6A5894"/>
    <w:multiLevelType w:val="multilevel"/>
    <w:tmpl w:val="E6FA9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6E6A1FE4"/>
    <w:multiLevelType w:val="multilevel"/>
    <w:tmpl w:val="4CDE4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FA86125"/>
    <w:multiLevelType w:val="multilevel"/>
    <w:tmpl w:val="0CC08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FC35AC6"/>
    <w:multiLevelType w:val="multilevel"/>
    <w:tmpl w:val="4DA41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0024056"/>
    <w:multiLevelType w:val="multilevel"/>
    <w:tmpl w:val="EC482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6AD2655"/>
    <w:multiLevelType w:val="multilevel"/>
    <w:tmpl w:val="9BC68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8454F0D"/>
    <w:multiLevelType w:val="multilevel"/>
    <w:tmpl w:val="FAE02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C0B7ABC"/>
    <w:multiLevelType w:val="multilevel"/>
    <w:tmpl w:val="9F5CF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7F066C40"/>
    <w:multiLevelType w:val="multilevel"/>
    <w:tmpl w:val="6180C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F180FBC"/>
    <w:multiLevelType w:val="multilevel"/>
    <w:tmpl w:val="B6929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9"/>
  </w:num>
  <w:num w:numId="3">
    <w:abstractNumId w:val="44"/>
  </w:num>
  <w:num w:numId="4">
    <w:abstractNumId w:val="11"/>
  </w:num>
  <w:num w:numId="5">
    <w:abstractNumId w:val="6"/>
  </w:num>
  <w:num w:numId="6">
    <w:abstractNumId w:val="8"/>
  </w:num>
  <w:num w:numId="7">
    <w:abstractNumId w:val="10"/>
  </w:num>
  <w:num w:numId="8">
    <w:abstractNumId w:val="34"/>
  </w:num>
  <w:num w:numId="9">
    <w:abstractNumId w:val="38"/>
  </w:num>
  <w:num w:numId="10">
    <w:abstractNumId w:val="15"/>
  </w:num>
  <w:num w:numId="11">
    <w:abstractNumId w:val="37"/>
  </w:num>
  <w:num w:numId="12">
    <w:abstractNumId w:val="50"/>
  </w:num>
  <w:num w:numId="13">
    <w:abstractNumId w:val="45"/>
  </w:num>
  <w:num w:numId="14">
    <w:abstractNumId w:val="12"/>
  </w:num>
  <w:num w:numId="15">
    <w:abstractNumId w:val="48"/>
  </w:num>
  <w:num w:numId="16">
    <w:abstractNumId w:val="22"/>
  </w:num>
  <w:num w:numId="17">
    <w:abstractNumId w:val="46"/>
  </w:num>
  <w:num w:numId="18">
    <w:abstractNumId w:val="5"/>
  </w:num>
  <w:num w:numId="19">
    <w:abstractNumId w:val="30"/>
  </w:num>
  <w:num w:numId="20">
    <w:abstractNumId w:val="9"/>
  </w:num>
  <w:num w:numId="21">
    <w:abstractNumId w:val="23"/>
  </w:num>
  <w:num w:numId="22">
    <w:abstractNumId w:val="29"/>
  </w:num>
  <w:num w:numId="23">
    <w:abstractNumId w:val="0"/>
  </w:num>
  <w:num w:numId="24">
    <w:abstractNumId w:val="47"/>
  </w:num>
  <w:num w:numId="25">
    <w:abstractNumId w:val="31"/>
  </w:num>
  <w:num w:numId="26">
    <w:abstractNumId w:val="16"/>
  </w:num>
  <w:num w:numId="27">
    <w:abstractNumId w:val="43"/>
  </w:num>
  <w:num w:numId="28">
    <w:abstractNumId w:val="17"/>
  </w:num>
  <w:num w:numId="29">
    <w:abstractNumId w:val="19"/>
  </w:num>
  <w:num w:numId="30">
    <w:abstractNumId w:val="26"/>
  </w:num>
  <w:num w:numId="31">
    <w:abstractNumId w:val="32"/>
  </w:num>
  <w:num w:numId="32">
    <w:abstractNumId w:val="1"/>
  </w:num>
  <w:num w:numId="33">
    <w:abstractNumId w:val="51"/>
  </w:num>
  <w:num w:numId="34">
    <w:abstractNumId w:val="35"/>
  </w:num>
  <w:num w:numId="35">
    <w:abstractNumId w:val="24"/>
  </w:num>
  <w:num w:numId="36">
    <w:abstractNumId w:val="20"/>
  </w:num>
  <w:num w:numId="37">
    <w:abstractNumId w:val="13"/>
  </w:num>
  <w:num w:numId="38">
    <w:abstractNumId w:val="27"/>
  </w:num>
  <w:num w:numId="39">
    <w:abstractNumId w:val="52"/>
  </w:num>
  <w:num w:numId="40">
    <w:abstractNumId w:val="2"/>
  </w:num>
  <w:num w:numId="41">
    <w:abstractNumId w:val="53"/>
  </w:num>
  <w:num w:numId="42">
    <w:abstractNumId w:val="36"/>
  </w:num>
  <w:num w:numId="43">
    <w:abstractNumId w:val="42"/>
  </w:num>
  <w:num w:numId="44">
    <w:abstractNumId w:val="33"/>
  </w:num>
  <w:num w:numId="45">
    <w:abstractNumId w:val="7"/>
  </w:num>
  <w:num w:numId="46">
    <w:abstractNumId w:val="25"/>
  </w:num>
  <w:num w:numId="47">
    <w:abstractNumId w:val="40"/>
  </w:num>
  <w:num w:numId="48">
    <w:abstractNumId w:val="39"/>
  </w:num>
  <w:num w:numId="49">
    <w:abstractNumId w:val="14"/>
  </w:num>
  <w:num w:numId="50">
    <w:abstractNumId w:val="28"/>
  </w:num>
  <w:num w:numId="51">
    <w:abstractNumId w:val="21"/>
  </w:num>
  <w:num w:numId="52">
    <w:abstractNumId w:val="4"/>
  </w:num>
  <w:num w:numId="53">
    <w:abstractNumId w:val="18"/>
  </w:num>
  <w:num w:numId="54">
    <w:abstractNumId w:val="41"/>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8"/>
  <w:hideGrammaticalErrors/>
  <w:proofState w:grammar="clean"/>
  <w:defaultTabStop w:val="720"/>
  <w:drawingGridHorizontalSpacing w:val="120"/>
  <w:displayHorizontalDrawingGridEvery w:val="2"/>
  <w:characterSpacingControl w:val="doNotCompress"/>
  <w:savePreviewPicture/>
  <w:compat/>
  <w:rsids>
    <w:rsidRoot w:val="0015550A"/>
    <w:rsid w:val="0000186A"/>
    <w:rsid w:val="00003666"/>
    <w:rsid w:val="000037BB"/>
    <w:rsid w:val="00010B84"/>
    <w:rsid w:val="00043307"/>
    <w:rsid w:val="0005063F"/>
    <w:rsid w:val="00082F9C"/>
    <w:rsid w:val="00085B43"/>
    <w:rsid w:val="000879A1"/>
    <w:rsid w:val="0009301B"/>
    <w:rsid w:val="000934E6"/>
    <w:rsid w:val="000C2B75"/>
    <w:rsid w:val="000C77A7"/>
    <w:rsid w:val="000D22C8"/>
    <w:rsid w:val="000D6AB7"/>
    <w:rsid w:val="000E16AA"/>
    <w:rsid w:val="00106EF3"/>
    <w:rsid w:val="00113208"/>
    <w:rsid w:val="00121D67"/>
    <w:rsid w:val="00130CA1"/>
    <w:rsid w:val="001333CA"/>
    <w:rsid w:val="0015550A"/>
    <w:rsid w:val="00160EF8"/>
    <w:rsid w:val="00165DE2"/>
    <w:rsid w:val="001826FC"/>
    <w:rsid w:val="0018365A"/>
    <w:rsid w:val="00184F61"/>
    <w:rsid w:val="00193639"/>
    <w:rsid w:val="001A5A57"/>
    <w:rsid w:val="001A7400"/>
    <w:rsid w:val="001B1F01"/>
    <w:rsid w:val="001B373B"/>
    <w:rsid w:val="001B402B"/>
    <w:rsid w:val="001B79F0"/>
    <w:rsid w:val="001C6AF8"/>
    <w:rsid w:val="001C74DB"/>
    <w:rsid w:val="001D2A99"/>
    <w:rsid w:val="001D727E"/>
    <w:rsid w:val="001E0C2C"/>
    <w:rsid w:val="001E534B"/>
    <w:rsid w:val="002204D9"/>
    <w:rsid w:val="0022797E"/>
    <w:rsid w:val="0023128A"/>
    <w:rsid w:val="00240770"/>
    <w:rsid w:val="00244446"/>
    <w:rsid w:val="00244B93"/>
    <w:rsid w:val="00246E9C"/>
    <w:rsid w:val="00247FE0"/>
    <w:rsid w:val="0025796E"/>
    <w:rsid w:val="00271F01"/>
    <w:rsid w:val="00292F58"/>
    <w:rsid w:val="00296FF7"/>
    <w:rsid w:val="00297F37"/>
    <w:rsid w:val="002B5F75"/>
    <w:rsid w:val="002C1E37"/>
    <w:rsid w:val="002D5638"/>
    <w:rsid w:val="002E1C52"/>
    <w:rsid w:val="002F567F"/>
    <w:rsid w:val="003231DB"/>
    <w:rsid w:val="00334D1F"/>
    <w:rsid w:val="0034500E"/>
    <w:rsid w:val="00347811"/>
    <w:rsid w:val="00350E14"/>
    <w:rsid w:val="003517AC"/>
    <w:rsid w:val="00356057"/>
    <w:rsid w:val="0036476A"/>
    <w:rsid w:val="00373CFA"/>
    <w:rsid w:val="003776BD"/>
    <w:rsid w:val="00382C99"/>
    <w:rsid w:val="00382DED"/>
    <w:rsid w:val="003874B3"/>
    <w:rsid w:val="00391B5C"/>
    <w:rsid w:val="003A0A86"/>
    <w:rsid w:val="003D2B4D"/>
    <w:rsid w:val="003E6D0F"/>
    <w:rsid w:val="003F18FD"/>
    <w:rsid w:val="0040201F"/>
    <w:rsid w:val="00414D53"/>
    <w:rsid w:val="00430A35"/>
    <w:rsid w:val="00431B87"/>
    <w:rsid w:val="004431B6"/>
    <w:rsid w:val="00445694"/>
    <w:rsid w:val="00445CC2"/>
    <w:rsid w:val="00454BA6"/>
    <w:rsid w:val="00480A3D"/>
    <w:rsid w:val="00486799"/>
    <w:rsid w:val="00495C85"/>
    <w:rsid w:val="00496063"/>
    <w:rsid w:val="004A4D81"/>
    <w:rsid w:val="004B4930"/>
    <w:rsid w:val="004B4D8D"/>
    <w:rsid w:val="004C6A84"/>
    <w:rsid w:val="004C6BF2"/>
    <w:rsid w:val="004E46C7"/>
    <w:rsid w:val="005026E9"/>
    <w:rsid w:val="005106D9"/>
    <w:rsid w:val="00514E6F"/>
    <w:rsid w:val="005165B8"/>
    <w:rsid w:val="00531F11"/>
    <w:rsid w:val="00532791"/>
    <w:rsid w:val="0055552B"/>
    <w:rsid w:val="00574BD0"/>
    <w:rsid w:val="00576ADC"/>
    <w:rsid w:val="00584EB7"/>
    <w:rsid w:val="0059560F"/>
    <w:rsid w:val="005A67F0"/>
    <w:rsid w:val="005C679E"/>
    <w:rsid w:val="005D43C8"/>
    <w:rsid w:val="005D60BD"/>
    <w:rsid w:val="005D7C9A"/>
    <w:rsid w:val="005E51B8"/>
    <w:rsid w:val="006036F8"/>
    <w:rsid w:val="006122EB"/>
    <w:rsid w:val="00617834"/>
    <w:rsid w:val="00623F59"/>
    <w:rsid w:val="00625A5F"/>
    <w:rsid w:val="0062671B"/>
    <w:rsid w:val="006300E2"/>
    <w:rsid w:val="0063467E"/>
    <w:rsid w:val="00635D6D"/>
    <w:rsid w:val="006438F8"/>
    <w:rsid w:val="00643CA6"/>
    <w:rsid w:val="006446AD"/>
    <w:rsid w:val="00647751"/>
    <w:rsid w:val="0065235E"/>
    <w:rsid w:val="0065273D"/>
    <w:rsid w:val="00654C25"/>
    <w:rsid w:val="00665679"/>
    <w:rsid w:val="00685749"/>
    <w:rsid w:val="00696039"/>
    <w:rsid w:val="006A38C4"/>
    <w:rsid w:val="006A52B4"/>
    <w:rsid w:val="006A5797"/>
    <w:rsid w:val="006A6680"/>
    <w:rsid w:val="006B2E1C"/>
    <w:rsid w:val="006B48BF"/>
    <w:rsid w:val="006B4CD6"/>
    <w:rsid w:val="006B7099"/>
    <w:rsid w:val="006C2A3A"/>
    <w:rsid w:val="006D07B3"/>
    <w:rsid w:val="006D3A13"/>
    <w:rsid w:val="006D5CEC"/>
    <w:rsid w:val="00700605"/>
    <w:rsid w:val="00703917"/>
    <w:rsid w:val="00707C45"/>
    <w:rsid w:val="00713714"/>
    <w:rsid w:val="00720BEF"/>
    <w:rsid w:val="00727204"/>
    <w:rsid w:val="00737C41"/>
    <w:rsid w:val="00742283"/>
    <w:rsid w:val="00745730"/>
    <w:rsid w:val="007543B5"/>
    <w:rsid w:val="00754617"/>
    <w:rsid w:val="007759A0"/>
    <w:rsid w:val="007769AD"/>
    <w:rsid w:val="0077717B"/>
    <w:rsid w:val="00786332"/>
    <w:rsid w:val="00793F86"/>
    <w:rsid w:val="007A14C7"/>
    <w:rsid w:val="007B2C75"/>
    <w:rsid w:val="007B3DC2"/>
    <w:rsid w:val="007C6F2A"/>
    <w:rsid w:val="007C7988"/>
    <w:rsid w:val="007D166F"/>
    <w:rsid w:val="007F1C29"/>
    <w:rsid w:val="007F59CC"/>
    <w:rsid w:val="008015BA"/>
    <w:rsid w:val="00802371"/>
    <w:rsid w:val="008104BA"/>
    <w:rsid w:val="0083064A"/>
    <w:rsid w:val="00834434"/>
    <w:rsid w:val="0083532A"/>
    <w:rsid w:val="00837106"/>
    <w:rsid w:val="00837251"/>
    <w:rsid w:val="008410BE"/>
    <w:rsid w:val="0086230B"/>
    <w:rsid w:val="0086259B"/>
    <w:rsid w:val="00867961"/>
    <w:rsid w:val="0088700C"/>
    <w:rsid w:val="00891EFF"/>
    <w:rsid w:val="0089350A"/>
    <w:rsid w:val="00897DC7"/>
    <w:rsid w:val="008A29ED"/>
    <w:rsid w:val="008C0C54"/>
    <w:rsid w:val="008D017F"/>
    <w:rsid w:val="008E0047"/>
    <w:rsid w:val="008E08FE"/>
    <w:rsid w:val="008E2407"/>
    <w:rsid w:val="008E2A25"/>
    <w:rsid w:val="008F02B0"/>
    <w:rsid w:val="008F4646"/>
    <w:rsid w:val="008F55B6"/>
    <w:rsid w:val="00902521"/>
    <w:rsid w:val="009066B5"/>
    <w:rsid w:val="00914182"/>
    <w:rsid w:val="0092080E"/>
    <w:rsid w:val="009215A4"/>
    <w:rsid w:val="009460D5"/>
    <w:rsid w:val="00947C63"/>
    <w:rsid w:val="00975D10"/>
    <w:rsid w:val="00982481"/>
    <w:rsid w:val="009D2906"/>
    <w:rsid w:val="009F5455"/>
    <w:rsid w:val="00A0393E"/>
    <w:rsid w:val="00A04433"/>
    <w:rsid w:val="00A12EC8"/>
    <w:rsid w:val="00A15DE2"/>
    <w:rsid w:val="00A2315C"/>
    <w:rsid w:val="00A24160"/>
    <w:rsid w:val="00A33973"/>
    <w:rsid w:val="00A339A5"/>
    <w:rsid w:val="00A40A16"/>
    <w:rsid w:val="00A42D60"/>
    <w:rsid w:val="00A453DD"/>
    <w:rsid w:val="00A53F2D"/>
    <w:rsid w:val="00A54C09"/>
    <w:rsid w:val="00A63F15"/>
    <w:rsid w:val="00A70B4C"/>
    <w:rsid w:val="00A712AA"/>
    <w:rsid w:val="00A73505"/>
    <w:rsid w:val="00A83166"/>
    <w:rsid w:val="00A95C0E"/>
    <w:rsid w:val="00AA31D1"/>
    <w:rsid w:val="00AB483D"/>
    <w:rsid w:val="00AE0AC5"/>
    <w:rsid w:val="00AF0130"/>
    <w:rsid w:val="00AF195D"/>
    <w:rsid w:val="00AF29D5"/>
    <w:rsid w:val="00B01289"/>
    <w:rsid w:val="00B124BB"/>
    <w:rsid w:val="00B44726"/>
    <w:rsid w:val="00B46874"/>
    <w:rsid w:val="00B70557"/>
    <w:rsid w:val="00B74977"/>
    <w:rsid w:val="00B754FE"/>
    <w:rsid w:val="00BC0BB3"/>
    <w:rsid w:val="00BC11E9"/>
    <w:rsid w:val="00BC32BF"/>
    <w:rsid w:val="00BC7129"/>
    <w:rsid w:val="00BE108C"/>
    <w:rsid w:val="00C0197C"/>
    <w:rsid w:val="00C218C3"/>
    <w:rsid w:val="00C2687D"/>
    <w:rsid w:val="00C425D0"/>
    <w:rsid w:val="00C473FE"/>
    <w:rsid w:val="00C52831"/>
    <w:rsid w:val="00C5426B"/>
    <w:rsid w:val="00C54962"/>
    <w:rsid w:val="00C61D6A"/>
    <w:rsid w:val="00C66604"/>
    <w:rsid w:val="00C70F85"/>
    <w:rsid w:val="00C815E9"/>
    <w:rsid w:val="00C8424C"/>
    <w:rsid w:val="00C84E75"/>
    <w:rsid w:val="00C91F79"/>
    <w:rsid w:val="00C93994"/>
    <w:rsid w:val="00CA5AD9"/>
    <w:rsid w:val="00CA625D"/>
    <w:rsid w:val="00CB0AF2"/>
    <w:rsid w:val="00CB2ADA"/>
    <w:rsid w:val="00CB2F84"/>
    <w:rsid w:val="00CB7AC4"/>
    <w:rsid w:val="00CC7DBE"/>
    <w:rsid w:val="00CD5E9B"/>
    <w:rsid w:val="00CE03EA"/>
    <w:rsid w:val="00CE09B5"/>
    <w:rsid w:val="00CE1438"/>
    <w:rsid w:val="00CE29CB"/>
    <w:rsid w:val="00D07F0E"/>
    <w:rsid w:val="00D11257"/>
    <w:rsid w:val="00D24884"/>
    <w:rsid w:val="00D467FC"/>
    <w:rsid w:val="00D475FD"/>
    <w:rsid w:val="00D65F2D"/>
    <w:rsid w:val="00D7079E"/>
    <w:rsid w:val="00DB547B"/>
    <w:rsid w:val="00DB6FC0"/>
    <w:rsid w:val="00DC2FAF"/>
    <w:rsid w:val="00DC7739"/>
    <w:rsid w:val="00DD3595"/>
    <w:rsid w:val="00DF61E2"/>
    <w:rsid w:val="00E10803"/>
    <w:rsid w:val="00E11576"/>
    <w:rsid w:val="00E11ABF"/>
    <w:rsid w:val="00E121E3"/>
    <w:rsid w:val="00E12821"/>
    <w:rsid w:val="00E30537"/>
    <w:rsid w:val="00E32315"/>
    <w:rsid w:val="00E3663F"/>
    <w:rsid w:val="00E367AC"/>
    <w:rsid w:val="00E558C7"/>
    <w:rsid w:val="00E5714F"/>
    <w:rsid w:val="00E65F52"/>
    <w:rsid w:val="00E8000E"/>
    <w:rsid w:val="00E8118E"/>
    <w:rsid w:val="00E81A54"/>
    <w:rsid w:val="00E97B9A"/>
    <w:rsid w:val="00EB500A"/>
    <w:rsid w:val="00EB59C3"/>
    <w:rsid w:val="00EB5D77"/>
    <w:rsid w:val="00EB5FB0"/>
    <w:rsid w:val="00EB63D9"/>
    <w:rsid w:val="00EB694F"/>
    <w:rsid w:val="00ED3195"/>
    <w:rsid w:val="00EE2211"/>
    <w:rsid w:val="00EE5497"/>
    <w:rsid w:val="00EE5A66"/>
    <w:rsid w:val="00EF1A49"/>
    <w:rsid w:val="00F05C17"/>
    <w:rsid w:val="00F07522"/>
    <w:rsid w:val="00F304E5"/>
    <w:rsid w:val="00F31C96"/>
    <w:rsid w:val="00F41624"/>
    <w:rsid w:val="00F60243"/>
    <w:rsid w:val="00F616A5"/>
    <w:rsid w:val="00F712B9"/>
    <w:rsid w:val="00F83C83"/>
    <w:rsid w:val="00F87CEC"/>
    <w:rsid w:val="00FA3270"/>
    <w:rsid w:val="00FA7A4D"/>
    <w:rsid w:val="00FB0ADE"/>
    <w:rsid w:val="00FC1FE6"/>
    <w:rsid w:val="00FC267B"/>
    <w:rsid w:val="00FC6D0C"/>
    <w:rsid w:val="00FE49A6"/>
    <w:rsid w:val="00FF122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06D9"/>
    <w:pPr>
      <w:spacing w:before="100" w:beforeAutospacing="1" w:after="100" w:afterAutospacing="1" w:line="240" w:lineRule="auto"/>
      <w:jc w:val="both"/>
      <w:outlineLvl w:val="2"/>
    </w:pPr>
    <w:rPr>
      <w:rFonts w:ascii="Times New Roman" w:eastAsia="Times New Roman" w:hAnsi="Times New Roman" w:cs="Times New Roman"/>
      <w:sz w:val="24"/>
      <w:szCs w:val="24"/>
      <w:lang w:val="en-US" w:eastAsia="el-GR"/>
    </w:rPr>
  </w:style>
  <w:style w:type="paragraph" w:styleId="1">
    <w:name w:val="heading 1"/>
    <w:basedOn w:val="a"/>
    <w:link w:val="1Char"/>
    <w:uiPriority w:val="9"/>
    <w:qFormat/>
    <w:rsid w:val="0015550A"/>
    <w:pPr>
      <w:outlineLvl w:val="0"/>
    </w:pPr>
    <w:rPr>
      <w:b/>
      <w:bCs/>
      <w:kern w:val="36"/>
      <w:sz w:val="48"/>
      <w:szCs w:val="48"/>
    </w:rPr>
  </w:style>
  <w:style w:type="paragraph" w:styleId="2">
    <w:name w:val="heading 2"/>
    <w:basedOn w:val="a"/>
    <w:link w:val="2Char"/>
    <w:uiPriority w:val="9"/>
    <w:qFormat/>
    <w:rsid w:val="0015550A"/>
    <w:pPr>
      <w:outlineLvl w:val="1"/>
    </w:pPr>
    <w:rPr>
      <w:b/>
      <w:bCs/>
      <w:sz w:val="36"/>
      <w:szCs w:val="36"/>
    </w:rPr>
  </w:style>
  <w:style w:type="paragraph" w:styleId="3">
    <w:name w:val="heading 3"/>
    <w:basedOn w:val="a"/>
    <w:link w:val="3Char"/>
    <w:uiPriority w:val="9"/>
    <w:qFormat/>
    <w:rsid w:val="0015550A"/>
    <w:rPr>
      <w:b/>
      <w:bCs/>
      <w:sz w:val="27"/>
      <w:szCs w:val="27"/>
    </w:rPr>
  </w:style>
  <w:style w:type="paragraph" w:styleId="4">
    <w:name w:val="heading 4"/>
    <w:basedOn w:val="a"/>
    <w:link w:val="4Char"/>
    <w:uiPriority w:val="9"/>
    <w:qFormat/>
    <w:rsid w:val="00113208"/>
    <w:pPr>
      <w:outlineLvl w:val="3"/>
    </w:pPr>
    <w:rPr>
      <w:b/>
      <w:bCs/>
    </w:rPr>
  </w:style>
  <w:style w:type="paragraph" w:styleId="5">
    <w:name w:val="heading 5"/>
    <w:basedOn w:val="a"/>
    <w:next w:val="a"/>
    <w:link w:val="5Char"/>
    <w:uiPriority w:val="9"/>
    <w:unhideWhenUsed/>
    <w:qFormat/>
    <w:rsid w:val="00113208"/>
    <w:pPr>
      <w:pBdr>
        <w:bottom w:val="single" w:sz="6" w:space="1" w:color="4F81BD"/>
      </w:pBdr>
      <w:spacing w:before="300"/>
      <w:outlineLvl w:val="4"/>
    </w:pPr>
    <w:rPr>
      <w:rFonts w:ascii="Calibri" w:hAnsi="Calibri"/>
      <w:caps/>
      <w:color w:val="365F91"/>
      <w:spacing w:val="10"/>
    </w:rPr>
  </w:style>
  <w:style w:type="paragraph" w:styleId="6">
    <w:name w:val="heading 6"/>
    <w:basedOn w:val="a"/>
    <w:next w:val="a"/>
    <w:link w:val="6Char"/>
    <w:uiPriority w:val="9"/>
    <w:unhideWhenUsed/>
    <w:qFormat/>
    <w:rsid w:val="00113208"/>
    <w:pPr>
      <w:pBdr>
        <w:bottom w:val="dotted" w:sz="6" w:space="1" w:color="4F81BD"/>
      </w:pBdr>
      <w:spacing w:before="300"/>
      <w:outlineLvl w:val="5"/>
    </w:pPr>
    <w:rPr>
      <w:rFonts w:ascii="Calibri" w:hAnsi="Calibri"/>
      <w:caps/>
      <w:color w:val="365F91"/>
      <w:spacing w:val="10"/>
    </w:rPr>
  </w:style>
  <w:style w:type="paragraph" w:styleId="7">
    <w:name w:val="heading 7"/>
    <w:basedOn w:val="a"/>
    <w:next w:val="a"/>
    <w:link w:val="7Char"/>
    <w:uiPriority w:val="9"/>
    <w:semiHidden/>
    <w:unhideWhenUsed/>
    <w:qFormat/>
    <w:rsid w:val="00113208"/>
    <w:pPr>
      <w:spacing w:before="300"/>
      <w:outlineLvl w:val="6"/>
    </w:pPr>
    <w:rPr>
      <w:rFonts w:ascii="Calibri" w:hAnsi="Calibri"/>
      <w:caps/>
      <w:color w:val="365F91"/>
      <w:spacing w:val="10"/>
    </w:rPr>
  </w:style>
  <w:style w:type="paragraph" w:styleId="8">
    <w:name w:val="heading 8"/>
    <w:basedOn w:val="a"/>
    <w:next w:val="a"/>
    <w:link w:val="8Char"/>
    <w:uiPriority w:val="9"/>
    <w:semiHidden/>
    <w:unhideWhenUsed/>
    <w:qFormat/>
    <w:rsid w:val="00113208"/>
    <w:pPr>
      <w:spacing w:before="300"/>
      <w:outlineLvl w:val="7"/>
    </w:pPr>
    <w:rPr>
      <w:rFonts w:ascii="Calibri" w:hAnsi="Calibri"/>
      <w:caps/>
      <w:spacing w:val="10"/>
      <w:sz w:val="18"/>
      <w:szCs w:val="18"/>
    </w:rPr>
  </w:style>
  <w:style w:type="paragraph" w:styleId="9">
    <w:name w:val="heading 9"/>
    <w:basedOn w:val="a"/>
    <w:next w:val="a"/>
    <w:link w:val="9Char"/>
    <w:uiPriority w:val="9"/>
    <w:semiHidden/>
    <w:unhideWhenUsed/>
    <w:qFormat/>
    <w:rsid w:val="00113208"/>
    <w:pPr>
      <w:spacing w:before="300"/>
      <w:outlineLvl w:val="8"/>
    </w:pPr>
    <w:rPr>
      <w:rFonts w:ascii="Calibri" w:hAnsi="Calibri"/>
      <w:i/>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15550A"/>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rsid w:val="0015550A"/>
    <w:rPr>
      <w:rFonts w:ascii="Times New Roman" w:eastAsia="Times New Roman" w:hAnsi="Times New Roman" w:cs="Times New Roman"/>
      <w:b/>
      <w:bCs/>
      <w:sz w:val="36"/>
      <w:szCs w:val="36"/>
      <w:lang w:eastAsia="el-GR"/>
    </w:rPr>
  </w:style>
  <w:style w:type="character" w:customStyle="1" w:styleId="3Char">
    <w:name w:val="Επικεφαλίδα 3 Char"/>
    <w:basedOn w:val="a0"/>
    <w:link w:val="3"/>
    <w:uiPriority w:val="9"/>
    <w:rsid w:val="0015550A"/>
    <w:rPr>
      <w:rFonts w:ascii="Times New Roman" w:eastAsia="Times New Roman" w:hAnsi="Times New Roman" w:cs="Times New Roman"/>
      <w:b/>
      <w:bCs/>
      <w:sz w:val="27"/>
      <w:szCs w:val="27"/>
      <w:lang w:eastAsia="el-GR"/>
    </w:rPr>
  </w:style>
  <w:style w:type="paragraph" w:styleId="Web">
    <w:name w:val="Normal (Web)"/>
    <w:basedOn w:val="a"/>
    <w:uiPriority w:val="99"/>
    <w:unhideWhenUsed/>
    <w:rsid w:val="0015550A"/>
  </w:style>
  <w:style w:type="character" w:styleId="a3">
    <w:name w:val="Strong"/>
    <w:basedOn w:val="a0"/>
    <w:uiPriority w:val="22"/>
    <w:qFormat/>
    <w:rsid w:val="0015550A"/>
    <w:rPr>
      <w:b/>
      <w:bCs/>
    </w:rPr>
  </w:style>
  <w:style w:type="character" w:styleId="a4">
    <w:name w:val="Emphasis"/>
    <w:basedOn w:val="a0"/>
    <w:uiPriority w:val="20"/>
    <w:qFormat/>
    <w:rsid w:val="0015550A"/>
    <w:rPr>
      <w:i/>
      <w:iCs/>
    </w:rPr>
  </w:style>
  <w:style w:type="character" w:customStyle="1" w:styleId="katex">
    <w:name w:val="katex"/>
    <w:basedOn w:val="a0"/>
    <w:rsid w:val="0015550A"/>
  </w:style>
  <w:style w:type="character" w:customStyle="1" w:styleId="katex-mathml">
    <w:name w:val="katex-mathml"/>
    <w:basedOn w:val="a0"/>
    <w:rsid w:val="0015550A"/>
  </w:style>
  <w:style w:type="character" w:customStyle="1" w:styleId="katex-html">
    <w:name w:val="katex-html"/>
    <w:basedOn w:val="a0"/>
    <w:rsid w:val="0015550A"/>
  </w:style>
  <w:style w:type="character" w:customStyle="1" w:styleId="base">
    <w:name w:val="base"/>
    <w:basedOn w:val="a0"/>
    <w:rsid w:val="0015550A"/>
  </w:style>
  <w:style w:type="character" w:customStyle="1" w:styleId="strut">
    <w:name w:val="strut"/>
    <w:basedOn w:val="a0"/>
    <w:rsid w:val="0015550A"/>
  </w:style>
  <w:style w:type="character" w:customStyle="1" w:styleId="mord">
    <w:name w:val="mord"/>
    <w:basedOn w:val="a0"/>
    <w:rsid w:val="0015550A"/>
  </w:style>
  <w:style w:type="character" w:customStyle="1" w:styleId="msupsub">
    <w:name w:val="msupsub"/>
    <w:basedOn w:val="a0"/>
    <w:rsid w:val="0015550A"/>
  </w:style>
  <w:style w:type="character" w:customStyle="1" w:styleId="vlist-t">
    <w:name w:val="vlist-t"/>
    <w:basedOn w:val="a0"/>
    <w:rsid w:val="0015550A"/>
  </w:style>
  <w:style w:type="character" w:customStyle="1" w:styleId="vlist-r">
    <w:name w:val="vlist-r"/>
    <w:basedOn w:val="a0"/>
    <w:rsid w:val="0015550A"/>
  </w:style>
  <w:style w:type="character" w:customStyle="1" w:styleId="vlist">
    <w:name w:val="vlist"/>
    <w:basedOn w:val="a0"/>
    <w:rsid w:val="0015550A"/>
  </w:style>
  <w:style w:type="character" w:customStyle="1" w:styleId="pstrut">
    <w:name w:val="pstrut"/>
    <w:basedOn w:val="a0"/>
    <w:rsid w:val="0015550A"/>
  </w:style>
  <w:style w:type="character" w:customStyle="1" w:styleId="sizing">
    <w:name w:val="sizing"/>
    <w:basedOn w:val="a0"/>
    <w:rsid w:val="0015550A"/>
  </w:style>
  <w:style w:type="character" w:customStyle="1" w:styleId="vlist-s">
    <w:name w:val="vlist-s"/>
    <w:basedOn w:val="a0"/>
    <w:rsid w:val="0015550A"/>
  </w:style>
  <w:style w:type="character" w:customStyle="1" w:styleId="katex-display">
    <w:name w:val="katex-display"/>
    <w:basedOn w:val="a0"/>
    <w:rsid w:val="0015550A"/>
  </w:style>
  <w:style w:type="character" w:customStyle="1" w:styleId="boxpad">
    <w:name w:val="boxpad"/>
    <w:basedOn w:val="a0"/>
    <w:rsid w:val="0015550A"/>
  </w:style>
  <w:style w:type="character" w:customStyle="1" w:styleId="mspace">
    <w:name w:val="mspace"/>
    <w:basedOn w:val="a0"/>
    <w:rsid w:val="0015550A"/>
  </w:style>
  <w:style w:type="character" w:customStyle="1" w:styleId="mrel">
    <w:name w:val="mrel"/>
    <w:basedOn w:val="a0"/>
    <w:rsid w:val="0015550A"/>
  </w:style>
  <w:style w:type="character" w:customStyle="1" w:styleId="mop">
    <w:name w:val="mop"/>
    <w:basedOn w:val="a0"/>
    <w:rsid w:val="0015550A"/>
  </w:style>
  <w:style w:type="character" w:customStyle="1" w:styleId="stretchy">
    <w:name w:val="stretchy"/>
    <w:basedOn w:val="a0"/>
    <w:rsid w:val="0015550A"/>
  </w:style>
  <w:style w:type="character" w:customStyle="1" w:styleId="mopen">
    <w:name w:val="mopen"/>
    <w:basedOn w:val="a0"/>
    <w:rsid w:val="0015550A"/>
  </w:style>
  <w:style w:type="character" w:customStyle="1" w:styleId="mclose">
    <w:name w:val="mclose"/>
    <w:basedOn w:val="a0"/>
    <w:rsid w:val="0015550A"/>
  </w:style>
  <w:style w:type="character" w:customStyle="1" w:styleId="mpunct">
    <w:name w:val="mpunct"/>
    <w:basedOn w:val="a0"/>
    <w:rsid w:val="0015550A"/>
  </w:style>
  <w:style w:type="character" w:customStyle="1" w:styleId="thinbox">
    <w:name w:val="thinbox"/>
    <w:basedOn w:val="a0"/>
    <w:rsid w:val="0015550A"/>
  </w:style>
  <w:style w:type="character" w:customStyle="1" w:styleId="rlap">
    <w:name w:val="rlap"/>
    <w:basedOn w:val="a0"/>
    <w:rsid w:val="0015550A"/>
  </w:style>
  <w:style w:type="character" w:customStyle="1" w:styleId="inner">
    <w:name w:val="inner"/>
    <w:basedOn w:val="a0"/>
    <w:rsid w:val="0015550A"/>
  </w:style>
  <w:style w:type="character" w:customStyle="1" w:styleId="fix">
    <w:name w:val="fix"/>
    <w:basedOn w:val="a0"/>
    <w:rsid w:val="0015550A"/>
  </w:style>
  <w:style w:type="character" w:customStyle="1" w:styleId="mfrac">
    <w:name w:val="mfrac"/>
    <w:basedOn w:val="a0"/>
    <w:rsid w:val="0015550A"/>
  </w:style>
  <w:style w:type="character" w:customStyle="1" w:styleId="mbin">
    <w:name w:val="mbin"/>
    <w:basedOn w:val="a0"/>
    <w:rsid w:val="0015550A"/>
  </w:style>
  <w:style w:type="character" w:customStyle="1" w:styleId="frac-line">
    <w:name w:val="frac-line"/>
    <w:basedOn w:val="a0"/>
    <w:rsid w:val="0015550A"/>
  </w:style>
  <w:style w:type="character" w:customStyle="1" w:styleId="delimsizing">
    <w:name w:val="delimsizing"/>
    <w:basedOn w:val="a0"/>
    <w:rsid w:val="0015550A"/>
  </w:style>
  <w:style w:type="character" w:customStyle="1" w:styleId="accent-body">
    <w:name w:val="accent-body"/>
    <w:basedOn w:val="a0"/>
    <w:rsid w:val="0015550A"/>
  </w:style>
  <w:style w:type="character" w:styleId="-">
    <w:name w:val="Hyperlink"/>
    <w:basedOn w:val="a0"/>
    <w:uiPriority w:val="99"/>
    <w:unhideWhenUsed/>
    <w:rsid w:val="00A0393E"/>
    <w:rPr>
      <w:color w:val="0000FF"/>
      <w:u w:val="single"/>
    </w:rPr>
  </w:style>
  <w:style w:type="character" w:styleId="HTML">
    <w:name w:val="HTML Code"/>
    <w:basedOn w:val="a0"/>
    <w:uiPriority w:val="99"/>
    <w:semiHidden/>
    <w:unhideWhenUsed/>
    <w:rsid w:val="00382C99"/>
    <w:rPr>
      <w:rFonts w:ascii="Courier New" w:eastAsia="Times New Roman" w:hAnsi="Courier New" w:cs="Courier New"/>
      <w:sz w:val="20"/>
      <w:szCs w:val="20"/>
    </w:rPr>
  </w:style>
  <w:style w:type="paragraph" w:styleId="a5">
    <w:name w:val="Balloon Text"/>
    <w:basedOn w:val="a"/>
    <w:link w:val="Char"/>
    <w:uiPriority w:val="99"/>
    <w:semiHidden/>
    <w:unhideWhenUsed/>
    <w:rsid w:val="00382C99"/>
    <w:rPr>
      <w:rFonts w:ascii="Tahoma" w:hAnsi="Tahoma" w:cs="Tahoma"/>
      <w:sz w:val="16"/>
      <w:szCs w:val="16"/>
    </w:rPr>
  </w:style>
  <w:style w:type="character" w:customStyle="1" w:styleId="Char">
    <w:name w:val="Κείμενο πλαισίου Char"/>
    <w:basedOn w:val="a0"/>
    <w:link w:val="a5"/>
    <w:uiPriority w:val="99"/>
    <w:semiHidden/>
    <w:rsid w:val="00382C99"/>
    <w:rPr>
      <w:rFonts w:ascii="Tahoma" w:hAnsi="Tahoma" w:cs="Tahoma"/>
      <w:sz w:val="16"/>
      <w:szCs w:val="16"/>
    </w:rPr>
  </w:style>
  <w:style w:type="paragraph" w:styleId="a6">
    <w:name w:val="caption"/>
    <w:basedOn w:val="a"/>
    <w:next w:val="a"/>
    <w:uiPriority w:val="35"/>
    <w:unhideWhenUsed/>
    <w:qFormat/>
    <w:rsid w:val="00382C99"/>
    <w:rPr>
      <w:b/>
      <w:bCs/>
      <w:color w:val="4F81BD" w:themeColor="accent1"/>
      <w:sz w:val="18"/>
      <w:szCs w:val="18"/>
    </w:rPr>
  </w:style>
  <w:style w:type="paragraph" w:styleId="a7">
    <w:name w:val="List Paragraph"/>
    <w:basedOn w:val="a"/>
    <w:uiPriority w:val="34"/>
    <w:qFormat/>
    <w:rsid w:val="00982481"/>
    <w:pPr>
      <w:ind w:left="720"/>
      <w:contextualSpacing/>
    </w:pPr>
  </w:style>
  <w:style w:type="character" w:customStyle="1" w:styleId="4Char">
    <w:name w:val="Επικεφαλίδα 4 Char"/>
    <w:basedOn w:val="a0"/>
    <w:link w:val="4"/>
    <w:uiPriority w:val="9"/>
    <w:rsid w:val="00113208"/>
    <w:rPr>
      <w:rFonts w:ascii="Times New Roman" w:eastAsia="Times New Roman" w:hAnsi="Times New Roman" w:cs="Times New Roman"/>
      <w:b/>
      <w:bCs/>
      <w:sz w:val="24"/>
      <w:szCs w:val="24"/>
      <w:lang w:eastAsia="el-GR"/>
    </w:rPr>
  </w:style>
  <w:style w:type="character" w:customStyle="1" w:styleId="5Char">
    <w:name w:val="Επικεφαλίδα 5 Char"/>
    <w:basedOn w:val="a0"/>
    <w:link w:val="5"/>
    <w:uiPriority w:val="9"/>
    <w:rsid w:val="00113208"/>
    <w:rPr>
      <w:rFonts w:ascii="Calibri" w:eastAsia="Times New Roman" w:hAnsi="Calibri" w:cs="Times New Roman"/>
      <w:caps/>
      <w:color w:val="365F91"/>
      <w:spacing w:val="10"/>
      <w:lang w:val="en-US"/>
    </w:rPr>
  </w:style>
  <w:style w:type="character" w:customStyle="1" w:styleId="6Char">
    <w:name w:val="Επικεφαλίδα 6 Char"/>
    <w:basedOn w:val="a0"/>
    <w:link w:val="6"/>
    <w:uiPriority w:val="9"/>
    <w:rsid w:val="00113208"/>
    <w:rPr>
      <w:rFonts w:ascii="Calibri" w:eastAsia="Times New Roman" w:hAnsi="Calibri" w:cs="Times New Roman"/>
      <w:caps/>
      <w:color w:val="365F91"/>
      <w:spacing w:val="10"/>
      <w:lang w:val="en-US"/>
    </w:rPr>
  </w:style>
  <w:style w:type="character" w:customStyle="1" w:styleId="7Char">
    <w:name w:val="Επικεφαλίδα 7 Char"/>
    <w:basedOn w:val="a0"/>
    <w:link w:val="7"/>
    <w:uiPriority w:val="9"/>
    <w:semiHidden/>
    <w:rsid w:val="00113208"/>
    <w:rPr>
      <w:rFonts w:ascii="Calibri" w:eastAsia="Times New Roman" w:hAnsi="Calibri" w:cs="Times New Roman"/>
      <w:caps/>
      <w:color w:val="365F91"/>
      <w:spacing w:val="10"/>
      <w:lang w:val="en-US"/>
    </w:rPr>
  </w:style>
  <w:style w:type="character" w:customStyle="1" w:styleId="8Char">
    <w:name w:val="Επικεφαλίδα 8 Char"/>
    <w:basedOn w:val="a0"/>
    <w:link w:val="8"/>
    <w:uiPriority w:val="9"/>
    <w:semiHidden/>
    <w:rsid w:val="00113208"/>
    <w:rPr>
      <w:rFonts w:ascii="Calibri" w:eastAsia="Times New Roman" w:hAnsi="Calibri" w:cs="Times New Roman"/>
      <w:caps/>
      <w:spacing w:val="10"/>
      <w:sz w:val="18"/>
      <w:szCs w:val="18"/>
      <w:lang w:val="en-US"/>
    </w:rPr>
  </w:style>
  <w:style w:type="character" w:customStyle="1" w:styleId="9Char">
    <w:name w:val="Επικεφαλίδα 9 Char"/>
    <w:basedOn w:val="a0"/>
    <w:link w:val="9"/>
    <w:uiPriority w:val="9"/>
    <w:semiHidden/>
    <w:rsid w:val="00113208"/>
    <w:rPr>
      <w:rFonts w:ascii="Calibri" w:eastAsia="Times New Roman" w:hAnsi="Calibri" w:cs="Times New Roman"/>
      <w:i/>
      <w:caps/>
      <w:spacing w:val="10"/>
      <w:sz w:val="18"/>
      <w:szCs w:val="18"/>
      <w:lang w:val="en-US"/>
    </w:rPr>
  </w:style>
  <w:style w:type="character" w:customStyle="1" w:styleId="mi">
    <w:name w:val="mi"/>
    <w:basedOn w:val="a0"/>
    <w:rsid w:val="00113208"/>
    <w:rPr>
      <w:rFonts w:cs="Times New Roman"/>
    </w:rPr>
  </w:style>
  <w:style w:type="character" w:customStyle="1" w:styleId="mo">
    <w:name w:val="mo"/>
    <w:basedOn w:val="a0"/>
    <w:rsid w:val="00113208"/>
    <w:rPr>
      <w:rFonts w:cs="Times New Roman"/>
    </w:rPr>
  </w:style>
  <w:style w:type="character" w:customStyle="1" w:styleId="mn">
    <w:name w:val="mn"/>
    <w:basedOn w:val="a0"/>
    <w:rsid w:val="00113208"/>
    <w:rPr>
      <w:rFonts w:cs="Times New Roman"/>
    </w:rPr>
  </w:style>
  <w:style w:type="character" w:customStyle="1" w:styleId="mjxassistivemathml">
    <w:name w:val="mjx_assistive_mathml"/>
    <w:basedOn w:val="a0"/>
    <w:rsid w:val="00113208"/>
    <w:rPr>
      <w:rFonts w:cs="Times New Roman"/>
    </w:rPr>
  </w:style>
  <w:style w:type="character" w:customStyle="1" w:styleId="html-italic">
    <w:name w:val="html-italic"/>
    <w:basedOn w:val="a0"/>
    <w:rsid w:val="00113208"/>
    <w:rPr>
      <w:rFonts w:cs="Times New Roman"/>
    </w:rPr>
  </w:style>
  <w:style w:type="character" w:styleId="-0">
    <w:name w:val="FollowedHyperlink"/>
    <w:basedOn w:val="a0"/>
    <w:uiPriority w:val="99"/>
    <w:semiHidden/>
    <w:unhideWhenUsed/>
    <w:rsid w:val="00113208"/>
    <w:rPr>
      <w:color w:val="800080"/>
      <w:u w:val="single"/>
    </w:rPr>
  </w:style>
  <w:style w:type="table" w:styleId="a8">
    <w:name w:val="Table Grid"/>
    <w:basedOn w:val="a1"/>
    <w:uiPriority w:val="59"/>
    <w:rsid w:val="0011320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
    <w:name w:val="p"/>
    <w:basedOn w:val="a"/>
    <w:rsid w:val="00113208"/>
  </w:style>
  <w:style w:type="character" w:customStyle="1" w:styleId="kwd-text">
    <w:name w:val="kwd-text"/>
    <w:basedOn w:val="a0"/>
    <w:rsid w:val="00113208"/>
  </w:style>
  <w:style w:type="paragraph" w:styleId="a9">
    <w:name w:val="Plain Text"/>
    <w:basedOn w:val="a"/>
    <w:link w:val="Char0"/>
    <w:uiPriority w:val="99"/>
    <w:unhideWhenUsed/>
    <w:rsid w:val="00113208"/>
    <w:rPr>
      <w:rFonts w:ascii="Consolas" w:hAnsi="Consolas"/>
      <w:sz w:val="21"/>
      <w:szCs w:val="21"/>
    </w:rPr>
  </w:style>
  <w:style w:type="character" w:customStyle="1" w:styleId="Char0">
    <w:name w:val="Απλό κείμενο Char"/>
    <w:basedOn w:val="a0"/>
    <w:link w:val="a9"/>
    <w:uiPriority w:val="99"/>
    <w:rsid w:val="00113208"/>
    <w:rPr>
      <w:rFonts w:ascii="Consolas" w:hAnsi="Consolas"/>
      <w:sz w:val="21"/>
      <w:szCs w:val="21"/>
    </w:rPr>
  </w:style>
  <w:style w:type="character" w:customStyle="1" w:styleId="Char1">
    <w:name w:val="Κεφαλίδα Char"/>
    <w:basedOn w:val="a0"/>
    <w:link w:val="aa"/>
    <w:uiPriority w:val="99"/>
    <w:rsid w:val="00113208"/>
  </w:style>
  <w:style w:type="paragraph" w:styleId="aa">
    <w:name w:val="header"/>
    <w:basedOn w:val="a"/>
    <w:link w:val="Char1"/>
    <w:uiPriority w:val="99"/>
    <w:unhideWhenUsed/>
    <w:rsid w:val="00113208"/>
    <w:pPr>
      <w:tabs>
        <w:tab w:val="center" w:pos="4153"/>
        <w:tab w:val="right" w:pos="8306"/>
      </w:tabs>
    </w:pPr>
  </w:style>
  <w:style w:type="character" w:customStyle="1" w:styleId="Char10">
    <w:name w:val="Κεφαλίδα Char1"/>
    <w:basedOn w:val="a0"/>
    <w:link w:val="aa"/>
    <w:uiPriority w:val="99"/>
    <w:semiHidden/>
    <w:rsid w:val="00113208"/>
  </w:style>
  <w:style w:type="paragraph" w:styleId="ab">
    <w:name w:val="footer"/>
    <w:basedOn w:val="a"/>
    <w:link w:val="Char2"/>
    <w:uiPriority w:val="99"/>
    <w:unhideWhenUsed/>
    <w:rsid w:val="00113208"/>
    <w:pPr>
      <w:tabs>
        <w:tab w:val="center" w:pos="4153"/>
        <w:tab w:val="right" w:pos="8306"/>
      </w:tabs>
    </w:pPr>
  </w:style>
  <w:style w:type="character" w:customStyle="1" w:styleId="Char2">
    <w:name w:val="Υποσέλιδο Char"/>
    <w:basedOn w:val="a0"/>
    <w:link w:val="ab"/>
    <w:uiPriority w:val="99"/>
    <w:rsid w:val="00113208"/>
  </w:style>
  <w:style w:type="character" w:customStyle="1" w:styleId="elementor-grid-item">
    <w:name w:val="elementor-grid-item"/>
    <w:basedOn w:val="a0"/>
    <w:rsid w:val="00113208"/>
  </w:style>
  <w:style w:type="character" w:customStyle="1" w:styleId="elementor-screen-only">
    <w:name w:val="elementor-screen-only"/>
    <w:basedOn w:val="a0"/>
    <w:rsid w:val="00113208"/>
  </w:style>
  <w:style w:type="paragraph" w:customStyle="1" w:styleId="small-font">
    <w:name w:val="small-font"/>
    <w:basedOn w:val="a"/>
    <w:rsid w:val="00113208"/>
  </w:style>
  <w:style w:type="paragraph" w:styleId="ac">
    <w:name w:val="Body Text"/>
    <w:basedOn w:val="a"/>
    <w:link w:val="Char3"/>
    <w:uiPriority w:val="1"/>
    <w:qFormat/>
    <w:rsid w:val="00113208"/>
    <w:pPr>
      <w:widowControl w:val="0"/>
      <w:autoSpaceDE w:val="0"/>
      <w:autoSpaceDN w:val="0"/>
    </w:pPr>
    <w:rPr>
      <w:sz w:val="20"/>
      <w:szCs w:val="20"/>
    </w:rPr>
  </w:style>
  <w:style w:type="character" w:customStyle="1" w:styleId="Char3">
    <w:name w:val="Σώμα κειμένου Char"/>
    <w:basedOn w:val="a0"/>
    <w:link w:val="ac"/>
    <w:uiPriority w:val="1"/>
    <w:rsid w:val="00113208"/>
    <w:rPr>
      <w:rFonts w:ascii="Times New Roman" w:eastAsia="Times New Roman" w:hAnsi="Times New Roman" w:cs="Times New Roman"/>
      <w:sz w:val="20"/>
      <w:szCs w:val="20"/>
      <w:lang w:val="en-US"/>
    </w:rPr>
  </w:style>
  <w:style w:type="paragraph" w:customStyle="1" w:styleId="Heading1">
    <w:name w:val="Heading 1"/>
    <w:basedOn w:val="a"/>
    <w:uiPriority w:val="1"/>
    <w:qFormat/>
    <w:rsid w:val="00113208"/>
    <w:pPr>
      <w:widowControl w:val="0"/>
      <w:autoSpaceDE w:val="0"/>
      <w:autoSpaceDN w:val="0"/>
      <w:spacing w:before="11"/>
      <w:ind w:left="60" w:hanging="205"/>
      <w:outlineLvl w:val="1"/>
    </w:pPr>
  </w:style>
  <w:style w:type="character" w:customStyle="1" w:styleId="1b-y0">
    <w:name w:val="_1b-y0"/>
    <w:basedOn w:val="a0"/>
    <w:rsid w:val="00113208"/>
    <w:rPr>
      <w:rFonts w:cs="Times New Roman"/>
    </w:rPr>
  </w:style>
  <w:style w:type="character" w:customStyle="1" w:styleId="highlight">
    <w:name w:val="highlight"/>
    <w:basedOn w:val="a0"/>
    <w:rsid w:val="00113208"/>
    <w:rPr>
      <w:rFonts w:cs="Times New Roman"/>
    </w:rPr>
  </w:style>
  <w:style w:type="table" w:customStyle="1" w:styleId="10">
    <w:name w:val="Ανοιχτόχρωμη σκίαση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0">
    <w:name w:val="Ανοιχτόχρωμη σκίαση2"/>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30">
    <w:name w:val="Ανοιχτόχρωμη σκίαση3"/>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styleId="ad">
    <w:name w:val="line number"/>
    <w:basedOn w:val="a0"/>
    <w:uiPriority w:val="99"/>
    <w:semiHidden/>
    <w:unhideWhenUsed/>
    <w:rsid w:val="00113208"/>
    <w:rPr>
      <w:rFonts w:cs="Times New Roman"/>
    </w:rPr>
  </w:style>
  <w:style w:type="table" w:customStyle="1" w:styleId="Calendar1">
    <w:name w:val="Calendar 1"/>
    <w:basedOn w:val="a1"/>
    <w:uiPriority w:val="99"/>
    <w:qFormat/>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CellMar>
        <w:top w:w="0" w:type="dxa"/>
        <w:left w:w="108" w:type="dxa"/>
        <w:bottom w:w="0" w:type="dxa"/>
        <w:right w:w="108" w:type="dxa"/>
      </w:tblCellMar>
    </w:tblPr>
    <w:tblStylePr w:type="firstRow">
      <w:pPr>
        <w:spacing w:beforeLines="0" w:beforeAutospacing="0" w:afterLines="0" w:afterAutospacing="0"/>
      </w:pPr>
      <w:rPr>
        <w:rFonts w:cs="Times New Roman"/>
        <w:b/>
        <w:bCs/>
        <w:sz w:val="44"/>
        <w:szCs w:val="44"/>
      </w:rPr>
    </w:tblStylePr>
    <w:tblStylePr w:type="lastRow">
      <w:rPr>
        <w:rFonts w:cs="Times New Roman"/>
      </w:rPr>
      <w:tblPr/>
      <w:tcPr>
        <w:tcBorders>
          <w:top w:val="nil"/>
          <w:left w:val="nil"/>
          <w:bottom w:val="nil"/>
          <w:right w:val="nil"/>
          <w:insideH w:val="nil"/>
          <w:insideV w:val="nil"/>
          <w:tl2br w:val="nil"/>
          <w:tr2bl w:val="nil"/>
        </w:tcBorders>
        <w:shd w:val="clear" w:color="auto" w:fill="auto"/>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tblStylePr w:type="band2Horz">
      <w:rPr>
        <w:rFonts w:cs="Times New Roman"/>
      </w:rPr>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11">
    <w:name w:val="Πλέγμα πίνακα1"/>
    <w:basedOn w:val="a1"/>
    <w:next w:val="a8"/>
    <w:uiPriority w:val="59"/>
    <w:rsid w:val="00113208"/>
    <w:pPr>
      <w:spacing w:after="0" w:line="240" w:lineRule="auto"/>
    </w:pPr>
    <w:rPr>
      <w:rFonts w:ascii="Calibri" w:eastAsia="Times New Roman" w:hAnsi="Calibri" w:cs="Arial"/>
      <w:sz w:val="20"/>
      <w:szCs w:val="20"/>
      <w:lang w:eastAsia="el-G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customStyle="1" w:styleId="110">
    <w:name w:val="Ανοιχτόχρωμη σκίαση1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1">
    <w:name w:val="Ανοιχτόχρωμη σκίαση2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Calendar11">
    <w:name w:val="Calendar 11"/>
    <w:basedOn w:val="a1"/>
    <w:uiPriority w:val="99"/>
    <w:qFormat/>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CellMar>
        <w:top w:w="0" w:type="dxa"/>
        <w:left w:w="108" w:type="dxa"/>
        <w:bottom w:w="0" w:type="dxa"/>
        <w:right w:w="108" w:type="dxa"/>
      </w:tblCellMar>
    </w:tblPr>
    <w:tblStylePr w:type="firstRow">
      <w:pPr>
        <w:spacing w:beforeLines="0" w:beforeAutospacing="0" w:afterLines="0" w:afterAutospacing="0"/>
      </w:pPr>
      <w:rPr>
        <w:rFonts w:cs="Times New Roman"/>
        <w:b/>
        <w:bCs/>
        <w:sz w:val="44"/>
        <w:szCs w:val="44"/>
      </w:rPr>
    </w:tblStylePr>
    <w:tblStylePr w:type="lastRow">
      <w:rPr>
        <w:rFonts w:cs="Times New Roman"/>
      </w:rPr>
      <w:tblPr/>
      <w:tcPr>
        <w:tcBorders>
          <w:top w:val="nil"/>
          <w:left w:val="nil"/>
          <w:bottom w:val="nil"/>
          <w:right w:val="nil"/>
          <w:insideH w:val="nil"/>
          <w:insideV w:val="nil"/>
          <w:tl2br w:val="nil"/>
          <w:tr2bl w:val="nil"/>
        </w:tcBorders>
        <w:shd w:val="clear" w:color="auto" w:fill="auto"/>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tblStylePr w:type="band2Horz">
      <w:rPr>
        <w:rFonts w:cs="Times New Roman"/>
      </w:rPr>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22">
    <w:name w:val="Πλέγμα πίνακα2"/>
    <w:basedOn w:val="a1"/>
    <w:next w:val="a8"/>
    <w:uiPriority w:val="59"/>
    <w:rsid w:val="00113208"/>
    <w:pPr>
      <w:spacing w:after="0" w:line="240" w:lineRule="auto"/>
    </w:pPr>
    <w:rPr>
      <w:rFonts w:ascii="Calibri" w:eastAsia="Times New Roman" w:hAnsi="Calibri" w:cs="Arial"/>
      <w:sz w:val="20"/>
      <w:szCs w:val="20"/>
      <w:lang w:eastAsia="el-G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customStyle="1" w:styleId="12">
    <w:name w:val="Ανοιχτόχρωμη σκίαση12"/>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20">
    <w:name w:val="Ανοιχτόχρωμη σκίαση22"/>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40">
    <w:name w:val="Ανοιχτόχρωμη σκίαση4"/>
    <w:basedOn w:val="a1"/>
    <w:next w:val="30"/>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Calendar12">
    <w:name w:val="Calendar 12"/>
    <w:basedOn w:val="a1"/>
    <w:uiPriority w:val="99"/>
    <w:qFormat/>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CellMar>
        <w:top w:w="0" w:type="dxa"/>
        <w:left w:w="108" w:type="dxa"/>
        <w:bottom w:w="0" w:type="dxa"/>
        <w:right w:w="108" w:type="dxa"/>
      </w:tblCellMar>
    </w:tblPr>
    <w:tblStylePr w:type="firstRow">
      <w:pPr>
        <w:spacing w:beforeLines="0" w:beforeAutospacing="0" w:afterLines="0" w:afterAutospacing="0"/>
      </w:pPr>
      <w:rPr>
        <w:rFonts w:cs="Times New Roman"/>
        <w:b/>
        <w:bCs/>
        <w:sz w:val="44"/>
        <w:szCs w:val="44"/>
      </w:rPr>
    </w:tblStylePr>
    <w:tblStylePr w:type="lastRow">
      <w:rPr>
        <w:rFonts w:cs="Times New Roman"/>
      </w:rPr>
      <w:tblPr/>
      <w:tcPr>
        <w:tcBorders>
          <w:top w:val="nil"/>
          <w:left w:val="nil"/>
          <w:bottom w:val="nil"/>
          <w:right w:val="nil"/>
          <w:insideH w:val="nil"/>
          <w:insideV w:val="nil"/>
          <w:tl2br w:val="nil"/>
          <w:tr2bl w:val="nil"/>
        </w:tcBorders>
        <w:shd w:val="clear" w:color="auto" w:fill="auto"/>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tblStylePr w:type="band2Horz">
      <w:rPr>
        <w:rFonts w:cs="Times New Roman"/>
      </w:rPr>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13">
    <w:name w:val="Ανεπίλυτη αναφορά1"/>
    <w:basedOn w:val="a0"/>
    <w:uiPriority w:val="99"/>
    <w:semiHidden/>
    <w:unhideWhenUsed/>
    <w:rsid w:val="00113208"/>
    <w:rPr>
      <w:rFonts w:cs="Times New Roman"/>
      <w:color w:val="605E5C"/>
      <w:shd w:val="clear" w:color="auto" w:fill="E1DFDD"/>
    </w:rPr>
  </w:style>
  <w:style w:type="character" w:customStyle="1" w:styleId="mtext">
    <w:name w:val="mtext"/>
    <w:basedOn w:val="a0"/>
    <w:rsid w:val="00113208"/>
    <w:rPr>
      <w:rFonts w:cs="Times New Roman"/>
    </w:rPr>
  </w:style>
  <w:style w:type="table" w:customStyle="1" w:styleId="31">
    <w:name w:val="Πλέγμα πίνακα3"/>
    <w:basedOn w:val="a1"/>
    <w:next w:val="a8"/>
    <w:uiPriority w:val="59"/>
    <w:rsid w:val="00113208"/>
    <w:pPr>
      <w:spacing w:after="0" w:line="240" w:lineRule="auto"/>
    </w:pPr>
    <w:rPr>
      <w:rFonts w:ascii="Calibri" w:eastAsia="Times New Roman" w:hAnsi="Calibri" w:cs="Arial"/>
      <w:sz w:val="20"/>
      <w:szCs w:val="20"/>
      <w:lang w:eastAsia="el-G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customStyle="1" w:styleId="130">
    <w:name w:val="Ανοιχτόχρωμη σκίαση13"/>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3">
    <w:name w:val="Ανοιχτόχρωμη σκίαση23"/>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310">
    <w:name w:val="Ανοιχτόχρωμη σκίαση3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Calendar13">
    <w:name w:val="Calendar 13"/>
    <w:basedOn w:val="a1"/>
    <w:uiPriority w:val="99"/>
    <w:qFormat/>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CellMar>
        <w:top w:w="0" w:type="dxa"/>
        <w:left w:w="108" w:type="dxa"/>
        <w:bottom w:w="0" w:type="dxa"/>
        <w:right w:w="108" w:type="dxa"/>
      </w:tblCellMar>
    </w:tblPr>
    <w:tblStylePr w:type="firstRow">
      <w:pPr>
        <w:spacing w:beforeLines="0" w:beforeAutospacing="0" w:afterLines="0" w:afterAutospacing="0"/>
      </w:pPr>
      <w:rPr>
        <w:rFonts w:cs="Times New Roman"/>
        <w:b/>
        <w:bCs/>
        <w:sz w:val="44"/>
        <w:szCs w:val="44"/>
      </w:rPr>
    </w:tblStylePr>
    <w:tblStylePr w:type="lastRow">
      <w:rPr>
        <w:rFonts w:cs="Times New Roman"/>
      </w:rPr>
      <w:tblPr/>
      <w:tcPr>
        <w:tcBorders>
          <w:top w:val="nil"/>
          <w:left w:val="nil"/>
          <w:bottom w:val="nil"/>
          <w:right w:val="nil"/>
          <w:insideH w:val="nil"/>
          <w:insideV w:val="nil"/>
          <w:tl2br w:val="nil"/>
          <w:tr2bl w:val="nil"/>
        </w:tcBorders>
        <w:shd w:val="clear" w:color="auto" w:fill="auto"/>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tblStylePr w:type="band2Horz">
      <w:rPr>
        <w:rFonts w:cs="Times New Roman"/>
      </w:rPr>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111">
    <w:name w:val="Πλέγμα πίνακα11"/>
    <w:basedOn w:val="a1"/>
    <w:next w:val="a8"/>
    <w:uiPriority w:val="59"/>
    <w:rsid w:val="00113208"/>
    <w:pPr>
      <w:spacing w:after="0" w:line="240" w:lineRule="auto"/>
    </w:pPr>
    <w:rPr>
      <w:rFonts w:ascii="Calibri" w:eastAsia="Times New Roman" w:hAnsi="Calibri" w:cs="Arial"/>
      <w:sz w:val="20"/>
      <w:szCs w:val="20"/>
      <w:lang w:eastAsia="el-G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customStyle="1" w:styleId="1110">
    <w:name w:val="Ανοιχτόχρωμη σκίαση11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11">
    <w:name w:val="Ανοιχτόχρωμη σκίαση21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Calendar111">
    <w:name w:val="Calendar 111"/>
    <w:basedOn w:val="a1"/>
    <w:uiPriority w:val="99"/>
    <w:qFormat/>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CellMar>
        <w:top w:w="0" w:type="dxa"/>
        <w:left w:w="108" w:type="dxa"/>
        <w:bottom w:w="0" w:type="dxa"/>
        <w:right w:w="108" w:type="dxa"/>
      </w:tblCellMar>
    </w:tblPr>
    <w:tblStylePr w:type="firstRow">
      <w:pPr>
        <w:spacing w:beforeLines="0" w:beforeAutospacing="0" w:afterLines="0" w:afterAutospacing="0"/>
      </w:pPr>
      <w:rPr>
        <w:rFonts w:cs="Times New Roman"/>
        <w:b/>
        <w:bCs/>
        <w:sz w:val="44"/>
        <w:szCs w:val="44"/>
      </w:rPr>
    </w:tblStylePr>
    <w:tblStylePr w:type="lastRow">
      <w:rPr>
        <w:rFonts w:cs="Times New Roman"/>
      </w:rPr>
      <w:tblPr/>
      <w:tcPr>
        <w:tcBorders>
          <w:top w:val="nil"/>
          <w:left w:val="nil"/>
          <w:bottom w:val="nil"/>
          <w:right w:val="nil"/>
          <w:insideH w:val="nil"/>
          <w:insideV w:val="nil"/>
          <w:tl2br w:val="nil"/>
          <w:tr2bl w:val="nil"/>
        </w:tcBorders>
        <w:shd w:val="clear" w:color="auto" w:fill="auto"/>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tblStylePr w:type="band2Horz">
      <w:rPr>
        <w:rFonts w:cs="Times New Roman"/>
      </w:rPr>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210">
    <w:name w:val="Πλέγμα πίνακα21"/>
    <w:basedOn w:val="a1"/>
    <w:next w:val="a8"/>
    <w:uiPriority w:val="59"/>
    <w:rsid w:val="00113208"/>
    <w:pPr>
      <w:spacing w:after="0" w:line="240" w:lineRule="auto"/>
    </w:pPr>
    <w:rPr>
      <w:rFonts w:ascii="Calibri" w:eastAsia="Times New Roman" w:hAnsi="Calibri" w:cs="Arial"/>
      <w:sz w:val="20"/>
      <w:szCs w:val="20"/>
      <w:lang w:eastAsia="el-G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customStyle="1" w:styleId="121">
    <w:name w:val="Ανοιχτόχρωμη σκίαση12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221">
    <w:name w:val="Ανοιχτόχρωμη σκίαση221"/>
    <w:basedOn w:val="a1"/>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41">
    <w:name w:val="Ανοιχτόχρωμη σκίαση41"/>
    <w:basedOn w:val="a1"/>
    <w:next w:val="30"/>
    <w:uiPriority w:val="60"/>
    <w:rsid w:val="00113208"/>
    <w:pPr>
      <w:spacing w:after="0" w:line="240" w:lineRule="auto"/>
    </w:pPr>
    <w:rPr>
      <w:rFonts w:ascii="Calibri" w:eastAsia="Times New Roman" w:hAnsi="Calibri" w:cs="Times New Roman"/>
      <w:color w:val="000000"/>
      <w:sz w:val="20"/>
      <w:szCs w:val="20"/>
      <w:lang w:eastAsia="el-G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Calendar121">
    <w:name w:val="Calendar 121"/>
    <w:basedOn w:val="a1"/>
    <w:uiPriority w:val="99"/>
    <w:qFormat/>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CellMar>
        <w:top w:w="0" w:type="dxa"/>
        <w:left w:w="108" w:type="dxa"/>
        <w:bottom w:w="0" w:type="dxa"/>
        <w:right w:w="108" w:type="dxa"/>
      </w:tblCellMar>
    </w:tblPr>
    <w:tblStylePr w:type="firstRow">
      <w:pPr>
        <w:spacing w:beforeLines="0" w:beforeAutospacing="0" w:afterLines="0" w:afterAutospacing="0"/>
      </w:pPr>
      <w:rPr>
        <w:rFonts w:cs="Times New Roman"/>
        <w:b/>
        <w:bCs/>
        <w:sz w:val="44"/>
        <w:szCs w:val="44"/>
      </w:rPr>
    </w:tblStylePr>
    <w:tblStylePr w:type="lastRow">
      <w:rPr>
        <w:rFonts w:cs="Times New Roman"/>
      </w:rPr>
      <w:tblPr/>
      <w:tcPr>
        <w:tcBorders>
          <w:top w:val="nil"/>
          <w:left w:val="nil"/>
          <w:bottom w:val="nil"/>
          <w:right w:val="nil"/>
          <w:insideH w:val="nil"/>
          <w:insideV w:val="nil"/>
          <w:tl2br w:val="nil"/>
          <w:tr2bl w:val="nil"/>
        </w:tcBorders>
        <w:shd w:val="clear" w:color="auto" w:fill="auto"/>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tblStylePr w:type="band2Horz">
      <w:rPr>
        <w:rFonts w:cs="Times New Roman"/>
      </w:rPr>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UnresolvedMention">
    <w:name w:val="Unresolved Mention"/>
    <w:basedOn w:val="a0"/>
    <w:uiPriority w:val="99"/>
    <w:semiHidden/>
    <w:unhideWhenUsed/>
    <w:rsid w:val="00113208"/>
    <w:rPr>
      <w:rFonts w:cs="Times New Roman"/>
      <w:color w:val="605E5C"/>
      <w:shd w:val="clear" w:color="auto" w:fill="E1DFDD"/>
    </w:rPr>
  </w:style>
  <w:style w:type="character" w:customStyle="1" w:styleId="gmail-mjx-mo">
    <w:name w:val="gmail-mjx-mo"/>
    <w:basedOn w:val="a0"/>
    <w:rsid w:val="00113208"/>
    <w:rPr>
      <w:rFonts w:cs="Times New Roman"/>
    </w:rPr>
  </w:style>
  <w:style w:type="character" w:customStyle="1" w:styleId="gmail-mjx-char">
    <w:name w:val="gmail-mjx-char"/>
    <w:basedOn w:val="a0"/>
    <w:rsid w:val="00113208"/>
    <w:rPr>
      <w:rFonts w:cs="Times New Roman"/>
    </w:rPr>
  </w:style>
  <w:style w:type="paragraph" w:styleId="ae">
    <w:name w:val="Document Map"/>
    <w:basedOn w:val="a"/>
    <w:link w:val="Char4"/>
    <w:uiPriority w:val="99"/>
    <w:semiHidden/>
    <w:unhideWhenUsed/>
    <w:rsid w:val="00113208"/>
    <w:rPr>
      <w:rFonts w:ascii="Tahoma" w:hAnsi="Tahoma" w:cs="Tahoma"/>
      <w:sz w:val="16"/>
      <w:szCs w:val="16"/>
    </w:rPr>
  </w:style>
  <w:style w:type="character" w:customStyle="1" w:styleId="Char4">
    <w:name w:val="Χάρτης εγγράφου Char"/>
    <w:basedOn w:val="a0"/>
    <w:link w:val="ae"/>
    <w:uiPriority w:val="99"/>
    <w:semiHidden/>
    <w:rsid w:val="00113208"/>
    <w:rPr>
      <w:rFonts w:ascii="Tahoma" w:eastAsia="Times New Roman" w:hAnsi="Tahoma" w:cs="Tahoma"/>
      <w:sz w:val="16"/>
      <w:szCs w:val="16"/>
    </w:rPr>
  </w:style>
  <w:style w:type="character" w:customStyle="1" w:styleId="g2c2">
    <w:name w:val="_g2c2"/>
    <w:basedOn w:val="a0"/>
    <w:rsid w:val="00113208"/>
    <w:rPr>
      <w:rFonts w:cs="Times New Roman"/>
    </w:rPr>
  </w:style>
  <w:style w:type="character" w:customStyle="1" w:styleId="2pdx">
    <w:name w:val="_2pdx"/>
    <w:basedOn w:val="a0"/>
    <w:rsid w:val="00113208"/>
    <w:rPr>
      <w:rFonts w:cs="Times New Roman"/>
    </w:rPr>
  </w:style>
  <w:style w:type="paragraph" w:customStyle="1" w:styleId="1szc">
    <w:name w:val="_1szc"/>
    <w:basedOn w:val="a"/>
    <w:rsid w:val="00113208"/>
  </w:style>
  <w:style w:type="character" w:customStyle="1" w:styleId="tuls">
    <w:name w:val="_tuls"/>
    <w:basedOn w:val="a0"/>
    <w:rsid w:val="00113208"/>
    <w:rPr>
      <w:rFonts w:cs="Times New Roman"/>
    </w:rPr>
  </w:style>
  <w:style w:type="character" w:customStyle="1" w:styleId="2afo">
    <w:name w:val="_2afo"/>
    <w:basedOn w:val="a0"/>
    <w:rsid w:val="00113208"/>
    <w:rPr>
      <w:rFonts w:cs="Times New Roman"/>
    </w:rPr>
  </w:style>
  <w:style w:type="character" w:customStyle="1" w:styleId="gmail-mi">
    <w:name w:val="gmail-mi"/>
    <w:basedOn w:val="a0"/>
    <w:rsid w:val="00113208"/>
    <w:rPr>
      <w:rFonts w:cs="Times New Roman"/>
    </w:rPr>
  </w:style>
  <w:style w:type="character" w:customStyle="1" w:styleId="gmail-mo">
    <w:name w:val="gmail-mo"/>
    <w:basedOn w:val="a0"/>
    <w:rsid w:val="00113208"/>
    <w:rPr>
      <w:rFonts w:cs="Times New Roman"/>
    </w:rPr>
  </w:style>
  <w:style w:type="character" w:customStyle="1" w:styleId="gmail-mn">
    <w:name w:val="gmail-mn"/>
    <w:basedOn w:val="a0"/>
    <w:rsid w:val="00113208"/>
    <w:rPr>
      <w:rFonts w:cs="Times New Roman"/>
    </w:rPr>
  </w:style>
  <w:style w:type="character" w:customStyle="1" w:styleId="gmail-html-italic">
    <w:name w:val="gmail-html-italic"/>
    <w:basedOn w:val="a0"/>
    <w:rsid w:val="00113208"/>
    <w:rPr>
      <w:rFonts w:cs="Times New Roman"/>
    </w:rPr>
  </w:style>
  <w:style w:type="character" w:customStyle="1" w:styleId="msqrt">
    <w:name w:val="msqrt"/>
    <w:basedOn w:val="a0"/>
    <w:rsid w:val="00113208"/>
    <w:rPr>
      <w:rFonts w:cs="Times New Roman"/>
    </w:rPr>
  </w:style>
  <w:style w:type="character" w:customStyle="1" w:styleId="mathjax">
    <w:name w:val="mathjax"/>
    <w:basedOn w:val="a0"/>
    <w:rsid w:val="00113208"/>
    <w:rPr>
      <w:rFonts w:cs="Times New Roman"/>
    </w:rPr>
  </w:style>
  <w:style w:type="character" w:customStyle="1" w:styleId="math">
    <w:name w:val="math"/>
    <w:basedOn w:val="a0"/>
    <w:rsid w:val="00113208"/>
    <w:rPr>
      <w:rFonts w:cs="Times New Roman"/>
    </w:rPr>
  </w:style>
  <w:style w:type="character" w:customStyle="1" w:styleId="mrow">
    <w:name w:val="mrow"/>
    <w:basedOn w:val="a0"/>
    <w:rsid w:val="00113208"/>
    <w:rPr>
      <w:rFonts w:cs="Times New Roman"/>
    </w:rPr>
  </w:style>
  <w:style w:type="character" w:customStyle="1" w:styleId="semantics">
    <w:name w:val="semantics"/>
    <w:basedOn w:val="a0"/>
    <w:rsid w:val="00113208"/>
    <w:rPr>
      <w:rFonts w:cs="Times New Roman"/>
    </w:rPr>
  </w:style>
  <w:style w:type="character" w:customStyle="1" w:styleId="mfenced">
    <w:name w:val="mfenced"/>
    <w:basedOn w:val="a0"/>
    <w:rsid w:val="00113208"/>
    <w:rPr>
      <w:rFonts w:cs="Times New Roman"/>
    </w:rPr>
  </w:style>
  <w:style w:type="character" w:customStyle="1" w:styleId="mstyle">
    <w:name w:val="mstyle"/>
    <w:basedOn w:val="a0"/>
    <w:rsid w:val="00113208"/>
    <w:rPr>
      <w:rFonts w:cs="Times New Roman"/>
    </w:rPr>
  </w:style>
  <w:style w:type="character" w:customStyle="1" w:styleId="munder">
    <w:name w:val="munder"/>
    <w:basedOn w:val="a0"/>
    <w:rsid w:val="00113208"/>
    <w:rPr>
      <w:rFonts w:cs="Times New Roman"/>
    </w:rPr>
  </w:style>
  <w:style w:type="character" w:customStyle="1" w:styleId="msub">
    <w:name w:val="msub"/>
    <w:basedOn w:val="a0"/>
    <w:rsid w:val="00113208"/>
    <w:rPr>
      <w:rFonts w:cs="Times New Roman"/>
    </w:rPr>
  </w:style>
  <w:style w:type="character" w:customStyle="1" w:styleId="msup">
    <w:name w:val="msup"/>
    <w:basedOn w:val="a0"/>
    <w:rsid w:val="00113208"/>
    <w:rPr>
      <w:rFonts w:cs="Times New Roman"/>
    </w:rPr>
  </w:style>
  <w:style w:type="character" w:customStyle="1" w:styleId="mover">
    <w:name w:val="mover"/>
    <w:basedOn w:val="a0"/>
    <w:rsid w:val="00113208"/>
    <w:rPr>
      <w:rFonts w:cs="Times New Roman"/>
    </w:rPr>
  </w:style>
  <w:style w:type="character" w:customStyle="1" w:styleId="mmultiscripts">
    <w:name w:val="mmultiscripts"/>
    <w:basedOn w:val="a0"/>
    <w:rsid w:val="00113208"/>
    <w:rPr>
      <w:rFonts w:cs="Times New Roman"/>
    </w:rPr>
  </w:style>
  <w:style w:type="character" w:customStyle="1" w:styleId="anchor-text">
    <w:name w:val="anchor-text"/>
    <w:basedOn w:val="a0"/>
    <w:rsid w:val="00113208"/>
    <w:rPr>
      <w:rFonts w:cs="Times New Roman"/>
    </w:rPr>
  </w:style>
  <w:style w:type="character" w:customStyle="1" w:styleId="label">
    <w:name w:val="label"/>
    <w:basedOn w:val="a0"/>
    <w:rsid w:val="00113208"/>
    <w:rPr>
      <w:rFonts w:cs="Times New Roman"/>
    </w:rPr>
  </w:style>
  <w:style w:type="character" w:customStyle="1" w:styleId="screen-reader-only">
    <w:name w:val="screen-reader-only"/>
    <w:basedOn w:val="a0"/>
    <w:rsid w:val="00113208"/>
    <w:rPr>
      <w:rFonts w:cs="Times New Roman"/>
    </w:rPr>
  </w:style>
  <w:style w:type="character" w:customStyle="1" w:styleId="download-link-title">
    <w:name w:val="download-link-title"/>
    <w:basedOn w:val="a0"/>
    <w:rsid w:val="00113208"/>
    <w:rPr>
      <w:rFonts w:cs="Times New Roman"/>
    </w:rPr>
  </w:style>
  <w:style w:type="character" w:customStyle="1" w:styleId="figpopup-sensitive-area">
    <w:name w:val="figpopup-sensitive-area"/>
    <w:basedOn w:val="a0"/>
    <w:rsid w:val="00113208"/>
    <w:rPr>
      <w:rFonts w:cs="Times New Roman"/>
    </w:rPr>
  </w:style>
  <w:style w:type="paragraph" w:styleId="-HTML">
    <w:name w:val="HTML Preformatted"/>
    <w:basedOn w:val="a"/>
    <w:link w:val="-HTMLChar"/>
    <w:uiPriority w:val="99"/>
    <w:unhideWhenUsed/>
    <w:rsid w:val="00113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har">
    <w:name w:val="Προ-διαμορφωμένο HTML Char"/>
    <w:basedOn w:val="a0"/>
    <w:link w:val="-HTML"/>
    <w:uiPriority w:val="99"/>
    <w:rsid w:val="00113208"/>
    <w:rPr>
      <w:rFonts w:ascii="Courier New" w:eastAsia="Times New Roman" w:hAnsi="Courier New" w:cs="Courier New"/>
      <w:sz w:val="20"/>
      <w:szCs w:val="20"/>
      <w:lang w:eastAsia="el-GR"/>
    </w:rPr>
  </w:style>
  <w:style w:type="table" w:styleId="-3">
    <w:name w:val="Light Shading Accent 3"/>
    <w:basedOn w:val="a1"/>
    <w:uiPriority w:val="60"/>
    <w:rsid w:val="00113208"/>
    <w:pPr>
      <w:spacing w:before="200" w:after="0" w:line="240" w:lineRule="auto"/>
    </w:pPr>
    <w:rPr>
      <w:rFonts w:ascii="Calibri" w:eastAsia="Times New Roman" w:hAnsi="Calibri" w:cs="Arial"/>
      <w:color w:val="76923C"/>
      <w:sz w:val="20"/>
      <w:szCs w:val="20"/>
      <w:lang w:val="en-US" w:eastAsia="el-GR"/>
    </w:rPr>
    <w:tblPr>
      <w:tblStyleRowBandSize w:val="1"/>
      <w:tblStyleColBandSize w:val="1"/>
      <w:tblInd w:w="0" w:type="dxa"/>
      <w:tblBorders>
        <w:top w:val="single" w:sz="8" w:space="0" w:color="9BBB59"/>
        <w:bottom w:val="single" w:sz="8" w:space="0" w:color="9BBB59"/>
      </w:tblBorders>
      <w:tblCellMar>
        <w:top w:w="0" w:type="dxa"/>
        <w:left w:w="0" w:type="dxa"/>
        <w:bottom w:w="0" w:type="dxa"/>
        <w:right w:w="0" w:type="dxa"/>
      </w:tblCellMar>
    </w:tblPr>
    <w:tblStylePr w:type="firstRow">
      <w:pPr>
        <w:spacing w:before="0" w:after="0"/>
      </w:pPr>
      <w:rPr>
        <w:rFonts w:cs="Arial"/>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Arial"/>
        <w:b/>
        <w:bCs/>
      </w:rPr>
      <w:tblPr/>
      <w:tcPr>
        <w:tcBorders>
          <w:top w:val="single" w:sz="8" w:space="0" w:color="9BBB59"/>
          <w:left w:val="nil"/>
          <w:bottom w:val="single" w:sz="8" w:space="0" w:color="9BBB59"/>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E6EED5"/>
      </w:tcPr>
    </w:tblStylePr>
    <w:tblStylePr w:type="band1Horz">
      <w:rPr>
        <w:rFonts w:cs="Arial"/>
      </w:rPr>
      <w:tblPr/>
      <w:tcPr>
        <w:tcBorders>
          <w:left w:val="nil"/>
          <w:right w:val="nil"/>
          <w:insideH w:val="nil"/>
          <w:insideV w:val="nil"/>
        </w:tcBorders>
        <w:shd w:val="clear" w:color="auto" w:fill="E6EED5"/>
      </w:tcPr>
    </w:tblStylePr>
  </w:style>
  <w:style w:type="paragraph" w:styleId="af">
    <w:name w:val="Title"/>
    <w:basedOn w:val="a"/>
    <w:next w:val="a"/>
    <w:link w:val="Char5"/>
    <w:uiPriority w:val="10"/>
    <w:qFormat/>
    <w:rsid w:val="00113208"/>
    <w:pPr>
      <w:spacing w:before="720"/>
    </w:pPr>
    <w:rPr>
      <w:rFonts w:ascii="Calibri" w:hAnsi="Calibri"/>
      <w:caps/>
      <w:color w:val="4F81BD"/>
      <w:spacing w:val="10"/>
      <w:kern w:val="28"/>
      <w:sz w:val="52"/>
      <w:szCs w:val="52"/>
    </w:rPr>
  </w:style>
  <w:style w:type="character" w:customStyle="1" w:styleId="Char5">
    <w:name w:val="Τίτλος Char"/>
    <w:basedOn w:val="a0"/>
    <w:link w:val="af"/>
    <w:uiPriority w:val="10"/>
    <w:rsid w:val="00113208"/>
    <w:rPr>
      <w:rFonts w:ascii="Calibri" w:eastAsia="Times New Roman" w:hAnsi="Calibri" w:cs="Times New Roman"/>
      <w:caps/>
      <w:color w:val="4F81BD"/>
      <w:spacing w:val="10"/>
      <w:kern w:val="28"/>
      <w:sz w:val="52"/>
      <w:szCs w:val="52"/>
      <w:lang w:val="en-US"/>
    </w:rPr>
  </w:style>
  <w:style w:type="paragraph" w:styleId="af0">
    <w:name w:val="Subtitle"/>
    <w:basedOn w:val="a"/>
    <w:next w:val="a"/>
    <w:link w:val="Char6"/>
    <w:uiPriority w:val="11"/>
    <w:qFormat/>
    <w:rsid w:val="00113208"/>
    <w:pPr>
      <w:spacing w:before="200" w:after="1000"/>
    </w:pPr>
    <w:rPr>
      <w:rFonts w:ascii="Calibri" w:hAnsi="Calibri"/>
      <w:caps/>
      <w:color w:val="595959"/>
      <w:spacing w:val="10"/>
    </w:rPr>
  </w:style>
  <w:style w:type="character" w:customStyle="1" w:styleId="Char6">
    <w:name w:val="Υπότιτλος Char"/>
    <w:basedOn w:val="a0"/>
    <w:link w:val="af0"/>
    <w:uiPriority w:val="11"/>
    <w:rsid w:val="00113208"/>
    <w:rPr>
      <w:rFonts w:ascii="Calibri" w:eastAsia="Times New Roman" w:hAnsi="Calibri" w:cs="Times New Roman"/>
      <w:caps/>
      <w:color w:val="595959"/>
      <w:spacing w:val="10"/>
      <w:sz w:val="24"/>
      <w:szCs w:val="24"/>
      <w:lang w:val="en-US"/>
    </w:rPr>
  </w:style>
  <w:style w:type="paragraph" w:styleId="af1">
    <w:name w:val="No Spacing"/>
    <w:basedOn w:val="a"/>
    <w:link w:val="Char7"/>
    <w:uiPriority w:val="1"/>
    <w:qFormat/>
    <w:rsid w:val="00113208"/>
    <w:rPr>
      <w:rFonts w:ascii="Calibri" w:hAnsi="Calibri"/>
      <w:sz w:val="20"/>
      <w:szCs w:val="20"/>
    </w:rPr>
  </w:style>
  <w:style w:type="paragraph" w:styleId="af2">
    <w:name w:val="Quote"/>
    <w:basedOn w:val="a"/>
    <w:next w:val="a"/>
    <w:link w:val="Char8"/>
    <w:uiPriority w:val="29"/>
    <w:qFormat/>
    <w:rsid w:val="00113208"/>
    <w:pPr>
      <w:spacing w:before="200"/>
    </w:pPr>
    <w:rPr>
      <w:rFonts w:ascii="Calibri" w:hAnsi="Calibri"/>
      <w:i/>
      <w:iCs/>
      <w:sz w:val="20"/>
      <w:szCs w:val="20"/>
    </w:rPr>
  </w:style>
  <w:style w:type="character" w:customStyle="1" w:styleId="Char8">
    <w:name w:val="Απόσπασμα Char"/>
    <w:basedOn w:val="a0"/>
    <w:link w:val="af2"/>
    <w:uiPriority w:val="29"/>
    <w:rsid w:val="00113208"/>
    <w:rPr>
      <w:rFonts w:ascii="Calibri" w:eastAsia="Times New Roman" w:hAnsi="Calibri" w:cs="Times New Roman"/>
      <w:i/>
      <w:iCs/>
      <w:sz w:val="20"/>
      <w:szCs w:val="20"/>
      <w:lang w:val="en-US"/>
    </w:rPr>
  </w:style>
  <w:style w:type="paragraph" w:styleId="af3">
    <w:name w:val="Intense Quote"/>
    <w:basedOn w:val="a"/>
    <w:next w:val="a"/>
    <w:link w:val="Char9"/>
    <w:uiPriority w:val="30"/>
    <w:qFormat/>
    <w:rsid w:val="00113208"/>
    <w:pPr>
      <w:pBdr>
        <w:top w:val="single" w:sz="4" w:space="10" w:color="4F81BD"/>
        <w:left w:val="single" w:sz="4" w:space="10" w:color="4F81BD"/>
      </w:pBdr>
      <w:spacing w:before="200"/>
      <w:ind w:left="1296" w:right="1152"/>
    </w:pPr>
    <w:rPr>
      <w:rFonts w:ascii="Calibri" w:hAnsi="Calibri"/>
      <w:i/>
      <w:iCs/>
      <w:color w:val="4F81BD"/>
      <w:sz w:val="20"/>
      <w:szCs w:val="20"/>
    </w:rPr>
  </w:style>
  <w:style w:type="character" w:customStyle="1" w:styleId="Char9">
    <w:name w:val="Έντονο εισαγωγικό Char"/>
    <w:basedOn w:val="a0"/>
    <w:link w:val="af3"/>
    <w:uiPriority w:val="30"/>
    <w:rsid w:val="00113208"/>
    <w:rPr>
      <w:rFonts w:ascii="Calibri" w:eastAsia="Times New Roman" w:hAnsi="Calibri" w:cs="Times New Roman"/>
      <w:i/>
      <w:iCs/>
      <w:color w:val="4F81BD"/>
      <w:sz w:val="20"/>
      <w:szCs w:val="20"/>
      <w:lang w:val="en-US"/>
    </w:rPr>
  </w:style>
  <w:style w:type="character" w:styleId="af4">
    <w:name w:val="Subtle Emphasis"/>
    <w:basedOn w:val="a0"/>
    <w:uiPriority w:val="19"/>
    <w:qFormat/>
    <w:rsid w:val="00113208"/>
    <w:rPr>
      <w:rFonts w:cs="Times New Roman"/>
      <w:i/>
      <w:color w:val="243F60"/>
    </w:rPr>
  </w:style>
  <w:style w:type="character" w:styleId="af5">
    <w:name w:val="Intense Emphasis"/>
    <w:basedOn w:val="a0"/>
    <w:uiPriority w:val="21"/>
    <w:qFormat/>
    <w:rsid w:val="00113208"/>
    <w:rPr>
      <w:rFonts w:cs="Times New Roman"/>
      <w:b/>
      <w:caps/>
      <w:color w:val="243F60"/>
      <w:spacing w:val="10"/>
    </w:rPr>
  </w:style>
  <w:style w:type="character" w:styleId="af6">
    <w:name w:val="Subtle Reference"/>
    <w:basedOn w:val="a0"/>
    <w:uiPriority w:val="31"/>
    <w:qFormat/>
    <w:rsid w:val="00113208"/>
    <w:rPr>
      <w:rFonts w:cs="Times New Roman"/>
      <w:b/>
      <w:color w:val="4F81BD"/>
    </w:rPr>
  </w:style>
  <w:style w:type="character" w:styleId="af7">
    <w:name w:val="Intense Reference"/>
    <w:basedOn w:val="a0"/>
    <w:uiPriority w:val="32"/>
    <w:qFormat/>
    <w:rsid w:val="00113208"/>
    <w:rPr>
      <w:rFonts w:cs="Times New Roman"/>
      <w:b/>
      <w:i/>
      <w:caps/>
      <w:color w:val="4F81BD"/>
    </w:rPr>
  </w:style>
  <w:style w:type="character" w:styleId="af8">
    <w:name w:val="Book Title"/>
    <w:basedOn w:val="a0"/>
    <w:uiPriority w:val="33"/>
    <w:qFormat/>
    <w:rsid w:val="00113208"/>
    <w:rPr>
      <w:rFonts w:cs="Times New Roman"/>
      <w:b/>
      <w:i/>
      <w:spacing w:val="9"/>
    </w:rPr>
  </w:style>
  <w:style w:type="paragraph" w:styleId="af9">
    <w:name w:val="TOC Heading"/>
    <w:basedOn w:val="1"/>
    <w:next w:val="a"/>
    <w:uiPriority w:val="39"/>
    <w:semiHidden/>
    <w:unhideWhenUsed/>
    <w:qFormat/>
    <w:rsid w:val="00113208"/>
    <w:pPr>
      <w:pBdr>
        <w:top w:val="single" w:sz="24" w:space="0" w:color="4F81BD"/>
        <w:left w:val="single" w:sz="24" w:space="0" w:color="4F81BD"/>
        <w:bottom w:val="single" w:sz="24" w:space="0" w:color="4F81BD"/>
        <w:right w:val="single" w:sz="24" w:space="0" w:color="4F81BD"/>
      </w:pBdr>
      <w:shd w:val="clear" w:color="auto" w:fill="4F81BD"/>
      <w:spacing w:before="200" w:beforeAutospacing="0" w:after="0" w:afterAutospacing="0" w:line="276" w:lineRule="auto"/>
      <w:outlineLvl w:val="9"/>
    </w:pPr>
    <w:rPr>
      <w:rFonts w:ascii="Calibri" w:hAnsi="Calibri"/>
      <w:caps/>
      <w:color w:val="FFFFFF"/>
      <w:spacing w:val="15"/>
      <w:kern w:val="0"/>
      <w:sz w:val="22"/>
      <w:szCs w:val="22"/>
      <w:lang w:eastAsia="en-US"/>
    </w:rPr>
  </w:style>
  <w:style w:type="character" w:customStyle="1" w:styleId="Char7">
    <w:name w:val="Χωρίς διάστιχο Char"/>
    <w:basedOn w:val="a0"/>
    <w:link w:val="af1"/>
    <w:uiPriority w:val="1"/>
    <w:locked/>
    <w:rsid w:val="00113208"/>
    <w:rPr>
      <w:rFonts w:ascii="Calibri" w:eastAsia="Times New Roman" w:hAnsi="Calibri" w:cs="Times New Roman"/>
      <w:sz w:val="20"/>
      <w:szCs w:val="20"/>
      <w:lang w:val="en-US"/>
    </w:rPr>
  </w:style>
  <w:style w:type="table" w:customStyle="1" w:styleId="14">
    <w:name w:val="Ανοιχτόχρωμη λίστα1"/>
    <w:basedOn w:val="a1"/>
    <w:uiPriority w:val="61"/>
    <w:rsid w:val="00113208"/>
    <w:pPr>
      <w:spacing w:after="0" w:line="240" w:lineRule="auto"/>
    </w:pPr>
    <w:rPr>
      <w:rFonts w:ascii="Calibri" w:eastAsia="Times New Roman" w:hAnsi="Calibri" w:cs="Times New Roman"/>
      <w:sz w:val="20"/>
      <w:szCs w:val="20"/>
      <w:lang w:eastAsia="el-GR"/>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character" w:customStyle="1" w:styleId="u-visually-hidden">
    <w:name w:val="u-visually-hidden"/>
    <w:basedOn w:val="a0"/>
    <w:rsid w:val="00113208"/>
    <w:rPr>
      <w:rFonts w:cs="Times New Roman"/>
    </w:rPr>
  </w:style>
  <w:style w:type="character" w:customStyle="1" w:styleId="mathjax-tex">
    <w:name w:val="mathjax-tex"/>
    <w:basedOn w:val="a0"/>
    <w:rsid w:val="00113208"/>
    <w:rPr>
      <w:rFonts w:cs="Times New Roman"/>
    </w:rPr>
  </w:style>
  <w:style w:type="character" w:customStyle="1" w:styleId="mathjaxpreview">
    <w:name w:val="mathjax_preview"/>
    <w:basedOn w:val="a0"/>
    <w:rsid w:val="00113208"/>
    <w:rPr>
      <w:rFonts w:cs="Times New Roman"/>
    </w:rPr>
  </w:style>
  <w:style w:type="character" w:customStyle="1" w:styleId="msubsup">
    <w:name w:val="msubsup"/>
    <w:basedOn w:val="a0"/>
    <w:rsid w:val="00113208"/>
    <w:rPr>
      <w:rFonts w:cs="Times New Roman"/>
    </w:rPr>
  </w:style>
  <w:style w:type="character" w:customStyle="1" w:styleId="texatom">
    <w:name w:val="texatom"/>
    <w:basedOn w:val="a0"/>
    <w:rsid w:val="00113208"/>
    <w:rPr>
      <w:rFonts w:cs="Times New Roman"/>
    </w:rPr>
  </w:style>
  <w:style w:type="character" w:customStyle="1" w:styleId="mtable">
    <w:name w:val="mtable"/>
    <w:basedOn w:val="a0"/>
    <w:rsid w:val="00113208"/>
    <w:rPr>
      <w:rFonts w:cs="Times New Roman"/>
    </w:rPr>
  </w:style>
  <w:style w:type="character" w:customStyle="1" w:styleId="mtd">
    <w:name w:val="mtd"/>
    <w:basedOn w:val="a0"/>
    <w:rsid w:val="00113208"/>
    <w:rPr>
      <w:rFonts w:cs="Times New Roman"/>
    </w:rPr>
  </w:style>
  <w:style w:type="character" w:customStyle="1" w:styleId="munderover">
    <w:name w:val="munderover"/>
    <w:basedOn w:val="a0"/>
    <w:rsid w:val="00113208"/>
    <w:rPr>
      <w:rFonts w:cs="Times New Roman"/>
    </w:rPr>
  </w:style>
  <w:style w:type="character" w:customStyle="1" w:styleId="MTConvertedEquation">
    <w:name w:val="MTConvertedEquation"/>
    <w:basedOn w:val="a0"/>
    <w:rsid w:val="00113208"/>
    <w:rPr>
      <w:rFonts w:ascii="Cambria Math" w:hAnsi="Cambria Math" w:cs="Calibri"/>
      <w:sz w:val="22"/>
      <w:szCs w:val="22"/>
    </w:rPr>
  </w:style>
  <w:style w:type="paragraph" w:customStyle="1" w:styleId="MTDisplayEquation">
    <w:name w:val="MTDisplayEquation"/>
    <w:basedOn w:val="a"/>
    <w:next w:val="a"/>
    <w:link w:val="MTDisplayEquationChar"/>
    <w:rsid w:val="00113208"/>
    <w:pPr>
      <w:shd w:val="clear" w:color="auto" w:fill="FFFFFF"/>
      <w:tabs>
        <w:tab w:val="center" w:pos="4160"/>
        <w:tab w:val="right" w:pos="8300"/>
      </w:tabs>
      <w:spacing w:before="200" w:after="360" w:line="360" w:lineRule="auto"/>
    </w:pPr>
    <w:rPr>
      <w:rFonts w:ascii="Cambria Math" w:hAnsi="Cambria Math" w:cs="Calibri"/>
    </w:rPr>
  </w:style>
  <w:style w:type="character" w:customStyle="1" w:styleId="MTDisplayEquationChar">
    <w:name w:val="MTDisplayEquation Char"/>
    <w:basedOn w:val="a0"/>
    <w:link w:val="MTDisplayEquation"/>
    <w:locked/>
    <w:rsid w:val="00113208"/>
    <w:rPr>
      <w:rFonts w:ascii="Cambria Math" w:eastAsia="Times New Roman" w:hAnsi="Cambria Math" w:cs="Calibri"/>
      <w:shd w:val="clear" w:color="auto" w:fill="FFFFFF"/>
      <w:lang w:val="en-US"/>
    </w:rPr>
  </w:style>
  <w:style w:type="character" w:customStyle="1" w:styleId="MTEquationSection">
    <w:name w:val="MTEquationSection"/>
    <w:basedOn w:val="a0"/>
    <w:rsid w:val="00113208"/>
    <w:rPr>
      <w:rFonts w:ascii="Cambria Math" w:hAnsi="Cambria Math" w:cs="Calibri"/>
      <w:b/>
      <w:vanish/>
      <w:color w:val="FF0000"/>
      <w:sz w:val="44"/>
      <w:szCs w:val="44"/>
      <w:lang w:eastAsia="el-GR"/>
    </w:rPr>
  </w:style>
  <w:style w:type="paragraph" w:customStyle="1" w:styleId="afa">
    <w:name w:val="Βασικο"/>
    <w:basedOn w:val="Web"/>
    <w:rsid w:val="00113208"/>
    <w:pPr>
      <w:shd w:val="clear" w:color="auto" w:fill="FCFCFC"/>
      <w:spacing w:before="0" w:beforeAutospacing="0" w:after="0" w:afterAutospacing="0"/>
    </w:pPr>
    <w:rPr>
      <w:rFonts w:ascii="Cambria Math" w:hAnsi="Cambria Math"/>
      <w:color w:val="000000"/>
      <w:sz w:val="20"/>
      <w:szCs w:val="20"/>
    </w:rPr>
  </w:style>
  <w:style w:type="character" w:customStyle="1" w:styleId="mixed-citation">
    <w:name w:val="mixed-citation"/>
    <w:basedOn w:val="a0"/>
    <w:rsid w:val="00113208"/>
    <w:rPr>
      <w:rFonts w:cs="Times New Roman"/>
    </w:rPr>
  </w:style>
  <w:style w:type="character" w:customStyle="1" w:styleId="ref-journal">
    <w:name w:val="ref-journal"/>
    <w:basedOn w:val="a0"/>
    <w:rsid w:val="00113208"/>
    <w:rPr>
      <w:rFonts w:cs="Times New Roman"/>
    </w:rPr>
  </w:style>
  <w:style w:type="character" w:customStyle="1" w:styleId="nowrap">
    <w:name w:val="nowrap"/>
    <w:basedOn w:val="a0"/>
    <w:rsid w:val="00113208"/>
    <w:rPr>
      <w:rFonts w:cs="Times New Roman"/>
    </w:rPr>
  </w:style>
  <w:style w:type="character" w:customStyle="1" w:styleId="ref-title">
    <w:name w:val="ref-title"/>
    <w:basedOn w:val="a0"/>
    <w:rsid w:val="00113208"/>
    <w:rPr>
      <w:rFonts w:cs="Times New Roman"/>
    </w:rPr>
  </w:style>
  <w:style w:type="character" w:customStyle="1" w:styleId="ref-vol">
    <w:name w:val="ref-vol"/>
    <w:basedOn w:val="a0"/>
    <w:rsid w:val="00113208"/>
    <w:rPr>
      <w:rFonts w:cs="Times New Roman"/>
    </w:rPr>
  </w:style>
  <w:style w:type="character" w:customStyle="1" w:styleId="ref-iss">
    <w:name w:val="ref-iss"/>
    <w:basedOn w:val="a0"/>
    <w:rsid w:val="00113208"/>
    <w:rPr>
      <w:rFonts w:cs="Times New Roman"/>
    </w:rPr>
  </w:style>
  <w:style w:type="character" w:customStyle="1" w:styleId="element-citation">
    <w:name w:val="element-citation"/>
    <w:basedOn w:val="a0"/>
    <w:rsid w:val="00113208"/>
    <w:rPr>
      <w:rFonts w:cs="Times New Roman"/>
    </w:rPr>
  </w:style>
  <w:style w:type="table" w:styleId="-2">
    <w:name w:val="Light Shading Accent 2"/>
    <w:basedOn w:val="a1"/>
    <w:uiPriority w:val="60"/>
    <w:rsid w:val="00113208"/>
    <w:pPr>
      <w:spacing w:after="0" w:line="240" w:lineRule="auto"/>
    </w:pPr>
    <w:rPr>
      <w:rFonts w:ascii="Calibri" w:eastAsia="Times New Roman" w:hAnsi="Calibri" w:cs="Arial"/>
      <w:color w:val="943634"/>
      <w:sz w:val="20"/>
      <w:szCs w:val="20"/>
      <w:lang w:eastAsia="el-GR"/>
    </w:rPr>
    <w:tblPr>
      <w:tblStyleRowBandSize w:val="1"/>
      <w:tblStyleColBandSize w:val="1"/>
      <w:tblInd w:w="0" w:type="dxa"/>
      <w:tblBorders>
        <w:top w:val="single" w:sz="8" w:space="0" w:color="C0504D"/>
        <w:bottom w:val="single" w:sz="8" w:space="0" w:color="C0504D"/>
      </w:tblBorders>
      <w:tblCellMar>
        <w:top w:w="0" w:type="dxa"/>
        <w:left w:w="0" w:type="dxa"/>
        <w:bottom w:w="0" w:type="dxa"/>
        <w:right w:w="0" w:type="dxa"/>
      </w:tblCellMar>
    </w:tblPr>
    <w:tblStylePr w:type="firstRow">
      <w:pPr>
        <w:spacing w:before="0" w:after="0"/>
      </w:pPr>
      <w:rPr>
        <w:rFonts w:cs="Arial"/>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Arial"/>
        <w:b/>
        <w:bCs/>
      </w:rPr>
      <w:tblPr/>
      <w:tcPr>
        <w:tcBorders>
          <w:top w:val="single" w:sz="8" w:space="0" w:color="C0504D"/>
          <w:left w:val="nil"/>
          <w:bottom w:val="single" w:sz="8" w:space="0" w:color="C0504D"/>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EFD3D2"/>
      </w:tcPr>
    </w:tblStylePr>
    <w:tblStylePr w:type="band1Horz">
      <w:rPr>
        <w:rFonts w:cs="Arial"/>
      </w:rPr>
      <w:tblPr/>
      <w:tcPr>
        <w:tcBorders>
          <w:left w:val="nil"/>
          <w:right w:val="nil"/>
          <w:insideH w:val="nil"/>
          <w:insideV w:val="nil"/>
        </w:tcBorders>
        <w:shd w:val="clear" w:color="auto" w:fill="EFD3D2"/>
      </w:tcPr>
    </w:tblStylePr>
  </w:style>
  <w:style w:type="table" w:styleId="-5">
    <w:name w:val="Light Shading Accent 5"/>
    <w:basedOn w:val="a1"/>
    <w:uiPriority w:val="60"/>
    <w:rsid w:val="00113208"/>
    <w:pPr>
      <w:spacing w:after="0" w:line="240" w:lineRule="auto"/>
    </w:pPr>
    <w:rPr>
      <w:rFonts w:ascii="Calibri" w:eastAsia="Times New Roman" w:hAnsi="Calibri" w:cs="Arial"/>
      <w:color w:val="31849B"/>
      <w:sz w:val="20"/>
      <w:szCs w:val="20"/>
      <w:lang w:eastAsia="el-GR"/>
    </w:rPr>
    <w:tblPr>
      <w:tblStyleRowBandSize w:val="1"/>
      <w:tblStyleColBandSize w:val="1"/>
      <w:tblInd w:w="0" w:type="dxa"/>
      <w:tblBorders>
        <w:top w:val="single" w:sz="8" w:space="0" w:color="4BACC6"/>
        <w:bottom w:val="single" w:sz="8" w:space="0" w:color="4BACC6"/>
      </w:tblBorders>
      <w:tblCellMar>
        <w:top w:w="0" w:type="dxa"/>
        <w:left w:w="0" w:type="dxa"/>
        <w:bottom w:w="0" w:type="dxa"/>
        <w:right w:w="0" w:type="dxa"/>
      </w:tblCellMar>
    </w:tblPr>
    <w:tblStylePr w:type="firstRow">
      <w:pPr>
        <w:spacing w:before="0" w:after="0"/>
      </w:pPr>
      <w:rPr>
        <w:rFonts w:cs="Arial"/>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Arial"/>
        <w:b/>
        <w:bCs/>
      </w:rPr>
      <w:tblPr/>
      <w:tcPr>
        <w:tcBorders>
          <w:top w:val="single" w:sz="8" w:space="0" w:color="4BACC6"/>
          <w:left w:val="nil"/>
          <w:bottom w:val="single" w:sz="8" w:space="0" w:color="4BACC6"/>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D2EAF1"/>
      </w:tcPr>
    </w:tblStylePr>
    <w:tblStylePr w:type="band1Horz">
      <w:rPr>
        <w:rFonts w:cs="Arial"/>
      </w:rPr>
      <w:tblPr/>
      <w:tcPr>
        <w:tcBorders>
          <w:left w:val="nil"/>
          <w:right w:val="nil"/>
          <w:insideH w:val="nil"/>
          <w:insideV w:val="nil"/>
        </w:tcBorders>
        <w:shd w:val="clear" w:color="auto" w:fill="D2EAF1"/>
      </w:tcPr>
    </w:tblStylePr>
  </w:style>
  <w:style w:type="table" w:styleId="-4">
    <w:name w:val="Light Shading Accent 4"/>
    <w:basedOn w:val="a1"/>
    <w:uiPriority w:val="60"/>
    <w:rsid w:val="00113208"/>
    <w:pPr>
      <w:spacing w:after="0" w:line="240" w:lineRule="auto"/>
    </w:pPr>
    <w:rPr>
      <w:rFonts w:ascii="Calibri" w:eastAsia="Times New Roman" w:hAnsi="Calibri" w:cs="Arial"/>
      <w:color w:val="5F497A"/>
      <w:sz w:val="20"/>
      <w:szCs w:val="20"/>
      <w:lang w:eastAsia="el-GR"/>
    </w:rPr>
    <w:tblPr>
      <w:tblStyleRowBandSize w:val="1"/>
      <w:tblStyleColBandSize w:val="1"/>
      <w:tblInd w:w="0" w:type="dxa"/>
      <w:tblBorders>
        <w:top w:val="single" w:sz="8" w:space="0" w:color="8064A2"/>
        <w:bottom w:val="single" w:sz="8" w:space="0" w:color="8064A2"/>
      </w:tblBorders>
      <w:tblCellMar>
        <w:top w:w="0" w:type="dxa"/>
        <w:left w:w="0" w:type="dxa"/>
        <w:bottom w:w="0" w:type="dxa"/>
        <w:right w:w="0" w:type="dxa"/>
      </w:tblCellMar>
    </w:tblPr>
    <w:tblStylePr w:type="firstRow">
      <w:pPr>
        <w:spacing w:before="0" w:after="0"/>
      </w:pPr>
      <w:rPr>
        <w:rFonts w:cs="Arial"/>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Arial"/>
        <w:b/>
        <w:bCs/>
      </w:rPr>
      <w:tblPr/>
      <w:tcPr>
        <w:tcBorders>
          <w:top w:val="single" w:sz="8" w:space="0" w:color="8064A2"/>
          <w:left w:val="nil"/>
          <w:bottom w:val="single" w:sz="8" w:space="0" w:color="8064A2"/>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DFD8E8"/>
      </w:tcPr>
    </w:tblStylePr>
    <w:tblStylePr w:type="band1Horz">
      <w:rPr>
        <w:rFonts w:cs="Arial"/>
      </w:rPr>
      <w:tblPr/>
      <w:tcPr>
        <w:tcBorders>
          <w:left w:val="nil"/>
          <w:right w:val="nil"/>
          <w:insideH w:val="nil"/>
          <w:insideV w:val="nil"/>
        </w:tcBorders>
        <w:shd w:val="clear" w:color="auto" w:fill="DFD8E8"/>
      </w:tcPr>
    </w:tblStylePr>
  </w:style>
  <w:style w:type="paragraph" w:styleId="z-">
    <w:name w:val="HTML Top of Form"/>
    <w:basedOn w:val="a"/>
    <w:next w:val="a"/>
    <w:link w:val="z-Char"/>
    <w:hidden/>
    <w:uiPriority w:val="99"/>
    <w:semiHidden/>
    <w:unhideWhenUsed/>
    <w:rsid w:val="00113208"/>
    <w:pPr>
      <w:pBdr>
        <w:bottom w:val="single" w:sz="6" w:space="1" w:color="auto"/>
      </w:pBdr>
      <w:jc w:val="center"/>
    </w:pPr>
    <w:rPr>
      <w:rFonts w:ascii="Arial" w:hAnsi="Arial"/>
      <w:vanish/>
      <w:sz w:val="16"/>
      <w:szCs w:val="16"/>
    </w:rPr>
  </w:style>
  <w:style w:type="character" w:customStyle="1" w:styleId="z-Char">
    <w:name w:val="z-Αρχή φόρμας Char"/>
    <w:basedOn w:val="a0"/>
    <w:link w:val="z-"/>
    <w:uiPriority w:val="99"/>
    <w:semiHidden/>
    <w:rsid w:val="00113208"/>
    <w:rPr>
      <w:rFonts w:ascii="Arial" w:eastAsia="Times New Roman" w:hAnsi="Arial" w:cs="Times New Roman"/>
      <w:vanish/>
      <w:sz w:val="16"/>
      <w:szCs w:val="16"/>
      <w:lang w:eastAsia="el-GR"/>
    </w:rPr>
  </w:style>
  <w:style w:type="character" w:customStyle="1" w:styleId="3c14b">
    <w:name w:val="_3c14b"/>
    <w:basedOn w:val="a0"/>
    <w:rsid w:val="00113208"/>
    <w:rPr>
      <w:rFonts w:cs="Times New Roman"/>
    </w:rPr>
  </w:style>
  <w:style w:type="character" w:customStyle="1" w:styleId="20tpj">
    <w:name w:val="_20tpj"/>
    <w:basedOn w:val="a0"/>
    <w:rsid w:val="00113208"/>
    <w:rPr>
      <w:rFonts w:cs="Times New Roman"/>
    </w:rPr>
  </w:style>
  <w:style w:type="paragraph" w:styleId="z-0">
    <w:name w:val="HTML Bottom of Form"/>
    <w:basedOn w:val="a"/>
    <w:next w:val="a"/>
    <w:link w:val="z-Char0"/>
    <w:hidden/>
    <w:uiPriority w:val="99"/>
    <w:unhideWhenUsed/>
    <w:rsid w:val="00113208"/>
    <w:pPr>
      <w:pBdr>
        <w:top w:val="single" w:sz="6" w:space="1" w:color="auto"/>
      </w:pBdr>
      <w:jc w:val="center"/>
    </w:pPr>
    <w:rPr>
      <w:rFonts w:ascii="Arial" w:hAnsi="Arial"/>
      <w:vanish/>
      <w:sz w:val="16"/>
      <w:szCs w:val="16"/>
    </w:rPr>
  </w:style>
  <w:style w:type="character" w:customStyle="1" w:styleId="z-Char0">
    <w:name w:val="z-Τέλος φόρμας Char"/>
    <w:basedOn w:val="a0"/>
    <w:link w:val="z-0"/>
    <w:uiPriority w:val="99"/>
    <w:rsid w:val="00113208"/>
    <w:rPr>
      <w:rFonts w:ascii="Arial" w:eastAsia="Times New Roman" w:hAnsi="Arial" w:cs="Times New Roman"/>
      <w:vanish/>
      <w:sz w:val="16"/>
      <w:szCs w:val="16"/>
      <w:lang w:eastAsia="el-GR"/>
    </w:rPr>
  </w:style>
  <w:style w:type="paragraph" w:customStyle="1" w:styleId="28ofm">
    <w:name w:val="_28ofm"/>
    <w:basedOn w:val="a"/>
    <w:rsid w:val="00113208"/>
  </w:style>
  <w:style w:type="character" w:customStyle="1" w:styleId="1mmvp">
    <w:name w:val="_1mmvp"/>
    <w:basedOn w:val="a0"/>
    <w:rsid w:val="00113208"/>
    <w:rPr>
      <w:rFonts w:cs="Times New Roman"/>
    </w:rPr>
  </w:style>
  <w:style w:type="character" w:customStyle="1" w:styleId="mpadded">
    <w:name w:val="mpadded"/>
    <w:basedOn w:val="a0"/>
    <w:rsid w:val="00113208"/>
    <w:rPr>
      <w:rFonts w:cs="Times New Roman"/>
    </w:rPr>
  </w:style>
  <w:style w:type="character" w:customStyle="1" w:styleId="inline-equationlabel">
    <w:name w:val="inline-equation__label"/>
    <w:basedOn w:val="a0"/>
    <w:rsid w:val="00113208"/>
    <w:rPr>
      <w:rFonts w:cs="Times New Roman"/>
    </w:rPr>
  </w:style>
  <w:style w:type="character" w:customStyle="1" w:styleId="u-small-caps">
    <w:name w:val="u-small-caps"/>
    <w:basedOn w:val="a0"/>
    <w:rsid w:val="00113208"/>
    <w:rPr>
      <w:rFonts w:cs="Times New Roman"/>
    </w:rPr>
  </w:style>
  <w:style w:type="character" w:customStyle="1" w:styleId="u-custom-list-number">
    <w:name w:val="u-custom-list-number"/>
    <w:basedOn w:val="a0"/>
    <w:rsid w:val="00113208"/>
    <w:rPr>
      <w:rFonts w:cs="Times New Roman"/>
    </w:rPr>
  </w:style>
  <w:style w:type="character" w:customStyle="1" w:styleId="stix">
    <w:name w:val="stix"/>
    <w:basedOn w:val="a0"/>
    <w:rsid w:val="00113208"/>
    <w:rPr>
      <w:rFonts w:cs="Times New Roman"/>
    </w:rPr>
  </w:style>
  <w:style w:type="character" w:customStyle="1" w:styleId="math-container">
    <w:name w:val="math-container"/>
    <w:basedOn w:val="a0"/>
    <w:rsid w:val="00113208"/>
    <w:rPr>
      <w:rFonts w:cs="Times New Roman"/>
    </w:rPr>
  </w:style>
  <w:style w:type="paragraph" w:customStyle="1" w:styleId="c-adlabel">
    <w:name w:val="c-ad__label"/>
    <w:basedOn w:val="a"/>
    <w:rsid w:val="00113208"/>
  </w:style>
  <w:style w:type="character" w:customStyle="1" w:styleId="c-headershow-text">
    <w:name w:val="c-header__show-text"/>
    <w:basedOn w:val="a0"/>
    <w:rsid w:val="00113208"/>
    <w:rPr>
      <w:rFonts w:cs="Times New Roman"/>
    </w:rPr>
  </w:style>
  <w:style w:type="character" w:customStyle="1" w:styleId="c-pdf-downloadtext">
    <w:name w:val="c-pdf-download__text"/>
    <w:basedOn w:val="a0"/>
    <w:rsid w:val="00113208"/>
    <w:rPr>
      <w:rFonts w:cs="Times New Roman"/>
    </w:rPr>
  </w:style>
  <w:style w:type="character" w:customStyle="1" w:styleId="c-article-identifiersopen">
    <w:name w:val="c-article-identifiers__open"/>
    <w:basedOn w:val="a0"/>
    <w:rsid w:val="00113208"/>
    <w:rPr>
      <w:rFonts w:cs="Times New Roman"/>
    </w:rPr>
  </w:style>
  <w:style w:type="paragraph" w:customStyle="1" w:styleId="c-article-info-details">
    <w:name w:val="c-article-info-details"/>
    <w:basedOn w:val="a"/>
    <w:rsid w:val="00113208"/>
  </w:style>
  <w:style w:type="paragraph" w:customStyle="1" w:styleId="c-article-metrics-barcount">
    <w:name w:val="c-article-metrics-bar__count"/>
    <w:basedOn w:val="a"/>
    <w:rsid w:val="00113208"/>
  </w:style>
  <w:style w:type="character" w:customStyle="1" w:styleId="c-article-metrics-barlabel">
    <w:name w:val="c-article-metrics-bar__label"/>
    <w:basedOn w:val="a0"/>
    <w:rsid w:val="00113208"/>
    <w:rPr>
      <w:rFonts w:cs="Times New Roman"/>
    </w:rPr>
  </w:style>
  <w:style w:type="paragraph" w:customStyle="1" w:styleId="c-article-metrics-bardetails">
    <w:name w:val="c-article-metrics-bar__details"/>
    <w:basedOn w:val="a"/>
    <w:rsid w:val="00113208"/>
  </w:style>
  <w:style w:type="paragraph" w:customStyle="1" w:styleId="c-article-referencestext">
    <w:name w:val="c-article-references__text"/>
    <w:basedOn w:val="a"/>
    <w:rsid w:val="00113208"/>
  </w:style>
  <w:style w:type="paragraph" w:customStyle="1" w:styleId="c-article-referenceslinks">
    <w:name w:val="c-article-references__links"/>
    <w:basedOn w:val="a"/>
    <w:rsid w:val="00113208"/>
  </w:style>
  <w:style w:type="paragraph" w:customStyle="1" w:styleId="c-article-referencesdownload">
    <w:name w:val="c-article-references__download"/>
    <w:basedOn w:val="a"/>
    <w:rsid w:val="00113208"/>
  </w:style>
  <w:style w:type="paragraph" w:customStyle="1" w:styleId="c-article-author-affiliationaddress">
    <w:name w:val="c-article-author-affiliation__address"/>
    <w:basedOn w:val="a"/>
    <w:rsid w:val="00113208"/>
  </w:style>
  <w:style w:type="paragraph" w:customStyle="1" w:styleId="c-article-author-affiliationauthors-list">
    <w:name w:val="c-article-author-affiliation__authors-list"/>
    <w:basedOn w:val="a"/>
    <w:rsid w:val="00113208"/>
  </w:style>
  <w:style w:type="paragraph" w:customStyle="1" w:styleId="c-article-rights">
    <w:name w:val="c-article-rights"/>
    <w:basedOn w:val="a"/>
    <w:rsid w:val="00113208"/>
  </w:style>
  <w:style w:type="paragraph" w:customStyle="1" w:styleId="c-bibliographic-informationcitation">
    <w:name w:val="c-bibliographic-information__citation"/>
    <w:basedOn w:val="a"/>
    <w:rsid w:val="00113208"/>
  </w:style>
  <w:style w:type="paragraph" w:customStyle="1" w:styleId="c-bibliographic-informationdownload-citation">
    <w:name w:val="c-bibliographic-information__download-citation"/>
    <w:basedOn w:val="a"/>
    <w:rsid w:val="00113208"/>
  </w:style>
  <w:style w:type="character" w:customStyle="1" w:styleId="c-bibliographic-informationvalue">
    <w:name w:val="c-bibliographic-information__value"/>
    <w:basedOn w:val="a0"/>
    <w:rsid w:val="00113208"/>
    <w:rPr>
      <w:rFonts w:cs="Times New Roman"/>
    </w:rPr>
  </w:style>
  <w:style w:type="paragraph" w:customStyle="1" w:styleId="c-article-share-boxdescription">
    <w:name w:val="c-article-share-box__description"/>
    <w:basedOn w:val="a"/>
    <w:rsid w:val="00113208"/>
  </w:style>
  <w:style w:type="paragraph" w:customStyle="1" w:styleId="js-c-article-share-boxadditional-info">
    <w:name w:val="js-c-article-share-box__additional-info"/>
    <w:basedOn w:val="a"/>
    <w:rsid w:val="00113208"/>
  </w:style>
  <w:style w:type="paragraph" w:customStyle="1" w:styleId="c-meta">
    <w:name w:val="c-meta"/>
    <w:basedOn w:val="a"/>
    <w:rsid w:val="00113208"/>
  </w:style>
  <w:style w:type="character" w:customStyle="1" w:styleId="c-metaitem">
    <w:name w:val="c-meta__item"/>
    <w:basedOn w:val="a0"/>
    <w:rsid w:val="00113208"/>
    <w:rPr>
      <w:rFonts w:cs="Times New Roman"/>
    </w:rPr>
  </w:style>
  <w:style w:type="paragraph" w:customStyle="1" w:styleId="c-corporate-footerlegal">
    <w:name w:val="c-corporate-footer__legal"/>
    <w:basedOn w:val="a"/>
    <w:rsid w:val="00113208"/>
  </w:style>
  <w:style w:type="character" w:customStyle="1" w:styleId="visually-hidden">
    <w:name w:val="visually-hidden"/>
    <w:basedOn w:val="a0"/>
    <w:rsid w:val="00113208"/>
    <w:rPr>
      <w:rFonts w:cs="Times New Roman"/>
    </w:rPr>
  </w:style>
  <w:style w:type="paragraph" w:customStyle="1" w:styleId="c-site-messages--nature-briefingstrapline">
    <w:name w:val="c-site-messages--nature-briefing__strapline"/>
    <w:basedOn w:val="a"/>
    <w:rsid w:val="00113208"/>
  </w:style>
  <w:style w:type="character" w:customStyle="1" w:styleId="title-text">
    <w:name w:val="title-text"/>
    <w:basedOn w:val="a0"/>
    <w:rsid w:val="00113208"/>
    <w:rPr>
      <w:rFonts w:cs="Times New Roman"/>
    </w:rPr>
  </w:style>
  <w:style w:type="paragraph" w:customStyle="1" w:styleId="mb15">
    <w:name w:val="mb15"/>
    <w:basedOn w:val="a"/>
    <w:rsid w:val="00113208"/>
  </w:style>
  <w:style w:type="paragraph" w:customStyle="1" w:styleId="mb0">
    <w:name w:val="mb0"/>
    <w:basedOn w:val="a"/>
    <w:rsid w:val="00113208"/>
  </w:style>
  <w:style w:type="paragraph" w:customStyle="1" w:styleId="iconics">
    <w:name w:val="iconics"/>
    <w:basedOn w:val="a"/>
    <w:rsid w:val="00113208"/>
    <w:rPr>
      <w:rFonts w:ascii="Cambria Math" w:hAnsi="Cambria Math"/>
      <w:color w:val="000000"/>
      <w:sz w:val="20"/>
      <w:szCs w:val="20"/>
    </w:rPr>
  </w:style>
  <w:style w:type="character" w:customStyle="1" w:styleId="MathematicaFormatTraditionalForm">
    <w:name w:val="MathematicaFormatTraditionalForm"/>
    <w:uiPriority w:val="99"/>
    <w:rsid w:val="00113208"/>
  </w:style>
  <w:style w:type="numbering" w:customStyle="1" w:styleId="1311">
    <w:name w:val="Στυλ1311"/>
    <w:uiPriority w:val="99"/>
    <w:rsid w:val="00113208"/>
    <w:pPr>
      <w:numPr>
        <w:numId w:val="1"/>
      </w:numPr>
    </w:pPr>
  </w:style>
  <w:style w:type="numbering" w:customStyle="1" w:styleId="15">
    <w:name w:val="Χωρίς λίστα1"/>
    <w:next w:val="a2"/>
    <w:uiPriority w:val="99"/>
    <w:semiHidden/>
    <w:unhideWhenUsed/>
    <w:rsid w:val="00113208"/>
  </w:style>
  <w:style w:type="numbering" w:customStyle="1" w:styleId="112">
    <w:name w:val="Χωρίς λίστα11"/>
    <w:next w:val="a2"/>
    <w:uiPriority w:val="99"/>
    <w:semiHidden/>
    <w:unhideWhenUsed/>
    <w:rsid w:val="00113208"/>
  </w:style>
  <w:style w:type="numbering" w:customStyle="1" w:styleId="1111">
    <w:name w:val="Χωρίς λίστα111"/>
    <w:next w:val="a2"/>
    <w:uiPriority w:val="99"/>
    <w:semiHidden/>
    <w:unhideWhenUsed/>
    <w:rsid w:val="00113208"/>
  </w:style>
  <w:style w:type="numbering" w:customStyle="1" w:styleId="24">
    <w:name w:val="Χωρίς λίστα2"/>
    <w:next w:val="a2"/>
    <w:uiPriority w:val="99"/>
    <w:semiHidden/>
    <w:unhideWhenUsed/>
    <w:rsid w:val="00113208"/>
  </w:style>
  <w:style w:type="numbering" w:customStyle="1" w:styleId="32">
    <w:name w:val="Χωρίς λίστα3"/>
    <w:next w:val="a2"/>
    <w:uiPriority w:val="99"/>
    <w:semiHidden/>
    <w:unhideWhenUsed/>
    <w:rsid w:val="00113208"/>
  </w:style>
  <w:style w:type="numbering" w:customStyle="1" w:styleId="11110">
    <w:name w:val="Χωρίς λίστα1111"/>
    <w:next w:val="a2"/>
    <w:uiPriority w:val="99"/>
    <w:semiHidden/>
    <w:unhideWhenUsed/>
    <w:rsid w:val="00113208"/>
  </w:style>
  <w:style w:type="numbering" w:customStyle="1" w:styleId="212">
    <w:name w:val="Χωρίς λίστα21"/>
    <w:next w:val="a2"/>
    <w:uiPriority w:val="99"/>
    <w:semiHidden/>
    <w:unhideWhenUsed/>
    <w:rsid w:val="00113208"/>
  </w:style>
  <w:style w:type="numbering" w:customStyle="1" w:styleId="311">
    <w:name w:val="Χωρίς λίστα31"/>
    <w:next w:val="a2"/>
    <w:uiPriority w:val="99"/>
    <w:semiHidden/>
    <w:unhideWhenUsed/>
    <w:rsid w:val="00113208"/>
  </w:style>
  <w:style w:type="numbering" w:customStyle="1" w:styleId="42">
    <w:name w:val="Χωρίς λίστα4"/>
    <w:next w:val="a2"/>
    <w:uiPriority w:val="99"/>
    <w:semiHidden/>
    <w:unhideWhenUsed/>
    <w:rsid w:val="00113208"/>
  </w:style>
  <w:style w:type="numbering" w:customStyle="1" w:styleId="50">
    <w:name w:val="Χωρίς λίστα5"/>
    <w:next w:val="a2"/>
    <w:uiPriority w:val="99"/>
    <w:semiHidden/>
    <w:unhideWhenUsed/>
    <w:rsid w:val="00113208"/>
  </w:style>
  <w:style w:type="numbering" w:customStyle="1" w:styleId="120">
    <w:name w:val="Χωρίς λίστα12"/>
    <w:next w:val="a2"/>
    <w:uiPriority w:val="99"/>
    <w:semiHidden/>
    <w:unhideWhenUsed/>
    <w:rsid w:val="00113208"/>
  </w:style>
  <w:style w:type="numbering" w:customStyle="1" w:styleId="1120">
    <w:name w:val="Χωρίς λίστα112"/>
    <w:next w:val="a2"/>
    <w:uiPriority w:val="99"/>
    <w:semiHidden/>
    <w:unhideWhenUsed/>
    <w:rsid w:val="00113208"/>
  </w:style>
  <w:style w:type="numbering" w:customStyle="1" w:styleId="1112">
    <w:name w:val="Χωρίς λίστα1112"/>
    <w:next w:val="a2"/>
    <w:uiPriority w:val="99"/>
    <w:semiHidden/>
    <w:unhideWhenUsed/>
    <w:rsid w:val="00113208"/>
  </w:style>
  <w:style w:type="numbering" w:customStyle="1" w:styleId="11111">
    <w:name w:val="Χωρίς λίστα11111"/>
    <w:next w:val="a2"/>
    <w:uiPriority w:val="99"/>
    <w:semiHidden/>
    <w:unhideWhenUsed/>
    <w:rsid w:val="00113208"/>
  </w:style>
  <w:style w:type="numbering" w:customStyle="1" w:styleId="222">
    <w:name w:val="Χωρίς λίστα22"/>
    <w:next w:val="a2"/>
    <w:uiPriority w:val="99"/>
    <w:semiHidden/>
    <w:unhideWhenUsed/>
    <w:rsid w:val="00113208"/>
  </w:style>
  <w:style w:type="numbering" w:customStyle="1" w:styleId="320">
    <w:name w:val="Χωρίς λίστα32"/>
    <w:next w:val="a2"/>
    <w:uiPriority w:val="99"/>
    <w:semiHidden/>
    <w:unhideWhenUsed/>
    <w:rsid w:val="00113208"/>
  </w:style>
  <w:style w:type="numbering" w:customStyle="1" w:styleId="111111">
    <w:name w:val="Χωρίς λίστα111111"/>
    <w:next w:val="a2"/>
    <w:uiPriority w:val="99"/>
    <w:semiHidden/>
    <w:unhideWhenUsed/>
    <w:rsid w:val="00113208"/>
  </w:style>
  <w:style w:type="numbering" w:customStyle="1" w:styleId="2110">
    <w:name w:val="Χωρίς λίστα211"/>
    <w:next w:val="a2"/>
    <w:uiPriority w:val="99"/>
    <w:semiHidden/>
    <w:unhideWhenUsed/>
    <w:rsid w:val="00113208"/>
  </w:style>
  <w:style w:type="numbering" w:customStyle="1" w:styleId="3110">
    <w:name w:val="Χωρίς λίστα311"/>
    <w:next w:val="a2"/>
    <w:uiPriority w:val="99"/>
    <w:semiHidden/>
    <w:unhideWhenUsed/>
    <w:rsid w:val="00113208"/>
  </w:style>
  <w:style w:type="numbering" w:customStyle="1" w:styleId="410">
    <w:name w:val="Χωρίς λίστα41"/>
    <w:next w:val="a2"/>
    <w:uiPriority w:val="99"/>
    <w:semiHidden/>
    <w:unhideWhenUsed/>
    <w:rsid w:val="00113208"/>
  </w:style>
  <w:style w:type="numbering" w:customStyle="1" w:styleId="16">
    <w:name w:val="Στυλ1"/>
    <w:uiPriority w:val="99"/>
    <w:rsid w:val="00113208"/>
  </w:style>
  <w:style w:type="numbering" w:customStyle="1" w:styleId="113">
    <w:name w:val="Στυλ11"/>
    <w:uiPriority w:val="99"/>
    <w:rsid w:val="00113208"/>
  </w:style>
  <w:style w:type="numbering" w:customStyle="1" w:styleId="122">
    <w:name w:val="Στυλ12"/>
    <w:uiPriority w:val="99"/>
    <w:rsid w:val="00113208"/>
  </w:style>
  <w:style w:type="numbering" w:customStyle="1" w:styleId="131">
    <w:name w:val="Στυλ13"/>
    <w:uiPriority w:val="99"/>
    <w:rsid w:val="00113208"/>
  </w:style>
  <w:style w:type="numbering" w:customStyle="1" w:styleId="140">
    <w:name w:val="Στυλ14"/>
    <w:uiPriority w:val="99"/>
    <w:rsid w:val="00113208"/>
  </w:style>
  <w:style w:type="numbering" w:customStyle="1" w:styleId="1113">
    <w:name w:val="Στυλ111"/>
    <w:uiPriority w:val="99"/>
    <w:rsid w:val="00113208"/>
  </w:style>
  <w:style w:type="numbering" w:customStyle="1" w:styleId="1210">
    <w:name w:val="Στυλ121"/>
    <w:uiPriority w:val="99"/>
    <w:rsid w:val="00113208"/>
  </w:style>
  <w:style w:type="numbering" w:customStyle="1" w:styleId="1310">
    <w:name w:val="Στυλ131"/>
    <w:uiPriority w:val="99"/>
    <w:rsid w:val="00113208"/>
  </w:style>
  <w:style w:type="numbering" w:customStyle="1" w:styleId="141">
    <w:name w:val="Στυλ141"/>
    <w:uiPriority w:val="99"/>
    <w:rsid w:val="00113208"/>
  </w:style>
  <w:style w:type="numbering" w:customStyle="1" w:styleId="11112">
    <w:name w:val="Στυλ1111"/>
    <w:uiPriority w:val="99"/>
    <w:rsid w:val="00113208"/>
  </w:style>
  <w:style w:type="numbering" w:customStyle="1" w:styleId="1211">
    <w:name w:val="Στυλ1211"/>
    <w:uiPriority w:val="99"/>
    <w:rsid w:val="00113208"/>
  </w:style>
  <w:style w:type="character" w:styleId="HTML0">
    <w:name w:val="HTML Cite"/>
    <w:basedOn w:val="a0"/>
    <w:uiPriority w:val="99"/>
    <w:semiHidden/>
    <w:unhideWhenUsed/>
    <w:rsid w:val="00113208"/>
    <w:rPr>
      <w:i/>
      <w:iCs/>
    </w:rPr>
  </w:style>
  <w:style w:type="character" w:customStyle="1" w:styleId="ref-lnk">
    <w:name w:val="ref-lnk"/>
    <w:basedOn w:val="a0"/>
    <w:rsid w:val="00113208"/>
  </w:style>
  <w:style w:type="character" w:customStyle="1" w:styleId="off-screen">
    <w:name w:val="off-screen"/>
    <w:basedOn w:val="a0"/>
    <w:rsid w:val="00113208"/>
  </w:style>
  <w:style w:type="paragraph" w:customStyle="1" w:styleId="last">
    <w:name w:val="last"/>
    <w:basedOn w:val="a"/>
    <w:rsid w:val="00113208"/>
  </w:style>
  <w:style w:type="character" w:customStyle="1" w:styleId="dispformulalabeldiv">
    <w:name w:val="disp_formula_label_div"/>
    <w:basedOn w:val="a0"/>
    <w:rsid w:val="00113208"/>
  </w:style>
  <w:style w:type="character" w:customStyle="1" w:styleId="smallcaps">
    <w:name w:val="smallcaps"/>
    <w:basedOn w:val="a0"/>
    <w:rsid w:val="00113208"/>
  </w:style>
  <w:style w:type="character" w:customStyle="1" w:styleId="MathematicaFormatStandardForm">
    <w:name w:val="MathematicaFormatStandardForm"/>
    <w:uiPriority w:val="99"/>
    <w:rsid w:val="00113208"/>
    <w:rPr>
      <w:rFonts w:ascii="Inherited" w:hAnsi="Inherited" w:cs="Inherited"/>
    </w:rPr>
  </w:style>
  <w:style w:type="character" w:customStyle="1" w:styleId="small-caps">
    <w:name w:val="small-caps"/>
    <w:basedOn w:val="a0"/>
    <w:rsid w:val="00113208"/>
  </w:style>
  <w:style w:type="table" w:customStyle="1" w:styleId="TableNormal">
    <w:name w:val="Table Normal"/>
    <w:uiPriority w:val="2"/>
    <w:semiHidden/>
    <w:unhideWhenUsed/>
    <w:qFormat/>
    <w:rsid w:val="0011320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Heading2">
    <w:name w:val="Heading 2"/>
    <w:basedOn w:val="a"/>
    <w:uiPriority w:val="1"/>
    <w:qFormat/>
    <w:rsid w:val="00113208"/>
    <w:pPr>
      <w:widowControl w:val="0"/>
      <w:autoSpaceDE w:val="0"/>
      <w:autoSpaceDN w:val="0"/>
    </w:pPr>
    <w:rPr>
      <w:rFonts w:ascii="Arial" w:eastAsia="Arial" w:hAnsi="Arial" w:cs="Arial"/>
      <w:sz w:val="17"/>
      <w:szCs w:val="17"/>
    </w:rPr>
  </w:style>
  <w:style w:type="paragraph" w:customStyle="1" w:styleId="TableParagraph">
    <w:name w:val="Table Paragraph"/>
    <w:basedOn w:val="a"/>
    <w:uiPriority w:val="1"/>
    <w:qFormat/>
    <w:rsid w:val="00113208"/>
    <w:pPr>
      <w:widowControl w:val="0"/>
      <w:autoSpaceDE w:val="0"/>
      <w:autoSpaceDN w:val="0"/>
      <w:spacing w:before="34"/>
      <w:jc w:val="right"/>
    </w:pPr>
    <w:rPr>
      <w:rFonts w:ascii="Arial" w:eastAsia="Arial" w:hAnsi="Arial" w:cs="Arial"/>
    </w:rPr>
  </w:style>
  <w:style w:type="character" w:customStyle="1" w:styleId="formulalabel">
    <w:name w:val="formulalabel"/>
    <w:basedOn w:val="a0"/>
    <w:rsid w:val="00113208"/>
  </w:style>
  <w:style w:type="character" w:customStyle="1" w:styleId="badge">
    <w:name w:val="badge"/>
    <w:basedOn w:val="a0"/>
    <w:rsid w:val="00113208"/>
  </w:style>
  <w:style w:type="paragraph" w:customStyle="1" w:styleId="font-weight-bold">
    <w:name w:val="font-weight-bold"/>
    <w:basedOn w:val="a"/>
    <w:rsid w:val="00113208"/>
  </w:style>
  <w:style w:type="paragraph" w:customStyle="1" w:styleId="font5">
    <w:name w:val="font5"/>
    <w:basedOn w:val="a"/>
    <w:rsid w:val="00113208"/>
    <w:rPr>
      <w:rFonts w:ascii="Segoe UI" w:hAnsi="Segoe UI" w:cs="Segoe UI"/>
      <w:color w:val="212529"/>
      <w:sz w:val="14"/>
      <w:szCs w:val="14"/>
    </w:rPr>
  </w:style>
  <w:style w:type="paragraph" w:customStyle="1" w:styleId="font6">
    <w:name w:val="font6"/>
    <w:basedOn w:val="a"/>
    <w:rsid w:val="00113208"/>
    <w:rPr>
      <w:rFonts w:ascii="Segoe UI" w:hAnsi="Segoe UI" w:cs="Segoe UI"/>
      <w:color w:val="212529"/>
      <w:sz w:val="10"/>
      <w:szCs w:val="10"/>
    </w:rPr>
  </w:style>
  <w:style w:type="paragraph" w:customStyle="1" w:styleId="xl64">
    <w:name w:val="xl64"/>
    <w:basedOn w:val="a"/>
    <w:rsid w:val="00113208"/>
    <w:pPr>
      <w:pBdr>
        <w:bottom w:val="single" w:sz="8" w:space="0" w:color="DEE2E6"/>
      </w:pBdr>
      <w:shd w:val="clear" w:color="000000" w:fill="FDFDFE"/>
      <w:jc w:val="center"/>
    </w:pPr>
    <w:rPr>
      <w:rFonts w:ascii="Segoe UI" w:hAnsi="Segoe UI" w:cs="Segoe UI"/>
      <w:b/>
      <w:bCs/>
      <w:color w:val="212529"/>
      <w:sz w:val="14"/>
      <w:szCs w:val="14"/>
    </w:rPr>
  </w:style>
  <w:style w:type="paragraph" w:customStyle="1" w:styleId="xl65">
    <w:name w:val="xl65"/>
    <w:basedOn w:val="a"/>
    <w:rsid w:val="00113208"/>
    <w:pPr>
      <w:pBdr>
        <w:bottom w:val="single" w:sz="8" w:space="0" w:color="DEE2E6"/>
      </w:pBdr>
      <w:shd w:val="clear" w:color="000000" w:fill="FDFDFE"/>
      <w:jc w:val="center"/>
    </w:pPr>
    <w:rPr>
      <w:color w:val="0000FF"/>
      <w:u w:val="single"/>
    </w:rPr>
  </w:style>
  <w:style w:type="paragraph" w:customStyle="1" w:styleId="xl66">
    <w:name w:val="xl66"/>
    <w:basedOn w:val="a"/>
    <w:rsid w:val="00113208"/>
    <w:pPr>
      <w:shd w:val="clear" w:color="000000" w:fill="FDFDFE"/>
      <w:textAlignment w:val="top"/>
    </w:pPr>
    <w:rPr>
      <w:rFonts w:ascii="Segoe UI" w:hAnsi="Segoe UI" w:cs="Segoe UI"/>
      <w:b/>
      <w:bCs/>
      <w:color w:val="212529"/>
      <w:sz w:val="14"/>
      <w:szCs w:val="14"/>
    </w:rPr>
  </w:style>
  <w:style w:type="paragraph" w:customStyle="1" w:styleId="xl67">
    <w:name w:val="xl67"/>
    <w:basedOn w:val="a"/>
    <w:rsid w:val="00113208"/>
    <w:pPr>
      <w:shd w:val="clear" w:color="000000" w:fill="FDFDFE"/>
      <w:textAlignment w:val="top"/>
    </w:pPr>
    <w:rPr>
      <w:rFonts w:ascii="Segoe UI" w:hAnsi="Segoe UI" w:cs="Segoe UI"/>
      <w:color w:val="212529"/>
      <w:sz w:val="14"/>
      <w:szCs w:val="14"/>
    </w:rPr>
  </w:style>
  <w:style w:type="paragraph" w:customStyle="1" w:styleId="xl68">
    <w:name w:val="xl68"/>
    <w:basedOn w:val="a"/>
    <w:rsid w:val="00113208"/>
    <w:pPr>
      <w:shd w:val="clear" w:color="000000" w:fill="FFFFFF"/>
      <w:textAlignment w:val="top"/>
    </w:pPr>
    <w:rPr>
      <w:rFonts w:ascii="Segoe UI" w:hAnsi="Segoe UI" w:cs="Segoe UI"/>
      <w:b/>
      <w:bCs/>
      <w:color w:val="212529"/>
      <w:sz w:val="14"/>
      <w:szCs w:val="14"/>
    </w:rPr>
  </w:style>
  <w:style w:type="paragraph" w:customStyle="1" w:styleId="xl69">
    <w:name w:val="xl69"/>
    <w:basedOn w:val="a"/>
    <w:rsid w:val="00113208"/>
    <w:pPr>
      <w:shd w:val="clear" w:color="000000" w:fill="FFFFFF"/>
      <w:textAlignment w:val="top"/>
    </w:pPr>
    <w:rPr>
      <w:rFonts w:ascii="Segoe UI" w:hAnsi="Segoe UI" w:cs="Segoe UI"/>
      <w:color w:val="212529"/>
      <w:sz w:val="14"/>
      <w:szCs w:val="14"/>
    </w:rPr>
  </w:style>
  <w:style w:type="paragraph" w:customStyle="1" w:styleId="xl70">
    <w:name w:val="xl70"/>
    <w:basedOn w:val="a"/>
    <w:rsid w:val="00113208"/>
    <w:pPr>
      <w:shd w:val="clear" w:color="000000" w:fill="FFFFFF"/>
      <w:textAlignment w:val="top"/>
    </w:pPr>
    <w:rPr>
      <w:rFonts w:ascii="Segoe UI" w:hAnsi="Segoe UI" w:cs="Segoe UI"/>
      <w:color w:val="212529"/>
      <w:sz w:val="14"/>
      <w:szCs w:val="14"/>
    </w:rPr>
  </w:style>
  <w:style w:type="paragraph" w:customStyle="1" w:styleId="xl71">
    <w:name w:val="xl71"/>
    <w:basedOn w:val="a"/>
    <w:rsid w:val="00113208"/>
    <w:pPr>
      <w:shd w:val="clear" w:color="000000" w:fill="FDFDFE"/>
      <w:textAlignment w:val="top"/>
    </w:pPr>
    <w:rPr>
      <w:rFonts w:ascii="Segoe UI" w:hAnsi="Segoe UI" w:cs="Segoe UI"/>
      <w:color w:val="212529"/>
      <w:sz w:val="14"/>
      <w:szCs w:val="14"/>
    </w:rPr>
  </w:style>
  <w:style w:type="paragraph" w:customStyle="1" w:styleId="xl72">
    <w:name w:val="xl72"/>
    <w:basedOn w:val="a"/>
    <w:rsid w:val="00113208"/>
    <w:pPr>
      <w:pBdr>
        <w:bottom w:val="single" w:sz="8" w:space="0" w:color="DEE2E6"/>
      </w:pBdr>
      <w:shd w:val="clear" w:color="000000" w:fill="FFFFFF"/>
      <w:textAlignment w:val="top"/>
    </w:pPr>
    <w:rPr>
      <w:rFonts w:ascii="Segoe UI" w:hAnsi="Segoe UI" w:cs="Segoe UI"/>
      <w:b/>
      <w:bCs/>
      <w:color w:val="212529"/>
      <w:sz w:val="14"/>
      <w:szCs w:val="14"/>
    </w:rPr>
  </w:style>
  <w:style w:type="paragraph" w:customStyle="1" w:styleId="xl73">
    <w:name w:val="xl73"/>
    <w:basedOn w:val="a"/>
    <w:rsid w:val="00113208"/>
    <w:pPr>
      <w:pBdr>
        <w:bottom w:val="single" w:sz="8" w:space="0" w:color="DEE2E6"/>
      </w:pBdr>
      <w:shd w:val="clear" w:color="000000" w:fill="FFFFFF"/>
      <w:textAlignment w:val="top"/>
    </w:pPr>
    <w:rPr>
      <w:rFonts w:ascii="Segoe UI" w:hAnsi="Segoe UI" w:cs="Segoe UI"/>
      <w:color w:val="212529"/>
      <w:sz w:val="14"/>
      <w:szCs w:val="14"/>
    </w:rPr>
  </w:style>
  <w:style w:type="paragraph" w:customStyle="1" w:styleId="xl63">
    <w:name w:val="xl63"/>
    <w:basedOn w:val="a"/>
    <w:rsid w:val="00113208"/>
    <w:rPr>
      <w:rFonts w:ascii="Segoe UI" w:hAnsi="Segoe UI" w:cs="Segoe UI"/>
      <w:color w:val="222222"/>
      <w:sz w:val="14"/>
      <w:szCs w:val="14"/>
    </w:rPr>
  </w:style>
  <w:style w:type="paragraph" w:customStyle="1" w:styleId="xl74">
    <w:name w:val="xl74"/>
    <w:basedOn w:val="a"/>
    <w:rsid w:val="00113208"/>
    <w:pPr>
      <w:pBdr>
        <w:bottom w:val="single" w:sz="8" w:space="0" w:color="DEE2E6"/>
        <w:right w:val="single" w:sz="8" w:space="0" w:color="DEE2E6"/>
      </w:pBdr>
      <w:textAlignment w:val="top"/>
    </w:pPr>
    <w:rPr>
      <w:b/>
      <w:bCs/>
      <w:sz w:val="16"/>
      <w:szCs w:val="16"/>
    </w:rPr>
  </w:style>
  <w:style w:type="paragraph" w:customStyle="1" w:styleId="xl75">
    <w:name w:val="xl75"/>
    <w:basedOn w:val="a"/>
    <w:rsid w:val="00113208"/>
    <w:pPr>
      <w:pBdr>
        <w:bottom w:val="single" w:sz="8" w:space="0" w:color="DEE2E6"/>
        <w:right w:val="single" w:sz="8" w:space="0" w:color="DEE2E6"/>
      </w:pBdr>
      <w:textAlignment w:val="top"/>
    </w:pPr>
    <w:rPr>
      <w:sz w:val="16"/>
      <w:szCs w:val="16"/>
    </w:rPr>
  </w:style>
  <w:style w:type="paragraph" w:customStyle="1" w:styleId="xl76">
    <w:name w:val="xl76"/>
    <w:basedOn w:val="a"/>
    <w:rsid w:val="00113208"/>
    <w:rPr>
      <w:b/>
      <w:bCs/>
      <w:color w:val="495057"/>
      <w:sz w:val="16"/>
      <w:szCs w:val="16"/>
    </w:rPr>
  </w:style>
  <w:style w:type="paragraph" w:customStyle="1" w:styleId="xl77">
    <w:name w:val="xl77"/>
    <w:basedOn w:val="a"/>
    <w:rsid w:val="00113208"/>
    <w:rPr>
      <w:rFonts w:ascii="Segoe UI" w:hAnsi="Segoe UI" w:cs="Segoe UI"/>
      <w:color w:val="000000"/>
      <w:sz w:val="16"/>
      <w:szCs w:val="16"/>
    </w:rPr>
  </w:style>
  <w:style w:type="paragraph" w:customStyle="1" w:styleId="xl78">
    <w:name w:val="xl78"/>
    <w:basedOn w:val="a"/>
    <w:rsid w:val="00113208"/>
    <w:pPr>
      <w:textAlignment w:val="center"/>
    </w:pPr>
    <w:rPr>
      <w:rFonts w:ascii="Segoe UI" w:hAnsi="Segoe UI" w:cs="Segoe UI"/>
      <w:color w:val="212529"/>
      <w:sz w:val="16"/>
      <w:szCs w:val="16"/>
    </w:rPr>
  </w:style>
  <w:style w:type="paragraph" w:customStyle="1" w:styleId="xl79">
    <w:name w:val="xl79"/>
    <w:basedOn w:val="a"/>
    <w:rsid w:val="00113208"/>
    <w:pPr>
      <w:jc w:val="center"/>
    </w:pPr>
    <w:rPr>
      <w:rFonts w:ascii="Arial" w:hAnsi="Arial" w:cs="Arial"/>
      <w:sz w:val="16"/>
      <w:szCs w:val="16"/>
    </w:rPr>
  </w:style>
  <w:style w:type="paragraph" w:customStyle="1" w:styleId="xl80">
    <w:name w:val="xl80"/>
    <w:basedOn w:val="a"/>
    <w:rsid w:val="00113208"/>
    <w:rPr>
      <w:rFonts w:ascii="Segoe UI" w:hAnsi="Segoe UI" w:cs="Segoe UI"/>
      <w:b/>
      <w:bCs/>
      <w:color w:val="495057"/>
      <w:sz w:val="16"/>
      <w:szCs w:val="16"/>
    </w:rPr>
  </w:style>
  <w:style w:type="paragraph" w:customStyle="1" w:styleId="xl81">
    <w:name w:val="xl81"/>
    <w:basedOn w:val="a"/>
    <w:rsid w:val="00113208"/>
    <w:pPr>
      <w:pBdr>
        <w:top w:val="single" w:sz="8" w:space="0" w:color="DEE2E6"/>
        <w:right w:val="single" w:sz="8" w:space="0" w:color="DEE2E6"/>
      </w:pBdr>
      <w:textAlignment w:val="top"/>
    </w:pPr>
    <w:rPr>
      <w:sz w:val="16"/>
      <w:szCs w:val="16"/>
    </w:rPr>
  </w:style>
  <w:style w:type="paragraph" w:customStyle="1" w:styleId="xl82">
    <w:name w:val="xl82"/>
    <w:basedOn w:val="a"/>
    <w:rsid w:val="00113208"/>
    <w:pPr>
      <w:pBdr>
        <w:top w:val="single" w:sz="8" w:space="0" w:color="DEE2E6"/>
      </w:pBdr>
      <w:textAlignment w:val="top"/>
    </w:pPr>
    <w:rPr>
      <w:sz w:val="16"/>
      <w:szCs w:val="16"/>
    </w:rPr>
  </w:style>
  <w:style w:type="paragraph" w:customStyle="1" w:styleId="xl83">
    <w:name w:val="xl83"/>
    <w:basedOn w:val="a"/>
    <w:rsid w:val="00113208"/>
    <w:pPr>
      <w:pBdr>
        <w:top w:val="single" w:sz="8" w:space="0" w:color="DEE2E6"/>
        <w:left w:val="single" w:sz="8" w:space="0" w:color="DEE2E6"/>
        <w:bottom w:val="single" w:sz="8" w:space="0" w:color="DEE2E6"/>
        <w:right w:val="single" w:sz="8" w:space="0" w:color="DEE2E6"/>
      </w:pBdr>
      <w:textAlignment w:val="top"/>
    </w:pPr>
    <w:rPr>
      <w:sz w:val="16"/>
      <w:szCs w:val="16"/>
    </w:rPr>
  </w:style>
  <w:style w:type="paragraph" w:customStyle="1" w:styleId="xl84">
    <w:name w:val="xl84"/>
    <w:basedOn w:val="a"/>
    <w:rsid w:val="00113208"/>
    <w:pPr>
      <w:pBdr>
        <w:top w:val="single" w:sz="8" w:space="0" w:color="DEE2E6"/>
        <w:bottom w:val="single" w:sz="8" w:space="0" w:color="DEE2E6"/>
        <w:right w:val="single" w:sz="8" w:space="0" w:color="DEE2E6"/>
      </w:pBdr>
      <w:textAlignment w:val="top"/>
    </w:pPr>
    <w:rPr>
      <w:b/>
      <w:bCs/>
      <w:sz w:val="16"/>
      <w:szCs w:val="16"/>
    </w:rPr>
  </w:style>
  <w:style w:type="paragraph" w:customStyle="1" w:styleId="xl85">
    <w:name w:val="xl85"/>
    <w:basedOn w:val="a"/>
    <w:rsid w:val="00113208"/>
    <w:pPr>
      <w:pBdr>
        <w:top w:val="single" w:sz="8" w:space="0" w:color="DEE2E6"/>
        <w:bottom w:val="single" w:sz="8" w:space="0" w:color="DEE2E6"/>
        <w:right w:val="single" w:sz="8" w:space="0" w:color="DEE2E6"/>
      </w:pBdr>
      <w:textAlignment w:val="top"/>
    </w:pPr>
    <w:rPr>
      <w:sz w:val="16"/>
      <w:szCs w:val="16"/>
    </w:rPr>
  </w:style>
  <w:style w:type="paragraph" w:customStyle="1" w:styleId="xl86">
    <w:name w:val="xl86"/>
    <w:basedOn w:val="a"/>
    <w:rsid w:val="00113208"/>
    <w:pPr>
      <w:pBdr>
        <w:left w:val="single" w:sz="8" w:space="0" w:color="DEE2E6"/>
        <w:bottom w:val="single" w:sz="8" w:space="0" w:color="DEE2E6"/>
        <w:right w:val="single" w:sz="8" w:space="0" w:color="DEE2E6"/>
      </w:pBdr>
      <w:shd w:val="clear" w:color="000000" w:fill="C3E6CB"/>
      <w:textAlignment w:val="top"/>
    </w:pPr>
    <w:rPr>
      <w:sz w:val="16"/>
      <w:szCs w:val="16"/>
    </w:rPr>
  </w:style>
  <w:style w:type="paragraph" w:customStyle="1" w:styleId="xl87">
    <w:name w:val="xl87"/>
    <w:basedOn w:val="a"/>
    <w:rsid w:val="00113208"/>
    <w:pPr>
      <w:pBdr>
        <w:bottom w:val="single" w:sz="8" w:space="0" w:color="DEE2E6"/>
        <w:right w:val="single" w:sz="8" w:space="0" w:color="DEE2E6"/>
      </w:pBdr>
      <w:shd w:val="clear" w:color="000000" w:fill="C3E6CB"/>
      <w:textAlignment w:val="top"/>
    </w:pPr>
    <w:rPr>
      <w:b/>
      <w:bCs/>
      <w:sz w:val="16"/>
      <w:szCs w:val="16"/>
    </w:rPr>
  </w:style>
  <w:style w:type="paragraph" w:customStyle="1" w:styleId="xl88">
    <w:name w:val="xl88"/>
    <w:basedOn w:val="a"/>
    <w:rsid w:val="00113208"/>
    <w:pPr>
      <w:pBdr>
        <w:bottom w:val="single" w:sz="8" w:space="0" w:color="DEE2E6"/>
        <w:right w:val="single" w:sz="8" w:space="0" w:color="DEE2E6"/>
      </w:pBdr>
      <w:shd w:val="clear" w:color="000000" w:fill="C3E6CB"/>
      <w:textAlignment w:val="top"/>
    </w:pPr>
    <w:rPr>
      <w:sz w:val="16"/>
      <w:szCs w:val="16"/>
    </w:rPr>
  </w:style>
  <w:style w:type="paragraph" w:customStyle="1" w:styleId="xl89">
    <w:name w:val="xl89"/>
    <w:basedOn w:val="a"/>
    <w:rsid w:val="00113208"/>
    <w:pPr>
      <w:pBdr>
        <w:top w:val="single" w:sz="8" w:space="0" w:color="DEE2E6"/>
        <w:left w:val="single" w:sz="8" w:space="0" w:color="DEE2E6"/>
        <w:bottom w:val="single" w:sz="8" w:space="0" w:color="DEE2E6"/>
      </w:pBdr>
      <w:textAlignment w:val="top"/>
    </w:pPr>
    <w:rPr>
      <w:sz w:val="16"/>
      <w:szCs w:val="16"/>
    </w:rPr>
  </w:style>
  <w:style w:type="paragraph" w:customStyle="1" w:styleId="xl90">
    <w:name w:val="xl90"/>
    <w:basedOn w:val="a"/>
    <w:rsid w:val="00113208"/>
    <w:pPr>
      <w:pBdr>
        <w:top w:val="single" w:sz="8" w:space="0" w:color="DEE2E6"/>
        <w:bottom w:val="single" w:sz="8" w:space="0" w:color="DEE2E6"/>
      </w:pBdr>
      <w:textAlignment w:val="top"/>
    </w:pPr>
    <w:rPr>
      <w:sz w:val="16"/>
      <w:szCs w:val="16"/>
    </w:rPr>
  </w:style>
  <w:style w:type="paragraph" w:customStyle="1" w:styleId="xl91">
    <w:name w:val="xl91"/>
    <w:basedOn w:val="a"/>
    <w:rsid w:val="00113208"/>
    <w:rPr>
      <w:rFonts w:ascii="Segoe UI" w:hAnsi="Segoe UI" w:cs="Segoe UI"/>
      <w:color w:val="212529"/>
      <w:sz w:val="16"/>
      <w:szCs w:val="16"/>
    </w:rPr>
  </w:style>
  <w:style w:type="paragraph" w:customStyle="1" w:styleId="xl92">
    <w:name w:val="xl92"/>
    <w:basedOn w:val="a"/>
    <w:rsid w:val="00113208"/>
    <w:rPr>
      <w:rFonts w:ascii="Segoe UI" w:hAnsi="Segoe UI" w:cs="Segoe UI"/>
      <w:b/>
      <w:bCs/>
      <w:color w:val="212529"/>
      <w:sz w:val="16"/>
      <w:szCs w:val="16"/>
    </w:rPr>
  </w:style>
  <w:style w:type="character" w:customStyle="1" w:styleId="less">
    <w:name w:val="less"/>
    <w:basedOn w:val="a0"/>
    <w:rsid w:val="00113208"/>
  </w:style>
  <w:style w:type="paragraph" w:customStyle="1" w:styleId="img-box">
    <w:name w:val="img-box"/>
    <w:basedOn w:val="a"/>
    <w:rsid w:val="00113208"/>
  </w:style>
  <w:style w:type="character" w:customStyle="1" w:styleId="dropblock">
    <w:name w:val="dropblock"/>
    <w:basedOn w:val="a0"/>
    <w:rsid w:val="00113208"/>
  </w:style>
  <w:style w:type="character" w:customStyle="1" w:styleId="text-underline">
    <w:name w:val="text-underline"/>
    <w:basedOn w:val="a0"/>
    <w:rsid w:val="00113208"/>
  </w:style>
  <w:style w:type="character" w:customStyle="1" w:styleId="analysisstatisticswarning">
    <w:name w:val="analysis_statistics_warning"/>
    <w:basedOn w:val="a0"/>
    <w:rsid w:val="00113208"/>
  </w:style>
  <w:style w:type="character" w:customStyle="1" w:styleId="analysisstatisticsexplain">
    <w:name w:val="analysis_statistics_explain"/>
    <w:basedOn w:val="a0"/>
    <w:rsid w:val="00113208"/>
  </w:style>
  <w:style w:type="character" w:customStyle="1" w:styleId="analysisstatisticsexplaintext">
    <w:name w:val="analysis_statistics_explain_text"/>
    <w:basedOn w:val="a0"/>
    <w:rsid w:val="00113208"/>
  </w:style>
  <w:style w:type="character" w:customStyle="1" w:styleId="desc">
    <w:name w:val="desc"/>
    <w:basedOn w:val="a0"/>
    <w:rsid w:val="00113208"/>
  </w:style>
  <w:style w:type="character" w:customStyle="1" w:styleId="ui-icon">
    <w:name w:val="ui-icon"/>
    <w:basedOn w:val="a0"/>
    <w:rsid w:val="00113208"/>
  </w:style>
  <w:style w:type="character" w:customStyle="1" w:styleId="counter">
    <w:name w:val="counter"/>
    <w:basedOn w:val="a0"/>
    <w:rsid w:val="00113208"/>
  </w:style>
  <w:style w:type="paragraph" w:customStyle="1" w:styleId="Heading11">
    <w:name w:val="Heading 11"/>
    <w:basedOn w:val="a"/>
    <w:uiPriority w:val="1"/>
    <w:qFormat/>
    <w:rsid w:val="00113208"/>
    <w:pPr>
      <w:widowControl w:val="0"/>
      <w:autoSpaceDE w:val="0"/>
      <w:autoSpaceDN w:val="0"/>
      <w:spacing w:before="11"/>
      <w:ind w:left="60" w:hanging="205"/>
      <w:outlineLvl w:val="1"/>
    </w:pPr>
  </w:style>
  <w:style w:type="table" w:customStyle="1" w:styleId="TableNormal1">
    <w:name w:val="Table Normal1"/>
    <w:uiPriority w:val="2"/>
    <w:semiHidden/>
    <w:unhideWhenUsed/>
    <w:qFormat/>
    <w:rsid w:val="00113208"/>
    <w:pPr>
      <w:widowControl w:val="0"/>
      <w:autoSpaceDE w:val="0"/>
      <w:autoSpaceDN w:val="0"/>
      <w:spacing w:after="0" w:line="240" w:lineRule="auto"/>
    </w:pPr>
    <w:rPr>
      <w:rFonts w:eastAsiaTheme="minorEastAsia"/>
      <w:lang w:val="en-US" w:eastAsia="el-GR"/>
    </w:rPr>
    <w:tblPr>
      <w:tblInd w:w="0" w:type="dxa"/>
      <w:tblCellMar>
        <w:top w:w="0" w:type="dxa"/>
        <w:left w:w="0" w:type="dxa"/>
        <w:bottom w:w="0" w:type="dxa"/>
        <w:right w:w="0" w:type="dxa"/>
      </w:tblCellMar>
    </w:tblPr>
  </w:style>
  <w:style w:type="paragraph" w:customStyle="1" w:styleId="Heading21">
    <w:name w:val="Heading 21"/>
    <w:basedOn w:val="a"/>
    <w:uiPriority w:val="1"/>
    <w:qFormat/>
    <w:rsid w:val="00113208"/>
    <w:pPr>
      <w:widowControl w:val="0"/>
      <w:autoSpaceDE w:val="0"/>
      <w:autoSpaceDN w:val="0"/>
    </w:pPr>
    <w:rPr>
      <w:rFonts w:ascii="Arial" w:eastAsia="Arial" w:hAnsi="Arial" w:cs="Arial"/>
      <w:sz w:val="17"/>
      <w:szCs w:val="17"/>
    </w:rPr>
  </w:style>
  <w:style w:type="character" w:customStyle="1" w:styleId="inline-formula">
    <w:name w:val="inline-formula"/>
    <w:basedOn w:val="a0"/>
    <w:rsid w:val="00113208"/>
  </w:style>
  <w:style w:type="character" w:customStyle="1" w:styleId="hljs-comment">
    <w:name w:val="hljs-comment"/>
    <w:basedOn w:val="a0"/>
    <w:rsid w:val="001B373B"/>
  </w:style>
  <w:style w:type="character" w:customStyle="1" w:styleId="hljs-keyword">
    <w:name w:val="hljs-keyword"/>
    <w:basedOn w:val="a0"/>
    <w:rsid w:val="001B373B"/>
  </w:style>
  <w:style w:type="character" w:customStyle="1" w:styleId="hljs-title">
    <w:name w:val="hljs-title"/>
    <w:basedOn w:val="a0"/>
    <w:rsid w:val="001B373B"/>
  </w:style>
  <w:style w:type="character" w:customStyle="1" w:styleId="hljs-params">
    <w:name w:val="hljs-params"/>
    <w:basedOn w:val="a0"/>
    <w:rsid w:val="001B373B"/>
  </w:style>
  <w:style w:type="character" w:customStyle="1" w:styleId="hljs-builtin">
    <w:name w:val="hljs-built_in"/>
    <w:basedOn w:val="a0"/>
    <w:rsid w:val="001B373B"/>
  </w:style>
  <w:style w:type="character" w:customStyle="1" w:styleId="hljs-number">
    <w:name w:val="hljs-number"/>
    <w:basedOn w:val="a0"/>
    <w:rsid w:val="001B373B"/>
  </w:style>
  <w:style w:type="character" w:customStyle="1" w:styleId="hljs-string">
    <w:name w:val="hljs-string"/>
    <w:basedOn w:val="a0"/>
    <w:rsid w:val="001B373B"/>
  </w:style>
  <w:style w:type="character" w:customStyle="1" w:styleId="minner">
    <w:name w:val="minner"/>
    <w:basedOn w:val="a0"/>
    <w:rsid w:val="001B373B"/>
  </w:style>
  <w:style w:type="character" w:customStyle="1" w:styleId="col-align-c">
    <w:name w:val="col-align-c"/>
    <w:basedOn w:val="a0"/>
    <w:rsid w:val="00C70F85"/>
  </w:style>
  <w:style w:type="character" w:customStyle="1" w:styleId="tag">
    <w:name w:val="tag"/>
    <w:basedOn w:val="a0"/>
    <w:rsid w:val="00C70F85"/>
  </w:style>
  <w:style w:type="character" w:customStyle="1" w:styleId="overline-line">
    <w:name w:val="overline-line"/>
    <w:basedOn w:val="a0"/>
    <w:rsid w:val="00C70F85"/>
  </w:style>
  <w:style w:type="character" w:customStyle="1" w:styleId="delimsizinginner">
    <w:name w:val="delimsizinginner"/>
    <w:basedOn w:val="a0"/>
    <w:rsid w:val="00C70F85"/>
  </w:style>
  <w:style w:type="character" w:customStyle="1" w:styleId="col-align-l">
    <w:name w:val="col-align-l"/>
    <w:basedOn w:val="a0"/>
    <w:rsid w:val="00C70F85"/>
  </w:style>
  <w:style w:type="character" w:customStyle="1" w:styleId="arraycolsep">
    <w:name w:val="arraycolsep"/>
    <w:basedOn w:val="a0"/>
    <w:rsid w:val="00C70F85"/>
  </w:style>
  <w:style w:type="character" w:customStyle="1" w:styleId="svg-align">
    <w:name w:val="svg-align"/>
    <w:basedOn w:val="a0"/>
    <w:rsid w:val="00C70F85"/>
  </w:style>
  <w:style w:type="character" w:customStyle="1" w:styleId="mtight">
    <w:name w:val="mtight"/>
    <w:basedOn w:val="a0"/>
    <w:rsid w:val="00C70F85"/>
  </w:style>
  <w:style w:type="character" w:customStyle="1" w:styleId="hljs-subst">
    <w:name w:val="hljs-subst"/>
    <w:basedOn w:val="a0"/>
    <w:rsid w:val="00BC11E9"/>
  </w:style>
  <w:style w:type="character" w:customStyle="1" w:styleId="hljs-literal">
    <w:name w:val="hljs-literal"/>
    <w:basedOn w:val="a0"/>
    <w:rsid w:val="00BC11E9"/>
  </w:style>
  <w:style w:type="character" w:customStyle="1" w:styleId="hljs-selector-attr">
    <w:name w:val="hljs-selector-attr"/>
    <w:basedOn w:val="a0"/>
    <w:rsid w:val="00C91F79"/>
  </w:style>
  <w:style w:type="character" w:customStyle="1" w:styleId="hljs-selector-tag">
    <w:name w:val="hljs-selector-tag"/>
    <w:basedOn w:val="a0"/>
    <w:rsid w:val="00C91F79"/>
  </w:style>
  <w:style w:type="character" w:customStyle="1" w:styleId="hljs-type">
    <w:name w:val="hljs-type"/>
    <w:basedOn w:val="a0"/>
    <w:rsid w:val="00A712AA"/>
  </w:style>
  <w:style w:type="character" w:customStyle="1" w:styleId="hljs-meta">
    <w:name w:val="hljs-meta"/>
    <w:basedOn w:val="a0"/>
    <w:rsid w:val="00A712AA"/>
  </w:style>
  <w:style w:type="character" w:customStyle="1" w:styleId="flex">
    <w:name w:val="flex"/>
    <w:basedOn w:val="a0"/>
    <w:rsid w:val="00A712AA"/>
  </w:style>
  <w:style w:type="character" w:customStyle="1" w:styleId="hljs-symbol">
    <w:name w:val="hljs-symbol"/>
    <w:basedOn w:val="a0"/>
    <w:rsid w:val="00CE03EA"/>
  </w:style>
  <w:style w:type="character" w:customStyle="1" w:styleId="hljs-section">
    <w:name w:val="hljs-section"/>
    <w:basedOn w:val="a0"/>
    <w:rsid w:val="00897DC7"/>
  </w:style>
  <w:style w:type="character" w:customStyle="1" w:styleId="hljs-selector-class">
    <w:name w:val="hljs-selector-class"/>
    <w:basedOn w:val="a0"/>
    <w:rsid w:val="00897DC7"/>
  </w:style>
  <w:style w:type="character" w:customStyle="1" w:styleId="hide-tail">
    <w:name w:val="hide-tail"/>
    <w:basedOn w:val="a0"/>
    <w:rsid w:val="003A0A86"/>
  </w:style>
  <w:style w:type="character" w:customStyle="1" w:styleId="brace-left">
    <w:name w:val="brace-left"/>
    <w:basedOn w:val="a0"/>
    <w:rsid w:val="00247FE0"/>
  </w:style>
  <w:style w:type="character" w:customStyle="1" w:styleId="brace-center">
    <w:name w:val="brace-center"/>
    <w:basedOn w:val="a0"/>
    <w:rsid w:val="00247FE0"/>
  </w:style>
  <w:style w:type="character" w:customStyle="1" w:styleId="brace-right">
    <w:name w:val="brace-right"/>
    <w:basedOn w:val="a0"/>
    <w:rsid w:val="00247FE0"/>
  </w:style>
  <w:style w:type="character" w:customStyle="1" w:styleId="hljs-punctuation">
    <w:name w:val="hljs-punctuation"/>
    <w:basedOn w:val="a0"/>
    <w:rsid w:val="00247FE0"/>
  </w:style>
  <w:style w:type="character" w:customStyle="1" w:styleId="hljs-attr">
    <w:name w:val="hljs-attr"/>
    <w:basedOn w:val="a0"/>
    <w:rsid w:val="00247FE0"/>
  </w:style>
  <w:style w:type="character" w:customStyle="1" w:styleId="katex-error">
    <w:name w:val="katex-error"/>
    <w:basedOn w:val="a0"/>
    <w:rsid w:val="00414D53"/>
  </w:style>
</w:styles>
</file>

<file path=word/webSettings.xml><?xml version="1.0" encoding="utf-8"?>
<w:webSettings xmlns:r="http://schemas.openxmlformats.org/officeDocument/2006/relationships" xmlns:w="http://schemas.openxmlformats.org/wordprocessingml/2006/main">
  <w:divs>
    <w:div w:id="9263146">
      <w:bodyDiv w:val="1"/>
      <w:marLeft w:val="0"/>
      <w:marRight w:val="0"/>
      <w:marTop w:val="0"/>
      <w:marBottom w:val="0"/>
      <w:divBdr>
        <w:top w:val="none" w:sz="0" w:space="0" w:color="auto"/>
        <w:left w:val="none" w:sz="0" w:space="0" w:color="auto"/>
        <w:bottom w:val="none" w:sz="0" w:space="0" w:color="auto"/>
        <w:right w:val="none" w:sz="0" w:space="0" w:color="auto"/>
      </w:divBdr>
    </w:div>
    <w:div w:id="18048825">
      <w:bodyDiv w:val="1"/>
      <w:marLeft w:val="0"/>
      <w:marRight w:val="0"/>
      <w:marTop w:val="0"/>
      <w:marBottom w:val="0"/>
      <w:divBdr>
        <w:top w:val="none" w:sz="0" w:space="0" w:color="auto"/>
        <w:left w:val="none" w:sz="0" w:space="0" w:color="auto"/>
        <w:bottom w:val="none" w:sz="0" w:space="0" w:color="auto"/>
        <w:right w:val="none" w:sz="0" w:space="0" w:color="auto"/>
      </w:divBdr>
      <w:divsChild>
        <w:div w:id="1758015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473353">
      <w:bodyDiv w:val="1"/>
      <w:marLeft w:val="0"/>
      <w:marRight w:val="0"/>
      <w:marTop w:val="0"/>
      <w:marBottom w:val="0"/>
      <w:divBdr>
        <w:top w:val="none" w:sz="0" w:space="0" w:color="auto"/>
        <w:left w:val="none" w:sz="0" w:space="0" w:color="auto"/>
        <w:bottom w:val="none" w:sz="0" w:space="0" w:color="auto"/>
        <w:right w:val="none" w:sz="0" w:space="0" w:color="auto"/>
      </w:divBdr>
    </w:div>
    <w:div w:id="61490791">
      <w:bodyDiv w:val="1"/>
      <w:marLeft w:val="0"/>
      <w:marRight w:val="0"/>
      <w:marTop w:val="0"/>
      <w:marBottom w:val="0"/>
      <w:divBdr>
        <w:top w:val="none" w:sz="0" w:space="0" w:color="auto"/>
        <w:left w:val="none" w:sz="0" w:space="0" w:color="auto"/>
        <w:bottom w:val="none" w:sz="0" w:space="0" w:color="auto"/>
        <w:right w:val="none" w:sz="0" w:space="0" w:color="auto"/>
      </w:divBdr>
    </w:div>
    <w:div w:id="67926041">
      <w:bodyDiv w:val="1"/>
      <w:marLeft w:val="0"/>
      <w:marRight w:val="0"/>
      <w:marTop w:val="0"/>
      <w:marBottom w:val="0"/>
      <w:divBdr>
        <w:top w:val="none" w:sz="0" w:space="0" w:color="auto"/>
        <w:left w:val="none" w:sz="0" w:space="0" w:color="auto"/>
        <w:bottom w:val="none" w:sz="0" w:space="0" w:color="auto"/>
        <w:right w:val="none" w:sz="0" w:space="0" w:color="auto"/>
      </w:divBdr>
    </w:div>
    <w:div w:id="90319189">
      <w:bodyDiv w:val="1"/>
      <w:marLeft w:val="0"/>
      <w:marRight w:val="0"/>
      <w:marTop w:val="0"/>
      <w:marBottom w:val="0"/>
      <w:divBdr>
        <w:top w:val="none" w:sz="0" w:space="0" w:color="auto"/>
        <w:left w:val="none" w:sz="0" w:space="0" w:color="auto"/>
        <w:bottom w:val="none" w:sz="0" w:space="0" w:color="auto"/>
        <w:right w:val="none" w:sz="0" w:space="0" w:color="auto"/>
      </w:divBdr>
    </w:div>
    <w:div w:id="111367446">
      <w:bodyDiv w:val="1"/>
      <w:marLeft w:val="0"/>
      <w:marRight w:val="0"/>
      <w:marTop w:val="0"/>
      <w:marBottom w:val="0"/>
      <w:divBdr>
        <w:top w:val="none" w:sz="0" w:space="0" w:color="auto"/>
        <w:left w:val="none" w:sz="0" w:space="0" w:color="auto"/>
        <w:bottom w:val="none" w:sz="0" w:space="0" w:color="auto"/>
        <w:right w:val="none" w:sz="0" w:space="0" w:color="auto"/>
      </w:divBdr>
    </w:div>
    <w:div w:id="131530906">
      <w:bodyDiv w:val="1"/>
      <w:marLeft w:val="0"/>
      <w:marRight w:val="0"/>
      <w:marTop w:val="0"/>
      <w:marBottom w:val="0"/>
      <w:divBdr>
        <w:top w:val="none" w:sz="0" w:space="0" w:color="auto"/>
        <w:left w:val="none" w:sz="0" w:space="0" w:color="auto"/>
        <w:bottom w:val="none" w:sz="0" w:space="0" w:color="auto"/>
        <w:right w:val="none" w:sz="0" w:space="0" w:color="auto"/>
      </w:divBdr>
    </w:div>
    <w:div w:id="156774138">
      <w:bodyDiv w:val="1"/>
      <w:marLeft w:val="0"/>
      <w:marRight w:val="0"/>
      <w:marTop w:val="0"/>
      <w:marBottom w:val="0"/>
      <w:divBdr>
        <w:top w:val="none" w:sz="0" w:space="0" w:color="auto"/>
        <w:left w:val="none" w:sz="0" w:space="0" w:color="auto"/>
        <w:bottom w:val="none" w:sz="0" w:space="0" w:color="auto"/>
        <w:right w:val="none" w:sz="0" w:space="0" w:color="auto"/>
      </w:divBdr>
    </w:div>
    <w:div w:id="165757199">
      <w:bodyDiv w:val="1"/>
      <w:marLeft w:val="0"/>
      <w:marRight w:val="0"/>
      <w:marTop w:val="0"/>
      <w:marBottom w:val="0"/>
      <w:divBdr>
        <w:top w:val="none" w:sz="0" w:space="0" w:color="auto"/>
        <w:left w:val="none" w:sz="0" w:space="0" w:color="auto"/>
        <w:bottom w:val="none" w:sz="0" w:space="0" w:color="auto"/>
        <w:right w:val="none" w:sz="0" w:space="0" w:color="auto"/>
      </w:divBdr>
    </w:div>
    <w:div w:id="166792766">
      <w:bodyDiv w:val="1"/>
      <w:marLeft w:val="0"/>
      <w:marRight w:val="0"/>
      <w:marTop w:val="0"/>
      <w:marBottom w:val="0"/>
      <w:divBdr>
        <w:top w:val="none" w:sz="0" w:space="0" w:color="auto"/>
        <w:left w:val="none" w:sz="0" w:space="0" w:color="auto"/>
        <w:bottom w:val="none" w:sz="0" w:space="0" w:color="auto"/>
        <w:right w:val="none" w:sz="0" w:space="0" w:color="auto"/>
      </w:divBdr>
    </w:div>
    <w:div w:id="174081476">
      <w:bodyDiv w:val="1"/>
      <w:marLeft w:val="0"/>
      <w:marRight w:val="0"/>
      <w:marTop w:val="0"/>
      <w:marBottom w:val="0"/>
      <w:divBdr>
        <w:top w:val="none" w:sz="0" w:space="0" w:color="auto"/>
        <w:left w:val="none" w:sz="0" w:space="0" w:color="auto"/>
        <w:bottom w:val="none" w:sz="0" w:space="0" w:color="auto"/>
        <w:right w:val="none" w:sz="0" w:space="0" w:color="auto"/>
      </w:divBdr>
    </w:div>
    <w:div w:id="209146132">
      <w:bodyDiv w:val="1"/>
      <w:marLeft w:val="0"/>
      <w:marRight w:val="0"/>
      <w:marTop w:val="0"/>
      <w:marBottom w:val="0"/>
      <w:divBdr>
        <w:top w:val="none" w:sz="0" w:space="0" w:color="auto"/>
        <w:left w:val="none" w:sz="0" w:space="0" w:color="auto"/>
        <w:bottom w:val="none" w:sz="0" w:space="0" w:color="auto"/>
        <w:right w:val="none" w:sz="0" w:space="0" w:color="auto"/>
      </w:divBdr>
    </w:div>
    <w:div w:id="219563132">
      <w:bodyDiv w:val="1"/>
      <w:marLeft w:val="0"/>
      <w:marRight w:val="0"/>
      <w:marTop w:val="0"/>
      <w:marBottom w:val="0"/>
      <w:divBdr>
        <w:top w:val="none" w:sz="0" w:space="0" w:color="auto"/>
        <w:left w:val="none" w:sz="0" w:space="0" w:color="auto"/>
        <w:bottom w:val="none" w:sz="0" w:space="0" w:color="auto"/>
        <w:right w:val="none" w:sz="0" w:space="0" w:color="auto"/>
      </w:divBdr>
    </w:div>
    <w:div w:id="229852883">
      <w:bodyDiv w:val="1"/>
      <w:marLeft w:val="0"/>
      <w:marRight w:val="0"/>
      <w:marTop w:val="0"/>
      <w:marBottom w:val="0"/>
      <w:divBdr>
        <w:top w:val="none" w:sz="0" w:space="0" w:color="auto"/>
        <w:left w:val="none" w:sz="0" w:space="0" w:color="auto"/>
        <w:bottom w:val="none" w:sz="0" w:space="0" w:color="auto"/>
        <w:right w:val="none" w:sz="0" w:space="0" w:color="auto"/>
      </w:divBdr>
    </w:div>
    <w:div w:id="233468680">
      <w:bodyDiv w:val="1"/>
      <w:marLeft w:val="0"/>
      <w:marRight w:val="0"/>
      <w:marTop w:val="0"/>
      <w:marBottom w:val="0"/>
      <w:divBdr>
        <w:top w:val="none" w:sz="0" w:space="0" w:color="auto"/>
        <w:left w:val="none" w:sz="0" w:space="0" w:color="auto"/>
        <w:bottom w:val="none" w:sz="0" w:space="0" w:color="auto"/>
        <w:right w:val="none" w:sz="0" w:space="0" w:color="auto"/>
      </w:divBdr>
    </w:div>
    <w:div w:id="240676364">
      <w:bodyDiv w:val="1"/>
      <w:marLeft w:val="0"/>
      <w:marRight w:val="0"/>
      <w:marTop w:val="0"/>
      <w:marBottom w:val="0"/>
      <w:divBdr>
        <w:top w:val="none" w:sz="0" w:space="0" w:color="auto"/>
        <w:left w:val="none" w:sz="0" w:space="0" w:color="auto"/>
        <w:bottom w:val="none" w:sz="0" w:space="0" w:color="auto"/>
        <w:right w:val="none" w:sz="0" w:space="0" w:color="auto"/>
      </w:divBdr>
      <w:divsChild>
        <w:div w:id="1725639753">
          <w:marLeft w:val="0"/>
          <w:marRight w:val="0"/>
          <w:marTop w:val="0"/>
          <w:marBottom w:val="0"/>
          <w:divBdr>
            <w:top w:val="none" w:sz="0" w:space="0" w:color="auto"/>
            <w:left w:val="none" w:sz="0" w:space="0" w:color="auto"/>
            <w:bottom w:val="none" w:sz="0" w:space="0" w:color="auto"/>
            <w:right w:val="none" w:sz="0" w:space="0" w:color="auto"/>
          </w:divBdr>
        </w:div>
        <w:div w:id="1921980280">
          <w:marLeft w:val="0"/>
          <w:marRight w:val="0"/>
          <w:marTop w:val="0"/>
          <w:marBottom w:val="0"/>
          <w:divBdr>
            <w:top w:val="none" w:sz="0" w:space="0" w:color="auto"/>
            <w:left w:val="none" w:sz="0" w:space="0" w:color="auto"/>
            <w:bottom w:val="none" w:sz="0" w:space="0" w:color="auto"/>
            <w:right w:val="none" w:sz="0" w:space="0" w:color="auto"/>
          </w:divBdr>
        </w:div>
        <w:div w:id="1971546778">
          <w:marLeft w:val="0"/>
          <w:marRight w:val="0"/>
          <w:marTop w:val="0"/>
          <w:marBottom w:val="0"/>
          <w:divBdr>
            <w:top w:val="none" w:sz="0" w:space="0" w:color="auto"/>
            <w:left w:val="none" w:sz="0" w:space="0" w:color="auto"/>
            <w:bottom w:val="none" w:sz="0" w:space="0" w:color="auto"/>
            <w:right w:val="none" w:sz="0" w:space="0" w:color="auto"/>
          </w:divBdr>
        </w:div>
        <w:div w:id="1050227184">
          <w:marLeft w:val="0"/>
          <w:marRight w:val="0"/>
          <w:marTop w:val="0"/>
          <w:marBottom w:val="0"/>
          <w:divBdr>
            <w:top w:val="none" w:sz="0" w:space="0" w:color="auto"/>
            <w:left w:val="none" w:sz="0" w:space="0" w:color="auto"/>
            <w:bottom w:val="none" w:sz="0" w:space="0" w:color="auto"/>
            <w:right w:val="none" w:sz="0" w:space="0" w:color="auto"/>
          </w:divBdr>
        </w:div>
        <w:div w:id="1667785100">
          <w:marLeft w:val="0"/>
          <w:marRight w:val="0"/>
          <w:marTop w:val="0"/>
          <w:marBottom w:val="0"/>
          <w:divBdr>
            <w:top w:val="none" w:sz="0" w:space="0" w:color="auto"/>
            <w:left w:val="none" w:sz="0" w:space="0" w:color="auto"/>
            <w:bottom w:val="none" w:sz="0" w:space="0" w:color="auto"/>
            <w:right w:val="none" w:sz="0" w:space="0" w:color="auto"/>
          </w:divBdr>
        </w:div>
        <w:div w:id="1474101699">
          <w:marLeft w:val="0"/>
          <w:marRight w:val="0"/>
          <w:marTop w:val="0"/>
          <w:marBottom w:val="0"/>
          <w:divBdr>
            <w:top w:val="none" w:sz="0" w:space="0" w:color="auto"/>
            <w:left w:val="none" w:sz="0" w:space="0" w:color="auto"/>
            <w:bottom w:val="none" w:sz="0" w:space="0" w:color="auto"/>
            <w:right w:val="none" w:sz="0" w:space="0" w:color="auto"/>
          </w:divBdr>
        </w:div>
        <w:div w:id="503015212">
          <w:marLeft w:val="0"/>
          <w:marRight w:val="0"/>
          <w:marTop w:val="0"/>
          <w:marBottom w:val="0"/>
          <w:divBdr>
            <w:top w:val="none" w:sz="0" w:space="0" w:color="auto"/>
            <w:left w:val="none" w:sz="0" w:space="0" w:color="auto"/>
            <w:bottom w:val="none" w:sz="0" w:space="0" w:color="auto"/>
            <w:right w:val="none" w:sz="0" w:space="0" w:color="auto"/>
          </w:divBdr>
        </w:div>
        <w:div w:id="953974353">
          <w:marLeft w:val="0"/>
          <w:marRight w:val="0"/>
          <w:marTop w:val="0"/>
          <w:marBottom w:val="0"/>
          <w:divBdr>
            <w:top w:val="none" w:sz="0" w:space="0" w:color="auto"/>
            <w:left w:val="none" w:sz="0" w:space="0" w:color="auto"/>
            <w:bottom w:val="none" w:sz="0" w:space="0" w:color="auto"/>
            <w:right w:val="none" w:sz="0" w:space="0" w:color="auto"/>
          </w:divBdr>
        </w:div>
        <w:div w:id="691416568">
          <w:marLeft w:val="0"/>
          <w:marRight w:val="0"/>
          <w:marTop w:val="0"/>
          <w:marBottom w:val="0"/>
          <w:divBdr>
            <w:top w:val="none" w:sz="0" w:space="0" w:color="auto"/>
            <w:left w:val="none" w:sz="0" w:space="0" w:color="auto"/>
            <w:bottom w:val="none" w:sz="0" w:space="0" w:color="auto"/>
            <w:right w:val="none" w:sz="0" w:space="0" w:color="auto"/>
          </w:divBdr>
        </w:div>
        <w:div w:id="328487324">
          <w:marLeft w:val="0"/>
          <w:marRight w:val="0"/>
          <w:marTop w:val="0"/>
          <w:marBottom w:val="0"/>
          <w:divBdr>
            <w:top w:val="none" w:sz="0" w:space="0" w:color="auto"/>
            <w:left w:val="none" w:sz="0" w:space="0" w:color="auto"/>
            <w:bottom w:val="none" w:sz="0" w:space="0" w:color="auto"/>
            <w:right w:val="none" w:sz="0" w:space="0" w:color="auto"/>
          </w:divBdr>
        </w:div>
        <w:div w:id="1779328214">
          <w:marLeft w:val="0"/>
          <w:marRight w:val="0"/>
          <w:marTop w:val="0"/>
          <w:marBottom w:val="0"/>
          <w:divBdr>
            <w:top w:val="none" w:sz="0" w:space="0" w:color="auto"/>
            <w:left w:val="none" w:sz="0" w:space="0" w:color="auto"/>
            <w:bottom w:val="none" w:sz="0" w:space="0" w:color="auto"/>
            <w:right w:val="none" w:sz="0" w:space="0" w:color="auto"/>
          </w:divBdr>
        </w:div>
        <w:div w:id="2046445053">
          <w:marLeft w:val="0"/>
          <w:marRight w:val="0"/>
          <w:marTop w:val="0"/>
          <w:marBottom w:val="0"/>
          <w:divBdr>
            <w:top w:val="none" w:sz="0" w:space="0" w:color="auto"/>
            <w:left w:val="none" w:sz="0" w:space="0" w:color="auto"/>
            <w:bottom w:val="none" w:sz="0" w:space="0" w:color="auto"/>
            <w:right w:val="none" w:sz="0" w:space="0" w:color="auto"/>
          </w:divBdr>
        </w:div>
        <w:div w:id="535771571">
          <w:marLeft w:val="0"/>
          <w:marRight w:val="0"/>
          <w:marTop w:val="0"/>
          <w:marBottom w:val="0"/>
          <w:divBdr>
            <w:top w:val="none" w:sz="0" w:space="0" w:color="auto"/>
            <w:left w:val="none" w:sz="0" w:space="0" w:color="auto"/>
            <w:bottom w:val="none" w:sz="0" w:space="0" w:color="auto"/>
            <w:right w:val="none" w:sz="0" w:space="0" w:color="auto"/>
          </w:divBdr>
        </w:div>
        <w:div w:id="530460256">
          <w:marLeft w:val="0"/>
          <w:marRight w:val="0"/>
          <w:marTop w:val="0"/>
          <w:marBottom w:val="0"/>
          <w:divBdr>
            <w:top w:val="none" w:sz="0" w:space="0" w:color="auto"/>
            <w:left w:val="none" w:sz="0" w:space="0" w:color="auto"/>
            <w:bottom w:val="none" w:sz="0" w:space="0" w:color="auto"/>
            <w:right w:val="none" w:sz="0" w:space="0" w:color="auto"/>
          </w:divBdr>
        </w:div>
        <w:div w:id="1047098834">
          <w:marLeft w:val="0"/>
          <w:marRight w:val="0"/>
          <w:marTop w:val="0"/>
          <w:marBottom w:val="0"/>
          <w:divBdr>
            <w:top w:val="none" w:sz="0" w:space="0" w:color="auto"/>
            <w:left w:val="none" w:sz="0" w:space="0" w:color="auto"/>
            <w:bottom w:val="none" w:sz="0" w:space="0" w:color="auto"/>
            <w:right w:val="none" w:sz="0" w:space="0" w:color="auto"/>
          </w:divBdr>
        </w:div>
        <w:div w:id="781075490">
          <w:marLeft w:val="0"/>
          <w:marRight w:val="0"/>
          <w:marTop w:val="0"/>
          <w:marBottom w:val="0"/>
          <w:divBdr>
            <w:top w:val="none" w:sz="0" w:space="0" w:color="auto"/>
            <w:left w:val="none" w:sz="0" w:space="0" w:color="auto"/>
            <w:bottom w:val="none" w:sz="0" w:space="0" w:color="auto"/>
            <w:right w:val="none" w:sz="0" w:space="0" w:color="auto"/>
          </w:divBdr>
        </w:div>
        <w:div w:id="1735816268">
          <w:marLeft w:val="0"/>
          <w:marRight w:val="0"/>
          <w:marTop w:val="0"/>
          <w:marBottom w:val="0"/>
          <w:divBdr>
            <w:top w:val="none" w:sz="0" w:space="0" w:color="auto"/>
            <w:left w:val="none" w:sz="0" w:space="0" w:color="auto"/>
            <w:bottom w:val="none" w:sz="0" w:space="0" w:color="auto"/>
            <w:right w:val="none" w:sz="0" w:space="0" w:color="auto"/>
          </w:divBdr>
        </w:div>
        <w:div w:id="900947544">
          <w:marLeft w:val="0"/>
          <w:marRight w:val="0"/>
          <w:marTop w:val="0"/>
          <w:marBottom w:val="0"/>
          <w:divBdr>
            <w:top w:val="none" w:sz="0" w:space="0" w:color="auto"/>
            <w:left w:val="none" w:sz="0" w:space="0" w:color="auto"/>
            <w:bottom w:val="none" w:sz="0" w:space="0" w:color="auto"/>
            <w:right w:val="none" w:sz="0" w:space="0" w:color="auto"/>
          </w:divBdr>
        </w:div>
        <w:div w:id="2127851724">
          <w:marLeft w:val="0"/>
          <w:marRight w:val="0"/>
          <w:marTop w:val="0"/>
          <w:marBottom w:val="0"/>
          <w:divBdr>
            <w:top w:val="none" w:sz="0" w:space="0" w:color="auto"/>
            <w:left w:val="none" w:sz="0" w:space="0" w:color="auto"/>
            <w:bottom w:val="none" w:sz="0" w:space="0" w:color="auto"/>
            <w:right w:val="none" w:sz="0" w:space="0" w:color="auto"/>
          </w:divBdr>
        </w:div>
        <w:div w:id="1551528200">
          <w:marLeft w:val="0"/>
          <w:marRight w:val="0"/>
          <w:marTop w:val="0"/>
          <w:marBottom w:val="0"/>
          <w:divBdr>
            <w:top w:val="none" w:sz="0" w:space="0" w:color="auto"/>
            <w:left w:val="none" w:sz="0" w:space="0" w:color="auto"/>
            <w:bottom w:val="none" w:sz="0" w:space="0" w:color="auto"/>
            <w:right w:val="none" w:sz="0" w:space="0" w:color="auto"/>
          </w:divBdr>
        </w:div>
        <w:div w:id="1460298064">
          <w:marLeft w:val="0"/>
          <w:marRight w:val="0"/>
          <w:marTop w:val="0"/>
          <w:marBottom w:val="0"/>
          <w:divBdr>
            <w:top w:val="none" w:sz="0" w:space="0" w:color="auto"/>
            <w:left w:val="none" w:sz="0" w:space="0" w:color="auto"/>
            <w:bottom w:val="none" w:sz="0" w:space="0" w:color="auto"/>
            <w:right w:val="none" w:sz="0" w:space="0" w:color="auto"/>
          </w:divBdr>
        </w:div>
        <w:div w:id="1877236898">
          <w:marLeft w:val="0"/>
          <w:marRight w:val="0"/>
          <w:marTop w:val="0"/>
          <w:marBottom w:val="0"/>
          <w:divBdr>
            <w:top w:val="none" w:sz="0" w:space="0" w:color="auto"/>
            <w:left w:val="none" w:sz="0" w:space="0" w:color="auto"/>
            <w:bottom w:val="none" w:sz="0" w:space="0" w:color="auto"/>
            <w:right w:val="none" w:sz="0" w:space="0" w:color="auto"/>
          </w:divBdr>
        </w:div>
        <w:div w:id="1623341241">
          <w:marLeft w:val="0"/>
          <w:marRight w:val="0"/>
          <w:marTop w:val="0"/>
          <w:marBottom w:val="0"/>
          <w:divBdr>
            <w:top w:val="none" w:sz="0" w:space="0" w:color="auto"/>
            <w:left w:val="none" w:sz="0" w:space="0" w:color="auto"/>
            <w:bottom w:val="none" w:sz="0" w:space="0" w:color="auto"/>
            <w:right w:val="none" w:sz="0" w:space="0" w:color="auto"/>
          </w:divBdr>
        </w:div>
        <w:div w:id="446579480">
          <w:marLeft w:val="0"/>
          <w:marRight w:val="0"/>
          <w:marTop w:val="0"/>
          <w:marBottom w:val="0"/>
          <w:divBdr>
            <w:top w:val="none" w:sz="0" w:space="0" w:color="auto"/>
            <w:left w:val="none" w:sz="0" w:space="0" w:color="auto"/>
            <w:bottom w:val="none" w:sz="0" w:space="0" w:color="auto"/>
            <w:right w:val="none" w:sz="0" w:space="0" w:color="auto"/>
          </w:divBdr>
        </w:div>
        <w:div w:id="64038754">
          <w:marLeft w:val="0"/>
          <w:marRight w:val="0"/>
          <w:marTop w:val="0"/>
          <w:marBottom w:val="0"/>
          <w:divBdr>
            <w:top w:val="none" w:sz="0" w:space="0" w:color="auto"/>
            <w:left w:val="none" w:sz="0" w:space="0" w:color="auto"/>
            <w:bottom w:val="none" w:sz="0" w:space="0" w:color="auto"/>
            <w:right w:val="none" w:sz="0" w:space="0" w:color="auto"/>
          </w:divBdr>
        </w:div>
        <w:div w:id="2000574953">
          <w:marLeft w:val="0"/>
          <w:marRight w:val="0"/>
          <w:marTop w:val="0"/>
          <w:marBottom w:val="0"/>
          <w:divBdr>
            <w:top w:val="none" w:sz="0" w:space="0" w:color="auto"/>
            <w:left w:val="none" w:sz="0" w:space="0" w:color="auto"/>
            <w:bottom w:val="none" w:sz="0" w:space="0" w:color="auto"/>
            <w:right w:val="none" w:sz="0" w:space="0" w:color="auto"/>
          </w:divBdr>
        </w:div>
        <w:div w:id="1555777036">
          <w:marLeft w:val="0"/>
          <w:marRight w:val="0"/>
          <w:marTop w:val="0"/>
          <w:marBottom w:val="0"/>
          <w:divBdr>
            <w:top w:val="none" w:sz="0" w:space="0" w:color="auto"/>
            <w:left w:val="none" w:sz="0" w:space="0" w:color="auto"/>
            <w:bottom w:val="none" w:sz="0" w:space="0" w:color="auto"/>
            <w:right w:val="none" w:sz="0" w:space="0" w:color="auto"/>
          </w:divBdr>
        </w:div>
        <w:div w:id="1305505582">
          <w:marLeft w:val="0"/>
          <w:marRight w:val="0"/>
          <w:marTop w:val="0"/>
          <w:marBottom w:val="0"/>
          <w:divBdr>
            <w:top w:val="none" w:sz="0" w:space="0" w:color="auto"/>
            <w:left w:val="none" w:sz="0" w:space="0" w:color="auto"/>
            <w:bottom w:val="none" w:sz="0" w:space="0" w:color="auto"/>
            <w:right w:val="none" w:sz="0" w:space="0" w:color="auto"/>
          </w:divBdr>
        </w:div>
        <w:div w:id="1571037194">
          <w:marLeft w:val="0"/>
          <w:marRight w:val="0"/>
          <w:marTop w:val="0"/>
          <w:marBottom w:val="0"/>
          <w:divBdr>
            <w:top w:val="none" w:sz="0" w:space="0" w:color="auto"/>
            <w:left w:val="none" w:sz="0" w:space="0" w:color="auto"/>
            <w:bottom w:val="none" w:sz="0" w:space="0" w:color="auto"/>
            <w:right w:val="none" w:sz="0" w:space="0" w:color="auto"/>
          </w:divBdr>
        </w:div>
        <w:div w:id="597182580">
          <w:marLeft w:val="0"/>
          <w:marRight w:val="0"/>
          <w:marTop w:val="0"/>
          <w:marBottom w:val="0"/>
          <w:divBdr>
            <w:top w:val="none" w:sz="0" w:space="0" w:color="auto"/>
            <w:left w:val="none" w:sz="0" w:space="0" w:color="auto"/>
            <w:bottom w:val="none" w:sz="0" w:space="0" w:color="auto"/>
            <w:right w:val="none" w:sz="0" w:space="0" w:color="auto"/>
          </w:divBdr>
        </w:div>
        <w:div w:id="928544235">
          <w:marLeft w:val="0"/>
          <w:marRight w:val="0"/>
          <w:marTop w:val="0"/>
          <w:marBottom w:val="0"/>
          <w:divBdr>
            <w:top w:val="none" w:sz="0" w:space="0" w:color="auto"/>
            <w:left w:val="none" w:sz="0" w:space="0" w:color="auto"/>
            <w:bottom w:val="none" w:sz="0" w:space="0" w:color="auto"/>
            <w:right w:val="none" w:sz="0" w:space="0" w:color="auto"/>
          </w:divBdr>
        </w:div>
        <w:div w:id="1484925506">
          <w:marLeft w:val="0"/>
          <w:marRight w:val="0"/>
          <w:marTop w:val="0"/>
          <w:marBottom w:val="0"/>
          <w:divBdr>
            <w:top w:val="none" w:sz="0" w:space="0" w:color="auto"/>
            <w:left w:val="none" w:sz="0" w:space="0" w:color="auto"/>
            <w:bottom w:val="none" w:sz="0" w:space="0" w:color="auto"/>
            <w:right w:val="none" w:sz="0" w:space="0" w:color="auto"/>
          </w:divBdr>
        </w:div>
        <w:div w:id="1241328815">
          <w:marLeft w:val="0"/>
          <w:marRight w:val="0"/>
          <w:marTop w:val="0"/>
          <w:marBottom w:val="0"/>
          <w:divBdr>
            <w:top w:val="none" w:sz="0" w:space="0" w:color="auto"/>
            <w:left w:val="none" w:sz="0" w:space="0" w:color="auto"/>
            <w:bottom w:val="none" w:sz="0" w:space="0" w:color="auto"/>
            <w:right w:val="none" w:sz="0" w:space="0" w:color="auto"/>
          </w:divBdr>
        </w:div>
        <w:div w:id="1508598716">
          <w:marLeft w:val="0"/>
          <w:marRight w:val="0"/>
          <w:marTop w:val="0"/>
          <w:marBottom w:val="0"/>
          <w:divBdr>
            <w:top w:val="none" w:sz="0" w:space="0" w:color="auto"/>
            <w:left w:val="none" w:sz="0" w:space="0" w:color="auto"/>
            <w:bottom w:val="none" w:sz="0" w:space="0" w:color="auto"/>
            <w:right w:val="none" w:sz="0" w:space="0" w:color="auto"/>
          </w:divBdr>
        </w:div>
        <w:div w:id="1130562115">
          <w:marLeft w:val="0"/>
          <w:marRight w:val="0"/>
          <w:marTop w:val="0"/>
          <w:marBottom w:val="0"/>
          <w:divBdr>
            <w:top w:val="none" w:sz="0" w:space="0" w:color="auto"/>
            <w:left w:val="none" w:sz="0" w:space="0" w:color="auto"/>
            <w:bottom w:val="none" w:sz="0" w:space="0" w:color="auto"/>
            <w:right w:val="none" w:sz="0" w:space="0" w:color="auto"/>
          </w:divBdr>
        </w:div>
        <w:div w:id="1332221027">
          <w:marLeft w:val="0"/>
          <w:marRight w:val="0"/>
          <w:marTop w:val="0"/>
          <w:marBottom w:val="0"/>
          <w:divBdr>
            <w:top w:val="none" w:sz="0" w:space="0" w:color="auto"/>
            <w:left w:val="none" w:sz="0" w:space="0" w:color="auto"/>
            <w:bottom w:val="none" w:sz="0" w:space="0" w:color="auto"/>
            <w:right w:val="none" w:sz="0" w:space="0" w:color="auto"/>
          </w:divBdr>
        </w:div>
        <w:div w:id="938483323">
          <w:marLeft w:val="0"/>
          <w:marRight w:val="0"/>
          <w:marTop w:val="0"/>
          <w:marBottom w:val="0"/>
          <w:divBdr>
            <w:top w:val="none" w:sz="0" w:space="0" w:color="auto"/>
            <w:left w:val="none" w:sz="0" w:space="0" w:color="auto"/>
            <w:bottom w:val="none" w:sz="0" w:space="0" w:color="auto"/>
            <w:right w:val="none" w:sz="0" w:space="0" w:color="auto"/>
          </w:divBdr>
        </w:div>
        <w:div w:id="1901944732">
          <w:marLeft w:val="0"/>
          <w:marRight w:val="0"/>
          <w:marTop w:val="0"/>
          <w:marBottom w:val="0"/>
          <w:divBdr>
            <w:top w:val="none" w:sz="0" w:space="0" w:color="auto"/>
            <w:left w:val="none" w:sz="0" w:space="0" w:color="auto"/>
            <w:bottom w:val="none" w:sz="0" w:space="0" w:color="auto"/>
            <w:right w:val="none" w:sz="0" w:space="0" w:color="auto"/>
          </w:divBdr>
        </w:div>
        <w:div w:id="392776872">
          <w:marLeft w:val="0"/>
          <w:marRight w:val="0"/>
          <w:marTop w:val="0"/>
          <w:marBottom w:val="0"/>
          <w:divBdr>
            <w:top w:val="none" w:sz="0" w:space="0" w:color="auto"/>
            <w:left w:val="none" w:sz="0" w:space="0" w:color="auto"/>
            <w:bottom w:val="none" w:sz="0" w:space="0" w:color="auto"/>
            <w:right w:val="none" w:sz="0" w:space="0" w:color="auto"/>
          </w:divBdr>
        </w:div>
        <w:div w:id="1442189881">
          <w:marLeft w:val="0"/>
          <w:marRight w:val="0"/>
          <w:marTop w:val="0"/>
          <w:marBottom w:val="0"/>
          <w:divBdr>
            <w:top w:val="none" w:sz="0" w:space="0" w:color="auto"/>
            <w:left w:val="none" w:sz="0" w:space="0" w:color="auto"/>
            <w:bottom w:val="none" w:sz="0" w:space="0" w:color="auto"/>
            <w:right w:val="none" w:sz="0" w:space="0" w:color="auto"/>
          </w:divBdr>
        </w:div>
        <w:div w:id="659844497">
          <w:marLeft w:val="0"/>
          <w:marRight w:val="0"/>
          <w:marTop w:val="0"/>
          <w:marBottom w:val="0"/>
          <w:divBdr>
            <w:top w:val="none" w:sz="0" w:space="0" w:color="auto"/>
            <w:left w:val="none" w:sz="0" w:space="0" w:color="auto"/>
            <w:bottom w:val="none" w:sz="0" w:space="0" w:color="auto"/>
            <w:right w:val="none" w:sz="0" w:space="0" w:color="auto"/>
          </w:divBdr>
        </w:div>
        <w:div w:id="61491488">
          <w:marLeft w:val="0"/>
          <w:marRight w:val="0"/>
          <w:marTop w:val="0"/>
          <w:marBottom w:val="0"/>
          <w:divBdr>
            <w:top w:val="none" w:sz="0" w:space="0" w:color="auto"/>
            <w:left w:val="none" w:sz="0" w:space="0" w:color="auto"/>
            <w:bottom w:val="none" w:sz="0" w:space="0" w:color="auto"/>
            <w:right w:val="none" w:sz="0" w:space="0" w:color="auto"/>
          </w:divBdr>
        </w:div>
        <w:div w:id="1619406146">
          <w:marLeft w:val="0"/>
          <w:marRight w:val="0"/>
          <w:marTop w:val="0"/>
          <w:marBottom w:val="0"/>
          <w:divBdr>
            <w:top w:val="none" w:sz="0" w:space="0" w:color="auto"/>
            <w:left w:val="none" w:sz="0" w:space="0" w:color="auto"/>
            <w:bottom w:val="none" w:sz="0" w:space="0" w:color="auto"/>
            <w:right w:val="none" w:sz="0" w:space="0" w:color="auto"/>
          </w:divBdr>
        </w:div>
        <w:div w:id="1397047440">
          <w:marLeft w:val="0"/>
          <w:marRight w:val="0"/>
          <w:marTop w:val="0"/>
          <w:marBottom w:val="0"/>
          <w:divBdr>
            <w:top w:val="none" w:sz="0" w:space="0" w:color="auto"/>
            <w:left w:val="none" w:sz="0" w:space="0" w:color="auto"/>
            <w:bottom w:val="none" w:sz="0" w:space="0" w:color="auto"/>
            <w:right w:val="none" w:sz="0" w:space="0" w:color="auto"/>
          </w:divBdr>
        </w:div>
        <w:div w:id="1691645609">
          <w:marLeft w:val="0"/>
          <w:marRight w:val="0"/>
          <w:marTop w:val="0"/>
          <w:marBottom w:val="0"/>
          <w:divBdr>
            <w:top w:val="none" w:sz="0" w:space="0" w:color="auto"/>
            <w:left w:val="none" w:sz="0" w:space="0" w:color="auto"/>
            <w:bottom w:val="none" w:sz="0" w:space="0" w:color="auto"/>
            <w:right w:val="none" w:sz="0" w:space="0" w:color="auto"/>
          </w:divBdr>
        </w:div>
        <w:div w:id="1283227548">
          <w:marLeft w:val="0"/>
          <w:marRight w:val="0"/>
          <w:marTop w:val="0"/>
          <w:marBottom w:val="0"/>
          <w:divBdr>
            <w:top w:val="none" w:sz="0" w:space="0" w:color="auto"/>
            <w:left w:val="none" w:sz="0" w:space="0" w:color="auto"/>
            <w:bottom w:val="none" w:sz="0" w:space="0" w:color="auto"/>
            <w:right w:val="none" w:sz="0" w:space="0" w:color="auto"/>
          </w:divBdr>
        </w:div>
        <w:div w:id="618993817">
          <w:marLeft w:val="0"/>
          <w:marRight w:val="0"/>
          <w:marTop w:val="0"/>
          <w:marBottom w:val="0"/>
          <w:divBdr>
            <w:top w:val="none" w:sz="0" w:space="0" w:color="auto"/>
            <w:left w:val="none" w:sz="0" w:space="0" w:color="auto"/>
            <w:bottom w:val="none" w:sz="0" w:space="0" w:color="auto"/>
            <w:right w:val="none" w:sz="0" w:space="0" w:color="auto"/>
          </w:divBdr>
        </w:div>
        <w:div w:id="1129401244">
          <w:marLeft w:val="0"/>
          <w:marRight w:val="0"/>
          <w:marTop w:val="0"/>
          <w:marBottom w:val="0"/>
          <w:divBdr>
            <w:top w:val="none" w:sz="0" w:space="0" w:color="auto"/>
            <w:left w:val="none" w:sz="0" w:space="0" w:color="auto"/>
            <w:bottom w:val="none" w:sz="0" w:space="0" w:color="auto"/>
            <w:right w:val="none" w:sz="0" w:space="0" w:color="auto"/>
          </w:divBdr>
        </w:div>
        <w:div w:id="1334990998">
          <w:marLeft w:val="0"/>
          <w:marRight w:val="0"/>
          <w:marTop w:val="0"/>
          <w:marBottom w:val="0"/>
          <w:divBdr>
            <w:top w:val="none" w:sz="0" w:space="0" w:color="auto"/>
            <w:left w:val="none" w:sz="0" w:space="0" w:color="auto"/>
            <w:bottom w:val="none" w:sz="0" w:space="0" w:color="auto"/>
            <w:right w:val="none" w:sz="0" w:space="0" w:color="auto"/>
          </w:divBdr>
        </w:div>
        <w:div w:id="216861236">
          <w:marLeft w:val="0"/>
          <w:marRight w:val="0"/>
          <w:marTop w:val="0"/>
          <w:marBottom w:val="0"/>
          <w:divBdr>
            <w:top w:val="none" w:sz="0" w:space="0" w:color="auto"/>
            <w:left w:val="none" w:sz="0" w:space="0" w:color="auto"/>
            <w:bottom w:val="none" w:sz="0" w:space="0" w:color="auto"/>
            <w:right w:val="none" w:sz="0" w:space="0" w:color="auto"/>
          </w:divBdr>
        </w:div>
        <w:div w:id="1809474606">
          <w:marLeft w:val="0"/>
          <w:marRight w:val="0"/>
          <w:marTop w:val="0"/>
          <w:marBottom w:val="0"/>
          <w:divBdr>
            <w:top w:val="none" w:sz="0" w:space="0" w:color="auto"/>
            <w:left w:val="none" w:sz="0" w:space="0" w:color="auto"/>
            <w:bottom w:val="none" w:sz="0" w:space="0" w:color="auto"/>
            <w:right w:val="none" w:sz="0" w:space="0" w:color="auto"/>
          </w:divBdr>
        </w:div>
        <w:div w:id="1269312560">
          <w:marLeft w:val="0"/>
          <w:marRight w:val="0"/>
          <w:marTop w:val="0"/>
          <w:marBottom w:val="0"/>
          <w:divBdr>
            <w:top w:val="none" w:sz="0" w:space="0" w:color="auto"/>
            <w:left w:val="none" w:sz="0" w:space="0" w:color="auto"/>
            <w:bottom w:val="none" w:sz="0" w:space="0" w:color="auto"/>
            <w:right w:val="none" w:sz="0" w:space="0" w:color="auto"/>
          </w:divBdr>
        </w:div>
        <w:div w:id="819542272">
          <w:marLeft w:val="0"/>
          <w:marRight w:val="0"/>
          <w:marTop w:val="0"/>
          <w:marBottom w:val="0"/>
          <w:divBdr>
            <w:top w:val="none" w:sz="0" w:space="0" w:color="auto"/>
            <w:left w:val="none" w:sz="0" w:space="0" w:color="auto"/>
            <w:bottom w:val="none" w:sz="0" w:space="0" w:color="auto"/>
            <w:right w:val="none" w:sz="0" w:space="0" w:color="auto"/>
          </w:divBdr>
        </w:div>
        <w:div w:id="1495292046">
          <w:marLeft w:val="0"/>
          <w:marRight w:val="0"/>
          <w:marTop w:val="0"/>
          <w:marBottom w:val="0"/>
          <w:divBdr>
            <w:top w:val="none" w:sz="0" w:space="0" w:color="auto"/>
            <w:left w:val="none" w:sz="0" w:space="0" w:color="auto"/>
            <w:bottom w:val="none" w:sz="0" w:space="0" w:color="auto"/>
            <w:right w:val="none" w:sz="0" w:space="0" w:color="auto"/>
          </w:divBdr>
        </w:div>
        <w:div w:id="1730684613">
          <w:marLeft w:val="0"/>
          <w:marRight w:val="0"/>
          <w:marTop w:val="0"/>
          <w:marBottom w:val="0"/>
          <w:divBdr>
            <w:top w:val="none" w:sz="0" w:space="0" w:color="auto"/>
            <w:left w:val="none" w:sz="0" w:space="0" w:color="auto"/>
            <w:bottom w:val="none" w:sz="0" w:space="0" w:color="auto"/>
            <w:right w:val="none" w:sz="0" w:space="0" w:color="auto"/>
          </w:divBdr>
        </w:div>
        <w:div w:id="1540318678">
          <w:marLeft w:val="0"/>
          <w:marRight w:val="0"/>
          <w:marTop w:val="0"/>
          <w:marBottom w:val="0"/>
          <w:divBdr>
            <w:top w:val="none" w:sz="0" w:space="0" w:color="auto"/>
            <w:left w:val="none" w:sz="0" w:space="0" w:color="auto"/>
            <w:bottom w:val="none" w:sz="0" w:space="0" w:color="auto"/>
            <w:right w:val="none" w:sz="0" w:space="0" w:color="auto"/>
          </w:divBdr>
        </w:div>
        <w:div w:id="1460537345">
          <w:marLeft w:val="0"/>
          <w:marRight w:val="0"/>
          <w:marTop w:val="0"/>
          <w:marBottom w:val="0"/>
          <w:divBdr>
            <w:top w:val="none" w:sz="0" w:space="0" w:color="auto"/>
            <w:left w:val="none" w:sz="0" w:space="0" w:color="auto"/>
            <w:bottom w:val="none" w:sz="0" w:space="0" w:color="auto"/>
            <w:right w:val="none" w:sz="0" w:space="0" w:color="auto"/>
          </w:divBdr>
        </w:div>
        <w:div w:id="145437526">
          <w:marLeft w:val="0"/>
          <w:marRight w:val="0"/>
          <w:marTop w:val="0"/>
          <w:marBottom w:val="0"/>
          <w:divBdr>
            <w:top w:val="none" w:sz="0" w:space="0" w:color="auto"/>
            <w:left w:val="none" w:sz="0" w:space="0" w:color="auto"/>
            <w:bottom w:val="none" w:sz="0" w:space="0" w:color="auto"/>
            <w:right w:val="none" w:sz="0" w:space="0" w:color="auto"/>
          </w:divBdr>
        </w:div>
        <w:div w:id="1852915039">
          <w:marLeft w:val="0"/>
          <w:marRight w:val="0"/>
          <w:marTop w:val="0"/>
          <w:marBottom w:val="0"/>
          <w:divBdr>
            <w:top w:val="none" w:sz="0" w:space="0" w:color="auto"/>
            <w:left w:val="none" w:sz="0" w:space="0" w:color="auto"/>
            <w:bottom w:val="none" w:sz="0" w:space="0" w:color="auto"/>
            <w:right w:val="none" w:sz="0" w:space="0" w:color="auto"/>
          </w:divBdr>
        </w:div>
        <w:div w:id="124549490">
          <w:marLeft w:val="0"/>
          <w:marRight w:val="0"/>
          <w:marTop w:val="0"/>
          <w:marBottom w:val="0"/>
          <w:divBdr>
            <w:top w:val="none" w:sz="0" w:space="0" w:color="auto"/>
            <w:left w:val="none" w:sz="0" w:space="0" w:color="auto"/>
            <w:bottom w:val="none" w:sz="0" w:space="0" w:color="auto"/>
            <w:right w:val="none" w:sz="0" w:space="0" w:color="auto"/>
          </w:divBdr>
        </w:div>
        <w:div w:id="717508077">
          <w:marLeft w:val="0"/>
          <w:marRight w:val="0"/>
          <w:marTop w:val="0"/>
          <w:marBottom w:val="0"/>
          <w:divBdr>
            <w:top w:val="none" w:sz="0" w:space="0" w:color="auto"/>
            <w:left w:val="none" w:sz="0" w:space="0" w:color="auto"/>
            <w:bottom w:val="none" w:sz="0" w:space="0" w:color="auto"/>
            <w:right w:val="none" w:sz="0" w:space="0" w:color="auto"/>
          </w:divBdr>
        </w:div>
        <w:div w:id="657655964">
          <w:marLeft w:val="0"/>
          <w:marRight w:val="0"/>
          <w:marTop w:val="0"/>
          <w:marBottom w:val="0"/>
          <w:divBdr>
            <w:top w:val="none" w:sz="0" w:space="0" w:color="auto"/>
            <w:left w:val="none" w:sz="0" w:space="0" w:color="auto"/>
            <w:bottom w:val="none" w:sz="0" w:space="0" w:color="auto"/>
            <w:right w:val="none" w:sz="0" w:space="0" w:color="auto"/>
          </w:divBdr>
        </w:div>
        <w:div w:id="1593705989">
          <w:marLeft w:val="0"/>
          <w:marRight w:val="0"/>
          <w:marTop w:val="0"/>
          <w:marBottom w:val="0"/>
          <w:divBdr>
            <w:top w:val="none" w:sz="0" w:space="0" w:color="auto"/>
            <w:left w:val="none" w:sz="0" w:space="0" w:color="auto"/>
            <w:bottom w:val="none" w:sz="0" w:space="0" w:color="auto"/>
            <w:right w:val="none" w:sz="0" w:space="0" w:color="auto"/>
          </w:divBdr>
        </w:div>
        <w:div w:id="1683165754">
          <w:marLeft w:val="0"/>
          <w:marRight w:val="0"/>
          <w:marTop w:val="0"/>
          <w:marBottom w:val="0"/>
          <w:divBdr>
            <w:top w:val="none" w:sz="0" w:space="0" w:color="auto"/>
            <w:left w:val="none" w:sz="0" w:space="0" w:color="auto"/>
            <w:bottom w:val="none" w:sz="0" w:space="0" w:color="auto"/>
            <w:right w:val="none" w:sz="0" w:space="0" w:color="auto"/>
          </w:divBdr>
        </w:div>
        <w:div w:id="1044870197">
          <w:marLeft w:val="0"/>
          <w:marRight w:val="0"/>
          <w:marTop w:val="0"/>
          <w:marBottom w:val="0"/>
          <w:divBdr>
            <w:top w:val="none" w:sz="0" w:space="0" w:color="auto"/>
            <w:left w:val="none" w:sz="0" w:space="0" w:color="auto"/>
            <w:bottom w:val="none" w:sz="0" w:space="0" w:color="auto"/>
            <w:right w:val="none" w:sz="0" w:space="0" w:color="auto"/>
          </w:divBdr>
        </w:div>
        <w:div w:id="863402070">
          <w:marLeft w:val="0"/>
          <w:marRight w:val="0"/>
          <w:marTop w:val="0"/>
          <w:marBottom w:val="0"/>
          <w:divBdr>
            <w:top w:val="none" w:sz="0" w:space="0" w:color="auto"/>
            <w:left w:val="none" w:sz="0" w:space="0" w:color="auto"/>
            <w:bottom w:val="none" w:sz="0" w:space="0" w:color="auto"/>
            <w:right w:val="none" w:sz="0" w:space="0" w:color="auto"/>
          </w:divBdr>
        </w:div>
        <w:div w:id="444926685">
          <w:marLeft w:val="0"/>
          <w:marRight w:val="0"/>
          <w:marTop w:val="0"/>
          <w:marBottom w:val="0"/>
          <w:divBdr>
            <w:top w:val="none" w:sz="0" w:space="0" w:color="auto"/>
            <w:left w:val="none" w:sz="0" w:space="0" w:color="auto"/>
            <w:bottom w:val="none" w:sz="0" w:space="0" w:color="auto"/>
            <w:right w:val="none" w:sz="0" w:space="0" w:color="auto"/>
          </w:divBdr>
        </w:div>
        <w:div w:id="1541550335">
          <w:marLeft w:val="0"/>
          <w:marRight w:val="0"/>
          <w:marTop w:val="0"/>
          <w:marBottom w:val="0"/>
          <w:divBdr>
            <w:top w:val="none" w:sz="0" w:space="0" w:color="auto"/>
            <w:left w:val="none" w:sz="0" w:space="0" w:color="auto"/>
            <w:bottom w:val="none" w:sz="0" w:space="0" w:color="auto"/>
            <w:right w:val="none" w:sz="0" w:space="0" w:color="auto"/>
          </w:divBdr>
        </w:div>
        <w:div w:id="1269896774">
          <w:marLeft w:val="0"/>
          <w:marRight w:val="0"/>
          <w:marTop w:val="0"/>
          <w:marBottom w:val="0"/>
          <w:divBdr>
            <w:top w:val="none" w:sz="0" w:space="0" w:color="auto"/>
            <w:left w:val="none" w:sz="0" w:space="0" w:color="auto"/>
            <w:bottom w:val="none" w:sz="0" w:space="0" w:color="auto"/>
            <w:right w:val="none" w:sz="0" w:space="0" w:color="auto"/>
          </w:divBdr>
        </w:div>
      </w:divsChild>
    </w:div>
    <w:div w:id="244999502">
      <w:bodyDiv w:val="1"/>
      <w:marLeft w:val="0"/>
      <w:marRight w:val="0"/>
      <w:marTop w:val="0"/>
      <w:marBottom w:val="0"/>
      <w:divBdr>
        <w:top w:val="none" w:sz="0" w:space="0" w:color="auto"/>
        <w:left w:val="none" w:sz="0" w:space="0" w:color="auto"/>
        <w:bottom w:val="none" w:sz="0" w:space="0" w:color="auto"/>
        <w:right w:val="none" w:sz="0" w:space="0" w:color="auto"/>
      </w:divBdr>
    </w:div>
    <w:div w:id="259680627">
      <w:bodyDiv w:val="1"/>
      <w:marLeft w:val="0"/>
      <w:marRight w:val="0"/>
      <w:marTop w:val="0"/>
      <w:marBottom w:val="0"/>
      <w:divBdr>
        <w:top w:val="none" w:sz="0" w:space="0" w:color="auto"/>
        <w:left w:val="none" w:sz="0" w:space="0" w:color="auto"/>
        <w:bottom w:val="none" w:sz="0" w:space="0" w:color="auto"/>
        <w:right w:val="none" w:sz="0" w:space="0" w:color="auto"/>
      </w:divBdr>
    </w:div>
    <w:div w:id="264308999">
      <w:bodyDiv w:val="1"/>
      <w:marLeft w:val="0"/>
      <w:marRight w:val="0"/>
      <w:marTop w:val="0"/>
      <w:marBottom w:val="0"/>
      <w:divBdr>
        <w:top w:val="none" w:sz="0" w:space="0" w:color="auto"/>
        <w:left w:val="none" w:sz="0" w:space="0" w:color="auto"/>
        <w:bottom w:val="none" w:sz="0" w:space="0" w:color="auto"/>
        <w:right w:val="none" w:sz="0" w:space="0" w:color="auto"/>
      </w:divBdr>
    </w:div>
    <w:div w:id="266430020">
      <w:bodyDiv w:val="1"/>
      <w:marLeft w:val="0"/>
      <w:marRight w:val="0"/>
      <w:marTop w:val="0"/>
      <w:marBottom w:val="0"/>
      <w:divBdr>
        <w:top w:val="none" w:sz="0" w:space="0" w:color="auto"/>
        <w:left w:val="none" w:sz="0" w:space="0" w:color="auto"/>
        <w:bottom w:val="none" w:sz="0" w:space="0" w:color="auto"/>
        <w:right w:val="none" w:sz="0" w:space="0" w:color="auto"/>
      </w:divBdr>
    </w:div>
    <w:div w:id="274137759">
      <w:bodyDiv w:val="1"/>
      <w:marLeft w:val="0"/>
      <w:marRight w:val="0"/>
      <w:marTop w:val="0"/>
      <w:marBottom w:val="0"/>
      <w:divBdr>
        <w:top w:val="none" w:sz="0" w:space="0" w:color="auto"/>
        <w:left w:val="none" w:sz="0" w:space="0" w:color="auto"/>
        <w:bottom w:val="none" w:sz="0" w:space="0" w:color="auto"/>
        <w:right w:val="none" w:sz="0" w:space="0" w:color="auto"/>
      </w:divBdr>
      <w:divsChild>
        <w:div w:id="571547564">
          <w:marLeft w:val="0"/>
          <w:marRight w:val="0"/>
          <w:marTop w:val="0"/>
          <w:marBottom w:val="0"/>
          <w:divBdr>
            <w:top w:val="none" w:sz="0" w:space="0" w:color="auto"/>
            <w:left w:val="none" w:sz="0" w:space="0" w:color="auto"/>
            <w:bottom w:val="none" w:sz="0" w:space="0" w:color="auto"/>
            <w:right w:val="none" w:sz="0" w:space="0" w:color="auto"/>
          </w:divBdr>
          <w:divsChild>
            <w:div w:id="110087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919075">
      <w:bodyDiv w:val="1"/>
      <w:marLeft w:val="0"/>
      <w:marRight w:val="0"/>
      <w:marTop w:val="0"/>
      <w:marBottom w:val="0"/>
      <w:divBdr>
        <w:top w:val="none" w:sz="0" w:space="0" w:color="auto"/>
        <w:left w:val="none" w:sz="0" w:space="0" w:color="auto"/>
        <w:bottom w:val="none" w:sz="0" w:space="0" w:color="auto"/>
        <w:right w:val="none" w:sz="0" w:space="0" w:color="auto"/>
      </w:divBdr>
    </w:div>
    <w:div w:id="281228791">
      <w:bodyDiv w:val="1"/>
      <w:marLeft w:val="0"/>
      <w:marRight w:val="0"/>
      <w:marTop w:val="0"/>
      <w:marBottom w:val="0"/>
      <w:divBdr>
        <w:top w:val="none" w:sz="0" w:space="0" w:color="auto"/>
        <w:left w:val="none" w:sz="0" w:space="0" w:color="auto"/>
        <w:bottom w:val="none" w:sz="0" w:space="0" w:color="auto"/>
        <w:right w:val="none" w:sz="0" w:space="0" w:color="auto"/>
      </w:divBdr>
    </w:div>
    <w:div w:id="299768076">
      <w:bodyDiv w:val="1"/>
      <w:marLeft w:val="0"/>
      <w:marRight w:val="0"/>
      <w:marTop w:val="0"/>
      <w:marBottom w:val="0"/>
      <w:divBdr>
        <w:top w:val="none" w:sz="0" w:space="0" w:color="auto"/>
        <w:left w:val="none" w:sz="0" w:space="0" w:color="auto"/>
        <w:bottom w:val="none" w:sz="0" w:space="0" w:color="auto"/>
        <w:right w:val="none" w:sz="0" w:space="0" w:color="auto"/>
      </w:divBdr>
      <w:divsChild>
        <w:div w:id="751050599">
          <w:marLeft w:val="0"/>
          <w:marRight w:val="0"/>
          <w:marTop w:val="0"/>
          <w:marBottom w:val="0"/>
          <w:divBdr>
            <w:top w:val="none" w:sz="0" w:space="0" w:color="auto"/>
            <w:left w:val="none" w:sz="0" w:space="0" w:color="auto"/>
            <w:bottom w:val="none" w:sz="0" w:space="0" w:color="auto"/>
            <w:right w:val="none" w:sz="0" w:space="0" w:color="auto"/>
          </w:divBdr>
          <w:divsChild>
            <w:div w:id="466168299">
              <w:marLeft w:val="0"/>
              <w:marRight w:val="0"/>
              <w:marTop w:val="0"/>
              <w:marBottom w:val="0"/>
              <w:divBdr>
                <w:top w:val="none" w:sz="0" w:space="0" w:color="auto"/>
                <w:left w:val="none" w:sz="0" w:space="0" w:color="auto"/>
                <w:bottom w:val="none" w:sz="0" w:space="0" w:color="auto"/>
                <w:right w:val="none" w:sz="0" w:space="0" w:color="auto"/>
              </w:divBdr>
            </w:div>
          </w:divsChild>
        </w:div>
        <w:div w:id="1622882943">
          <w:marLeft w:val="0"/>
          <w:marRight w:val="0"/>
          <w:marTop w:val="0"/>
          <w:marBottom w:val="0"/>
          <w:divBdr>
            <w:top w:val="none" w:sz="0" w:space="0" w:color="auto"/>
            <w:left w:val="none" w:sz="0" w:space="0" w:color="auto"/>
            <w:bottom w:val="none" w:sz="0" w:space="0" w:color="auto"/>
            <w:right w:val="none" w:sz="0" w:space="0" w:color="auto"/>
          </w:divBdr>
          <w:divsChild>
            <w:div w:id="508912860">
              <w:marLeft w:val="0"/>
              <w:marRight w:val="0"/>
              <w:marTop w:val="0"/>
              <w:marBottom w:val="0"/>
              <w:divBdr>
                <w:top w:val="none" w:sz="0" w:space="0" w:color="auto"/>
                <w:left w:val="none" w:sz="0" w:space="0" w:color="auto"/>
                <w:bottom w:val="none" w:sz="0" w:space="0" w:color="auto"/>
                <w:right w:val="none" w:sz="0" w:space="0" w:color="auto"/>
              </w:divBdr>
            </w:div>
          </w:divsChild>
        </w:div>
        <w:div w:id="921065916">
          <w:marLeft w:val="0"/>
          <w:marRight w:val="0"/>
          <w:marTop w:val="0"/>
          <w:marBottom w:val="0"/>
          <w:divBdr>
            <w:top w:val="none" w:sz="0" w:space="0" w:color="auto"/>
            <w:left w:val="none" w:sz="0" w:space="0" w:color="auto"/>
            <w:bottom w:val="none" w:sz="0" w:space="0" w:color="auto"/>
            <w:right w:val="none" w:sz="0" w:space="0" w:color="auto"/>
          </w:divBdr>
          <w:divsChild>
            <w:div w:id="1323971322">
              <w:marLeft w:val="0"/>
              <w:marRight w:val="0"/>
              <w:marTop w:val="0"/>
              <w:marBottom w:val="0"/>
              <w:divBdr>
                <w:top w:val="none" w:sz="0" w:space="0" w:color="auto"/>
                <w:left w:val="none" w:sz="0" w:space="0" w:color="auto"/>
                <w:bottom w:val="none" w:sz="0" w:space="0" w:color="auto"/>
                <w:right w:val="none" w:sz="0" w:space="0" w:color="auto"/>
              </w:divBdr>
            </w:div>
          </w:divsChild>
        </w:div>
        <w:div w:id="887765778">
          <w:marLeft w:val="0"/>
          <w:marRight w:val="0"/>
          <w:marTop w:val="0"/>
          <w:marBottom w:val="0"/>
          <w:divBdr>
            <w:top w:val="none" w:sz="0" w:space="0" w:color="auto"/>
            <w:left w:val="none" w:sz="0" w:space="0" w:color="auto"/>
            <w:bottom w:val="none" w:sz="0" w:space="0" w:color="auto"/>
            <w:right w:val="none" w:sz="0" w:space="0" w:color="auto"/>
          </w:divBdr>
          <w:divsChild>
            <w:div w:id="446311668">
              <w:marLeft w:val="0"/>
              <w:marRight w:val="0"/>
              <w:marTop w:val="0"/>
              <w:marBottom w:val="0"/>
              <w:divBdr>
                <w:top w:val="none" w:sz="0" w:space="0" w:color="auto"/>
                <w:left w:val="none" w:sz="0" w:space="0" w:color="auto"/>
                <w:bottom w:val="none" w:sz="0" w:space="0" w:color="auto"/>
                <w:right w:val="none" w:sz="0" w:space="0" w:color="auto"/>
              </w:divBdr>
            </w:div>
          </w:divsChild>
        </w:div>
        <w:div w:id="1473670672">
          <w:marLeft w:val="0"/>
          <w:marRight w:val="0"/>
          <w:marTop w:val="0"/>
          <w:marBottom w:val="0"/>
          <w:divBdr>
            <w:top w:val="none" w:sz="0" w:space="0" w:color="auto"/>
            <w:left w:val="none" w:sz="0" w:space="0" w:color="auto"/>
            <w:bottom w:val="none" w:sz="0" w:space="0" w:color="auto"/>
            <w:right w:val="none" w:sz="0" w:space="0" w:color="auto"/>
          </w:divBdr>
          <w:divsChild>
            <w:div w:id="81287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861316">
      <w:bodyDiv w:val="1"/>
      <w:marLeft w:val="0"/>
      <w:marRight w:val="0"/>
      <w:marTop w:val="0"/>
      <w:marBottom w:val="0"/>
      <w:divBdr>
        <w:top w:val="none" w:sz="0" w:space="0" w:color="auto"/>
        <w:left w:val="none" w:sz="0" w:space="0" w:color="auto"/>
        <w:bottom w:val="none" w:sz="0" w:space="0" w:color="auto"/>
        <w:right w:val="none" w:sz="0" w:space="0" w:color="auto"/>
      </w:divBdr>
    </w:div>
    <w:div w:id="332882630">
      <w:bodyDiv w:val="1"/>
      <w:marLeft w:val="0"/>
      <w:marRight w:val="0"/>
      <w:marTop w:val="0"/>
      <w:marBottom w:val="0"/>
      <w:divBdr>
        <w:top w:val="none" w:sz="0" w:space="0" w:color="auto"/>
        <w:left w:val="none" w:sz="0" w:space="0" w:color="auto"/>
        <w:bottom w:val="none" w:sz="0" w:space="0" w:color="auto"/>
        <w:right w:val="none" w:sz="0" w:space="0" w:color="auto"/>
      </w:divBdr>
    </w:div>
    <w:div w:id="340937139">
      <w:bodyDiv w:val="1"/>
      <w:marLeft w:val="0"/>
      <w:marRight w:val="0"/>
      <w:marTop w:val="0"/>
      <w:marBottom w:val="0"/>
      <w:divBdr>
        <w:top w:val="none" w:sz="0" w:space="0" w:color="auto"/>
        <w:left w:val="none" w:sz="0" w:space="0" w:color="auto"/>
        <w:bottom w:val="none" w:sz="0" w:space="0" w:color="auto"/>
        <w:right w:val="none" w:sz="0" w:space="0" w:color="auto"/>
      </w:divBdr>
    </w:div>
    <w:div w:id="352808597">
      <w:bodyDiv w:val="1"/>
      <w:marLeft w:val="0"/>
      <w:marRight w:val="0"/>
      <w:marTop w:val="0"/>
      <w:marBottom w:val="0"/>
      <w:divBdr>
        <w:top w:val="none" w:sz="0" w:space="0" w:color="auto"/>
        <w:left w:val="none" w:sz="0" w:space="0" w:color="auto"/>
        <w:bottom w:val="none" w:sz="0" w:space="0" w:color="auto"/>
        <w:right w:val="none" w:sz="0" w:space="0" w:color="auto"/>
      </w:divBdr>
    </w:div>
    <w:div w:id="353072666">
      <w:bodyDiv w:val="1"/>
      <w:marLeft w:val="0"/>
      <w:marRight w:val="0"/>
      <w:marTop w:val="0"/>
      <w:marBottom w:val="0"/>
      <w:divBdr>
        <w:top w:val="none" w:sz="0" w:space="0" w:color="auto"/>
        <w:left w:val="none" w:sz="0" w:space="0" w:color="auto"/>
        <w:bottom w:val="none" w:sz="0" w:space="0" w:color="auto"/>
        <w:right w:val="none" w:sz="0" w:space="0" w:color="auto"/>
      </w:divBdr>
    </w:div>
    <w:div w:id="361714574">
      <w:bodyDiv w:val="1"/>
      <w:marLeft w:val="0"/>
      <w:marRight w:val="0"/>
      <w:marTop w:val="0"/>
      <w:marBottom w:val="0"/>
      <w:divBdr>
        <w:top w:val="none" w:sz="0" w:space="0" w:color="auto"/>
        <w:left w:val="none" w:sz="0" w:space="0" w:color="auto"/>
        <w:bottom w:val="none" w:sz="0" w:space="0" w:color="auto"/>
        <w:right w:val="none" w:sz="0" w:space="0" w:color="auto"/>
      </w:divBdr>
    </w:div>
    <w:div w:id="368533454">
      <w:bodyDiv w:val="1"/>
      <w:marLeft w:val="0"/>
      <w:marRight w:val="0"/>
      <w:marTop w:val="0"/>
      <w:marBottom w:val="0"/>
      <w:divBdr>
        <w:top w:val="none" w:sz="0" w:space="0" w:color="auto"/>
        <w:left w:val="none" w:sz="0" w:space="0" w:color="auto"/>
        <w:bottom w:val="none" w:sz="0" w:space="0" w:color="auto"/>
        <w:right w:val="none" w:sz="0" w:space="0" w:color="auto"/>
      </w:divBdr>
      <w:divsChild>
        <w:div w:id="1993094295">
          <w:marLeft w:val="0"/>
          <w:marRight w:val="0"/>
          <w:marTop w:val="0"/>
          <w:marBottom w:val="0"/>
          <w:divBdr>
            <w:top w:val="none" w:sz="0" w:space="0" w:color="auto"/>
            <w:left w:val="none" w:sz="0" w:space="0" w:color="auto"/>
            <w:bottom w:val="none" w:sz="0" w:space="0" w:color="auto"/>
            <w:right w:val="none" w:sz="0" w:space="0" w:color="auto"/>
          </w:divBdr>
          <w:divsChild>
            <w:div w:id="15474199">
              <w:marLeft w:val="0"/>
              <w:marRight w:val="0"/>
              <w:marTop w:val="0"/>
              <w:marBottom w:val="0"/>
              <w:divBdr>
                <w:top w:val="none" w:sz="0" w:space="0" w:color="auto"/>
                <w:left w:val="none" w:sz="0" w:space="0" w:color="auto"/>
                <w:bottom w:val="none" w:sz="0" w:space="0" w:color="auto"/>
                <w:right w:val="none" w:sz="0" w:space="0" w:color="auto"/>
              </w:divBdr>
            </w:div>
          </w:divsChild>
        </w:div>
        <w:div w:id="1646159229">
          <w:marLeft w:val="0"/>
          <w:marRight w:val="0"/>
          <w:marTop w:val="0"/>
          <w:marBottom w:val="0"/>
          <w:divBdr>
            <w:top w:val="none" w:sz="0" w:space="0" w:color="auto"/>
            <w:left w:val="none" w:sz="0" w:space="0" w:color="auto"/>
            <w:bottom w:val="none" w:sz="0" w:space="0" w:color="auto"/>
            <w:right w:val="none" w:sz="0" w:space="0" w:color="auto"/>
          </w:divBdr>
          <w:divsChild>
            <w:div w:id="297146629">
              <w:marLeft w:val="0"/>
              <w:marRight w:val="0"/>
              <w:marTop w:val="0"/>
              <w:marBottom w:val="0"/>
              <w:divBdr>
                <w:top w:val="none" w:sz="0" w:space="0" w:color="auto"/>
                <w:left w:val="none" w:sz="0" w:space="0" w:color="auto"/>
                <w:bottom w:val="none" w:sz="0" w:space="0" w:color="auto"/>
                <w:right w:val="none" w:sz="0" w:space="0" w:color="auto"/>
              </w:divBdr>
            </w:div>
          </w:divsChild>
        </w:div>
        <w:div w:id="512299717">
          <w:marLeft w:val="0"/>
          <w:marRight w:val="0"/>
          <w:marTop w:val="0"/>
          <w:marBottom w:val="0"/>
          <w:divBdr>
            <w:top w:val="none" w:sz="0" w:space="0" w:color="auto"/>
            <w:left w:val="none" w:sz="0" w:space="0" w:color="auto"/>
            <w:bottom w:val="none" w:sz="0" w:space="0" w:color="auto"/>
            <w:right w:val="none" w:sz="0" w:space="0" w:color="auto"/>
          </w:divBdr>
          <w:divsChild>
            <w:div w:id="52851107">
              <w:marLeft w:val="0"/>
              <w:marRight w:val="0"/>
              <w:marTop w:val="0"/>
              <w:marBottom w:val="0"/>
              <w:divBdr>
                <w:top w:val="none" w:sz="0" w:space="0" w:color="auto"/>
                <w:left w:val="none" w:sz="0" w:space="0" w:color="auto"/>
                <w:bottom w:val="none" w:sz="0" w:space="0" w:color="auto"/>
                <w:right w:val="none" w:sz="0" w:space="0" w:color="auto"/>
              </w:divBdr>
            </w:div>
          </w:divsChild>
        </w:div>
        <w:div w:id="1645575841">
          <w:marLeft w:val="0"/>
          <w:marRight w:val="0"/>
          <w:marTop w:val="0"/>
          <w:marBottom w:val="0"/>
          <w:divBdr>
            <w:top w:val="none" w:sz="0" w:space="0" w:color="auto"/>
            <w:left w:val="none" w:sz="0" w:space="0" w:color="auto"/>
            <w:bottom w:val="none" w:sz="0" w:space="0" w:color="auto"/>
            <w:right w:val="none" w:sz="0" w:space="0" w:color="auto"/>
          </w:divBdr>
          <w:divsChild>
            <w:div w:id="69450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977135">
      <w:bodyDiv w:val="1"/>
      <w:marLeft w:val="0"/>
      <w:marRight w:val="0"/>
      <w:marTop w:val="0"/>
      <w:marBottom w:val="0"/>
      <w:divBdr>
        <w:top w:val="none" w:sz="0" w:space="0" w:color="auto"/>
        <w:left w:val="none" w:sz="0" w:space="0" w:color="auto"/>
        <w:bottom w:val="none" w:sz="0" w:space="0" w:color="auto"/>
        <w:right w:val="none" w:sz="0" w:space="0" w:color="auto"/>
      </w:divBdr>
    </w:div>
    <w:div w:id="380129934">
      <w:bodyDiv w:val="1"/>
      <w:marLeft w:val="0"/>
      <w:marRight w:val="0"/>
      <w:marTop w:val="0"/>
      <w:marBottom w:val="0"/>
      <w:divBdr>
        <w:top w:val="none" w:sz="0" w:space="0" w:color="auto"/>
        <w:left w:val="none" w:sz="0" w:space="0" w:color="auto"/>
        <w:bottom w:val="none" w:sz="0" w:space="0" w:color="auto"/>
        <w:right w:val="none" w:sz="0" w:space="0" w:color="auto"/>
      </w:divBdr>
    </w:div>
    <w:div w:id="420175398">
      <w:bodyDiv w:val="1"/>
      <w:marLeft w:val="0"/>
      <w:marRight w:val="0"/>
      <w:marTop w:val="0"/>
      <w:marBottom w:val="0"/>
      <w:divBdr>
        <w:top w:val="none" w:sz="0" w:space="0" w:color="auto"/>
        <w:left w:val="none" w:sz="0" w:space="0" w:color="auto"/>
        <w:bottom w:val="none" w:sz="0" w:space="0" w:color="auto"/>
        <w:right w:val="none" w:sz="0" w:space="0" w:color="auto"/>
      </w:divBdr>
    </w:div>
    <w:div w:id="421881020">
      <w:bodyDiv w:val="1"/>
      <w:marLeft w:val="0"/>
      <w:marRight w:val="0"/>
      <w:marTop w:val="0"/>
      <w:marBottom w:val="0"/>
      <w:divBdr>
        <w:top w:val="none" w:sz="0" w:space="0" w:color="auto"/>
        <w:left w:val="none" w:sz="0" w:space="0" w:color="auto"/>
        <w:bottom w:val="none" w:sz="0" w:space="0" w:color="auto"/>
        <w:right w:val="none" w:sz="0" w:space="0" w:color="auto"/>
      </w:divBdr>
      <w:divsChild>
        <w:div w:id="572934973">
          <w:marLeft w:val="0"/>
          <w:marRight w:val="0"/>
          <w:marTop w:val="0"/>
          <w:marBottom w:val="0"/>
          <w:divBdr>
            <w:top w:val="none" w:sz="0" w:space="0" w:color="auto"/>
            <w:left w:val="none" w:sz="0" w:space="0" w:color="auto"/>
            <w:bottom w:val="none" w:sz="0" w:space="0" w:color="auto"/>
            <w:right w:val="none" w:sz="0" w:space="0" w:color="auto"/>
          </w:divBdr>
          <w:divsChild>
            <w:div w:id="1464081798">
              <w:marLeft w:val="0"/>
              <w:marRight w:val="0"/>
              <w:marTop w:val="0"/>
              <w:marBottom w:val="0"/>
              <w:divBdr>
                <w:top w:val="none" w:sz="0" w:space="0" w:color="auto"/>
                <w:left w:val="none" w:sz="0" w:space="0" w:color="auto"/>
                <w:bottom w:val="none" w:sz="0" w:space="0" w:color="auto"/>
                <w:right w:val="none" w:sz="0" w:space="0" w:color="auto"/>
              </w:divBdr>
            </w:div>
          </w:divsChild>
        </w:div>
        <w:div w:id="843323837">
          <w:marLeft w:val="0"/>
          <w:marRight w:val="0"/>
          <w:marTop w:val="0"/>
          <w:marBottom w:val="0"/>
          <w:divBdr>
            <w:top w:val="none" w:sz="0" w:space="0" w:color="auto"/>
            <w:left w:val="none" w:sz="0" w:space="0" w:color="auto"/>
            <w:bottom w:val="none" w:sz="0" w:space="0" w:color="auto"/>
            <w:right w:val="none" w:sz="0" w:space="0" w:color="auto"/>
          </w:divBdr>
          <w:divsChild>
            <w:div w:id="21369945">
              <w:marLeft w:val="0"/>
              <w:marRight w:val="0"/>
              <w:marTop w:val="0"/>
              <w:marBottom w:val="0"/>
              <w:divBdr>
                <w:top w:val="none" w:sz="0" w:space="0" w:color="auto"/>
                <w:left w:val="none" w:sz="0" w:space="0" w:color="auto"/>
                <w:bottom w:val="none" w:sz="0" w:space="0" w:color="auto"/>
                <w:right w:val="none" w:sz="0" w:space="0" w:color="auto"/>
              </w:divBdr>
            </w:div>
          </w:divsChild>
        </w:div>
        <w:div w:id="1320884967">
          <w:marLeft w:val="0"/>
          <w:marRight w:val="0"/>
          <w:marTop w:val="0"/>
          <w:marBottom w:val="0"/>
          <w:divBdr>
            <w:top w:val="none" w:sz="0" w:space="0" w:color="auto"/>
            <w:left w:val="none" w:sz="0" w:space="0" w:color="auto"/>
            <w:bottom w:val="none" w:sz="0" w:space="0" w:color="auto"/>
            <w:right w:val="none" w:sz="0" w:space="0" w:color="auto"/>
          </w:divBdr>
          <w:divsChild>
            <w:div w:id="5066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236488">
      <w:bodyDiv w:val="1"/>
      <w:marLeft w:val="0"/>
      <w:marRight w:val="0"/>
      <w:marTop w:val="0"/>
      <w:marBottom w:val="0"/>
      <w:divBdr>
        <w:top w:val="none" w:sz="0" w:space="0" w:color="auto"/>
        <w:left w:val="none" w:sz="0" w:space="0" w:color="auto"/>
        <w:bottom w:val="none" w:sz="0" w:space="0" w:color="auto"/>
        <w:right w:val="none" w:sz="0" w:space="0" w:color="auto"/>
      </w:divBdr>
    </w:div>
    <w:div w:id="429857796">
      <w:bodyDiv w:val="1"/>
      <w:marLeft w:val="0"/>
      <w:marRight w:val="0"/>
      <w:marTop w:val="0"/>
      <w:marBottom w:val="0"/>
      <w:divBdr>
        <w:top w:val="none" w:sz="0" w:space="0" w:color="auto"/>
        <w:left w:val="none" w:sz="0" w:space="0" w:color="auto"/>
        <w:bottom w:val="none" w:sz="0" w:space="0" w:color="auto"/>
        <w:right w:val="none" w:sz="0" w:space="0" w:color="auto"/>
      </w:divBdr>
    </w:div>
    <w:div w:id="462187925">
      <w:bodyDiv w:val="1"/>
      <w:marLeft w:val="0"/>
      <w:marRight w:val="0"/>
      <w:marTop w:val="0"/>
      <w:marBottom w:val="0"/>
      <w:divBdr>
        <w:top w:val="none" w:sz="0" w:space="0" w:color="auto"/>
        <w:left w:val="none" w:sz="0" w:space="0" w:color="auto"/>
        <w:bottom w:val="none" w:sz="0" w:space="0" w:color="auto"/>
        <w:right w:val="none" w:sz="0" w:space="0" w:color="auto"/>
      </w:divBdr>
    </w:div>
    <w:div w:id="491945857">
      <w:bodyDiv w:val="1"/>
      <w:marLeft w:val="0"/>
      <w:marRight w:val="0"/>
      <w:marTop w:val="0"/>
      <w:marBottom w:val="0"/>
      <w:divBdr>
        <w:top w:val="none" w:sz="0" w:space="0" w:color="auto"/>
        <w:left w:val="none" w:sz="0" w:space="0" w:color="auto"/>
        <w:bottom w:val="none" w:sz="0" w:space="0" w:color="auto"/>
        <w:right w:val="none" w:sz="0" w:space="0" w:color="auto"/>
      </w:divBdr>
    </w:div>
    <w:div w:id="500238786">
      <w:bodyDiv w:val="1"/>
      <w:marLeft w:val="0"/>
      <w:marRight w:val="0"/>
      <w:marTop w:val="0"/>
      <w:marBottom w:val="0"/>
      <w:divBdr>
        <w:top w:val="none" w:sz="0" w:space="0" w:color="auto"/>
        <w:left w:val="none" w:sz="0" w:space="0" w:color="auto"/>
        <w:bottom w:val="none" w:sz="0" w:space="0" w:color="auto"/>
        <w:right w:val="none" w:sz="0" w:space="0" w:color="auto"/>
      </w:divBdr>
      <w:divsChild>
        <w:div w:id="590355111">
          <w:marLeft w:val="0"/>
          <w:marRight w:val="0"/>
          <w:marTop w:val="0"/>
          <w:marBottom w:val="0"/>
          <w:divBdr>
            <w:top w:val="none" w:sz="0" w:space="0" w:color="auto"/>
            <w:left w:val="none" w:sz="0" w:space="0" w:color="auto"/>
            <w:bottom w:val="none" w:sz="0" w:space="0" w:color="auto"/>
            <w:right w:val="none" w:sz="0" w:space="0" w:color="auto"/>
          </w:divBdr>
          <w:divsChild>
            <w:div w:id="387384528">
              <w:marLeft w:val="0"/>
              <w:marRight w:val="0"/>
              <w:marTop w:val="0"/>
              <w:marBottom w:val="0"/>
              <w:divBdr>
                <w:top w:val="none" w:sz="0" w:space="0" w:color="auto"/>
                <w:left w:val="none" w:sz="0" w:space="0" w:color="auto"/>
                <w:bottom w:val="none" w:sz="0" w:space="0" w:color="auto"/>
                <w:right w:val="none" w:sz="0" w:space="0" w:color="auto"/>
              </w:divBdr>
            </w:div>
          </w:divsChild>
        </w:div>
        <w:div w:id="1909413654">
          <w:marLeft w:val="0"/>
          <w:marRight w:val="0"/>
          <w:marTop w:val="0"/>
          <w:marBottom w:val="0"/>
          <w:divBdr>
            <w:top w:val="none" w:sz="0" w:space="0" w:color="auto"/>
            <w:left w:val="none" w:sz="0" w:space="0" w:color="auto"/>
            <w:bottom w:val="none" w:sz="0" w:space="0" w:color="auto"/>
            <w:right w:val="none" w:sz="0" w:space="0" w:color="auto"/>
          </w:divBdr>
          <w:divsChild>
            <w:div w:id="243688745">
              <w:marLeft w:val="0"/>
              <w:marRight w:val="0"/>
              <w:marTop w:val="0"/>
              <w:marBottom w:val="0"/>
              <w:divBdr>
                <w:top w:val="none" w:sz="0" w:space="0" w:color="auto"/>
                <w:left w:val="none" w:sz="0" w:space="0" w:color="auto"/>
                <w:bottom w:val="none" w:sz="0" w:space="0" w:color="auto"/>
                <w:right w:val="none" w:sz="0" w:space="0" w:color="auto"/>
              </w:divBdr>
            </w:div>
          </w:divsChild>
        </w:div>
        <w:div w:id="60835158">
          <w:marLeft w:val="0"/>
          <w:marRight w:val="0"/>
          <w:marTop w:val="0"/>
          <w:marBottom w:val="0"/>
          <w:divBdr>
            <w:top w:val="none" w:sz="0" w:space="0" w:color="auto"/>
            <w:left w:val="none" w:sz="0" w:space="0" w:color="auto"/>
            <w:bottom w:val="none" w:sz="0" w:space="0" w:color="auto"/>
            <w:right w:val="none" w:sz="0" w:space="0" w:color="auto"/>
          </w:divBdr>
          <w:divsChild>
            <w:div w:id="218128621">
              <w:marLeft w:val="0"/>
              <w:marRight w:val="0"/>
              <w:marTop w:val="0"/>
              <w:marBottom w:val="0"/>
              <w:divBdr>
                <w:top w:val="none" w:sz="0" w:space="0" w:color="auto"/>
                <w:left w:val="none" w:sz="0" w:space="0" w:color="auto"/>
                <w:bottom w:val="none" w:sz="0" w:space="0" w:color="auto"/>
                <w:right w:val="none" w:sz="0" w:space="0" w:color="auto"/>
              </w:divBdr>
            </w:div>
          </w:divsChild>
        </w:div>
        <w:div w:id="1378701842">
          <w:marLeft w:val="0"/>
          <w:marRight w:val="0"/>
          <w:marTop w:val="0"/>
          <w:marBottom w:val="0"/>
          <w:divBdr>
            <w:top w:val="none" w:sz="0" w:space="0" w:color="auto"/>
            <w:left w:val="none" w:sz="0" w:space="0" w:color="auto"/>
            <w:bottom w:val="none" w:sz="0" w:space="0" w:color="auto"/>
            <w:right w:val="none" w:sz="0" w:space="0" w:color="auto"/>
          </w:divBdr>
          <w:divsChild>
            <w:div w:id="8939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90477">
      <w:bodyDiv w:val="1"/>
      <w:marLeft w:val="0"/>
      <w:marRight w:val="0"/>
      <w:marTop w:val="0"/>
      <w:marBottom w:val="0"/>
      <w:divBdr>
        <w:top w:val="none" w:sz="0" w:space="0" w:color="auto"/>
        <w:left w:val="none" w:sz="0" w:space="0" w:color="auto"/>
        <w:bottom w:val="none" w:sz="0" w:space="0" w:color="auto"/>
        <w:right w:val="none" w:sz="0" w:space="0" w:color="auto"/>
      </w:divBdr>
      <w:divsChild>
        <w:div w:id="9295071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2304062">
      <w:bodyDiv w:val="1"/>
      <w:marLeft w:val="0"/>
      <w:marRight w:val="0"/>
      <w:marTop w:val="0"/>
      <w:marBottom w:val="0"/>
      <w:divBdr>
        <w:top w:val="none" w:sz="0" w:space="0" w:color="auto"/>
        <w:left w:val="none" w:sz="0" w:space="0" w:color="auto"/>
        <w:bottom w:val="none" w:sz="0" w:space="0" w:color="auto"/>
        <w:right w:val="none" w:sz="0" w:space="0" w:color="auto"/>
      </w:divBdr>
    </w:div>
    <w:div w:id="533351142">
      <w:bodyDiv w:val="1"/>
      <w:marLeft w:val="0"/>
      <w:marRight w:val="0"/>
      <w:marTop w:val="0"/>
      <w:marBottom w:val="0"/>
      <w:divBdr>
        <w:top w:val="none" w:sz="0" w:space="0" w:color="auto"/>
        <w:left w:val="none" w:sz="0" w:space="0" w:color="auto"/>
        <w:bottom w:val="none" w:sz="0" w:space="0" w:color="auto"/>
        <w:right w:val="none" w:sz="0" w:space="0" w:color="auto"/>
      </w:divBdr>
    </w:div>
    <w:div w:id="535116009">
      <w:bodyDiv w:val="1"/>
      <w:marLeft w:val="0"/>
      <w:marRight w:val="0"/>
      <w:marTop w:val="0"/>
      <w:marBottom w:val="0"/>
      <w:divBdr>
        <w:top w:val="none" w:sz="0" w:space="0" w:color="auto"/>
        <w:left w:val="none" w:sz="0" w:space="0" w:color="auto"/>
        <w:bottom w:val="none" w:sz="0" w:space="0" w:color="auto"/>
        <w:right w:val="none" w:sz="0" w:space="0" w:color="auto"/>
      </w:divBdr>
    </w:div>
    <w:div w:id="538206330">
      <w:bodyDiv w:val="1"/>
      <w:marLeft w:val="0"/>
      <w:marRight w:val="0"/>
      <w:marTop w:val="0"/>
      <w:marBottom w:val="0"/>
      <w:divBdr>
        <w:top w:val="none" w:sz="0" w:space="0" w:color="auto"/>
        <w:left w:val="none" w:sz="0" w:space="0" w:color="auto"/>
        <w:bottom w:val="none" w:sz="0" w:space="0" w:color="auto"/>
        <w:right w:val="none" w:sz="0" w:space="0" w:color="auto"/>
      </w:divBdr>
    </w:div>
    <w:div w:id="568344361">
      <w:bodyDiv w:val="1"/>
      <w:marLeft w:val="0"/>
      <w:marRight w:val="0"/>
      <w:marTop w:val="0"/>
      <w:marBottom w:val="0"/>
      <w:divBdr>
        <w:top w:val="none" w:sz="0" w:space="0" w:color="auto"/>
        <w:left w:val="none" w:sz="0" w:space="0" w:color="auto"/>
        <w:bottom w:val="none" w:sz="0" w:space="0" w:color="auto"/>
        <w:right w:val="none" w:sz="0" w:space="0" w:color="auto"/>
      </w:divBdr>
      <w:divsChild>
        <w:div w:id="1976135616">
          <w:marLeft w:val="0"/>
          <w:marRight w:val="0"/>
          <w:marTop w:val="0"/>
          <w:marBottom w:val="0"/>
          <w:divBdr>
            <w:top w:val="none" w:sz="0" w:space="0" w:color="auto"/>
            <w:left w:val="none" w:sz="0" w:space="0" w:color="auto"/>
            <w:bottom w:val="none" w:sz="0" w:space="0" w:color="auto"/>
            <w:right w:val="none" w:sz="0" w:space="0" w:color="auto"/>
          </w:divBdr>
          <w:divsChild>
            <w:div w:id="2070760389">
              <w:marLeft w:val="0"/>
              <w:marRight w:val="0"/>
              <w:marTop w:val="0"/>
              <w:marBottom w:val="0"/>
              <w:divBdr>
                <w:top w:val="none" w:sz="0" w:space="0" w:color="auto"/>
                <w:left w:val="none" w:sz="0" w:space="0" w:color="auto"/>
                <w:bottom w:val="none" w:sz="0" w:space="0" w:color="auto"/>
                <w:right w:val="none" w:sz="0" w:space="0" w:color="auto"/>
              </w:divBdr>
            </w:div>
          </w:divsChild>
        </w:div>
        <w:div w:id="1711957473">
          <w:marLeft w:val="0"/>
          <w:marRight w:val="0"/>
          <w:marTop w:val="0"/>
          <w:marBottom w:val="0"/>
          <w:divBdr>
            <w:top w:val="none" w:sz="0" w:space="0" w:color="auto"/>
            <w:left w:val="none" w:sz="0" w:space="0" w:color="auto"/>
            <w:bottom w:val="none" w:sz="0" w:space="0" w:color="auto"/>
            <w:right w:val="none" w:sz="0" w:space="0" w:color="auto"/>
          </w:divBdr>
          <w:divsChild>
            <w:div w:id="101018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117323">
      <w:bodyDiv w:val="1"/>
      <w:marLeft w:val="0"/>
      <w:marRight w:val="0"/>
      <w:marTop w:val="0"/>
      <w:marBottom w:val="0"/>
      <w:divBdr>
        <w:top w:val="none" w:sz="0" w:space="0" w:color="auto"/>
        <w:left w:val="none" w:sz="0" w:space="0" w:color="auto"/>
        <w:bottom w:val="none" w:sz="0" w:space="0" w:color="auto"/>
        <w:right w:val="none" w:sz="0" w:space="0" w:color="auto"/>
      </w:divBdr>
    </w:div>
    <w:div w:id="587883359">
      <w:bodyDiv w:val="1"/>
      <w:marLeft w:val="0"/>
      <w:marRight w:val="0"/>
      <w:marTop w:val="0"/>
      <w:marBottom w:val="0"/>
      <w:divBdr>
        <w:top w:val="none" w:sz="0" w:space="0" w:color="auto"/>
        <w:left w:val="none" w:sz="0" w:space="0" w:color="auto"/>
        <w:bottom w:val="none" w:sz="0" w:space="0" w:color="auto"/>
        <w:right w:val="none" w:sz="0" w:space="0" w:color="auto"/>
      </w:divBdr>
    </w:div>
    <w:div w:id="612904774">
      <w:bodyDiv w:val="1"/>
      <w:marLeft w:val="0"/>
      <w:marRight w:val="0"/>
      <w:marTop w:val="0"/>
      <w:marBottom w:val="0"/>
      <w:divBdr>
        <w:top w:val="none" w:sz="0" w:space="0" w:color="auto"/>
        <w:left w:val="none" w:sz="0" w:space="0" w:color="auto"/>
        <w:bottom w:val="none" w:sz="0" w:space="0" w:color="auto"/>
        <w:right w:val="none" w:sz="0" w:space="0" w:color="auto"/>
      </w:divBdr>
    </w:div>
    <w:div w:id="615984528">
      <w:bodyDiv w:val="1"/>
      <w:marLeft w:val="0"/>
      <w:marRight w:val="0"/>
      <w:marTop w:val="0"/>
      <w:marBottom w:val="0"/>
      <w:divBdr>
        <w:top w:val="none" w:sz="0" w:space="0" w:color="auto"/>
        <w:left w:val="none" w:sz="0" w:space="0" w:color="auto"/>
        <w:bottom w:val="none" w:sz="0" w:space="0" w:color="auto"/>
        <w:right w:val="none" w:sz="0" w:space="0" w:color="auto"/>
      </w:divBdr>
    </w:div>
    <w:div w:id="630595175">
      <w:bodyDiv w:val="1"/>
      <w:marLeft w:val="0"/>
      <w:marRight w:val="0"/>
      <w:marTop w:val="0"/>
      <w:marBottom w:val="0"/>
      <w:divBdr>
        <w:top w:val="none" w:sz="0" w:space="0" w:color="auto"/>
        <w:left w:val="none" w:sz="0" w:space="0" w:color="auto"/>
        <w:bottom w:val="none" w:sz="0" w:space="0" w:color="auto"/>
        <w:right w:val="none" w:sz="0" w:space="0" w:color="auto"/>
      </w:divBdr>
    </w:div>
    <w:div w:id="666253483">
      <w:bodyDiv w:val="1"/>
      <w:marLeft w:val="0"/>
      <w:marRight w:val="0"/>
      <w:marTop w:val="0"/>
      <w:marBottom w:val="0"/>
      <w:divBdr>
        <w:top w:val="none" w:sz="0" w:space="0" w:color="auto"/>
        <w:left w:val="none" w:sz="0" w:space="0" w:color="auto"/>
        <w:bottom w:val="none" w:sz="0" w:space="0" w:color="auto"/>
        <w:right w:val="none" w:sz="0" w:space="0" w:color="auto"/>
      </w:divBdr>
    </w:div>
    <w:div w:id="673456235">
      <w:bodyDiv w:val="1"/>
      <w:marLeft w:val="0"/>
      <w:marRight w:val="0"/>
      <w:marTop w:val="0"/>
      <w:marBottom w:val="0"/>
      <w:divBdr>
        <w:top w:val="none" w:sz="0" w:space="0" w:color="auto"/>
        <w:left w:val="none" w:sz="0" w:space="0" w:color="auto"/>
        <w:bottom w:val="none" w:sz="0" w:space="0" w:color="auto"/>
        <w:right w:val="none" w:sz="0" w:space="0" w:color="auto"/>
      </w:divBdr>
    </w:div>
    <w:div w:id="678120955">
      <w:bodyDiv w:val="1"/>
      <w:marLeft w:val="0"/>
      <w:marRight w:val="0"/>
      <w:marTop w:val="0"/>
      <w:marBottom w:val="0"/>
      <w:divBdr>
        <w:top w:val="none" w:sz="0" w:space="0" w:color="auto"/>
        <w:left w:val="none" w:sz="0" w:space="0" w:color="auto"/>
        <w:bottom w:val="none" w:sz="0" w:space="0" w:color="auto"/>
        <w:right w:val="none" w:sz="0" w:space="0" w:color="auto"/>
      </w:divBdr>
    </w:div>
    <w:div w:id="689723162">
      <w:bodyDiv w:val="1"/>
      <w:marLeft w:val="0"/>
      <w:marRight w:val="0"/>
      <w:marTop w:val="0"/>
      <w:marBottom w:val="0"/>
      <w:divBdr>
        <w:top w:val="none" w:sz="0" w:space="0" w:color="auto"/>
        <w:left w:val="none" w:sz="0" w:space="0" w:color="auto"/>
        <w:bottom w:val="none" w:sz="0" w:space="0" w:color="auto"/>
        <w:right w:val="none" w:sz="0" w:space="0" w:color="auto"/>
      </w:divBdr>
    </w:div>
    <w:div w:id="692803224">
      <w:bodyDiv w:val="1"/>
      <w:marLeft w:val="0"/>
      <w:marRight w:val="0"/>
      <w:marTop w:val="0"/>
      <w:marBottom w:val="0"/>
      <w:divBdr>
        <w:top w:val="none" w:sz="0" w:space="0" w:color="auto"/>
        <w:left w:val="none" w:sz="0" w:space="0" w:color="auto"/>
        <w:bottom w:val="none" w:sz="0" w:space="0" w:color="auto"/>
        <w:right w:val="none" w:sz="0" w:space="0" w:color="auto"/>
      </w:divBdr>
    </w:div>
    <w:div w:id="701903841">
      <w:bodyDiv w:val="1"/>
      <w:marLeft w:val="0"/>
      <w:marRight w:val="0"/>
      <w:marTop w:val="0"/>
      <w:marBottom w:val="0"/>
      <w:divBdr>
        <w:top w:val="none" w:sz="0" w:space="0" w:color="auto"/>
        <w:left w:val="none" w:sz="0" w:space="0" w:color="auto"/>
        <w:bottom w:val="none" w:sz="0" w:space="0" w:color="auto"/>
        <w:right w:val="none" w:sz="0" w:space="0" w:color="auto"/>
      </w:divBdr>
      <w:divsChild>
        <w:div w:id="1947997383">
          <w:marLeft w:val="0"/>
          <w:marRight w:val="0"/>
          <w:marTop w:val="90"/>
          <w:marBottom w:val="150"/>
          <w:divBdr>
            <w:top w:val="single" w:sz="2" w:space="1" w:color="D6D6D6"/>
            <w:left w:val="single" w:sz="2" w:space="1" w:color="D6D6D6"/>
            <w:bottom w:val="single" w:sz="2" w:space="1" w:color="D6D6D6"/>
            <w:right w:val="single" w:sz="2" w:space="1" w:color="D6D6D6"/>
          </w:divBdr>
          <w:divsChild>
            <w:div w:id="2004896773">
              <w:marLeft w:val="0"/>
              <w:marRight w:val="0"/>
              <w:marTop w:val="0"/>
              <w:marBottom w:val="0"/>
              <w:divBdr>
                <w:top w:val="none" w:sz="0" w:space="0" w:color="auto"/>
                <w:left w:val="none" w:sz="0" w:space="0" w:color="auto"/>
                <w:bottom w:val="none" w:sz="0" w:space="0" w:color="auto"/>
                <w:right w:val="none" w:sz="0" w:space="0" w:color="auto"/>
              </w:divBdr>
              <w:divsChild>
                <w:div w:id="1937667030">
                  <w:marLeft w:val="0"/>
                  <w:marRight w:val="0"/>
                  <w:marTop w:val="0"/>
                  <w:marBottom w:val="0"/>
                  <w:divBdr>
                    <w:top w:val="none" w:sz="0" w:space="0" w:color="auto"/>
                    <w:left w:val="none" w:sz="0" w:space="0" w:color="auto"/>
                    <w:bottom w:val="none" w:sz="0" w:space="0" w:color="auto"/>
                    <w:right w:val="none" w:sz="0" w:space="0" w:color="auto"/>
                  </w:divBdr>
                  <w:divsChild>
                    <w:div w:id="708527142">
                      <w:marLeft w:val="0"/>
                      <w:marRight w:val="0"/>
                      <w:marTop w:val="0"/>
                      <w:marBottom w:val="0"/>
                      <w:divBdr>
                        <w:top w:val="none" w:sz="0" w:space="0" w:color="auto"/>
                        <w:left w:val="none" w:sz="0" w:space="0" w:color="auto"/>
                        <w:bottom w:val="none" w:sz="0" w:space="0" w:color="auto"/>
                        <w:right w:val="none" w:sz="0" w:space="0" w:color="auto"/>
                      </w:divBdr>
                      <w:divsChild>
                        <w:div w:id="817191676">
                          <w:marLeft w:val="0"/>
                          <w:marRight w:val="0"/>
                          <w:marTop w:val="0"/>
                          <w:marBottom w:val="0"/>
                          <w:divBdr>
                            <w:top w:val="none" w:sz="0" w:space="0" w:color="auto"/>
                            <w:left w:val="none" w:sz="0" w:space="0" w:color="auto"/>
                            <w:bottom w:val="none" w:sz="0" w:space="0" w:color="auto"/>
                            <w:right w:val="none" w:sz="0" w:space="0" w:color="auto"/>
                          </w:divBdr>
                          <w:divsChild>
                            <w:div w:id="1996833808">
                              <w:marLeft w:val="0"/>
                              <w:marRight w:val="0"/>
                              <w:marTop w:val="0"/>
                              <w:marBottom w:val="0"/>
                              <w:divBdr>
                                <w:top w:val="none" w:sz="0" w:space="0" w:color="auto"/>
                                <w:left w:val="none" w:sz="0" w:space="0" w:color="auto"/>
                                <w:bottom w:val="none" w:sz="0" w:space="0" w:color="auto"/>
                                <w:right w:val="none" w:sz="0" w:space="0" w:color="auto"/>
                              </w:divBdr>
                            </w:div>
                            <w:div w:id="1025324140">
                              <w:marLeft w:val="0"/>
                              <w:marRight w:val="0"/>
                              <w:marTop w:val="0"/>
                              <w:marBottom w:val="0"/>
                              <w:divBdr>
                                <w:top w:val="none" w:sz="0" w:space="0" w:color="auto"/>
                                <w:left w:val="none" w:sz="0" w:space="0" w:color="auto"/>
                                <w:bottom w:val="none" w:sz="0" w:space="0" w:color="auto"/>
                                <w:right w:val="none" w:sz="0" w:space="0" w:color="auto"/>
                              </w:divBdr>
                            </w:div>
                            <w:div w:id="608128171">
                              <w:marLeft w:val="0"/>
                              <w:marRight w:val="0"/>
                              <w:marTop w:val="0"/>
                              <w:marBottom w:val="0"/>
                              <w:divBdr>
                                <w:top w:val="none" w:sz="0" w:space="0" w:color="auto"/>
                                <w:left w:val="none" w:sz="0" w:space="0" w:color="auto"/>
                                <w:bottom w:val="none" w:sz="0" w:space="0" w:color="auto"/>
                                <w:right w:val="none" w:sz="0" w:space="0" w:color="auto"/>
                              </w:divBdr>
                            </w:div>
                            <w:div w:id="124263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765905">
                      <w:marLeft w:val="0"/>
                      <w:marRight w:val="0"/>
                      <w:marTop w:val="0"/>
                      <w:marBottom w:val="0"/>
                      <w:divBdr>
                        <w:top w:val="none" w:sz="0" w:space="0" w:color="auto"/>
                        <w:left w:val="none" w:sz="0" w:space="0" w:color="auto"/>
                        <w:bottom w:val="none" w:sz="0" w:space="0" w:color="auto"/>
                        <w:right w:val="none" w:sz="0" w:space="0" w:color="auto"/>
                      </w:divBdr>
                      <w:divsChild>
                        <w:div w:id="1073506713">
                          <w:marLeft w:val="0"/>
                          <w:marRight w:val="0"/>
                          <w:marTop w:val="0"/>
                          <w:marBottom w:val="0"/>
                          <w:divBdr>
                            <w:top w:val="none" w:sz="0" w:space="0" w:color="auto"/>
                            <w:left w:val="none" w:sz="0" w:space="0" w:color="auto"/>
                            <w:bottom w:val="none" w:sz="0" w:space="0" w:color="auto"/>
                            <w:right w:val="none" w:sz="0" w:space="0" w:color="auto"/>
                          </w:divBdr>
                          <w:divsChild>
                            <w:div w:id="289019463">
                              <w:marLeft w:val="0"/>
                              <w:marRight w:val="0"/>
                              <w:marTop w:val="0"/>
                              <w:marBottom w:val="0"/>
                              <w:divBdr>
                                <w:top w:val="none" w:sz="0" w:space="0" w:color="auto"/>
                                <w:left w:val="none" w:sz="0" w:space="0" w:color="auto"/>
                                <w:bottom w:val="none" w:sz="0" w:space="0" w:color="auto"/>
                                <w:right w:val="none" w:sz="0" w:space="0" w:color="auto"/>
                              </w:divBdr>
                            </w:div>
                            <w:div w:id="95945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2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242273">
          <w:marLeft w:val="0"/>
          <w:marRight w:val="0"/>
          <w:marTop w:val="120"/>
          <w:marBottom w:val="0"/>
          <w:divBdr>
            <w:top w:val="none" w:sz="0" w:space="0" w:color="auto"/>
            <w:left w:val="none" w:sz="0" w:space="0" w:color="auto"/>
            <w:bottom w:val="none" w:sz="0" w:space="0" w:color="auto"/>
            <w:right w:val="none" w:sz="0" w:space="0" w:color="auto"/>
          </w:divBdr>
          <w:divsChild>
            <w:div w:id="559750835">
              <w:marLeft w:val="0"/>
              <w:marRight w:val="0"/>
              <w:marTop w:val="0"/>
              <w:marBottom w:val="0"/>
              <w:divBdr>
                <w:top w:val="none" w:sz="0" w:space="0" w:color="auto"/>
                <w:left w:val="none" w:sz="0" w:space="0" w:color="auto"/>
                <w:bottom w:val="none" w:sz="0" w:space="0" w:color="auto"/>
                <w:right w:val="none" w:sz="0" w:space="0" w:color="auto"/>
              </w:divBdr>
              <w:divsChild>
                <w:div w:id="870261931">
                  <w:marLeft w:val="0"/>
                  <w:marRight w:val="0"/>
                  <w:marTop w:val="0"/>
                  <w:marBottom w:val="0"/>
                  <w:divBdr>
                    <w:top w:val="none" w:sz="0" w:space="0" w:color="auto"/>
                    <w:left w:val="single" w:sz="2" w:space="2" w:color="D6D6D6"/>
                    <w:bottom w:val="single" w:sz="2" w:space="0" w:color="D6D6D6"/>
                    <w:right w:val="none" w:sz="0" w:space="0" w:color="auto"/>
                  </w:divBdr>
                </w:div>
                <w:div w:id="1830098171">
                  <w:marLeft w:val="0"/>
                  <w:marRight w:val="0"/>
                  <w:marTop w:val="0"/>
                  <w:marBottom w:val="0"/>
                  <w:divBdr>
                    <w:top w:val="none" w:sz="0" w:space="0" w:color="auto"/>
                    <w:left w:val="none" w:sz="0" w:space="0" w:color="auto"/>
                    <w:bottom w:val="single" w:sz="2" w:space="0" w:color="D6D6D6"/>
                    <w:right w:val="none" w:sz="0" w:space="0" w:color="auto"/>
                  </w:divBdr>
                  <w:divsChild>
                    <w:div w:id="1220020541">
                      <w:marLeft w:val="0"/>
                      <w:marRight w:val="0"/>
                      <w:marTop w:val="0"/>
                      <w:marBottom w:val="0"/>
                      <w:divBdr>
                        <w:top w:val="none" w:sz="0" w:space="0" w:color="auto"/>
                        <w:left w:val="none" w:sz="0" w:space="0" w:color="auto"/>
                        <w:bottom w:val="none" w:sz="0" w:space="0" w:color="auto"/>
                        <w:right w:val="none" w:sz="0" w:space="0" w:color="auto"/>
                      </w:divBdr>
                    </w:div>
                  </w:divsChild>
                </w:div>
                <w:div w:id="2124880226">
                  <w:marLeft w:val="0"/>
                  <w:marRight w:val="0"/>
                  <w:marTop w:val="0"/>
                  <w:marBottom w:val="0"/>
                  <w:divBdr>
                    <w:top w:val="none" w:sz="0" w:space="0" w:color="auto"/>
                    <w:left w:val="none" w:sz="0" w:space="0" w:color="auto"/>
                    <w:bottom w:val="single" w:sz="2" w:space="0" w:color="D6D6D6"/>
                    <w:right w:val="none" w:sz="0" w:space="0" w:color="auto"/>
                  </w:divBdr>
                </w:div>
                <w:div w:id="1596591611">
                  <w:marLeft w:val="0"/>
                  <w:marRight w:val="0"/>
                  <w:marTop w:val="0"/>
                  <w:marBottom w:val="0"/>
                  <w:divBdr>
                    <w:top w:val="none" w:sz="0" w:space="0" w:color="auto"/>
                    <w:left w:val="none" w:sz="0" w:space="0" w:color="auto"/>
                    <w:bottom w:val="single" w:sz="2" w:space="0" w:color="D6D6D6"/>
                    <w:right w:val="none" w:sz="0" w:space="0" w:color="auto"/>
                  </w:divBdr>
                </w:div>
                <w:div w:id="1392851356">
                  <w:marLeft w:val="0"/>
                  <w:marRight w:val="0"/>
                  <w:marTop w:val="0"/>
                  <w:marBottom w:val="0"/>
                  <w:divBdr>
                    <w:top w:val="none" w:sz="0" w:space="0" w:color="auto"/>
                    <w:left w:val="none" w:sz="0" w:space="0" w:color="auto"/>
                    <w:bottom w:val="single" w:sz="2" w:space="0" w:color="D6D6D6"/>
                    <w:right w:val="none" w:sz="0" w:space="0" w:color="auto"/>
                  </w:divBdr>
                </w:div>
                <w:div w:id="771585840">
                  <w:marLeft w:val="0"/>
                  <w:marRight w:val="0"/>
                  <w:marTop w:val="0"/>
                  <w:marBottom w:val="0"/>
                  <w:divBdr>
                    <w:top w:val="none" w:sz="0" w:space="0" w:color="auto"/>
                    <w:left w:val="none" w:sz="0" w:space="0" w:color="auto"/>
                    <w:bottom w:val="single" w:sz="2" w:space="0" w:color="D6D6D6"/>
                    <w:right w:val="single" w:sz="2" w:space="2" w:color="D6D6D6"/>
                  </w:divBdr>
                </w:div>
              </w:divsChild>
            </w:div>
            <w:div w:id="1247228844">
              <w:marLeft w:val="0"/>
              <w:marRight w:val="0"/>
              <w:marTop w:val="0"/>
              <w:marBottom w:val="0"/>
              <w:divBdr>
                <w:top w:val="none" w:sz="0" w:space="0" w:color="auto"/>
                <w:left w:val="none" w:sz="0" w:space="0" w:color="auto"/>
                <w:bottom w:val="none" w:sz="0" w:space="0" w:color="auto"/>
                <w:right w:val="none" w:sz="0" w:space="0" w:color="auto"/>
              </w:divBdr>
              <w:divsChild>
                <w:div w:id="986857998">
                  <w:marLeft w:val="0"/>
                  <w:marRight w:val="0"/>
                  <w:marTop w:val="0"/>
                  <w:marBottom w:val="0"/>
                  <w:divBdr>
                    <w:top w:val="none" w:sz="0" w:space="0" w:color="auto"/>
                    <w:left w:val="single" w:sz="2" w:space="2" w:color="D6D6D6"/>
                    <w:bottom w:val="single" w:sz="2" w:space="0" w:color="D6D6D6"/>
                    <w:right w:val="none" w:sz="0" w:space="0" w:color="auto"/>
                  </w:divBdr>
                </w:div>
                <w:div w:id="1557620076">
                  <w:marLeft w:val="0"/>
                  <w:marRight w:val="0"/>
                  <w:marTop w:val="0"/>
                  <w:marBottom w:val="0"/>
                  <w:divBdr>
                    <w:top w:val="none" w:sz="0" w:space="0" w:color="auto"/>
                    <w:left w:val="none" w:sz="0" w:space="0" w:color="auto"/>
                    <w:bottom w:val="single" w:sz="2" w:space="0" w:color="D6D6D6"/>
                    <w:right w:val="none" w:sz="0" w:space="0" w:color="auto"/>
                  </w:divBdr>
                  <w:divsChild>
                    <w:div w:id="1083990452">
                      <w:marLeft w:val="0"/>
                      <w:marRight w:val="0"/>
                      <w:marTop w:val="0"/>
                      <w:marBottom w:val="0"/>
                      <w:divBdr>
                        <w:top w:val="none" w:sz="0" w:space="0" w:color="auto"/>
                        <w:left w:val="none" w:sz="0" w:space="0" w:color="auto"/>
                        <w:bottom w:val="none" w:sz="0" w:space="0" w:color="auto"/>
                        <w:right w:val="none" w:sz="0" w:space="0" w:color="auto"/>
                      </w:divBdr>
                    </w:div>
                  </w:divsChild>
                </w:div>
                <w:div w:id="1947273247">
                  <w:marLeft w:val="0"/>
                  <w:marRight w:val="0"/>
                  <w:marTop w:val="0"/>
                  <w:marBottom w:val="0"/>
                  <w:divBdr>
                    <w:top w:val="none" w:sz="0" w:space="0" w:color="auto"/>
                    <w:left w:val="none" w:sz="0" w:space="0" w:color="auto"/>
                    <w:bottom w:val="single" w:sz="2" w:space="0" w:color="D6D6D6"/>
                    <w:right w:val="none" w:sz="0" w:space="0" w:color="auto"/>
                  </w:divBdr>
                </w:div>
                <w:div w:id="443041584">
                  <w:marLeft w:val="0"/>
                  <w:marRight w:val="0"/>
                  <w:marTop w:val="0"/>
                  <w:marBottom w:val="0"/>
                  <w:divBdr>
                    <w:top w:val="none" w:sz="0" w:space="0" w:color="auto"/>
                    <w:left w:val="none" w:sz="0" w:space="0" w:color="auto"/>
                    <w:bottom w:val="single" w:sz="2" w:space="0" w:color="D6D6D6"/>
                    <w:right w:val="none" w:sz="0" w:space="0" w:color="auto"/>
                  </w:divBdr>
                </w:div>
                <w:div w:id="568152198">
                  <w:marLeft w:val="0"/>
                  <w:marRight w:val="0"/>
                  <w:marTop w:val="0"/>
                  <w:marBottom w:val="0"/>
                  <w:divBdr>
                    <w:top w:val="none" w:sz="0" w:space="0" w:color="auto"/>
                    <w:left w:val="none" w:sz="0" w:space="0" w:color="auto"/>
                    <w:bottom w:val="single" w:sz="2" w:space="0" w:color="D6D6D6"/>
                    <w:right w:val="none" w:sz="0" w:space="0" w:color="auto"/>
                  </w:divBdr>
                </w:div>
                <w:div w:id="870385603">
                  <w:marLeft w:val="0"/>
                  <w:marRight w:val="0"/>
                  <w:marTop w:val="0"/>
                  <w:marBottom w:val="0"/>
                  <w:divBdr>
                    <w:top w:val="none" w:sz="0" w:space="0" w:color="auto"/>
                    <w:left w:val="none" w:sz="0" w:space="0" w:color="auto"/>
                    <w:bottom w:val="single" w:sz="2" w:space="0" w:color="D6D6D6"/>
                    <w:right w:val="single" w:sz="2" w:space="2" w:color="D6D6D6"/>
                  </w:divBdr>
                </w:div>
              </w:divsChild>
            </w:div>
            <w:div w:id="2135638830">
              <w:marLeft w:val="0"/>
              <w:marRight w:val="0"/>
              <w:marTop w:val="0"/>
              <w:marBottom w:val="0"/>
              <w:divBdr>
                <w:top w:val="none" w:sz="0" w:space="0" w:color="auto"/>
                <w:left w:val="none" w:sz="0" w:space="0" w:color="auto"/>
                <w:bottom w:val="none" w:sz="0" w:space="0" w:color="auto"/>
                <w:right w:val="none" w:sz="0" w:space="0" w:color="auto"/>
              </w:divBdr>
              <w:divsChild>
                <w:div w:id="1785231167">
                  <w:marLeft w:val="0"/>
                  <w:marRight w:val="0"/>
                  <w:marTop w:val="0"/>
                  <w:marBottom w:val="0"/>
                  <w:divBdr>
                    <w:top w:val="none" w:sz="0" w:space="0" w:color="auto"/>
                    <w:left w:val="single" w:sz="2" w:space="2" w:color="D6D6D6"/>
                    <w:bottom w:val="single" w:sz="2" w:space="0" w:color="D6D6D6"/>
                    <w:right w:val="none" w:sz="0" w:space="0" w:color="auto"/>
                  </w:divBdr>
                </w:div>
                <w:div w:id="1965964576">
                  <w:marLeft w:val="0"/>
                  <w:marRight w:val="0"/>
                  <w:marTop w:val="0"/>
                  <w:marBottom w:val="0"/>
                  <w:divBdr>
                    <w:top w:val="none" w:sz="0" w:space="0" w:color="auto"/>
                    <w:left w:val="none" w:sz="0" w:space="0" w:color="auto"/>
                    <w:bottom w:val="single" w:sz="2" w:space="0" w:color="D6D6D6"/>
                    <w:right w:val="none" w:sz="0" w:space="0" w:color="auto"/>
                  </w:divBdr>
                  <w:divsChild>
                    <w:div w:id="1533181817">
                      <w:marLeft w:val="0"/>
                      <w:marRight w:val="0"/>
                      <w:marTop w:val="0"/>
                      <w:marBottom w:val="0"/>
                      <w:divBdr>
                        <w:top w:val="none" w:sz="0" w:space="0" w:color="auto"/>
                        <w:left w:val="none" w:sz="0" w:space="0" w:color="auto"/>
                        <w:bottom w:val="none" w:sz="0" w:space="0" w:color="auto"/>
                        <w:right w:val="none" w:sz="0" w:space="0" w:color="auto"/>
                      </w:divBdr>
                    </w:div>
                  </w:divsChild>
                </w:div>
                <w:div w:id="23605825">
                  <w:marLeft w:val="0"/>
                  <w:marRight w:val="0"/>
                  <w:marTop w:val="0"/>
                  <w:marBottom w:val="0"/>
                  <w:divBdr>
                    <w:top w:val="none" w:sz="0" w:space="0" w:color="auto"/>
                    <w:left w:val="none" w:sz="0" w:space="0" w:color="auto"/>
                    <w:bottom w:val="single" w:sz="2" w:space="0" w:color="D6D6D6"/>
                    <w:right w:val="none" w:sz="0" w:space="0" w:color="auto"/>
                  </w:divBdr>
                </w:div>
                <w:div w:id="67240454">
                  <w:marLeft w:val="0"/>
                  <w:marRight w:val="0"/>
                  <w:marTop w:val="0"/>
                  <w:marBottom w:val="0"/>
                  <w:divBdr>
                    <w:top w:val="none" w:sz="0" w:space="0" w:color="auto"/>
                    <w:left w:val="none" w:sz="0" w:space="0" w:color="auto"/>
                    <w:bottom w:val="single" w:sz="2" w:space="0" w:color="D6D6D6"/>
                    <w:right w:val="none" w:sz="0" w:space="0" w:color="auto"/>
                  </w:divBdr>
                </w:div>
                <w:div w:id="958073079">
                  <w:marLeft w:val="0"/>
                  <w:marRight w:val="0"/>
                  <w:marTop w:val="0"/>
                  <w:marBottom w:val="0"/>
                  <w:divBdr>
                    <w:top w:val="none" w:sz="0" w:space="0" w:color="auto"/>
                    <w:left w:val="none" w:sz="0" w:space="0" w:color="auto"/>
                    <w:bottom w:val="single" w:sz="2" w:space="0" w:color="D6D6D6"/>
                    <w:right w:val="none" w:sz="0" w:space="0" w:color="auto"/>
                  </w:divBdr>
                </w:div>
                <w:div w:id="1673990232">
                  <w:marLeft w:val="0"/>
                  <w:marRight w:val="0"/>
                  <w:marTop w:val="0"/>
                  <w:marBottom w:val="0"/>
                  <w:divBdr>
                    <w:top w:val="none" w:sz="0" w:space="0" w:color="auto"/>
                    <w:left w:val="none" w:sz="0" w:space="0" w:color="auto"/>
                    <w:bottom w:val="single" w:sz="2" w:space="0" w:color="D6D6D6"/>
                    <w:right w:val="single" w:sz="2" w:space="2" w:color="D6D6D6"/>
                  </w:divBdr>
                </w:div>
              </w:divsChild>
            </w:div>
            <w:div w:id="932005949">
              <w:marLeft w:val="0"/>
              <w:marRight w:val="0"/>
              <w:marTop w:val="0"/>
              <w:marBottom w:val="0"/>
              <w:divBdr>
                <w:top w:val="none" w:sz="0" w:space="0" w:color="auto"/>
                <w:left w:val="none" w:sz="0" w:space="0" w:color="auto"/>
                <w:bottom w:val="none" w:sz="0" w:space="0" w:color="auto"/>
                <w:right w:val="none" w:sz="0" w:space="0" w:color="auto"/>
              </w:divBdr>
              <w:divsChild>
                <w:div w:id="1612349248">
                  <w:marLeft w:val="0"/>
                  <w:marRight w:val="0"/>
                  <w:marTop w:val="0"/>
                  <w:marBottom w:val="0"/>
                  <w:divBdr>
                    <w:top w:val="none" w:sz="0" w:space="0" w:color="auto"/>
                    <w:left w:val="single" w:sz="2" w:space="2" w:color="D6D6D6"/>
                    <w:bottom w:val="single" w:sz="2" w:space="0" w:color="D6D6D6"/>
                    <w:right w:val="none" w:sz="0" w:space="0" w:color="auto"/>
                  </w:divBdr>
                </w:div>
                <w:div w:id="1249147672">
                  <w:marLeft w:val="0"/>
                  <w:marRight w:val="0"/>
                  <w:marTop w:val="0"/>
                  <w:marBottom w:val="0"/>
                  <w:divBdr>
                    <w:top w:val="none" w:sz="0" w:space="0" w:color="auto"/>
                    <w:left w:val="none" w:sz="0" w:space="0" w:color="auto"/>
                    <w:bottom w:val="single" w:sz="2" w:space="0" w:color="D6D6D6"/>
                    <w:right w:val="none" w:sz="0" w:space="0" w:color="auto"/>
                  </w:divBdr>
                  <w:divsChild>
                    <w:div w:id="1993753370">
                      <w:marLeft w:val="0"/>
                      <w:marRight w:val="0"/>
                      <w:marTop w:val="0"/>
                      <w:marBottom w:val="0"/>
                      <w:divBdr>
                        <w:top w:val="none" w:sz="0" w:space="0" w:color="auto"/>
                        <w:left w:val="none" w:sz="0" w:space="0" w:color="auto"/>
                        <w:bottom w:val="none" w:sz="0" w:space="0" w:color="auto"/>
                        <w:right w:val="none" w:sz="0" w:space="0" w:color="auto"/>
                      </w:divBdr>
                    </w:div>
                  </w:divsChild>
                </w:div>
                <w:div w:id="2111272225">
                  <w:marLeft w:val="0"/>
                  <w:marRight w:val="0"/>
                  <w:marTop w:val="0"/>
                  <w:marBottom w:val="0"/>
                  <w:divBdr>
                    <w:top w:val="none" w:sz="0" w:space="0" w:color="auto"/>
                    <w:left w:val="none" w:sz="0" w:space="0" w:color="auto"/>
                    <w:bottom w:val="single" w:sz="2" w:space="0" w:color="D6D6D6"/>
                    <w:right w:val="none" w:sz="0" w:space="0" w:color="auto"/>
                  </w:divBdr>
                </w:div>
                <w:div w:id="816189038">
                  <w:marLeft w:val="0"/>
                  <w:marRight w:val="0"/>
                  <w:marTop w:val="0"/>
                  <w:marBottom w:val="0"/>
                  <w:divBdr>
                    <w:top w:val="none" w:sz="0" w:space="0" w:color="auto"/>
                    <w:left w:val="none" w:sz="0" w:space="0" w:color="auto"/>
                    <w:bottom w:val="single" w:sz="2" w:space="0" w:color="D6D6D6"/>
                    <w:right w:val="none" w:sz="0" w:space="0" w:color="auto"/>
                  </w:divBdr>
                </w:div>
                <w:div w:id="572816452">
                  <w:marLeft w:val="0"/>
                  <w:marRight w:val="0"/>
                  <w:marTop w:val="0"/>
                  <w:marBottom w:val="0"/>
                  <w:divBdr>
                    <w:top w:val="none" w:sz="0" w:space="0" w:color="auto"/>
                    <w:left w:val="none" w:sz="0" w:space="0" w:color="auto"/>
                    <w:bottom w:val="single" w:sz="2" w:space="0" w:color="D6D6D6"/>
                    <w:right w:val="none" w:sz="0" w:space="0" w:color="auto"/>
                  </w:divBdr>
                </w:div>
                <w:div w:id="1888564883">
                  <w:marLeft w:val="0"/>
                  <w:marRight w:val="0"/>
                  <w:marTop w:val="0"/>
                  <w:marBottom w:val="0"/>
                  <w:divBdr>
                    <w:top w:val="none" w:sz="0" w:space="0" w:color="auto"/>
                    <w:left w:val="none" w:sz="0" w:space="0" w:color="auto"/>
                    <w:bottom w:val="single" w:sz="2" w:space="0" w:color="D6D6D6"/>
                    <w:right w:val="single" w:sz="2" w:space="2" w:color="D6D6D6"/>
                  </w:divBdr>
                </w:div>
              </w:divsChild>
            </w:div>
            <w:div w:id="1105223220">
              <w:marLeft w:val="0"/>
              <w:marRight w:val="0"/>
              <w:marTop w:val="0"/>
              <w:marBottom w:val="0"/>
              <w:divBdr>
                <w:top w:val="none" w:sz="0" w:space="0" w:color="auto"/>
                <w:left w:val="none" w:sz="0" w:space="0" w:color="auto"/>
                <w:bottom w:val="none" w:sz="0" w:space="0" w:color="auto"/>
                <w:right w:val="none" w:sz="0" w:space="0" w:color="auto"/>
              </w:divBdr>
              <w:divsChild>
                <w:div w:id="1662655227">
                  <w:marLeft w:val="0"/>
                  <w:marRight w:val="0"/>
                  <w:marTop w:val="0"/>
                  <w:marBottom w:val="0"/>
                  <w:divBdr>
                    <w:top w:val="none" w:sz="0" w:space="0" w:color="auto"/>
                    <w:left w:val="single" w:sz="2" w:space="2" w:color="D6D6D6"/>
                    <w:bottom w:val="single" w:sz="2" w:space="0" w:color="D6D6D6"/>
                    <w:right w:val="none" w:sz="0" w:space="0" w:color="auto"/>
                  </w:divBdr>
                </w:div>
                <w:div w:id="526866521">
                  <w:marLeft w:val="0"/>
                  <w:marRight w:val="0"/>
                  <w:marTop w:val="0"/>
                  <w:marBottom w:val="0"/>
                  <w:divBdr>
                    <w:top w:val="none" w:sz="0" w:space="0" w:color="auto"/>
                    <w:left w:val="none" w:sz="0" w:space="0" w:color="auto"/>
                    <w:bottom w:val="single" w:sz="2" w:space="0" w:color="D6D6D6"/>
                    <w:right w:val="none" w:sz="0" w:space="0" w:color="auto"/>
                  </w:divBdr>
                  <w:divsChild>
                    <w:div w:id="717240031">
                      <w:marLeft w:val="0"/>
                      <w:marRight w:val="0"/>
                      <w:marTop w:val="0"/>
                      <w:marBottom w:val="0"/>
                      <w:divBdr>
                        <w:top w:val="none" w:sz="0" w:space="0" w:color="auto"/>
                        <w:left w:val="none" w:sz="0" w:space="0" w:color="auto"/>
                        <w:bottom w:val="none" w:sz="0" w:space="0" w:color="auto"/>
                        <w:right w:val="none" w:sz="0" w:space="0" w:color="auto"/>
                      </w:divBdr>
                    </w:div>
                  </w:divsChild>
                </w:div>
                <w:div w:id="1758863253">
                  <w:marLeft w:val="0"/>
                  <w:marRight w:val="0"/>
                  <w:marTop w:val="0"/>
                  <w:marBottom w:val="0"/>
                  <w:divBdr>
                    <w:top w:val="none" w:sz="0" w:space="0" w:color="auto"/>
                    <w:left w:val="none" w:sz="0" w:space="0" w:color="auto"/>
                    <w:bottom w:val="single" w:sz="2" w:space="0" w:color="D6D6D6"/>
                    <w:right w:val="none" w:sz="0" w:space="0" w:color="auto"/>
                  </w:divBdr>
                </w:div>
                <w:div w:id="730613622">
                  <w:marLeft w:val="0"/>
                  <w:marRight w:val="0"/>
                  <w:marTop w:val="0"/>
                  <w:marBottom w:val="0"/>
                  <w:divBdr>
                    <w:top w:val="none" w:sz="0" w:space="0" w:color="auto"/>
                    <w:left w:val="none" w:sz="0" w:space="0" w:color="auto"/>
                    <w:bottom w:val="single" w:sz="2" w:space="0" w:color="D6D6D6"/>
                    <w:right w:val="none" w:sz="0" w:space="0" w:color="auto"/>
                  </w:divBdr>
                </w:div>
                <w:div w:id="201862956">
                  <w:marLeft w:val="0"/>
                  <w:marRight w:val="0"/>
                  <w:marTop w:val="0"/>
                  <w:marBottom w:val="0"/>
                  <w:divBdr>
                    <w:top w:val="none" w:sz="0" w:space="0" w:color="auto"/>
                    <w:left w:val="none" w:sz="0" w:space="0" w:color="auto"/>
                    <w:bottom w:val="single" w:sz="2" w:space="0" w:color="D6D6D6"/>
                    <w:right w:val="none" w:sz="0" w:space="0" w:color="auto"/>
                  </w:divBdr>
                </w:div>
                <w:div w:id="1186287440">
                  <w:marLeft w:val="0"/>
                  <w:marRight w:val="0"/>
                  <w:marTop w:val="0"/>
                  <w:marBottom w:val="0"/>
                  <w:divBdr>
                    <w:top w:val="none" w:sz="0" w:space="0" w:color="auto"/>
                    <w:left w:val="none" w:sz="0" w:space="0" w:color="auto"/>
                    <w:bottom w:val="single" w:sz="2" w:space="0" w:color="D6D6D6"/>
                    <w:right w:val="single" w:sz="2" w:space="2" w:color="D6D6D6"/>
                  </w:divBdr>
                </w:div>
              </w:divsChild>
            </w:div>
            <w:div w:id="1933393172">
              <w:marLeft w:val="0"/>
              <w:marRight w:val="0"/>
              <w:marTop w:val="0"/>
              <w:marBottom w:val="0"/>
              <w:divBdr>
                <w:top w:val="none" w:sz="0" w:space="0" w:color="auto"/>
                <w:left w:val="none" w:sz="0" w:space="0" w:color="auto"/>
                <w:bottom w:val="none" w:sz="0" w:space="0" w:color="auto"/>
                <w:right w:val="none" w:sz="0" w:space="0" w:color="auto"/>
              </w:divBdr>
              <w:divsChild>
                <w:div w:id="301352924">
                  <w:marLeft w:val="0"/>
                  <w:marRight w:val="0"/>
                  <w:marTop w:val="0"/>
                  <w:marBottom w:val="0"/>
                  <w:divBdr>
                    <w:top w:val="none" w:sz="0" w:space="0" w:color="auto"/>
                    <w:left w:val="none" w:sz="0" w:space="0" w:color="auto"/>
                    <w:bottom w:val="none" w:sz="0" w:space="0" w:color="auto"/>
                    <w:right w:val="none" w:sz="0" w:space="0" w:color="auto"/>
                  </w:divBdr>
                </w:div>
              </w:divsChild>
            </w:div>
            <w:div w:id="1538155049">
              <w:marLeft w:val="0"/>
              <w:marRight w:val="0"/>
              <w:marTop w:val="0"/>
              <w:marBottom w:val="0"/>
              <w:divBdr>
                <w:top w:val="none" w:sz="0" w:space="0" w:color="auto"/>
                <w:left w:val="none" w:sz="0" w:space="0" w:color="auto"/>
                <w:bottom w:val="none" w:sz="0" w:space="0" w:color="auto"/>
                <w:right w:val="none" w:sz="0" w:space="0" w:color="auto"/>
              </w:divBdr>
              <w:divsChild>
                <w:div w:id="1017273414">
                  <w:marLeft w:val="0"/>
                  <w:marRight w:val="0"/>
                  <w:marTop w:val="0"/>
                  <w:marBottom w:val="0"/>
                  <w:divBdr>
                    <w:top w:val="none" w:sz="0" w:space="0" w:color="auto"/>
                    <w:left w:val="none" w:sz="0" w:space="0" w:color="auto"/>
                    <w:bottom w:val="none" w:sz="0" w:space="0" w:color="auto"/>
                    <w:right w:val="none" w:sz="0" w:space="0" w:color="auto"/>
                  </w:divBdr>
                </w:div>
                <w:div w:id="206770481">
                  <w:marLeft w:val="0"/>
                  <w:marRight w:val="0"/>
                  <w:marTop w:val="0"/>
                  <w:marBottom w:val="0"/>
                  <w:divBdr>
                    <w:top w:val="none" w:sz="0" w:space="0" w:color="auto"/>
                    <w:left w:val="none" w:sz="0" w:space="0" w:color="auto"/>
                    <w:bottom w:val="none" w:sz="0" w:space="0" w:color="auto"/>
                    <w:right w:val="none" w:sz="0" w:space="0" w:color="auto"/>
                  </w:divBdr>
                </w:div>
                <w:div w:id="3629114">
                  <w:marLeft w:val="0"/>
                  <w:marRight w:val="0"/>
                  <w:marTop w:val="0"/>
                  <w:marBottom w:val="0"/>
                  <w:divBdr>
                    <w:top w:val="none" w:sz="0" w:space="0" w:color="auto"/>
                    <w:left w:val="none" w:sz="0" w:space="0" w:color="auto"/>
                    <w:bottom w:val="none" w:sz="0" w:space="0" w:color="auto"/>
                    <w:right w:val="none" w:sz="0" w:space="0" w:color="auto"/>
                  </w:divBdr>
                </w:div>
                <w:div w:id="820774173">
                  <w:marLeft w:val="0"/>
                  <w:marRight w:val="0"/>
                  <w:marTop w:val="0"/>
                  <w:marBottom w:val="0"/>
                  <w:divBdr>
                    <w:top w:val="none" w:sz="0" w:space="0" w:color="auto"/>
                    <w:left w:val="none" w:sz="0" w:space="0" w:color="auto"/>
                    <w:bottom w:val="none" w:sz="0" w:space="0" w:color="auto"/>
                    <w:right w:val="none" w:sz="0" w:space="0" w:color="auto"/>
                  </w:divBdr>
                </w:div>
                <w:div w:id="1083917636">
                  <w:marLeft w:val="0"/>
                  <w:marRight w:val="0"/>
                  <w:marTop w:val="0"/>
                  <w:marBottom w:val="0"/>
                  <w:divBdr>
                    <w:top w:val="none" w:sz="0" w:space="0" w:color="auto"/>
                    <w:left w:val="none" w:sz="0" w:space="0" w:color="auto"/>
                    <w:bottom w:val="none" w:sz="0" w:space="0" w:color="auto"/>
                    <w:right w:val="none" w:sz="0" w:space="0" w:color="auto"/>
                  </w:divBdr>
                </w:div>
                <w:div w:id="1393121148">
                  <w:marLeft w:val="0"/>
                  <w:marRight w:val="0"/>
                  <w:marTop w:val="0"/>
                  <w:marBottom w:val="0"/>
                  <w:divBdr>
                    <w:top w:val="none" w:sz="0" w:space="0" w:color="auto"/>
                    <w:left w:val="none" w:sz="0" w:space="0" w:color="auto"/>
                    <w:bottom w:val="none" w:sz="0" w:space="0" w:color="auto"/>
                    <w:right w:val="none" w:sz="0" w:space="0" w:color="auto"/>
                  </w:divBdr>
                </w:div>
              </w:divsChild>
            </w:div>
            <w:div w:id="918556508">
              <w:marLeft w:val="0"/>
              <w:marRight w:val="0"/>
              <w:marTop w:val="0"/>
              <w:marBottom w:val="0"/>
              <w:divBdr>
                <w:top w:val="none" w:sz="0" w:space="0" w:color="auto"/>
                <w:left w:val="none" w:sz="0" w:space="0" w:color="auto"/>
                <w:bottom w:val="none" w:sz="0" w:space="0" w:color="auto"/>
                <w:right w:val="none" w:sz="0" w:space="0" w:color="auto"/>
              </w:divBdr>
              <w:divsChild>
                <w:div w:id="1575046657">
                  <w:marLeft w:val="0"/>
                  <w:marRight w:val="0"/>
                  <w:marTop w:val="0"/>
                  <w:marBottom w:val="0"/>
                  <w:divBdr>
                    <w:top w:val="none" w:sz="0" w:space="0" w:color="auto"/>
                    <w:left w:val="single" w:sz="2" w:space="2" w:color="D6D6D6"/>
                    <w:bottom w:val="single" w:sz="2" w:space="0" w:color="D6D6D6"/>
                    <w:right w:val="none" w:sz="0" w:space="0" w:color="auto"/>
                  </w:divBdr>
                </w:div>
                <w:div w:id="518128263">
                  <w:marLeft w:val="0"/>
                  <w:marRight w:val="0"/>
                  <w:marTop w:val="0"/>
                  <w:marBottom w:val="0"/>
                  <w:divBdr>
                    <w:top w:val="none" w:sz="0" w:space="0" w:color="auto"/>
                    <w:left w:val="none" w:sz="0" w:space="0" w:color="auto"/>
                    <w:bottom w:val="single" w:sz="2" w:space="0" w:color="D6D6D6"/>
                    <w:right w:val="none" w:sz="0" w:space="0" w:color="auto"/>
                  </w:divBdr>
                  <w:divsChild>
                    <w:div w:id="409809691">
                      <w:marLeft w:val="0"/>
                      <w:marRight w:val="0"/>
                      <w:marTop w:val="0"/>
                      <w:marBottom w:val="0"/>
                      <w:divBdr>
                        <w:top w:val="none" w:sz="0" w:space="0" w:color="auto"/>
                        <w:left w:val="none" w:sz="0" w:space="0" w:color="auto"/>
                        <w:bottom w:val="none" w:sz="0" w:space="0" w:color="auto"/>
                        <w:right w:val="none" w:sz="0" w:space="0" w:color="auto"/>
                      </w:divBdr>
                    </w:div>
                  </w:divsChild>
                </w:div>
                <w:div w:id="100996463">
                  <w:marLeft w:val="0"/>
                  <w:marRight w:val="0"/>
                  <w:marTop w:val="0"/>
                  <w:marBottom w:val="0"/>
                  <w:divBdr>
                    <w:top w:val="none" w:sz="0" w:space="0" w:color="auto"/>
                    <w:left w:val="none" w:sz="0" w:space="0" w:color="auto"/>
                    <w:bottom w:val="single" w:sz="2" w:space="0" w:color="D6D6D6"/>
                    <w:right w:val="none" w:sz="0" w:space="0" w:color="auto"/>
                  </w:divBdr>
                </w:div>
                <w:div w:id="1190410872">
                  <w:marLeft w:val="0"/>
                  <w:marRight w:val="0"/>
                  <w:marTop w:val="0"/>
                  <w:marBottom w:val="0"/>
                  <w:divBdr>
                    <w:top w:val="none" w:sz="0" w:space="0" w:color="auto"/>
                    <w:left w:val="none" w:sz="0" w:space="0" w:color="auto"/>
                    <w:bottom w:val="single" w:sz="2" w:space="0" w:color="D6D6D6"/>
                    <w:right w:val="none" w:sz="0" w:space="0" w:color="auto"/>
                  </w:divBdr>
                </w:div>
                <w:div w:id="824588829">
                  <w:marLeft w:val="0"/>
                  <w:marRight w:val="0"/>
                  <w:marTop w:val="0"/>
                  <w:marBottom w:val="0"/>
                  <w:divBdr>
                    <w:top w:val="none" w:sz="0" w:space="0" w:color="auto"/>
                    <w:left w:val="none" w:sz="0" w:space="0" w:color="auto"/>
                    <w:bottom w:val="single" w:sz="2" w:space="0" w:color="D6D6D6"/>
                    <w:right w:val="none" w:sz="0" w:space="0" w:color="auto"/>
                  </w:divBdr>
                </w:div>
                <w:div w:id="1948192674">
                  <w:marLeft w:val="0"/>
                  <w:marRight w:val="0"/>
                  <w:marTop w:val="0"/>
                  <w:marBottom w:val="0"/>
                  <w:divBdr>
                    <w:top w:val="none" w:sz="0" w:space="0" w:color="auto"/>
                    <w:left w:val="none" w:sz="0" w:space="0" w:color="auto"/>
                    <w:bottom w:val="single" w:sz="2" w:space="0" w:color="D6D6D6"/>
                    <w:right w:val="single" w:sz="2" w:space="2" w:color="D6D6D6"/>
                  </w:divBdr>
                </w:div>
              </w:divsChild>
            </w:div>
            <w:div w:id="1561284476">
              <w:marLeft w:val="0"/>
              <w:marRight w:val="0"/>
              <w:marTop w:val="0"/>
              <w:marBottom w:val="0"/>
              <w:divBdr>
                <w:top w:val="none" w:sz="0" w:space="0" w:color="auto"/>
                <w:left w:val="none" w:sz="0" w:space="0" w:color="auto"/>
                <w:bottom w:val="none" w:sz="0" w:space="0" w:color="auto"/>
                <w:right w:val="none" w:sz="0" w:space="0" w:color="auto"/>
              </w:divBdr>
              <w:divsChild>
                <w:div w:id="1516261641">
                  <w:marLeft w:val="0"/>
                  <w:marRight w:val="0"/>
                  <w:marTop w:val="0"/>
                  <w:marBottom w:val="0"/>
                  <w:divBdr>
                    <w:top w:val="none" w:sz="0" w:space="0" w:color="auto"/>
                    <w:left w:val="single" w:sz="2" w:space="2" w:color="D6D6D6"/>
                    <w:bottom w:val="single" w:sz="2" w:space="0" w:color="D6D6D6"/>
                    <w:right w:val="none" w:sz="0" w:space="0" w:color="auto"/>
                  </w:divBdr>
                </w:div>
                <w:div w:id="313490287">
                  <w:marLeft w:val="0"/>
                  <w:marRight w:val="0"/>
                  <w:marTop w:val="0"/>
                  <w:marBottom w:val="0"/>
                  <w:divBdr>
                    <w:top w:val="none" w:sz="0" w:space="0" w:color="auto"/>
                    <w:left w:val="none" w:sz="0" w:space="0" w:color="auto"/>
                    <w:bottom w:val="single" w:sz="2" w:space="0" w:color="D6D6D6"/>
                    <w:right w:val="none" w:sz="0" w:space="0" w:color="auto"/>
                  </w:divBdr>
                  <w:divsChild>
                    <w:div w:id="1445270193">
                      <w:marLeft w:val="0"/>
                      <w:marRight w:val="0"/>
                      <w:marTop w:val="0"/>
                      <w:marBottom w:val="0"/>
                      <w:divBdr>
                        <w:top w:val="none" w:sz="0" w:space="0" w:color="auto"/>
                        <w:left w:val="none" w:sz="0" w:space="0" w:color="auto"/>
                        <w:bottom w:val="none" w:sz="0" w:space="0" w:color="auto"/>
                        <w:right w:val="none" w:sz="0" w:space="0" w:color="auto"/>
                      </w:divBdr>
                    </w:div>
                  </w:divsChild>
                </w:div>
                <w:div w:id="2125228214">
                  <w:marLeft w:val="0"/>
                  <w:marRight w:val="0"/>
                  <w:marTop w:val="0"/>
                  <w:marBottom w:val="0"/>
                  <w:divBdr>
                    <w:top w:val="none" w:sz="0" w:space="0" w:color="auto"/>
                    <w:left w:val="none" w:sz="0" w:space="0" w:color="auto"/>
                    <w:bottom w:val="single" w:sz="2" w:space="0" w:color="D6D6D6"/>
                    <w:right w:val="none" w:sz="0" w:space="0" w:color="auto"/>
                  </w:divBdr>
                </w:div>
                <w:div w:id="927999513">
                  <w:marLeft w:val="0"/>
                  <w:marRight w:val="0"/>
                  <w:marTop w:val="0"/>
                  <w:marBottom w:val="0"/>
                  <w:divBdr>
                    <w:top w:val="none" w:sz="0" w:space="0" w:color="auto"/>
                    <w:left w:val="none" w:sz="0" w:space="0" w:color="auto"/>
                    <w:bottom w:val="single" w:sz="2" w:space="0" w:color="D6D6D6"/>
                    <w:right w:val="none" w:sz="0" w:space="0" w:color="auto"/>
                  </w:divBdr>
                </w:div>
                <w:div w:id="788935802">
                  <w:marLeft w:val="0"/>
                  <w:marRight w:val="0"/>
                  <w:marTop w:val="0"/>
                  <w:marBottom w:val="0"/>
                  <w:divBdr>
                    <w:top w:val="none" w:sz="0" w:space="0" w:color="auto"/>
                    <w:left w:val="none" w:sz="0" w:space="0" w:color="auto"/>
                    <w:bottom w:val="single" w:sz="2" w:space="0" w:color="D6D6D6"/>
                    <w:right w:val="none" w:sz="0" w:space="0" w:color="auto"/>
                  </w:divBdr>
                </w:div>
                <w:div w:id="879708077">
                  <w:marLeft w:val="0"/>
                  <w:marRight w:val="0"/>
                  <w:marTop w:val="0"/>
                  <w:marBottom w:val="0"/>
                  <w:divBdr>
                    <w:top w:val="none" w:sz="0" w:space="0" w:color="auto"/>
                    <w:left w:val="none" w:sz="0" w:space="0" w:color="auto"/>
                    <w:bottom w:val="single" w:sz="2" w:space="0" w:color="D6D6D6"/>
                    <w:right w:val="single" w:sz="2" w:space="2" w:color="D6D6D6"/>
                  </w:divBdr>
                </w:div>
              </w:divsChild>
            </w:div>
            <w:div w:id="1451779300">
              <w:marLeft w:val="0"/>
              <w:marRight w:val="0"/>
              <w:marTop w:val="0"/>
              <w:marBottom w:val="0"/>
              <w:divBdr>
                <w:top w:val="none" w:sz="0" w:space="0" w:color="auto"/>
                <w:left w:val="none" w:sz="0" w:space="0" w:color="auto"/>
                <w:bottom w:val="none" w:sz="0" w:space="0" w:color="auto"/>
                <w:right w:val="none" w:sz="0" w:space="0" w:color="auto"/>
              </w:divBdr>
              <w:divsChild>
                <w:div w:id="1546795176">
                  <w:marLeft w:val="0"/>
                  <w:marRight w:val="0"/>
                  <w:marTop w:val="0"/>
                  <w:marBottom w:val="0"/>
                  <w:divBdr>
                    <w:top w:val="none" w:sz="0" w:space="0" w:color="auto"/>
                    <w:left w:val="single" w:sz="2" w:space="2" w:color="D6D6D6"/>
                    <w:bottom w:val="single" w:sz="2" w:space="0" w:color="D6D6D6"/>
                    <w:right w:val="none" w:sz="0" w:space="0" w:color="auto"/>
                  </w:divBdr>
                </w:div>
                <w:div w:id="1081566351">
                  <w:marLeft w:val="0"/>
                  <w:marRight w:val="0"/>
                  <w:marTop w:val="0"/>
                  <w:marBottom w:val="0"/>
                  <w:divBdr>
                    <w:top w:val="none" w:sz="0" w:space="0" w:color="auto"/>
                    <w:left w:val="none" w:sz="0" w:space="0" w:color="auto"/>
                    <w:bottom w:val="single" w:sz="2" w:space="0" w:color="D6D6D6"/>
                    <w:right w:val="none" w:sz="0" w:space="0" w:color="auto"/>
                  </w:divBdr>
                  <w:divsChild>
                    <w:div w:id="784159127">
                      <w:marLeft w:val="0"/>
                      <w:marRight w:val="0"/>
                      <w:marTop w:val="0"/>
                      <w:marBottom w:val="0"/>
                      <w:divBdr>
                        <w:top w:val="none" w:sz="0" w:space="0" w:color="auto"/>
                        <w:left w:val="none" w:sz="0" w:space="0" w:color="auto"/>
                        <w:bottom w:val="none" w:sz="0" w:space="0" w:color="auto"/>
                        <w:right w:val="none" w:sz="0" w:space="0" w:color="auto"/>
                      </w:divBdr>
                    </w:div>
                  </w:divsChild>
                </w:div>
                <w:div w:id="1903322780">
                  <w:marLeft w:val="0"/>
                  <w:marRight w:val="0"/>
                  <w:marTop w:val="0"/>
                  <w:marBottom w:val="0"/>
                  <w:divBdr>
                    <w:top w:val="none" w:sz="0" w:space="0" w:color="auto"/>
                    <w:left w:val="none" w:sz="0" w:space="0" w:color="auto"/>
                    <w:bottom w:val="single" w:sz="2" w:space="0" w:color="D6D6D6"/>
                    <w:right w:val="none" w:sz="0" w:space="0" w:color="auto"/>
                  </w:divBdr>
                </w:div>
                <w:div w:id="421924204">
                  <w:marLeft w:val="0"/>
                  <w:marRight w:val="0"/>
                  <w:marTop w:val="0"/>
                  <w:marBottom w:val="0"/>
                  <w:divBdr>
                    <w:top w:val="none" w:sz="0" w:space="0" w:color="auto"/>
                    <w:left w:val="none" w:sz="0" w:space="0" w:color="auto"/>
                    <w:bottom w:val="single" w:sz="2" w:space="0" w:color="D6D6D6"/>
                    <w:right w:val="none" w:sz="0" w:space="0" w:color="auto"/>
                  </w:divBdr>
                </w:div>
                <w:div w:id="2007709879">
                  <w:marLeft w:val="0"/>
                  <w:marRight w:val="0"/>
                  <w:marTop w:val="0"/>
                  <w:marBottom w:val="0"/>
                  <w:divBdr>
                    <w:top w:val="none" w:sz="0" w:space="0" w:color="auto"/>
                    <w:left w:val="none" w:sz="0" w:space="0" w:color="auto"/>
                    <w:bottom w:val="single" w:sz="2" w:space="0" w:color="D6D6D6"/>
                    <w:right w:val="none" w:sz="0" w:space="0" w:color="auto"/>
                  </w:divBdr>
                </w:div>
                <w:div w:id="1267470496">
                  <w:marLeft w:val="0"/>
                  <w:marRight w:val="0"/>
                  <w:marTop w:val="0"/>
                  <w:marBottom w:val="0"/>
                  <w:divBdr>
                    <w:top w:val="none" w:sz="0" w:space="0" w:color="auto"/>
                    <w:left w:val="none" w:sz="0" w:space="0" w:color="auto"/>
                    <w:bottom w:val="single" w:sz="2" w:space="0" w:color="D6D6D6"/>
                    <w:right w:val="single" w:sz="2" w:space="2" w:color="D6D6D6"/>
                  </w:divBdr>
                </w:div>
              </w:divsChild>
            </w:div>
            <w:div w:id="2146004870">
              <w:marLeft w:val="0"/>
              <w:marRight w:val="0"/>
              <w:marTop w:val="0"/>
              <w:marBottom w:val="0"/>
              <w:divBdr>
                <w:top w:val="none" w:sz="0" w:space="0" w:color="auto"/>
                <w:left w:val="none" w:sz="0" w:space="0" w:color="auto"/>
                <w:bottom w:val="none" w:sz="0" w:space="0" w:color="auto"/>
                <w:right w:val="none" w:sz="0" w:space="0" w:color="auto"/>
              </w:divBdr>
              <w:divsChild>
                <w:div w:id="891189423">
                  <w:marLeft w:val="0"/>
                  <w:marRight w:val="0"/>
                  <w:marTop w:val="0"/>
                  <w:marBottom w:val="0"/>
                  <w:divBdr>
                    <w:top w:val="none" w:sz="0" w:space="0" w:color="auto"/>
                    <w:left w:val="single" w:sz="2" w:space="2" w:color="D6D6D6"/>
                    <w:bottom w:val="single" w:sz="2" w:space="0" w:color="D6D6D6"/>
                    <w:right w:val="none" w:sz="0" w:space="0" w:color="auto"/>
                  </w:divBdr>
                </w:div>
                <w:div w:id="2118138934">
                  <w:marLeft w:val="0"/>
                  <w:marRight w:val="0"/>
                  <w:marTop w:val="0"/>
                  <w:marBottom w:val="0"/>
                  <w:divBdr>
                    <w:top w:val="none" w:sz="0" w:space="0" w:color="auto"/>
                    <w:left w:val="none" w:sz="0" w:space="0" w:color="auto"/>
                    <w:bottom w:val="single" w:sz="2" w:space="0" w:color="D6D6D6"/>
                    <w:right w:val="none" w:sz="0" w:space="0" w:color="auto"/>
                  </w:divBdr>
                  <w:divsChild>
                    <w:div w:id="260377444">
                      <w:marLeft w:val="0"/>
                      <w:marRight w:val="0"/>
                      <w:marTop w:val="0"/>
                      <w:marBottom w:val="0"/>
                      <w:divBdr>
                        <w:top w:val="none" w:sz="0" w:space="0" w:color="auto"/>
                        <w:left w:val="none" w:sz="0" w:space="0" w:color="auto"/>
                        <w:bottom w:val="none" w:sz="0" w:space="0" w:color="auto"/>
                        <w:right w:val="none" w:sz="0" w:space="0" w:color="auto"/>
                      </w:divBdr>
                    </w:div>
                  </w:divsChild>
                </w:div>
                <w:div w:id="2064327614">
                  <w:marLeft w:val="0"/>
                  <w:marRight w:val="0"/>
                  <w:marTop w:val="0"/>
                  <w:marBottom w:val="0"/>
                  <w:divBdr>
                    <w:top w:val="none" w:sz="0" w:space="0" w:color="auto"/>
                    <w:left w:val="none" w:sz="0" w:space="0" w:color="auto"/>
                    <w:bottom w:val="single" w:sz="2" w:space="0" w:color="D6D6D6"/>
                    <w:right w:val="none" w:sz="0" w:space="0" w:color="auto"/>
                  </w:divBdr>
                </w:div>
                <w:div w:id="944652435">
                  <w:marLeft w:val="0"/>
                  <w:marRight w:val="0"/>
                  <w:marTop w:val="0"/>
                  <w:marBottom w:val="0"/>
                  <w:divBdr>
                    <w:top w:val="none" w:sz="0" w:space="0" w:color="auto"/>
                    <w:left w:val="none" w:sz="0" w:space="0" w:color="auto"/>
                    <w:bottom w:val="single" w:sz="2" w:space="0" w:color="D6D6D6"/>
                    <w:right w:val="none" w:sz="0" w:space="0" w:color="auto"/>
                  </w:divBdr>
                </w:div>
                <w:div w:id="1463305428">
                  <w:marLeft w:val="0"/>
                  <w:marRight w:val="0"/>
                  <w:marTop w:val="0"/>
                  <w:marBottom w:val="0"/>
                  <w:divBdr>
                    <w:top w:val="none" w:sz="0" w:space="0" w:color="auto"/>
                    <w:left w:val="none" w:sz="0" w:space="0" w:color="auto"/>
                    <w:bottom w:val="single" w:sz="2" w:space="0" w:color="D6D6D6"/>
                    <w:right w:val="none" w:sz="0" w:space="0" w:color="auto"/>
                  </w:divBdr>
                </w:div>
                <w:div w:id="604536824">
                  <w:marLeft w:val="0"/>
                  <w:marRight w:val="0"/>
                  <w:marTop w:val="0"/>
                  <w:marBottom w:val="0"/>
                  <w:divBdr>
                    <w:top w:val="none" w:sz="0" w:space="0" w:color="auto"/>
                    <w:left w:val="none" w:sz="0" w:space="0" w:color="auto"/>
                    <w:bottom w:val="single" w:sz="2" w:space="0" w:color="D6D6D6"/>
                    <w:right w:val="single" w:sz="2" w:space="2" w:color="D6D6D6"/>
                  </w:divBdr>
                </w:div>
              </w:divsChild>
            </w:div>
            <w:div w:id="160237937">
              <w:marLeft w:val="0"/>
              <w:marRight w:val="0"/>
              <w:marTop w:val="0"/>
              <w:marBottom w:val="0"/>
              <w:divBdr>
                <w:top w:val="none" w:sz="0" w:space="0" w:color="auto"/>
                <w:left w:val="none" w:sz="0" w:space="0" w:color="auto"/>
                <w:bottom w:val="none" w:sz="0" w:space="0" w:color="auto"/>
                <w:right w:val="none" w:sz="0" w:space="0" w:color="auto"/>
              </w:divBdr>
              <w:divsChild>
                <w:div w:id="509830471">
                  <w:marLeft w:val="0"/>
                  <w:marRight w:val="0"/>
                  <w:marTop w:val="0"/>
                  <w:marBottom w:val="0"/>
                  <w:divBdr>
                    <w:top w:val="none" w:sz="0" w:space="0" w:color="auto"/>
                    <w:left w:val="single" w:sz="2" w:space="2" w:color="D6D6D6"/>
                    <w:bottom w:val="single" w:sz="2" w:space="0" w:color="D6D6D6"/>
                    <w:right w:val="none" w:sz="0" w:space="0" w:color="auto"/>
                  </w:divBdr>
                </w:div>
                <w:div w:id="169834585">
                  <w:marLeft w:val="0"/>
                  <w:marRight w:val="0"/>
                  <w:marTop w:val="0"/>
                  <w:marBottom w:val="0"/>
                  <w:divBdr>
                    <w:top w:val="none" w:sz="0" w:space="0" w:color="auto"/>
                    <w:left w:val="none" w:sz="0" w:space="0" w:color="auto"/>
                    <w:bottom w:val="single" w:sz="2" w:space="0" w:color="D6D6D6"/>
                    <w:right w:val="none" w:sz="0" w:space="0" w:color="auto"/>
                  </w:divBdr>
                  <w:divsChild>
                    <w:div w:id="1988779752">
                      <w:marLeft w:val="0"/>
                      <w:marRight w:val="0"/>
                      <w:marTop w:val="0"/>
                      <w:marBottom w:val="0"/>
                      <w:divBdr>
                        <w:top w:val="none" w:sz="0" w:space="0" w:color="auto"/>
                        <w:left w:val="none" w:sz="0" w:space="0" w:color="auto"/>
                        <w:bottom w:val="none" w:sz="0" w:space="0" w:color="auto"/>
                        <w:right w:val="none" w:sz="0" w:space="0" w:color="auto"/>
                      </w:divBdr>
                    </w:div>
                  </w:divsChild>
                </w:div>
                <w:div w:id="512113168">
                  <w:marLeft w:val="0"/>
                  <w:marRight w:val="0"/>
                  <w:marTop w:val="0"/>
                  <w:marBottom w:val="0"/>
                  <w:divBdr>
                    <w:top w:val="none" w:sz="0" w:space="0" w:color="auto"/>
                    <w:left w:val="none" w:sz="0" w:space="0" w:color="auto"/>
                    <w:bottom w:val="single" w:sz="2" w:space="0" w:color="D6D6D6"/>
                    <w:right w:val="none" w:sz="0" w:space="0" w:color="auto"/>
                  </w:divBdr>
                </w:div>
                <w:div w:id="86007290">
                  <w:marLeft w:val="0"/>
                  <w:marRight w:val="0"/>
                  <w:marTop w:val="0"/>
                  <w:marBottom w:val="0"/>
                  <w:divBdr>
                    <w:top w:val="none" w:sz="0" w:space="0" w:color="auto"/>
                    <w:left w:val="none" w:sz="0" w:space="0" w:color="auto"/>
                    <w:bottom w:val="single" w:sz="2" w:space="0" w:color="D6D6D6"/>
                    <w:right w:val="none" w:sz="0" w:space="0" w:color="auto"/>
                  </w:divBdr>
                </w:div>
                <w:div w:id="1582563516">
                  <w:marLeft w:val="0"/>
                  <w:marRight w:val="0"/>
                  <w:marTop w:val="0"/>
                  <w:marBottom w:val="0"/>
                  <w:divBdr>
                    <w:top w:val="none" w:sz="0" w:space="0" w:color="auto"/>
                    <w:left w:val="none" w:sz="0" w:space="0" w:color="auto"/>
                    <w:bottom w:val="single" w:sz="2" w:space="0" w:color="D6D6D6"/>
                    <w:right w:val="none" w:sz="0" w:space="0" w:color="auto"/>
                  </w:divBdr>
                </w:div>
                <w:div w:id="1119646575">
                  <w:marLeft w:val="0"/>
                  <w:marRight w:val="0"/>
                  <w:marTop w:val="0"/>
                  <w:marBottom w:val="0"/>
                  <w:divBdr>
                    <w:top w:val="none" w:sz="0" w:space="0" w:color="auto"/>
                    <w:left w:val="none" w:sz="0" w:space="0" w:color="auto"/>
                    <w:bottom w:val="single" w:sz="2" w:space="0" w:color="D6D6D6"/>
                    <w:right w:val="single" w:sz="2" w:space="2" w:color="D6D6D6"/>
                  </w:divBdr>
                </w:div>
              </w:divsChild>
            </w:div>
            <w:div w:id="1726219314">
              <w:marLeft w:val="0"/>
              <w:marRight w:val="0"/>
              <w:marTop w:val="0"/>
              <w:marBottom w:val="0"/>
              <w:divBdr>
                <w:top w:val="none" w:sz="0" w:space="0" w:color="auto"/>
                <w:left w:val="none" w:sz="0" w:space="0" w:color="auto"/>
                <w:bottom w:val="none" w:sz="0" w:space="0" w:color="auto"/>
                <w:right w:val="none" w:sz="0" w:space="0" w:color="auto"/>
              </w:divBdr>
              <w:divsChild>
                <w:div w:id="877820219">
                  <w:marLeft w:val="0"/>
                  <w:marRight w:val="0"/>
                  <w:marTop w:val="0"/>
                  <w:marBottom w:val="0"/>
                  <w:divBdr>
                    <w:top w:val="none" w:sz="0" w:space="0" w:color="auto"/>
                    <w:left w:val="none" w:sz="0" w:space="0" w:color="auto"/>
                    <w:bottom w:val="none" w:sz="0" w:space="0" w:color="auto"/>
                    <w:right w:val="none" w:sz="0" w:space="0" w:color="auto"/>
                  </w:divBdr>
                </w:div>
              </w:divsChild>
            </w:div>
            <w:div w:id="432013885">
              <w:marLeft w:val="0"/>
              <w:marRight w:val="0"/>
              <w:marTop w:val="0"/>
              <w:marBottom w:val="0"/>
              <w:divBdr>
                <w:top w:val="none" w:sz="0" w:space="0" w:color="auto"/>
                <w:left w:val="none" w:sz="0" w:space="0" w:color="auto"/>
                <w:bottom w:val="none" w:sz="0" w:space="0" w:color="auto"/>
                <w:right w:val="none" w:sz="0" w:space="0" w:color="auto"/>
              </w:divBdr>
              <w:divsChild>
                <w:div w:id="6369761">
                  <w:marLeft w:val="0"/>
                  <w:marRight w:val="0"/>
                  <w:marTop w:val="0"/>
                  <w:marBottom w:val="0"/>
                  <w:divBdr>
                    <w:top w:val="none" w:sz="0" w:space="0" w:color="auto"/>
                    <w:left w:val="none" w:sz="0" w:space="0" w:color="auto"/>
                    <w:bottom w:val="none" w:sz="0" w:space="0" w:color="auto"/>
                    <w:right w:val="none" w:sz="0" w:space="0" w:color="auto"/>
                  </w:divBdr>
                </w:div>
                <w:div w:id="692271201">
                  <w:marLeft w:val="0"/>
                  <w:marRight w:val="0"/>
                  <w:marTop w:val="0"/>
                  <w:marBottom w:val="0"/>
                  <w:divBdr>
                    <w:top w:val="none" w:sz="0" w:space="0" w:color="auto"/>
                    <w:left w:val="none" w:sz="0" w:space="0" w:color="auto"/>
                    <w:bottom w:val="none" w:sz="0" w:space="0" w:color="auto"/>
                    <w:right w:val="none" w:sz="0" w:space="0" w:color="auto"/>
                  </w:divBdr>
                </w:div>
                <w:div w:id="218589418">
                  <w:marLeft w:val="0"/>
                  <w:marRight w:val="0"/>
                  <w:marTop w:val="0"/>
                  <w:marBottom w:val="0"/>
                  <w:divBdr>
                    <w:top w:val="none" w:sz="0" w:space="0" w:color="auto"/>
                    <w:left w:val="none" w:sz="0" w:space="0" w:color="auto"/>
                    <w:bottom w:val="none" w:sz="0" w:space="0" w:color="auto"/>
                    <w:right w:val="none" w:sz="0" w:space="0" w:color="auto"/>
                  </w:divBdr>
                </w:div>
                <w:div w:id="104426924">
                  <w:marLeft w:val="0"/>
                  <w:marRight w:val="0"/>
                  <w:marTop w:val="0"/>
                  <w:marBottom w:val="0"/>
                  <w:divBdr>
                    <w:top w:val="none" w:sz="0" w:space="0" w:color="auto"/>
                    <w:left w:val="none" w:sz="0" w:space="0" w:color="auto"/>
                    <w:bottom w:val="none" w:sz="0" w:space="0" w:color="auto"/>
                    <w:right w:val="none" w:sz="0" w:space="0" w:color="auto"/>
                  </w:divBdr>
                </w:div>
                <w:div w:id="193886318">
                  <w:marLeft w:val="0"/>
                  <w:marRight w:val="0"/>
                  <w:marTop w:val="0"/>
                  <w:marBottom w:val="0"/>
                  <w:divBdr>
                    <w:top w:val="none" w:sz="0" w:space="0" w:color="auto"/>
                    <w:left w:val="none" w:sz="0" w:space="0" w:color="auto"/>
                    <w:bottom w:val="none" w:sz="0" w:space="0" w:color="auto"/>
                    <w:right w:val="none" w:sz="0" w:space="0" w:color="auto"/>
                  </w:divBdr>
                </w:div>
                <w:div w:id="821774468">
                  <w:marLeft w:val="0"/>
                  <w:marRight w:val="0"/>
                  <w:marTop w:val="0"/>
                  <w:marBottom w:val="0"/>
                  <w:divBdr>
                    <w:top w:val="none" w:sz="0" w:space="0" w:color="auto"/>
                    <w:left w:val="none" w:sz="0" w:space="0" w:color="auto"/>
                    <w:bottom w:val="none" w:sz="0" w:space="0" w:color="auto"/>
                    <w:right w:val="none" w:sz="0" w:space="0" w:color="auto"/>
                  </w:divBdr>
                </w:div>
              </w:divsChild>
            </w:div>
            <w:div w:id="1496995149">
              <w:marLeft w:val="0"/>
              <w:marRight w:val="0"/>
              <w:marTop w:val="0"/>
              <w:marBottom w:val="0"/>
              <w:divBdr>
                <w:top w:val="none" w:sz="0" w:space="0" w:color="auto"/>
                <w:left w:val="none" w:sz="0" w:space="0" w:color="auto"/>
                <w:bottom w:val="none" w:sz="0" w:space="0" w:color="auto"/>
                <w:right w:val="none" w:sz="0" w:space="0" w:color="auto"/>
              </w:divBdr>
              <w:divsChild>
                <w:div w:id="1419599189">
                  <w:marLeft w:val="0"/>
                  <w:marRight w:val="0"/>
                  <w:marTop w:val="0"/>
                  <w:marBottom w:val="0"/>
                  <w:divBdr>
                    <w:top w:val="none" w:sz="0" w:space="0" w:color="auto"/>
                    <w:left w:val="single" w:sz="2" w:space="2" w:color="D6D6D6"/>
                    <w:bottom w:val="single" w:sz="2" w:space="0" w:color="D6D6D6"/>
                    <w:right w:val="none" w:sz="0" w:space="0" w:color="auto"/>
                  </w:divBdr>
                </w:div>
                <w:div w:id="1506476448">
                  <w:marLeft w:val="0"/>
                  <w:marRight w:val="0"/>
                  <w:marTop w:val="0"/>
                  <w:marBottom w:val="0"/>
                  <w:divBdr>
                    <w:top w:val="none" w:sz="0" w:space="0" w:color="auto"/>
                    <w:left w:val="none" w:sz="0" w:space="0" w:color="auto"/>
                    <w:bottom w:val="single" w:sz="2" w:space="0" w:color="D6D6D6"/>
                    <w:right w:val="none" w:sz="0" w:space="0" w:color="auto"/>
                  </w:divBdr>
                  <w:divsChild>
                    <w:div w:id="779224780">
                      <w:marLeft w:val="0"/>
                      <w:marRight w:val="0"/>
                      <w:marTop w:val="0"/>
                      <w:marBottom w:val="0"/>
                      <w:divBdr>
                        <w:top w:val="none" w:sz="0" w:space="0" w:color="auto"/>
                        <w:left w:val="none" w:sz="0" w:space="0" w:color="auto"/>
                        <w:bottom w:val="none" w:sz="0" w:space="0" w:color="auto"/>
                        <w:right w:val="none" w:sz="0" w:space="0" w:color="auto"/>
                      </w:divBdr>
                    </w:div>
                  </w:divsChild>
                </w:div>
                <w:div w:id="1599750880">
                  <w:marLeft w:val="0"/>
                  <w:marRight w:val="0"/>
                  <w:marTop w:val="0"/>
                  <w:marBottom w:val="0"/>
                  <w:divBdr>
                    <w:top w:val="none" w:sz="0" w:space="0" w:color="auto"/>
                    <w:left w:val="none" w:sz="0" w:space="0" w:color="auto"/>
                    <w:bottom w:val="single" w:sz="2" w:space="0" w:color="D6D6D6"/>
                    <w:right w:val="none" w:sz="0" w:space="0" w:color="auto"/>
                  </w:divBdr>
                </w:div>
                <w:div w:id="405810110">
                  <w:marLeft w:val="0"/>
                  <w:marRight w:val="0"/>
                  <w:marTop w:val="0"/>
                  <w:marBottom w:val="0"/>
                  <w:divBdr>
                    <w:top w:val="none" w:sz="0" w:space="0" w:color="auto"/>
                    <w:left w:val="none" w:sz="0" w:space="0" w:color="auto"/>
                    <w:bottom w:val="single" w:sz="2" w:space="0" w:color="D6D6D6"/>
                    <w:right w:val="none" w:sz="0" w:space="0" w:color="auto"/>
                  </w:divBdr>
                </w:div>
                <w:div w:id="840586708">
                  <w:marLeft w:val="0"/>
                  <w:marRight w:val="0"/>
                  <w:marTop w:val="0"/>
                  <w:marBottom w:val="0"/>
                  <w:divBdr>
                    <w:top w:val="none" w:sz="0" w:space="0" w:color="auto"/>
                    <w:left w:val="none" w:sz="0" w:space="0" w:color="auto"/>
                    <w:bottom w:val="single" w:sz="2" w:space="0" w:color="D6D6D6"/>
                    <w:right w:val="none" w:sz="0" w:space="0" w:color="auto"/>
                  </w:divBdr>
                </w:div>
                <w:div w:id="1130974349">
                  <w:marLeft w:val="0"/>
                  <w:marRight w:val="0"/>
                  <w:marTop w:val="0"/>
                  <w:marBottom w:val="0"/>
                  <w:divBdr>
                    <w:top w:val="none" w:sz="0" w:space="0" w:color="auto"/>
                    <w:left w:val="none" w:sz="0" w:space="0" w:color="auto"/>
                    <w:bottom w:val="single" w:sz="2" w:space="0" w:color="D6D6D6"/>
                    <w:right w:val="single" w:sz="2" w:space="2" w:color="D6D6D6"/>
                  </w:divBdr>
                </w:div>
              </w:divsChild>
            </w:div>
            <w:div w:id="403265652">
              <w:marLeft w:val="0"/>
              <w:marRight w:val="0"/>
              <w:marTop w:val="0"/>
              <w:marBottom w:val="0"/>
              <w:divBdr>
                <w:top w:val="none" w:sz="0" w:space="0" w:color="auto"/>
                <w:left w:val="none" w:sz="0" w:space="0" w:color="auto"/>
                <w:bottom w:val="none" w:sz="0" w:space="0" w:color="auto"/>
                <w:right w:val="none" w:sz="0" w:space="0" w:color="auto"/>
              </w:divBdr>
              <w:divsChild>
                <w:div w:id="260261451">
                  <w:marLeft w:val="0"/>
                  <w:marRight w:val="0"/>
                  <w:marTop w:val="0"/>
                  <w:marBottom w:val="0"/>
                  <w:divBdr>
                    <w:top w:val="none" w:sz="0" w:space="0" w:color="auto"/>
                    <w:left w:val="single" w:sz="2" w:space="2" w:color="D6D6D6"/>
                    <w:bottom w:val="single" w:sz="2" w:space="0" w:color="D6D6D6"/>
                    <w:right w:val="none" w:sz="0" w:space="0" w:color="auto"/>
                  </w:divBdr>
                </w:div>
                <w:div w:id="814571395">
                  <w:marLeft w:val="0"/>
                  <w:marRight w:val="0"/>
                  <w:marTop w:val="0"/>
                  <w:marBottom w:val="0"/>
                  <w:divBdr>
                    <w:top w:val="none" w:sz="0" w:space="0" w:color="auto"/>
                    <w:left w:val="none" w:sz="0" w:space="0" w:color="auto"/>
                    <w:bottom w:val="single" w:sz="2" w:space="0" w:color="D6D6D6"/>
                    <w:right w:val="none" w:sz="0" w:space="0" w:color="auto"/>
                  </w:divBdr>
                  <w:divsChild>
                    <w:div w:id="1196121509">
                      <w:marLeft w:val="0"/>
                      <w:marRight w:val="0"/>
                      <w:marTop w:val="0"/>
                      <w:marBottom w:val="0"/>
                      <w:divBdr>
                        <w:top w:val="none" w:sz="0" w:space="0" w:color="auto"/>
                        <w:left w:val="none" w:sz="0" w:space="0" w:color="auto"/>
                        <w:bottom w:val="none" w:sz="0" w:space="0" w:color="auto"/>
                        <w:right w:val="none" w:sz="0" w:space="0" w:color="auto"/>
                      </w:divBdr>
                    </w:div>
                  </w:divsChild>
                </w:div>
                <w:div w:id="1375813977">
                  <w:marLeft w:val="0"/>
                  <w:marRight w:val="0"/>
                  <w:marTop w:val="0"/>
                  <w:marBottom w:val="0"/>
                  <w:divBdr>
                    <w:top w:val="none" w:sz="0" w:space="0" w:color="auto"/>
                    <w:left w:val="none" w:sz="0" w:space="0" w:color="auto"/>
                    <w:bottom w:val="single" w:sz="2" w:space="0" w:color="D6D6D6"/>
                    <w:right w:val="none" w:sz="0" w:space="0" w:color="auto"/>
                  </w:divBdr>
                </w:div>
                <w:div w:id="503470827">
                  <w:marLeft w:val="0"/>
                  <w:marRight w:val="0"/>
                  <w:marTop w:val="0"/>
                  <w:marBottom w:val="0"/>
                  <w:divBdr>
                    <w:top w:val="none" w:sz="0" w:space="0" w:color="auto"/>
                    <w:left w:val="none" w:sz="0" w:space="0" w:color="auto"/>
                    <w:bottom w:val="single" w:sz="2" w:space="0" w:color="D6D6D6"/>
                    <w:right w:val="none" w:sz="0" w:space="0" w:color="auto"/>
                  </w:divBdr>
                </w:div>
                <w:div w:id="19745277">
                  <w:marLeft w:val="0"/>
                  <w:marRight w:val="0"/>
                  <w:marTop w:val="0"/>
                  <w:marBottom w:val="0"/>
                  <w:divBdr>
                    <w:top w:val="none" w:sz="0" w:space="0" w:color="auto"/>
                    <w:left w:val="none" w:sz="0" w:space="0" w:color="auto"/>
                    <w:bottom w:val="single" w:sz="2" w:space="0" w:color="D6D6D6"/>
                    <w:right w:val="none" w:sz="0" w:space="0" w:color="auto"/>
                  </w:divBdr>
                </w:div>
                <w:div w:id="2094886650">
                  <w:marLeft w:val="0"/>
                  <w:marRight w:val="0"/>
                  <w:marTop w:val="0"/>
                  <w:marBottom w:val="0"/>
                  <w:divBdr>
                    <w:top w:val="none" w:sz="0" w:space="0" w:color="auto"/>
                    <w:left w:val="none" w:sz="0" w:space="0" w:color="auto"/>
                    <w:bottom w:val="single" w:sz="2" w:space="0" w:color="D6D6D6"/>
                    <w:right w:val="single" w:sz="2" w:space="2" w:color="D6D6D6"/>
                  </w:divBdr>
                </w:div>
              </w:divsChild>
            </w:div>
            <w:div w:id="331757072">
              <w:marLeft w:val="0"/>
              <w:marRight w:val="0"/>
              <w:marTop w:val="0"/>
              <w:marBottom w:val="0"/>
              <w:divBdr>
                <w:top w:val="none" w:sz="0" w:space="0" w:color="auto"/>
                <w:left w:val="none" w:sz="0" w:space="0" w:color="auto"/>
                <w:bottom w:val="none" w:sz="0" w:space="0" w:color="auto"/>
                <w:right w:val="none" w:sz="0" w:space="0" w:color="auto"/>
              </w:divBdr>
              <w:divsChild>
                <w:div w:id="1939676763">
                  <w:marLeft w:val="0"/>
                  <w:marRight w:val="0"/>
                  <w:marTop w:val="0"/>
                  <w:marBottom w:val="0"/>
                  <w:divBdr>
                    <w:top w:val="none" w:sz="0" w:space="0" w:color="auto"/>
                    <w:left w:val="single" w:sz="2" w:space="2" w:color="D6D6D6"/>
                    <w:bottom w:val="single" w:sz="2" w:space="0" w:color="D6D6D6"/>
                    <w:right w:val="none" w:sz="0" w:space="0" w:color="auto"/>
                  </w:divBdr>
                </w:div>
                <w:div w:id="748036481">
                  <w:marLeft w:val="0"/>
                  <w:marRight w:val="0"/>
                  <w:marTop w:val="0"/>
                  <w:marBottom w:val="0"/>
                  <w:divBdr>
                    <w:top w:val="none" w:sz="0" w:space="0" w:color="auto"/>
                    <w:left w:val="none" w:sz="0" w:space="0" w:color="auto"/>
                    <w:bottom w:val="single" w:sz="2" w:space="0" w:color="D6D6D6"/>
                    <w:right w:val="none" w:sz="0" w:space="0" w:color="auto"/>
                  </w:divBdr>
                  <w:divsChild>
                    <w:div w:id="698045924">
                      <w:marLeft w:val="0"/>
                      <w:marRight w:val="0"/>
                      <w:marTop w:val="0"/>
                      <w:marBottom w:val="0"/>
                      <w:divBdr>
                        <w:top w:val="none" w:sz="0" w:space="0" w:color="auto"/>
                        <w:left w:val="none" w:sz="0" w:space="0" w:color="auto"/>
                        <w:bottom w:val="none" w:sz="0" w:space="0" w:color="auto"/>
                        <w:right w:val="none" w:sz="0" w:space="0" w:color="auto"/>
                      </w:divBdr>
                    </w:div>
                  </w:divsChild>
                </w:div>
                <w:div w:id="1965963353">
                  <w:marLeft w:val="0"/>
                  <w:marRight w:val="0"/>
                  <w:marTop w:val="0"/>
                  <w:marBottom w:val="0"/>
                  <w:divBdr>
                    <w:top w:val="none" w:sz="0" w:space="0" w:color="auto"/>
                    <w:left w:val="none" w:sz="0" w:space="0" w:color="auto"/>
                    <w:bottom w:val="single" w:sz="2" w:space="0" w:color="D6D6D6"/>
                    <w:right w:val="none" w:sz="0" w:space="0" w:color="auto"/>
                  </w:divBdr>
                </w:div>
                <w:div w:id="1009716164">
                  <w:marLeft w:val="0"/>
                  <w:marRight w:val="0"/>
                  <w:marTop w:val="0"/>
                  <w:marBottom w:val="0"/>
                  <w:divBdr>
                    <w:top w:val="none" w:sz="0" w:space="0" w:color="auto"/>
                    <w:left w:val="none" w:sz="0" w:space="0" w:color="auto"/>
                    <w:bottom w:val="single" w:sz="2" w:space="0" w:color="D6D6D6"/>
                    <w:right w:val="none" w:sz="0" w:space="0" w:color="auto"/>
                  </w:divBdr>
                </w:div>
                <w:div w:id="1453474042">
                  <w:marLeft w:val="0"/>
                  <w:marRight w:val="0"/>
                  <w:marTop w:val="0"/>
                  <w:marBottom w:val="0"/>
                  <w:divBdr>
                    <w:top w:val="none" w:sz="0" w:space="0" w:color="auto"/>
                    <w:left w:val="none" w:sz="0" w:space="0" w:color="auto"/>
                    <w:bottom w:val="single" w:sz="2" w:space="0" w:color="D6D6D6"/>
                    <w:right w:val="none" w:sz="0" w:space="0" w:color="auto"/>
                  </w:divBdr>
                </w:div>
                <w:div w:id="1290740485">
                  <w:marLeft w:val="0"/>
                  <w:marRight w:val="0"/>
                  <w:marTop w:val="0"/>
                  <w:marBottom w:val="0"/>
                  <w:divBdr>
                    <w:top w:val="none" w:sz="0" w:space="0" w:color="auto"/>
                    <w:left w:val="none" w:sz="0" w:space="0" w:color="auto"/>
                    <w:bottom w:val="single" w:sz="2" w:space="0" w:color="D6D6D6"/>
                    <w:right w:val="single" w:sz="2" w:space="2" w:color="D6D6D6"/>
                  </w:divBdr>
                </w:div>
              </w:divsChild>
            </w:div>
            <w:div w:id="563874896">
              <w:marLeft w:val="0"/>
              <w:marRight w:val="0"/>
              <w:marTop w:val="0"/>
              <w:marBottom w:val="0"/>
              <w:divBdr>
                <w:top w:val="none" w:sz="0" w:space="0" w:color="auto"/>
                <w:left w:val="none" w:sz="0" w:space="0" w:color="auto"/>
                <w:bottom w:val="none" w:sz="0" w:space="0" w:color="auto"/>
                <w:right w:val="none" w:sz="0" w:space="0" w:color="auto"/>
              </w:divBdr>
              <w:divsChild>
                <w:div w:id="333456049">
                  <w:marLeft w:val="0"/>
                  <w:marRight w:val="0"/>
                  <w:marTop w:val="0"/>
                  <w:marBottom w:val="0"/>
                  <w:divBdr>
                    <w:top w:val="none" w:sz="0" w:space="0" w:color="auto"/>
                    <w:left w:val="single" w:sz="2" w:space="2" w:color="D6D6D6"/>
                    <w:bottom w:val="single" w:sz="2" w:space="0" w:color="D6D6D6"/>
                    <w:right w:val="none" w:sz="0" w:space="0" w:color="auto"/>
                  </w:divBdr>
                </w:div>
                <w:div w:id="4939742">
                  <w:marLeft w:val="0"/>
                  <w:marRight w:val="0"/>
                  <w:marTop w:val="0"/>
                  <w:marBottom w:val="0"/>
                  <w:divBdr>
                    <w:top w:val="none" w:sz="0" w:space="0" w:color="auto"/>
                    <w:left w:val="none" w:sz="0" w:space="0" w:color="auto"/>
                    <w:bottom w:val="single" w:sz="2" w:space="0" w:color="D6D6D6"/>
                    <w:right w:val="none" w:sz="0" w:space="0" w:color="auto"/>
                  </w:divBdr>
                  <w:divsChild>
                    <w:div w:id="1844778803">
                      <w:marLeft w:val="0"/>
                      <w:marRight w:val="0"/>
                      <w:marTop w:val="0"/>
                      <w:marBottom w:val="0"/>
                      <w:divBdr>
                        <w:top w:val="none" w:sz="0" w:space="0" w:color="auto"/>
                        <w:left w:val="none" w:sz="0" w:space="0" w:color="auto"/>
                        <w:bottom w:val="none" w:sz="0" w:space="0" w:color="auto"/>
                        <w:right w:val="none" w:sz="0" w:space="0" w:color="auto"/>
                      </w:divBdr>
                    </w:div>
                  </w:divsChild>
                </w:div>
                <w:div w:id="1974212721">
                  <w:marLeft w:val="0"/>
                  <w:marRight w:val="0"/>
                  <w:marTop w:val="0"/>
                  <w:marBottom w:val="0"/>
                  <w:divBdr>
                    <w:top w:val="none" w:sz="0" w:space="0" w:color="auto"/>
                    <w:left w:val="none" w:sz="0" w:space="0" w:color="auto"/>
                    <w:bottom w:val="single" w:sz="2" w:space="0" w:color="D6D6D6"/>
                    <w:right w:val="none" w:sz="0" w:space="0" w:color="auto"/>
                  </w:divBdr>
                </w:div>
                <w:div w:id="1002506958">
                  <w:marLeft w:val="0"/>
                  <w:marRight w:val="0"/>
                  <w:marTop w:val="0"/>
                  <w:marBottom w:val="0"/>
                  <w:divBdr>
                    <w:top w:val="none" w:sz="0" w:space="0" w:color="auto"/>
                    <w:left w:val="none" w:sz="0" w:space="0" w:color="auto"/>
                    <w:bottom w:val="single" w:sz="2" w:space="0" w:color="D6D6D6"/>
                    <w:right w:val="none" w:sz="0" w:space="0" w:color="auto"/>
                  </w:divBdr>
                </w:div>
                <w:div w:id="420642213">
                  <w:marLeft w:val="0"/>
                  <w:marRight w:val="0"/>
                  <w:marTop w:val="0"/>
                  <w:marBottom w:val="0"/>
                  <w:divBdr>
                    <w:top w:val="none" w:sz="0" w:space="0" w:color="auto"/>
                    <w:left w:val="none" w:sz="0" w:space="0" w:color="auto"/>
                    <w:bottom w:val="single" w:sz="2" w:space="0" w:color="D6D6D6"/>
                    <w:right w:val="none" w:sz="0" w:space="0" w:color="auto"/>
                  </w:divBdr>
                </w:div>
                <w:div w:id="1096828113">
                  <w:marLeft w:val="0"/>
                  <w:marRight w:val="0"/>
                  <w:marTop w:val="0"/>
                  <w:marBottom w:val="0"/>
                  <w:divBdr>
                    <w:top w:val="none" w:sz="0" w:space="0" w:color="auto"/>
                    <w:left w:val="none" w:sz="0" w:space="0" w:color="auto"/>
                    <w:bottom w:val="single" w:sz="2" w:space="0" w:color="D6D6D6"/>
                    <w:right w:val="single" w:sz="2" w:space="2" w:color="D6D6D6"/>
                  </w:divBdr>
                </w:div>
              </w:divsChild>
            </w:div>
            <w:div w:id="1397630175">
              <w:marLeft w:val="0"/>
              <w:marRight w:val="0"/>
              <w:marTop w:val="0"/>
              <w:marBottom w:val="0"/>
              <w:divBdr>
                <w:top w:val="none" w:sz="0" w:space="0" w:color="auto"/>
                <w:left w:val="none" w:sz="0" w:space="0" w:color="auto"/>
                <w:bottom w:val="none" w:sz="0" w:space="0" w:color="auto"/>
                <w:right w:val="none" w:sz="0" w:space="0" w:color="auto"/>
              </w:divBdr>
              <w:divsChild>
                <w:div w:id="1462308038">
                  <w:marLeft w:val="0"/>
                  <w:marRight w:val="0"/>
                  <w:marTop w:val="0"/>
                  <w:marBottom w:val="0"/>
                  <w:divBdr>
                    <w:top w:val="none" w:sz="0" w:space="0" w:color="auto"/>
                    <w:left w:val="single" w:sz="2" w:space="2" w:color="D6D6D6"/>
                    <w:bottom w:val="single" w:sz="2" w:space="0" w:color="D6D6D6"/>
                    <w:right w:val="none" w:sz="0" w:space="0" w:color="auto"/>
                  </w:divBdr>
                </w:div>
                <w:div w:id="30229915">
                  <w:marLeft w:val="0"/>
                  <w:marRight w:val="0"/>
                  <w:marTop w:val="0"/>
                  <w:marBottom w:val="0"/>
                  <w:divBdr>
                    <w:top w:val="none" w:sz="0" w:space="0" w:color="auto"/>
                    <w:left w:val="none" w:sz="0" w:space="0" w:color="auto"/>
                    <w:bottom w:val="single" w:sz="2" w:space="0" w:color="D6D6D6"/>
                    <w:right w:val="none" w:sz="0" w:space="0" w:color="auto"/>
                  </w:divBdr>
                  <w:divsChild>
                    <w:div w:id="151415805">
                      <w:marLeft w:val="0"/>
                      <w:marRight w:val="0"/>
                      <w:marTop w:val="0"/>
                      <w:marBottom w:val="0"/>
                      <w:divBdr>
                        <w:top w:val="none" w:sz="0" w:space="0" w:color="auto"/>
                        <w:left w:val="none" w:sz="0" w:space="0" w:color="auto"/>
                        <w:bottom w:val="none" w:sz="0" w:space="0" w:color="auto"/>
                        <w:right w:val="none" w:sz="0" w:space="0" w:color="auto"/>
                      </w:divBdr>
                    </w:div>
                  </w:divsChild>
                </w:div>
                <w:div w:id="1820925353">
                  <w:marLeft w:val="0"/>
                  <w:marRight w:val="0"/>
                  <w:marTop w:val="0"/>
                  <w:marBottom w:val="0"/>
                  <w:divBdr>
                    <w:top w:val="none" w:sz="0" w:space="0" w:color="auto"/>
                    <w:left w:val="none" w:sz="0" w:space="0" w:color="auto"/>
                    <w:bottom w:val="single" w:sz="2" w:space="0" w:color="D6D6D6"/>
                    <w:right w:val="none" w:sz="0" w:space="0" w:color="auto"/>
                  </w:divBdr>
                </w:div>
                <w:div w:id="2133858272">
                  <w:marLeft w:val="0"/>
                  <w:marRight w:val="0"/>
                  <w:marTop w:val="0"/>
                  <w:marBottom w:val="0"/>
                  <w:divBdr>
                    <w:top w:val="none" w:sz="0" w:space="0" w:color="auto"/>
                    <w:left w:val="none" w:sz="0" w:space="0" w:color="auto"/>
                    <w:bottom w:val="single" w:sz="2" w:space="0" w:color="D6D6D6"/>
                    <w:right w:val="none" w:sz="0" w:space="0" w:color="auto"/>
                  </w:divBdr>
                </w:div>
                <w:div w:id="42947080">
                  <w:marLeft w:val="0"/>
                  <w:marRight w:val="0"/>
                  <w:marTop w:val="0"/>
                  <w:marBottom w:val="0"/>
                  <w:divBdr>
                    <w:top w:val="none" w:sz="0" w:space="0" w:color="auto"/>
                    <w:left w:val="none" w:sz="0" w:space="0" w:color="auto"/>
                    <w:bottom w:val="single" w:sz="2" w:space="0" w:color="D6D6D6"/>
                    <w:right w:val="none" w:sz="0" w:space="0" w:color="auto"/>
                  </w:divBdr>
                </w:div>
                <w:div w:id="419109111">
                  <w:marLeft w:val="0"/>
                  <w:marRight w:val="0"/>
                  <w:marTop w:val="0"/>
                  <w:marBottom w:val="0"/>
                  <w:divBdr>
                    <w:top w:val="none" w:sz="0" w:space="0" w:color="auto"/>
                    <w:left w:val="none" w:sz="0" w:space="0" w:color="auto"/>
                    <w:bottom w:val="single" w:sz="2" w:space="0" w:color="D6D6D6"/>
                    <w:right w:val="single" w:sz="2" w:space="2" w:color="D6D6D6"/>
                  </w:divBdr>
                </w:div>
              </w:divsChild>
            </w:div>
            <w:div w:id="1451630599">
              <w:marLeft w:val="0"/>
              <w:marRight w:val="0"/>
              <w:marTop w:val="0"/>
              <w:marBottom w:val="0"/>
              <w:divBdr>
                <w:top w:val="none" w:sz="0" w:space="0" w:color="auto"/>
                <w:left w:val="none" w:sz="0" w:space="0" w:color="auto"/>
                <w:bottom w:val="none" w:sz="0" w:space="0" w:color="auto"/>
                <w:right w:val="none" w:sz="0" w:space="0" w:color="auto"/>
              </w:divBdr>
              <w:divsChild>
                <w:div w:id="181362787">
                  <w:marLeft w:val="0"/>
                  <w:marRight w:val="0"/>
                  <w:marTop w:val="0"/>
                  <w:marBottom w:val="0"/>
                  <w:divBdr>
                    <w:top w:val="none" w:sz="0" w:space="0" w:color="auto"/>
                    <w:left w:val="none" w:sz="0" w:space="0" w:color="auto"/>
                    <w:bottom w:val="none" w:sz="0" w:space="0" w:color="auto"/>
                    <w:right w:val="none" w:sz="0" w:space="0" w:color="auto"/>
                  </w:divBdr>
                </w:div>
              </w:divsChild>
            </w:div>
            <w:div w:id="1596010569">
              <w:marLeft w:val="0"/>
              <w:marRight w:val="0"/>
              <w:marTop w:val="0"/>
              <w:marBottom w:val="0"/>
              <w:divBdr>
                <w:top w:val="none" w:sz="0" w:space="0" w:color="auto"/>
                <w:left w:val="none" w:sz="0" w:space="0" w:color="auto"/>
                <w:bottom w:val="none" w:sz="0" w:space="0" w:color="auto"/>
                <w:right w:val="none" w:sz="0" w:space="0" w:color="auto"/>
              </w:divBdr>
              <w:divsChild>
                <w:div w:id="764570827">
                  <w:marLeft w:val="0"/>
                  <w:marRight w:val="0"/>
                  <w:marTop w:val="0"/>
                  <w:marBottom w:val="0"/>
                  <w:divBdr>
                    <w:top w:val="none" w:sz="0" w:space="0" w:color="auto"/>
                    <w:left w:val="none" w:sz="0" w:space="0" w:color="auto"/>
                    <w:bottom w:val="none" w:sz="0" w:space="0" w:color="auto"/>
                    <w:right w:val="none" w:sz="0" w:space="0" w:color="auto"/>
                  </w:divBdr>
                </w:div>
                <w:div w:id="1443838791">
                  <w:marLeft w:val="0"/>
                  <w:marRight w:val="0"/>
                  <w:marTop w:val="0"/>
                  <w:marBottom w:val="0"/>
                  <w:divBdr>
                    <w:top w:val="none" w:sz="0" w:space="0" w:color="auto"/>
                    <w:left w:val="none" w:sz="0" w:space="0" w:color="auto"/>
                    <w:bottom w:val="none" w:sz="0" w:space="0" w:color="auto"/>
                    <w:right w:val="none" w:sz="0" w:space="0" w:color="auto"/>
                  </w:divBdr>
                </w:div>
                <w:div w:id="956327448">
                  <w:marLeft w:val="0"/>
                  <w:marRight w:val="0"/>
                  <w:marTop w:val="0"/>
                  <w:marBottom w:val="0"/>
                  <w:divBdr>
                    <w:top w:val="none" w:sz="0" w:space="0" w:color="auto"/>
                    <w:left w:val="none" w:sz="0" w:space="0" w:color="auto"/>
                    <w:bottom w:val="none" w:sz="0" w:space="0" w:color="auto"/>
                    <w:right w:val="none" w:sz="0" w:space="0" w:color="auto"/>
                  </w:divBdr>
                </w:div>
                <w:div w:id="976955241">
                  <w:marLeft w:val="0"/>
                  <w:marRight w:val="0"/>
                  <w:marTop w:val="0"/>
                  <w:marBottom w:val="0"/>
                  <w:divBdr>
                    <w:top w:val="none" w:sz="0" w:space="0" w:color="auto"/>
                    <w:left w:val="none" w:sz="0" w:space="0" w:color="auto"/>
                    <w:bottom w:val="none" w:sz="0" w:space="0" w:color="auto"/>
                    <w:right w:val="none" w:sz="0" w:space="0" w:color="auto"/>
                  </w:divBdr>
                </w:div>
                <w:div w:id="1918786672">
                  <w:marLeft w:val="0"/>
                  <w:marRight w:val="0"/>
                  <w:marTop w:val="0"/>
                  <w:marBottom w:val="0"/>
                  <w:divBdr>
                    <w:top w:val="none" w:sz="0" w:space="0" w:color="auto"/>
                    <w:left w:val="none" w:sz="0" w:space="0" w:color="auto"/>
                    <w:bottom w:val="none" w:sz="0" w:space="0" w:color="auto"/>
                    <w:right w:val="none" w:sz="0" w:space="0" w:color="auto"/>
                  </w:divBdr>
                </w:div>
                <w:div w:id="1682508139">
                  <w:marLeft w:val="0"/>
                  <w:marRight w:val="0"/>
                  <w:marTop w:val="0"/>
                  <w:marBottom w:val="0"/>
                  <w:divBdr>
                    <w:top w:val="none" w:sz="0" w:space="0" w:color="auto"/>
                    <w:left w:val="none" w:sz="0" w:space="0" w:color="auto"/>
                    <w:bottom w:val="none" w:sz="0" w:space="0" w:color="auto"/>
                    <w:right w:val="none" w:sz="0" w:space="0" w:color="auto"/>
                  </w:divBdr>
                </w:div>
              </w:divsChild>
            </w:div>
            <w:div w:id="825971930">
              <w:marLeft w:val="0"/>
              <w:marRight w:val="0"/>
              <w:marTop w:val="0"/>
              <w:marBottom w:val="0"/>
              <w:divBdr>
                <w:top w:val="none" w:sz="0" w:space="0" w:color="auto"/>
                <w:left w:val="none" w:sz="0" w:space="0" w:color="auto"/>
                <w:bottom w:val="none" w:sz="0" w:space="0" w:color="auto"/>
                <w:right w:val="none" w:sz="0" w:space="0" w:color="auto"/>
              </w:divBdr>
              <w:divsChild>
                <w:div w:id="1900895371">
                  <w:marLeft w:val="0"/>
                  <w:marRight w:val="0"/>
                  <w:marTop w:val="0"/>
                  <w:marBottom w:val="0"/>
                  <w:divBdr>
                    <w:top w:val="none" w:sz="0" w:space="0" w:color="auto"/>
                    <w:left w:val="single" w:sz="2" w:space="2" w:color="D6D6D6"/>
                    <w:bottom w:val="single" w:sz="2" w:space="0" w:color="D6D6D6"/>
                    <w:right w:val="none" w:sz="0" w:space="0" w:color="auto"/>
                  </w:divBdr>
                </w:div>
                <w:div w:id="1396124281">
                  <w:marLeft w:val="0"/>
                  <w:marRight w:val="0"/>
                  <w:marTop w:val="0"/>
                  <w:marBottom w:val="0"/>
                  <w:divBdr>
                    <w:top w:val="none" w:sz="0" w:space="0" w:color="auto"/>
                    <w:left w:val="none" w:sz="0" w:space="0" w:color="auto"/>
                    <w:bottom w:val="single" w:sz="2" w:space="0" w:color="D6D6D6"/>
                    <w:right w:val="none" w:sz="0" w:space="0" w:color="auto"/>
                  </w:divBdr>
                  <w:divsChild>
                    <w:div w:id="1916545412">
                      <w:marLeft w:val="0"/>
                      <w:marRight w:val="0"/>
                      <w:marTop w:val="0"/>
                      <w:marBottom w:val="0"/>
                      <w:divBdr>
                        <w:top w:val="none" w:sz="0" w:space="0" w:color="auto"/>
                        <w:left w:val="none" w:sz="0" w:space="0" w:color="auto"/>
                        <w:bottom w:val="none" w:sz="0" w:space="0" w:color="auto"/>
                        <w:right w:val="none" w:sz="0" w:space="0" w:color="auto"/>
                      </w:divBdr>
                    </w:div>
                  </w:divsChild>
                </w:div>
                <w:div w:id="1871336836">
                  <w:marLeft w:val="0"/>
                  <w:marRight w:val="0"/>
                  <w:marTop w:val="0"/>
                  <w:marBottom w:val="0"/>
                  <w:divBdr>
                    <w:top w:val="none" w:sz="0" w:space="0" w:color="auto"/>
                    <w:left w:val="none" w:sz="0" w:space="0" w:color="auto"/>
                    <w:bottom w:val="single" w:sz="2" w:space="0" w:color="D6D6D6"/>
                    <w:right w:val="none" w:sz="0" w:space="0" w:color="auto"/>
                  </w:divBdr>
                </w:div>
                <w:div w:id="1285648667">
                  <w:marLeft w:val="0"/>
                  <w:marRight w:val="0"/>
                  <w:marTop w:val="0"/>
                  <w:marBottom w:val="0"/>
                  <w:divBdr>
                    <w:top w:val="none" w:sz="0" w:space="0" w:color="auto"/>
                    <w:left w:val="none" w:sz="0" w:space="0" w:color="auto"/>
                    <w:bottom w:val="single" w:sz="2" w:space="0" w:color="D6D6D6"/>
                    <w:right w:val="none" w:sz="0" w:space="0" w:color="auto"/>
                  </w:divBdr>
                </w:div>
                <w:div w:id="1169248485">
                  <w:marLeft w:val="0"/>
                  <w:marRight w:val="0"/>
                  <w:marTop w:val="0"/>
                  <w:marBottom w:val="0"/>
                  <w:divBdr>
                    <w:top w:val="none" w:sz="0" w:space="0" w:color="auto"/>
                    <w:left w:val="none" w:sz="0" w:space="0" w:color="auto"/>
                    <w:bottom w:val="single" w:sz="2" w:space="0" w:color="D6D6D6"/>
                    <w:right w:val="none" w:sz="0" w:space="0" w:color="auto"/>
                  </w:divBdr>
                </w:div>
                <w:div w:id="1968779355">
                  <w:marLeft w:val="0"/>
                  <w:marRight w:val="0"/>
                  <w:marTop w:val="0"/>
                  <w:marBottom w:val="0"/>
                  <w:divBdr>
                    <w:top w:val="none" w:sz="0" w:space="0" w:color="auto"/>
                    <w:left w:val="none" w:sz="0" w:space="0" w:color="auto"/>
                    <w:bottom w:val="single" w:sz="2" w:space="0" w:color="D6D6D6"/>
                    <w:right w:val="single" w:sz="2" w:space="2" w:color="D6D6D6"/>
                  </w:divBdr>
                </w:div>
              </w:divsChild>
            </w:div>
            <w:div w:id="303852975">
              <w:marLeft w:val="0"/>
              <w:marRight w:val="0"/>
              <w:marTop w:val="0"/>
              <w:marBottom w:val="0"/>
              <w:divBdr>
                <w:top w:val="none" w:sz="0" w:space="0" w:color="auto"/>
                <w:left w:val="none" w:sz="0" w:space="0" w:color="auto"/>
                <w:bottom w:val="none" w:sz="0" w:space="0" w:color="auto"/>
                <w:right w:val="none" w:sz="0" w:space="0" w:color="auto"/>
              </w:divBdr>
              <w:divsChild>
                <w:div w:id="1297879886">
                  <w:marLeft w:val="0"/>
                  <w:marRight w:val="0"/>
                  <w:marTop w:val="0"/>
                  <w:marBottom w:val="0"/>
                  <w:divBdr>
                    <w:top w:val="none" w:sz="0" w:space="0" w:color="auto"/>
                    <w:left w:val="single" w:sz="2" w:space="2" w:color="D6D6D6"/>
                    <w:bottom w:val="single" w:sz="2" w:space="0" w:color="D6D6D6"/>
                    <w:right w:val="none" w:sz="0" w:space="0" w:color="auto"/>
                  </w:divBdr>
                </w:div>
                <w:div w:id="678697119">
                  <w:marLeft w:val="0"/>
                  <w:marRight w:val="0"/>
                  <w:marTop w:val="0"/>
                  <w:marBottom w:val="0"/>
                  <w:divBdr>
                    <w:top w:val="none" w:sz="0" w:space="0" w:color="auto"/>
                    <w:left w:val="none" w:sz="0" w:space="0" w:color="auto"/>
                    <w:bottom w:val="single" w:sz="2" w:space="0" w:color="D6D6D6"/>
                    <w:right w:val="none" w:sz="0" w:space="0" w:color="auto"/>
                  </w:divBdr>
                  <w:divsChild>
                    <w:div w:id="731197154">
                      <w:marLeft w:val="0"/>
                      <w:marRight w:val="0"/>
                      <w:marTop w:val="0"/>
                      <w:marBottom w:val="0"/>
                      <w:divBdr>
                        <w:top w:val="none" w:sz="0" w:space="0" w:color="auto"/>
                        <w:left w:val="none" w:sz="0" w:space="0" w:color="auto"/>
                        <w:bottom w:val="none" w:sz="0" w:space="0" w:color="auto"/>
                        <w:right w:val="none" w:sz="0" w:space="0" w:color="auto"/>
                      </w:divBdr>
                    </w:div>
                  </w:divsChild>
                </w:div>
                <w:div w:id="374890781">
                  <w:marLeft w:val="0"/>
                  <w:marRight w:val="0"/>
                  <w:marTop w:val="0"/>
                  <w:marBottom w:val="0"/>
                  <w:divBdr>
                    <w:top w:val="none" w:sz="0" w:space="0" w:color="auto"/>
                    <w:left w:val="none" w:sz="0" w:space="0" w:color="auto"/>
                    <w:bottom w:val="single" w:sz="2" w:space="0" w:color="D6D6D6"/>
                    <w:right w:val="none" w:sz="0" w:space="0" w:color="auto"/>
                  </w:divBdr>
                </w:div>
                <w:div w:id="702561189">
                  <w:marLeft w:val="0"/>
                  <w:marRight w:val="0"/>
                  <w:marTop w:val="0"/>
                  <w:marBottom w:val="0"/>
                  <w:divBdr>
                    <w:top w:val="none" w:sz="0" w:space="0" w:color="auto"/>
                    <w:left w:val="none" w:sz="0" w:space="0" w:color="auto"/>
                    <w:bottom w:val="single" w:sz="2" w:space="0" w:color="D6D6D6"/>
                    <w:right w:val="none" w:sz="0" w:space="0" w:color="auto"/>
                  </w:divBdr>
                </w:div>
                <w:div w:id="1284389353">
                  <w:marLeft w:val="0"/>
                  <w:marRight w:val="0"/>
                  <w:marTop w:val="0"/>
                  <w:marBottom w:val="0"/>
                  <w:divBdr>
                    <w:top w:val="none" w:sz="0" w:space="0" w:color="auto"/>
                    <w:left w:val="none" w:sz="0" w:space="0" w:color="auto"/>
                    <w:bottom w:val="single" w:sz="2" w:space="0" w:color="D6D6D6"/>
                    <w:right w:val="none" w:sz="0" w:space="0" w:color="auto"/>
                  </w:divBdr>
                </w:div>
                <w:div w:id="704405468">
                  <w:marLeft w:val="0"/>
                  <w:marRight w:val="0"/>
                  <w:marTop w:val="0"/>
                  <w:marBottom w:val="0"/>
                  <w:divBdr>
                    <w:top w:val="none" w:sz="0" w:space="0" w:color="auto"/>
                    <w:left w:val="none" w:sz="0" w:space="0" w:color="auto"/>
                    <w:bottom w:val="single" w:sz="2" w:space="0" w:color="D6D6D6"/>
                    <w:right w:val="single" w:sz="2" w:space="2" w:color="D6D6D6"/>
                  </w:divBdr>
                </w:div>
              </w:divsChild>
            </w:div>
            <w:div w:id="1537963679">
              <w:marLeft w:val="0"/>
              <w:marRight w:val="0"/>
              <w:marTop w:val="0"/>
              <w:marBottom w:val="0"/>
              <w:divBdr>
                <w:top w:val="none" w:sz="0" w:space="0" w:color="auto"/>
                <w:left w:val="none" w:sz="0" w:space="0" w:color="auto"/>
                <w:bottom w:val="none" w:sz="0" w:space="0" w:color="auto"/>
                <w:right w:val="none" w:sz="0" w:space="0" w:color="auto"/>
              </w:divBdr>
              <w:divsChild>
                <w:div w:id="1911035254">
                  <w:marLeft w:val="0"/>
                  <w:marRight w:val="0"/>
                  <w:marTop w:val="0"/>
                  <w:marBottom w:val="0"/>
                  <w:divBdr>
                    <w:top w:val="none" w:sz="0" w:space="0" w:color="auto"/>
                    <w:left w:val="single" w:sz="2" w:space="2" w:color="D6D6D6"/>
                    <w:bottom w:val="single" w:sz="2" w:space="0" w:color="D6D6D6"/>
                    <w:right w:val="none" w:sz="0" w:space="0" w:color="auto"/>
                  </w:divBdr>
                </w:div>
                <w:div w:id="1184981886">
                  <w:marLeft w:val="0"/>
                  <w:marRight w:val="0"/>
                  <w:marTop w:val="0"/>
                  <w:marBottom w:val="0"/>
                  <w:divBdr>
                    <w:top w:val="none" w:sz="0" w:space="0" w:color="auto"/>
                    <w:left w:val="none" w:sz="0" w:space="0" w:color="auto"/>
                    <w:bottom w:val="single" w:sz="2" w:space="0" w:color="D6D6D6"/>
                    <w:right w:val="none" w:sz="0" w:space="0" w:color="auto"/>
                  </w:divBdr>
                  <w:divsChild>
                    <w:div w:id="1357317022">
                      <w:marLeft w:val="0"/>
                      <w:marRight w:val="0"/>
                      <w:marTop w:val="0"/>
                      <w:marBottom w:val="0"/>
                      <w:divBdr>
                        <w:top w:val="none" w:sz="0" w:space="0" w:color="auto"/>
                        <w:left w:val="none" w:sz="0" w:space="0" w:color="auto"/>
                        <w:bottom w:val="none" w:sz="0" w:space="0" w:color="auto"/>
                        <w:right w:val="none" w:sz="0" w:space="0" w:color="auto"/>
                      </w:divBdr>
                    </w:div>
                  </w:divsChild>
                </w:div>
                <w:div w:id="1930116607">
                  <w:marLeft w:val="0"/>
                  <w:marRight w:val="0"/>
                  <w:marTop w:val="0"/>
                  <w:marBottom w:val="0"/>
                  <w:divBdr>
                    <w:top w:val="none" w:sz="0" w:space="0" w:color="auto"/>
                    <w:left w:val="none" w:sz="0" w:space="0" w:color="auto"/>
                    <w:bottom w:val="single" w:sz="2" w:space="0" w:color="D6D6D6"/>
                    <w:right w:val="none" w:sz="0" w:space="0" w:color="auto"/>
                  </w:divBdr>
                </w:div>
                <w:div w:id="2144997611">
                  <w:marLeft w:val="0"/>
                  <w:marRight w:val="0"/>
                  <w:marTop w:val="0"/>
                  <w:marBottom w:val="0"/>
                  <w:divBdr>
                    <w:top w:val="none" w:sz="0" w:space="0" w:color="auto"/>
                    <w:left w:val="none" w:sz="0" w:space="0" w:color="auto"/>
                    <w:bottom w:val="single" w:sz="2" w:space="0" w:color="D6D6D6"/>
                    <w:right w:val="none" w:sz="0" w:space="0" w:color="auto"/>
                  </w:divBdr>
                </w:div>
                <w:div w:id="295793534">
                  <w:marLeft w:val="0"/>
                  <w:marRight w:val="0"/>
                  <w:marTop w:val="0"/>
                  <w:marBottom w:val="0"/>
                  <w:divBdr>
                    <w:top w:val="none" w:sz="0" w:space="0" w:color="auto"/>
                    <w:left w:val="none" w:sz="0" w:space="0" w:color="auto"/>
                    <w:bottom w:val="single" w:sz="2" w:space="0" w:color="D6D6D6"/>
                    <w:right w:val="none" w:sz="0" w:space="0" w:color="auto"/>
                  </w:divBdr>
                </w:div>
                <w:div w:id="1249775272">
                  <w:marLeft w:val="0"/>
                  <w:marRight w:val="0"/>
                  <w:marTop w:val="0"/>
                  <w:marBottom w:val="0"/>
                  <w:divBdr>
                    <w:top w:val="none" w:sz="0" w:space="0" w:color="auto"/>
                    <w:left w:val="none" w:sz="0" w:space="0" w:color="auto"/>
                    <w:bottom w:val="single" w:sz="2" w:space="0" w:color="D6D6D6"/>
                    <w:right w:val="single" w:sz="2" w:space="2" w:color="D6D6D6"/>
                  </w:divBdr>
                </w:div>
              </w:divsChild>
            </w:div>
            <w:div w:id="1039401397">
              <w:marLeft w:val="0"/>
              <w:marRight w:val="0"/>
              <w:marTop w:val="0"/>
              <w:marBottom w:val="0"/>
              <w:divBdr>
                <w:top w:val="none" w:sz="0" w:space="0" w:color="auto"/>
                <w:left w:val="none" w:sz="0" w:space="0" w:color="auto"/>
                <w:bottom w:val="none" w:sz="0" w:space="0" w:color="auto"/>
                <w:right w:val="none" w:sz="0" w:space="0" w:color="auto"/>
              </w:divBdr>
              <w:divsChild>
                <w:div w:id="1387220607">
                  <w:marLeft w:val="0"/>
                  <w:marRight w:val="0"/>
                  <w:marTop w:val="0"/>
                  <w:marBottom w:val="0"/>
                  <w:divBdr>
                    <w:top w:val="none" w:sz="0" w:space="0" w:color="auto"/>
                    <w:left w:val="single" w:sz="2" w:space="2" w:color="D6D6D6"/>
                    <w:bottom w:val="single" w:sz="2" w:space="0" w:color="D6D6D6"/>
                    <w:right w:val="none" w:sz="0" w:space="0" w:color="auto"/>
                  </w:divBdr>
                </w:div>
                <w:div w:id="1555000226">
                  <w:marLeft w:val="0"/>
                  <w:marRight w:val="0"/>
                  <w:marTop w:val="0"/>
                  <w:marBottom w:val="0"/>
                  <w:divBdr>
                    <w:top w:val="none" w:sz="0" w:space="0" w:color="auto"/>
                    <w:left w:val="none" w:sz="0" w:space="0" w:color="auto"/>
                    <w:bottom w:val="single" w:sz="2" w:space="0" w:color="D6D6D6"/>
                    <w:right w:val="none" w:sz="0" w:space="0" w:color="auto"/>
                  </w:divBdr>
                  <w:divsChild>
                    <w:div w:id="1977637643">
                      <w:marLeft w:val="0"/>
                      <w:marRight w:val="0"/>
                      <w:marTop w:val="0"/>
                      <w:marBottom w:val="0"/>
                      <w:divBdr>
                        <w:top w:val="none" w:sz="0" w:space="0" w:color="auto"/>
                        <w:left w:val="none" w:sz="0" w:space="0" w:color="auto"/>
                        <w:bottom w:val="none" w:sz="0" w:space="0" w:color="auto"/>
                        <w:right w:val="none" w:sz="0" w:space="0" w:color="auto"/>
                      </w:divBdr>
                    </w:div>
                  </w:divsChild>
                </w:div>
                <w:div w:id="1624922553">
                  <w:marLeft w:val="0"/>
                  <w:marRight w:val="0"/>
                  <w:marTop w:val="0"/>
                  <w:marBottom w:val="0"/>
                  <w:divBdr>
                    <w:top w:val="none" w:sz="0" w:space="0" w:color="auto"/>
                    <w:left w:val="none" w:sz="0" w:space="0" w:color="auto"/>
                    <w:bottom w:val="single" w:sz="2" w:space="0" w:color="D6D6D6"/>
                    <w:right w:val="none" w:sz="0" w:space="0" w:color="auto"/>
                  </w:divBdr>
                </w:div>
                <w:div w:id="615910950">
                  <w:marLeft w:val="0"/>
                  <w:marRight w:val="0"/>
                  <w:marTop w:val="0"/>
                  <w:marBottom w:val="0"/>
                  <w:divBdr>
                    <w:top w:val="none" w:sz="0" w:space="0" w:color="auto"/>
                    <w:left w:val="none" w:sz="0" w:space="0" w:color="auto"/>
                    <w:bottom w:val="single" w:sz="2" w:space="0" w:color="D6D6D6"/>
                    <w:right w:val="none" w:sz="0" w:space="0" w:color="auto"/>
                  </w:divBdr>
                </w:div>
                <w:div w:id="1126003429">
                  <w:marLeft w:val="0"/>
                  <w:marRight w:val="0"/>
                  <w:marTop w:val="0"/>
                  <w:marBottom w:val="0"/>
                  <w:divBdr>
                    <w:top w:val="none" w:sz="0" w:space="0" w:color="auto"/>
                    <w:left w:val="none" w:sz="0" w:space="0" w:color="auto"/>
                    <w:bottom w:val="single" w:sz="2" w:space="0" w:color="D6D6D6"/>
                    <w:right w:val="none" w:sz="0" w:space="0" w:color="auto"/>
                  </w:divBdr>
                </w:div>
                <w:div w:id="1840850741">
                  <w:marLeft w:val="0"/>
                  <w:marRight w:val="0"/>
                  <w:marTop w:val="0"/>
                  <w:marBottom w:val="0"/>
                  <w:divBdr>
                    <w:top w:val="none" w:sz="0" w:space="0" w:color="auto"/>
                    <w:left w:val="none" w:sz="0" w:space="0" w:color="auto"/>
                    <w:bottom w:val="single" w:sz="2" w:space="0" w:color="D6D6D6"/>
                    <w:right w:val="single" w:sz="2" w:space="2" w:color="D6D6D6"/>
                  </w:divBdr>
                </w:div>
              </w:divsChild>
            </w:div>
            <w:div w:id="797525646">
              <w:marLeft w:val="0"/>
              <w:marRight w:val="0"/>
              <w:marTop w:val="0"/>
              <w:marBottom w:val="0"/>
              <w:divBdr>
                <w:top w:val="none" w:sz="0" w:space="0" w:color="auto"/>
                <w:left w:val="none" w:sz="0" w:space="0" w:color="auto"/>
                <w:bottom w:val="none" w:sz="0" w:space="0" w:color="auto"/>
                <w:right w:val="none" w:sz="0" w:space="0" w:color="auto"/>
              </w:divBdr>
              <w:divsChild>
                <w:div w:id="41291906">
                  <w:marLeft w:val="0"/>
                  <w:marRight w:val="0"/>
                  <w:marTop w:val="0"/>
                  <w:marBottom w:val="0"/>
                  <w:divBdr>
                    <w:top w:val="none" w:sz="0" w:space="0" w:color="auto"/>
                    <w:left w:val="single" w:sz="2" w:space="2" w:color="D6D6D6"/>
                    <w:bottom w:val="single" w:sz="2" w:space="0" w:color="D6D6D6"/>
                    <w:right w:val="none" w:sz="0" w:space="0" w:color="auto"/>
                  </w:divBdr>
                </w:div>
                <w:div w:id="754519373">
                  <w:marLeft w:val="0"/>
                  <w:marRight w:val="0"/>
                  <w:marTop w:val="0"/>
                  <w:marBottom w:val="0"/>
                  <w:divBdr>
                    <w:top w:val="none" w:sz="0" w:space="0" w:color="auto"/>
                    <w:left w:val="none" w:sz="0" w:space="0" w:color="auto"/>
                    <w:bottom w:val="single" w:sz="2" w:space="0" w:color="D6D6D6"/>
                    <w:right w:val="none" w:sz="0" w:space="0" w:color="auto"/>
                  </w:divBdr>
                  <w:divsChild>
                    <w:div w:id="1159154681">
                      <w:marLeft w:val="0"/>
                      <w:marRight w:val="0"/>
                      <w:marTop w:val="0"/>
                      <w:marBottom w:val="0"/>
                      <w:divBdr>
                        <w:top w:val="none" w:sz="0" w:space="0" w:color="auto"/>
                        <w:left w:val="none" w:sz="0" w:space="0" w:color="auto"/>
                        <w:bottom w:val="none" w:sz="0" w:space="0" w:color="auto"/>
                        <w:right w:val="none" w:sz="0" w:space="0" w:color="auto"/>
                      </w:divBdr>
                    </w:div>
                  </w:divsChild>
                </w:div>
                <w:div w:id="1615673852">
                  <w:marLeft w:val="0"/>
                  <w:marRight w:val="0"/>
                  <w:marTop w:val="0"/>
                  <w:marBottom w:val="0"/>
                  <w:divBdr>
                    <w:top w:val="none" w:sz="0" w:space="0" w:color="auto"/>
                    <w:left w:val="none" w:sz="0" w:space="0" w:color="auto"/>
                    <w:bottom w:val="single" w:sz="2" w:space="0" w:color="D6D6D6"/>
                    <w:right w:val="none" w:sz="0" w:space="0" w:color="auto"/>
                  </w:divBdr>
                </w:div>
                <w:div w:id="312636668">
                  <w:marLeft w:val="0"/>
                  <w:marRight w:val="0"/>
                  <w:marTop w:val="0"/>
                  <w:marBottom w:val="0"/>
                  <w:divBdr>
                    <w:top w:val="none" w:sz="0" w:space="0" w:color="auto"/>
                    <w:left w:val="none" w:sz="0" w:space="0" w:color="auto"/>
                    <w:bottom w:val="single" w:sz="2" w:space="0" w:color="D6D6D6"/>
                    <w:right w:val="none" w:sz="0" w:space="0" w:color="auto"/>
                  </w:divBdr>
                </w:div>
                <w:div w:id="220601312">
                  <w:marLeft w:val="0"/>
                  <w:marRight w:val="0"/>
                  <w:marTop w:val="0"/>
                  <w:marBottom w:val="0"/>
                  <w:divBdr>
                    <w:top w:val="none" w:sz="0" w:space="0" w:color="auto"/>
                    <w:left w:val="none" w:sz="0" w:space="0" w:color="auto"/>
                    <w:bottom w:val="single" w:sz="2" w:space="0" w:color="D6D6D6"/>
                    <w:right w:val="none" w:sz="0" w:space="0" w:color="auto"/>
                  </w:divBdr>
                </w:div>
                <w:div w:id="57829064">
                  <w:marLeft w:val="0"/>
                  <w:marRight w:val="0"/>
                  <w:marTop w:val="0"/>
                  <w:marBottom w:val="0"/>
                  <w:divBdr>
                    <w:top w:val="none" w:sz="0" w:space="0" w:color="auto"/>
                    <w:left w:val="none" w:sz="0" w:space="0" w:color="auto"/>
                    <w:bottom w:val="single" w:sz="2" w:space="0" w:color="D6D6D6"/>
                    <w:right w:val="single" w:sz="2" w:space="2" w:color="D6D6D6"/>
                  </w:divBdr>
                </w:div>
              </w:divsChild>
            </w:div>
            <w:div w:id="207375213">
              <w:marLeft w:val="0"/>
              <w:marRight w:val="0"/>
              <w:marTop w:val="0"/>
              <w:marBottom w:val="0"/>
              <w:divBdr>
                <w:top w:val="none" w:sz="0" w:space="0" w:color="auto"/>
                <w:left w:val="none" w:sz="0" w:space="0" w:color="auto"/>
                <w:bottom w:val="none" w:sz="0" w:space="0" w:color="auto"/>
                <w:right w:val="none" w:sz="0" w:space="0" w:color="auto"/>
              </w:divBdr>
              <w:divsChild>
                <w:div w:id="1488940850">
                  <w:marLeft w:val="0"/>
                  <w:marRight w:val="0"/>
                  <w:marTop w:val="0"/>
                  <w:marBottom w:val="0"/>
                  <w:divBdr>
                    <w:top w:val="none" w:sz="0" w:space="0" w:color="auto"/>
                    <w:left w:val="none" w:sz="0" w:space="0" w:color="auto"/>
                    <w:bottom w:val="none" w:sz="0" w:space="0" w:color="auto"/>
                    <w:right w:val="none" w:sz="0" w:space="0" w:color="auto"/>
                  </w:divBdr>
                </w:div>
              </w:divsChild>
            </w:div>
            <w:div w:id="1788814650">
              <w:marLeft w:val="0"/>
              <w:marRight w:val="0"/>
              <w:marTop w:val="0"/>
              <w:marBottom w:val="0"/>
              <w:divBdr>
                <w:top w:val="none" w:sz="0" w:space="0" w:color="auto"/>
                <w:left w:val="none" w:sz="0" w:space="0" w:color="auto"/>
                <w:bottom w:val="none" w:sz="0" w:space="0" w:color="auto"/>
                <w:right w:val="none" w:sz="0" w:space="0" w:color="auto"/>
              </w:divBdr>
              <w:divsChild>
                <w:div w:id="657543120">
                  <w:marLeft w:val="0"/>
                  <w:marRight w:val="0"/>
                  <w:marTop w:val="0"/>
                  <w:marBottom w:val="0"/>
                  <w:divBdr>
                    <w:top w:val="none" w:sz="0" w:space="0" w:color="auto"/>
                    <w:left w:val="none" w:sz="0" w:space="0" w:color="auto"/>
                    <w:bottom w:val="none" w:sz="0" w:space="0" w:color="auto"/>
                    <w:right w:val="none" w:sz="0" w:space="0" w:color="auto"/>
                  </w:divBdr>
                </w:div>
                <w:div w:id="1892227883">
                  <w:marLeft w:val="0"/>
                  <w:marRight w:val="0"/>
                  <w:marTop w:val="0"/>
                  <w:marBottom w:val="0"/>
                  <w:divBdr>
                    <w:top w:val="none" w:sz="0" w:space="0" w:color="auto"/>
                    <w:left w:val="none" w:sz="0" w:space="0" w:color="auto"/>
                    <w:bottom w:val="none" w:sz="0" w:space="0" w:color="auto"/>
                    <w:right w:val="none" w:sz="0" w:space="0" w:color="auto"/>
                  </w:divBdr>
                </w:div>
                <w:div w:id="1234464777">
                  <w:marLeft w:val="0"/>
                  <w:marRight w:val="0"/>
                  <w:marTop w:val="0"/>
                  <w:marBottom w:val="0"/>
                  <w:divBdr>
                    <w:top w:val="none" w:sz="0" w:space="0" w:color="auto"/>
                    <w:left w:val="none" w:sz="0" w:space="0" w:color="auto"/>
                    <w:bottom w:val="none" w:sz="0" w:space="0" w:color="auto"/>
                    <w:right w:val="none" w:sz="0" w:space="0" w:color="auto"/>
                  </w:divBdr>
                </w:div>
                <w:div w:id="534465336">
                  <w:marLeft w:val="0"/>
                  <w:marRight w:val="0"/>
                  <w:marTop w:val="0"/>
                  <w:marBottom w:val="0"/>
                  <w:divBdr>
                    <w:top w:val="none" w:sz="0" w:space="0" w:color="auto"/>
                    <w:left w:val="none" w:sz="0" w:space="0" w:color="auto"/>
                    <w:bottom w:val="none" w:sz="0" w:space="0" w:color="auto"/>
                    <w:right w:val="none" w:sz="0" w:space="0" w:color="auto"/>
                  </w:divBdr>
                </w:div>
                <w:div w:id="1004087176">
                  <w:marLeft w:val="0"/>
                  <w:marRight w:val="0"/>
                  <w:marTop w:val="0"/>
                  <w:marBottom w:val="0"/>
                  <w:divBdr>
                    <w:top w:val="none" w:sz="0" w:space="0" w:color="auto"/>
                    <w:left w:val="none" w:sz="0" w:space="0" w:color="auto"/>
                    <w:bottom w:val="none" w:sz="0" w:space="0" w:color="auto"/>
                    <w:right w:val="none" w:sz="0" w:space="0" w:color="auto"/>
                  </w:divBdr>
                </w:div>
                <w:div w:id="486827485">
                  <w:marLeft w:val="0"/>
                  <w:marRight w:val="0"/>
                  <w:marTop w:val="0"/>
                  <w:marBottom w:val="0"/>
                  <w:divBdr>
                    <w:top w:val="none" w:sz="0" w:space="0" w:color="auto"/>
                    <w:left w:val="none" w:sz="0" w:space="0" w:color="auto"/>
                    <w:bottom w:val="none" w:sz="0" w:space="0" w:color="auto"/>
                    <w:right w:val="none" w:sz="0" w:space="0" w:color="auto"/>
                  </w:divBdr>
                </w:div>
              </w:divsChild>
            </w:div>
            <w:div w:id="1936086272">
              <w:marLeft w:val="0"/>
              <w:marRight w:val="0"/>
              <w:marTop w:val="0"/>
              <w:marBottom w:val="0"/>
              <w:divBdr>
                <w:top w:val="none" w:sz="0" w:space="0" w:color="auto"/>
                <w:left w:val="none" w:sz="0" w:space="0" w:color="auto"/>
                <w:bottom w:val="none" w:sz="0" w:space="0" w:color="auto"/>
                <w:right w:val="none" w:sz="0" w:space="0" w:color="auto"/>
              </w:divBdr>
              <w:divsChild>
                <w:div w:id="788596717">
                  <w:marLeft w:val="0"/>
                  <w:marRight w:val="0"/>
                  <w:marTop w:val="0"/>
                  <w:marBottom w:val="0"/>
                  <w:divBdr>
                    <w:top w:val="none" w:sz="0" w:space="0" w:color="auto"/>
                    <w:left w:val="single" w:sz="2" w:space="2" w:color="D6D6D6"/>
                    <w:bottom w:val="single" w:sz="2" w:space="0" w:color="D6D6D6"/>
                    <w:right w:val="none" w:sz="0" w:space="0" w:color="auto"/>
                  </w:divBdr>
                </w:div>
                <w:div w:id="2065788873">
                  <w:marLeft w:val="0"/>
                  <w:marRight w:val="0"/>
                  <w:marTop w:val="0"/>
                  <w:marBottom w:val="0"/>
                  <w:divBdr>
                    <w:top w:val="none" w:sz="0" w:space="0" w:color="auto"/>
                    <w:left w:val="none" w:sz="0" w:space="0" w:color="auto"/>
                    <w:bottom w:val="single" w:sz="2" w:space="0" w:color="D6D6D6"/>
                    <w:right w:val="none" w:sz="0" w:space="0" w:color="auto"/>
                  </w:divBdr>
                  <w:divsChild>
                    <w:div w:id="171338666">
                      <w:marLeft w:val="0"/>
                      <w:marRight w:val="0"/>
                      <w:marTop w:val="0"/>
                      <w:marBottom w:val="0"/>
                      <w:divBdr>
                        <w:top w:val="none" w:sz="0" w:space="0" w:color="auto"/>
                        <w:left w:val="none" w:sz="0" w:space="0" w:color="auto"/>
                        <w:bottom w:val="none" w:sz="0" w:space="0" w:color="auto"/>
                        <w:right w:val="none" w:sz="0" w:space="0" w:color="auto"/>
                      </w:divBdr>
                    </w:div>
                  </w:divsChild>
                </w:div>
                <w:div w:id="473530033">
                  <w:marLeft w:val="0"/>
                  <w:marRight w:val="0"/>
                  <w:marTop w:val="0"/>
                  <w:marBottom w:val="0"/>
                  <w:divBdr>
                    <w:top w:val="none" w:sz="0" w:space="0" w:color="auto"/>
                    <w:left w:val="none" w:sz="0" w:space="0" w:color="auto"/>
                    <w:bottom w:val="single" w:sz="2" w:space="0" w:color="D6D6D6"/>
                    <w:right w:val="none" w:sz="0" w:space="0" w:color="auto"/>
                  </w:divBdr>
                </w:div>
                <w:div w:id="2027169329">
                  <w:marLeft w:val="0"/>
                  <w:marRight w:val="0"/>
                  <w:marTop w:val="0"/>
                  <w:marBottom w:val="0"/>
                  <w:divBdr>
                    <w:top w:val="none" w:sz="0" w:space="0" w:color="auto"/>
                    <w:left w:val="none" w:sz="0" w:space="0" w:color="auto"/>
                    <w:bottom w:val="single" w:sz="2" w:space="0" w:color="D6D6D6"/>
                    <w:right w:val="none" w:sz="0" w:space="0" w:color="auto"/>
                  </w:divBdr>
                </w:div>
                <w:div w:id="805005995">
                  <w:marLeft w:val="0"/>
                  <w:marRight w:val="0"/>
                  <w:marTop w:val="0"/>
                  <w:marBottom w:val="0"/>
                  <w:divBdr>
                    <w:top w:val="none" w:sz="0" w:space="0" w:color="auto"/>
                    <w:left w:val="none" w:sz="0" w:space="0" w:color="auto"/>
                    <w:bottom w:val="single" w:sz="2" w:space="0" w:color="D6D6D6"/>
                    <w:right w:val="none" w:sz="0" w:space="0" w:color="auto"/>
                  </w:divBdr>
                </w:div>
                <w:div w:id="1201553626">
                  <w:marLeft w:val="0"/>
                  <w:marRight w:val="0"/>
                  <w:marTop w:val="0"/>
                  <w:marBottom w:val="0"/>
                  <w:divBdr>
                    <w:top w:val="none" w:sz="0" w:space="0" w:color="auto"/>
                    <w:left w:val="none" w:sz="0" w:space="0" w:color="auto"/>
                    <w:bottom w:val="single" w:sz="2" w:space="0" w:color="D6D6D6"/>
                    <w:right w:val="single" w:sz="2" w:space="2" w:color="D6D6D6"/>
                  </w:divBdr>
                </w:div>
              </w:divsChild>
            </w:div>
            <w:div w:id="194007007">
              <w:marLeft w:val="0"/>
              <w:marRight w:val="0"/>
              <w:marTop w:val="0"/>
              <w:marBottom w:val="0"/>
              <w:divBdr>
                <w:top w:val="none" w:sz="0" w:space="0" w:color="auto"/>
                <w:left w:val="none" w:sz="0" w:space="0" w:color="auto"/>
                <w:bottom w:val="none" w:sz="0" w:space="0" w:color="auto"/>
                <w:right w:val="none" w:sz="0" w:space="0" w:color="auto"/>
              </w:divBdr>
              <w:divsChild>
                <w:div w:id="355470457">
                  <w:marLeft w:val="0"/>
                  <w:marRight w:val="0"/>
                  <w:marTop w:val="0"/>
                  <w:marBottom w:val="0"/>
                  <w:divBdr>
                    <w:top w:val="none" w:sz="0" w:space="0" w:color="auto"/>
                    <w:left w:val="single" w:sz="2" w:space="2" w:color="D6D6D6"/>
                    <w:bottom w:val="single" w:sz="2" w:space="0" w:color="D6D6D6"/>
                    <w:right w:val="none" w:sz="0" w:space="0" w:color="auto"/>
                  </w:divBdr>
                </w:div>
                <w:div w:id="1299143711">
                  <w:marLeft w:val="0"/>
                  <w:marRight w:val="0"/>
                  <w:marTop w:val="0"/>
                  <w:marBottom w:val="0"/>
                  <w:divBdr>
                    <w:top w:val="none" w:sz="0" w:space="0" w:color="auto"/>
                    <w:left w:val="none" w:sz="0" w:space="0" w:color="auto"/>
                    <w:bottom w:val="single" w:sz="2" w:space="0" w:color="D6D6D6"/>
                    <w:right w:val="none" w:sz="0" w:space="0" w:color="auto"/>
                  </w:divBdr>
                  <w:divsChild>
                    <w:div w:id="380322482">
                      <w:marLeft w:val="0"/>
                      <w:marRight w:val="0"/>
                      <w:marTop w:val="0"/>
                      <w:marBottom w:val="0"/>
                      <w:divBdr>
                        <w:top w:val="none" w:sz="0" w:space="0" w:color="auto"/>
                        <w:left w:val="none" w:sz="0" w:space="0" w:color="auto"/>
                        <w:bottom w:val="none" w:sz="0" w:space="0" w:color="auto"/>
                        <w:right w:val="none" w:sz="0" w:space="0" w:color="auto"/>
                      </w:divBdr>
                    </w:div>
                  </w:divsChild>
                </w:div>
                <w:div w:id="697512047">
                  <w:marLeft w:val="0"/>
                  <w:marRight w:val="0"/>
                  <w:marTop w:val="0"/>
                  <w:marBottom w:val="0"/>
                  <w:divBdr>
                    <w:top w:val="none" w:sz="0" w:space="0" w:color="auto"/>
                    <w:left w:val="none" w:sz="0" w:space="0" w:color="auto"/>
                    <w:bottom w:val="single" w:sz="2" w:space="0" w:color="D6D6D6"/>
                    <w:right w:val="none" w:sz="0" w:space="0" w:color="auto"/>
                  </w:divBdr>
                </w:div>
                <w:div w:id="402067015">
                  <w:marLeft w:val="0"/>
                  <w:marRight w:val="0"/>
                  <w:marTop w:val="0"/>
                  <w:marBottom w:val="0"/>
                  <w:divBdr>
                    <w:top w:val="none" w:sz="0" w:space="0" w:color="auto"/>
                    <w:left w:val="none" w:sz="0" w:space="0" w:color="auto"/>
                    <w:bottom w:val="single" w:sz="2" w:space="0" w:color="D6D6D6"/>
                    <w:right w:val="none" w:sz="0" w:space="0" w:color="auto"/>
                  </w:divBdr>
                </w:div>
                <w:div w:id="1018695185">
                  <w:marLeft w:val="0"/>
                  <w:marRight w:val="0"/>
                  <w:marTop w:val="0"/>
                  <w:marBottom w:val="0"/>
                  <w:divBdr>
                    <w:top w:val="none" w:sz="0" w:space="0" w:color="auto"/>
                    <w:left w:val="none" w:sz="0" w:space="0" w:color="auto"/>
                    <w:bottom w:val="single" w:sz="2" w:space="0" w:color="D6D6D6"/>
                    <w:right w:val="none" w:sz="0" w:space="0" w:color="auto"/>
                  </w:divBdr>
                </w:div>
                <w:div w:id="835654180">
                  <w:marLeft w:val="0"/>
                  <w:marRight w:val="0"/>
                  <w:marTop w:val="0"/>
                  <w:marBottom w:val="0"/>
                  <w:divBdr>
                    <w:top w:val="none" w:sz="0" w:space="0" w:color="auto"/>
                    <w:left w:val="none" w:sz="0" w:space="0" w:color="auto"/>
                    <w:bottom w:val="single" w:sz="2" w:space="0" w:color="D6D6D6"/>
                    <w:right w:val="single" w:sz="2" w:space="2" w:color="D6D6D6"/>
                  </w:divBdr>
                </w:div>
              </w:divsChild>
            </w:div>
            <w:div w:id="941255630">
              <w:marLeft w:val="0"/>
              <w:marRight w:val="0"/>
              <w:marTop w:val="0"/>
              <w:marBottom w:val="0"/>
              <w:divBdr>
                <w:top w:val="none" w:sz="0" w:space="0" w:color="auto"/>
                <w:left w:val="none" w:sz="0" w:space="0" w:color="auto"/>
                <w:bottom w:val="none" w:sz="0" w:space="0" w:color="auto"/>
                <w:right w:val="none" w:sz="0" w:space="0" w:color="auto"/>
              </w:divBdr>
              <w:divsChild>
                <w:div w:id="1224440439">
                  <w:marLeft w:val="0"/>
                  <w:marRight w:val="0"/>
                  <w:marTop w:val="0"/>
                  <w:marBottom w:val="0"/>
                  <w:divBdr>
                    <w:top w:val="none" w:sz="0" w:space="0" w:color="auto"/>
                    <w:left w:val="single" w:sz="2" w:space="2" w:color="D6D6D6"/>
                    <w:bottom w:val="single" w:sz="2" w:space="0" w:color="D6D6D6"/>
                    <w:right w:val="none" w:sz="0" w:space="0" w:color="auto"/>
                  </w:divBdr>
                </w:div>
                <w:div w:id="683288916">
                  <w:marLeft w:val="0"/>
                  <w:marRight w:val="0"/>
                  <w:marTop w:val="0"/>
                  <w:marBottom w:val="0"/>
                  <w:divBdr>
                    <w:top w:val="none" w:sz="0" w:space="0" w:color="auto"/>
                    <w:left w:val="none" w:sz="0" w:space="0" w:color="auto"/>
                    <w:bottom w:val="single" w:sz="2" w:space="0" w:color="D6D6D6"/>
                    <w:right w:val="none" w:sz="0" w:space="0" w:color="auto"/>
                  </w:divBdr>
                  <w:divsChild>
                    <w:div w:id="1434932811">
                      <w:marLeft w:val="0"/>
                      <w:marRight w:val="0"/>
                      <w:marTop w:val="0"/>
                      <w:marBottom w:val="0"/>
                      <w:divBdr>
                        <w:top w:val="none" w:sz="0" w:space="0" w:color="auto"/>
                        <w:left w:val="none" w:sz="0" w:space="0" w:color="auto"/>
                        <w:bottom w:val="none" w:sz="0" w:space="0" w:color="auto"/>
                        <w:right w:val="none" w:sz="0" w:space="0" w:color="auto"/>
                      </w:divBdr>
                    </w:div>
                  </w:divsChild>
                </w:div>
                <w:div w:id="378936359">
                  <w:marLeft w:val="0"/>
                  <w:marRight w:val="0"/>
                  <w:marTop w:val="0"/>
                  <w:marBottom w:val="0"/>
                  <w:divBdr>
                    <w:top w:val="none" w:sz="0" w:space="0" w:color="auto"/>
                    <w:left w:val="none" w:sz="0" w:space="0" w:color="auto"/>
                    <w:bottom w:val="single" w:sz="2" w:space="0" w:color="D6D6D6"/>
                    <w:right w:val="none" w:sz="0" w:space="0" w:color="auto"/>
                  </w:divBdr>
                </w:div>
                <w:div w:id="343938867">
                  <w:marLeft w:val="0"/>
                  <w:marRight w:val="0"/>
                  <w:marTop w:val="0"/>
                  <w:marBottom w:val="0"/>
                  <w:divBdr>
                    <w:top w:val="none" w:sz="0" w:space="0" w:color="auto"/>
                    <w:left w:val="none" w:sz="0" w:space="0" w:color="auto"/>
                    <w:bottom w:val="single" w:sz="2" w:space="0" w:color="D6D6D6"/>
                    <w:right w:val="none" w:sz="0" w:space="0" w:color="auto"/>
                  </w:divBdr>
                </w:div>
                <w:div w:id="2068801081">
                  <w:marLeft w:val="0"/>
                  <w:marRight w:val="0"/>
                  <w:marTop w:val="0"/>
                  <w:marBottom w:val="0"/>
                  <w:divBdr>
                    <w:top w:val="none" w:sz="0" w:space="0" w:color="auto"/>
                    <w:left w:val="none" w:sz="0" w:space="0" w:color="auto"/>
                    <w:bottom w:val="single" w:sz="2" w:space="0" w:color="D6D6D6"/>
                    <w:right w:val="none" w:sz="0" w:space="0" w:color="auto"/>
                  </w:divBdr>
                </w:div>
                <w:div w:id="1321812664">
                  <w:marLeft w:val="0"/>
                  <w:marRight w:val="0"/>
                  <w:marTop w:val="0"/>
                  <w:marBottom w:val="0"/>
                  <w:divBdr>
                    <w:top w:val="none" w:sz="0" w:space="0" w:color="auto"/>
                    <w:left w:val="none" w:sz="0" w:space="0" w:color="auto"/>
                    <w:bottom w:val="single" w:sz="2" w:space="0" w:color="D6D6D6"/>
                    <w:right w:val="single" w:sz="2" w:space="2" w:color="D6D6D6"/>
                  </w:divBdr>
                </w:div>
              </w:divsChild>
            </w:div>
            <w:div w:id="583759233">
              <w:marLeft w:val="0"/>
              <w:marRight w:val="0"/>
              <w:marTop w:val="0"/>
              <w:marBottom w:val="0"/>
              <w:divBdr>
                <w:top w:val="none" w:sz="0" w:space="0" w:color="auto"/>
                <w:left w:val="none" w:sz="0" w:space="0" w:color="auto"/>
                <w:bottom w:val="none" w:sz="0" w:space="0" w:color="auto"/>
                <w:right w:val="none" w:sz="0" w:space="0" w:color="auto"/>
              </w:divBdr>
              <w:divsChild>
                <w:div w:id="1870607501">
                  <w:marLeft w:val="0"/>
                  <w:marRight w:val="0"/>
                  <w:marTop w:val="0"/>
                  <w:marBottom w:val="0"/>
                  <w:divBdr>
                    <w:top w:val="none" w:sz="0" w:space="0" w:color="auto"/>
                    <w:left w:val="single" w:sz="2" w:space="2" w:color="D6D6D6"/>
                    <w:bottom w:val="single" w:sz="2" w:space="0" w:color="D6D6D6"/>
                    <w:right w:val="none" w:sz="0" w:space="0" w:color="auto"/>
                  </w:divBdr>
                </w:div>
                <w:div w:id="1060634997">
                  <w:marLeft w:val="0"/>
                  <w:marRight w:val="0"/>
                  <w:marTop w:val="0"/>
                  <w:marBottom w:val="0"/>
                  <w:divBdr>
                    <w:top w:val="none" w:sz="0" w:space="0" w:color="auto"/>
                    <w:left w:val="none" w:sz="0" w:space="0" w:color="auto"/>
                    <w:bottom w:val="single" w:sz="2" w:space="0" w:color="D6D6D6"/>
                    <w:right w:val="none" w:sz="0" w:space="0" w:color="auto"/>
                  </w:divBdr>
                  <w:divsChild>
                    <w:div w:id="217472188">
                      <w:marLeft w:val="0"/>
                      <w:marRight w:val="0"/>
                      <w:marTop w:val="0"/>
                      <w:marBottom w:val="0"/>
                      <w:divBdr>
                        <w:top w:val="none" w:sz="0" w:space="0" w:color="auto"/>
                        <w:left w:val="none" w:sz="0" w:space="0" w:color="auto"/>
                        <w:bottom w:val="none" w:sz="0" w:space="0" w:color="auto"/>
                        <w:right w:val="none" w:sz="0" w:space="0" w:color="auto"/>
                      </w:divBdr>
                    </w:div>
                  </w:divsChild>
                </w:div>
                <w:div w:id="1780642815">
                  <w:marLeft w:val="0"/>
                  <w:marRight w:val="0"/>
                  <w:marTop w:val="0"/>
                  <w:marBottom w:val="0"/>
                  <w:divBdr>
                    <w:top w:val="none" w:sz="0" w:space="0" w:color="auto"/>
                    <w:left w:val="none" w:sz="0" w:space="0" w:color="auto"/>
                    <w:bottom w:val="single" w:sz="2" w:space="0" w:color="D6D6D6"/>
                    <w:right w:val="none" w:sz="0" w:space="0" w:color="auto"/>
                  </w:divBdr>
                </w:div>
                <w:div w:id="581375982">
                  <w:marLeft w:val="0"/>
                  <w:marRight w:val="0"/>
                  <w:marTop w:val="0"/>
                  <w:marBottom w:val="0"/>
                  <w:divBdr>
                    <w:top w:val="none" w:sz="0" w:space="0" w:color="auto"/>
                    <w:left w:val="none" w:sz="0" w:space="0" w:color="auto"/>
                    <w:bottom w:val="single" w:sz="2" w:space="0" w:color="D6D6D6"/>
                    <w:right w:val="none" w:sz="0" w:space="0" w:color="auto"/>
                  </w:divBdr>
                </w:div>
                <w:div w:id="33584526">
                  <w:marLeft w:val="0"/>
                  <w:marRight w:val="0"/>
                  <w:marTop w:val="0"/>
                  <w:marBottom w:val="0"/>
                  <w:divBdr>
                    <w:top w:val="none" w:sz="0" w:space="0" w:color="auto"/>
                    <w:left w:val="none" w:sz="0" w:space="0" w:color="auto"/>
                    <w:bottom w:val="single" w:sz="2" w:space="0" w:color="D6D6D6"/>
                    <w:right w:val="none" w:sz="0" w:space="0" w:color="auto"/>
                  </w:divBdr>
                </w:div>
                <w:div w:id="2009361633">
                  <w:marLeft w:val="0"/>
                  <w:marRight w:val="0"/>
                  <w:marTop w:val="0"/>
                  <w:marBottom w:val="0"/>
                  <w:divBdr>
                    <w:top w:val="none" w:sz="0" w:space="0" w:color="auto"/>
                    <w:left w:val="none" w:sz="0" w:space="0" w:color="auto"/>
                    <w:bottom w:val="single" w:sz="2" w:space="0" w:color="D6D6D6"/>
                    <w:right w:val="single" w:sz="2" w:space="2" w:color="D6D6D6"/>
                  </w:divBdr>
                </w:div>
              </w:divsChild>
            </w:div>
            <w:div w:id="1448739225">
              <w:marLeft w:val="0"/>
              <w:marRight w:val="0"/>
              <w:marTop w:val="0"/>
              <w:marBottom w:val="0"/>
              <w:divBdr>
                <w:top w:val="none" w:sz="0" w:space="0" w:color="auto"/>
                <w:left w:val="none" w:sz="0" w:space="0" w:color="auto"/>
                <w:bottom w:val="none" w:sz="0" w:space="0" w:color="auto"/>
                <w:right w:val="none" w:sz="0" w:space="0" w:color="auto"/>
              </w:divBdr>
              <w:divsChild>
                <w:div w:id="2125688137">
                  <w:marLeft w:val="0"/>
                  <w:marRight w:val="0"/>
                  <w:marTop w:val="0"/>
                  <w:marBottom w:val="0"/>
                  <w:divBdr>
                    <w:top w:val="none" w:sz="0" w:space="0" w:color="auto"/>
                    <w:left w:val="single" w:sz="2" w:space="2" w:color="D6D6D6"/>
                    <w:bottom w:val="single" w:sz="2" w:space="0" w:color="D6D6D6"/>
                    <w:right w:val="none" w:sz="0" w:space="0" w:color="auto"/>
                  </w:divBdr>
                </w:div>
                <w:div w:id="1050228102">
                  <w:marLeft w:val="0"/>
                  <w:marRight w:val="0"/>
                  <w:marTop w:val="0"/>
                  <w:marBottom w:val="0"/>
                  <w:divBdr>
                    <w:top w:val="none" w:sz="0" w:space="0" w:color="auto"/>
                    <w:left w:val="none" w:sz="0" w:space="0" w:color="auto"/>
                    <w:bottom w:val="single" w:sz="2" w:space="0" w:color="D6D6D6"/>
                    <w:right w:val="none" w:sz="0" w:space="0" w:color="auto"/>
                  </w:divBdr>
                  <w:divsChild>
                    <w:div w:id="1017118975">
                      <w:marLeft w:val="0"/>
                      <w:marRight w:val="0"/>
                      <w:marTop w:val="0"/>
                      <w:marBottom w:val="0"/>
                      <w:divBdr>
                        <w:top w:val="none" w:sz="0" w:space="0" w:color="auto"/>
                        <w:left w:val="none" w:sz="0" w:space="0" w:color="auto"/>
                        <w:bottom w:val="none" w:sz="0" w:space="0" w:color="auto"/>
                        <w:right w:val="none" w:sz="0" w:space="0" w:color="auto"/>
                      </w:divBdr>
                    </w:div>
                  </w:divsChild>
                </w:div>
                <w:div w:id="1844466308">
                  <w:marLeft w:val="0"/>
                  <w:marRight w:val="0"/>
                  <w:marTop w:val="0"/>
                  <w:marBottom w:val="0"/>
                  <w:divBdr>
                    <w:top w:val="none" w:sz="0" w:space="0" w:color="auto"/>
                    <w:left w:val="none" w:sz="0" w:space="0" w:color="auto"/>
                    <w:bottom w:val="single" w:sz="2" w:space="0" w:color="D6D6D6"/>
                    <w:right w:val="none" w:sz="0" w:space="0" w:color="auto"/>
                  </w:divBdr>
                </w:div>
                <w:div w:id="550653028">
                  <w:marLeft w:val="0"/>
                  <w:marRight w:val="0"/>
                  <w:marTop w:val="0"/>
                  <w:marBottom w:val="0"/>
                  <w:divBdr>
                    <w:top w:val="none" w:sz="0" w:space="0" w:color="auto"/>
                    <w:left w:val="none" w:sz="0" w:space="0" w:color="auto"/>
                    <w:bottom w:val="single" w:sz="2" w:space="0" w:color="D6D6D6"/>
                    <w:right w:val="none" w:sz="0" w:space="0" w:color="auto"/>
                  </w:divBdr>
                </w:div>
                <w:div w:id="1096948099">
                  <w:marLeft w:val="0"/>
                  <w:marRight w:val="0"/>
                  <w:marTop w:val="0"/>
                  <w:marBottom w:val="0"/>
                  <w:divBdr>
                    <w:top w:val="none" w:sz="0" w:space="0" w:color="auto"/>
                    <w:left w:val="none" w:sz="0" w:space="0" w:color="auto"/>
                    <w:bottom w:val="single" w:sz="2" w:space="0" w:color="D6D6D6"/>
                    <w:right w:val="none" w:sz="0" w:space="0" w:color="auto"/>
                  </w:divBdr>
                </w:div>
                <w:div w:id="1322346942">
                  <w:marLeft w:val="0"/>
                  <w:marRight w:val="0"/>
                  <w:marTop w:val="0"/>
                  <w:marBottom w:val="0"/>
                  <w:divBdr>
                    <w:top w:val="none" w:sz="0" w:space="0" w:color="auto"/>
                    <w:left w:val="none" w:sz="0" w:space="0" w:color="auto"/>
                    <w:bottom w:val="single" w:sz="2" w:space="0" w:color="D6D6D6"/>
                    <w:right w:val="single" w:sz="2" w:space="2" w:color="D6D6D6"/>
                  </w:divBdr>
                </w:div>
              </w:divsChild>
            </w:div>
            <w:div w:id="610554664">
              <w:marLeft w:val="0"/>
              <w:marRight w:val="0"/>
              <w:marTop w:val="0"/>
              <w:marBottom w:val="0"/>
              <w:divBdr>
                <w:top w:val="none" w:sz="0" w:space="0" w:color="auto"/>
                <w:left w:val="none" w:sz="0" w:space="0" w:color="auto"/>
                <w:bottom w:val="none" w:sz="0" w:space="0" w:color="auto"/>
                <w:right w:val="none" w:sz="0" w:space="0" w:color="auto"/>
              </w:divBdr>
              <w:divsChild>
                <w:div w:id="1097016537">
                  <w:marLeft w:val="0"/>
                  <w:marRight w:val="0"/>
                  <w:marTop w:val="0"/>
                  <w:marBottom w:val="0"/>
                  <w:divBdr>
                    <w:top w:val="none" w:sz="0" w:space="0" w:color="auto"/>
                    <w:left w:val="none" w:sz="0" w:space="0" w:color="auto"/>
                    <w:bottom w:val="none" w:sz="0" w:space="0" w:color="auto"/>
                    <w:right w:val="none" w:sz="0" w:space="0" w:color="auto"/>
                  </w:divBdr>
                </w:div>
              </w:divsChild>
            </w:div>
            <w:div w:id="1054281627">
              <w:marLeft w:val="0"/>
              <w:marRight w:val="0"/>
              <w:marTop w:val="0"/>
              <w:marBottom w:val="0"/>
              <w:divBdr>
                <w:top w:val="none" w:sz="0" w:space="0" w:color="auto"/>
                <w:left w:val="none" w:sz="0" w:space="0" w:color="auto"/>
                <w:bottom w:val="none" w:sz="0" w:space="0" w:color="auto"/>
                <w:right w:val="none" w:sz="0" w:space="0" w:color="auto"/>
              </w:divBdr>
              <w:divsChild>
                <w:div w:id="1241594759">
                  <w:marLeft w:val="0"/>
                  <w:marRight w:val="0"/>
                  <w:marTop w:val="0"/>
                  <w:marBottom w:val="0"/>
                  <w:divBdr>
                    <w:top w:val="none" w:sz="0" w:space="0" w:color="auto"/>
                    <w:left w:val="none" w:sz="0" w:space="0" w:color="auto"/>
                    <w:bottom w:val="none" w:sz="0" w:space="0" w:color="auto"/>
                    <w:right w:val="none" w:sz="0" w:space="0" w:color="auto"/>
                  </w:divBdr>
                </w:div>
                <w:div w:id="1353654021">
                  <w:marLeft w:val="0"/>
                  <w:marRight w:val="0"/>
                  <w:marTop w:val="0"/>
                  <w:marBottom w:val="0"/>
                  <w:divBdr>
                    <w:top w:val="none" w:sz="0" w:space="0" w:color="auto"/>
                    <w:left w:val="none" w:sz="0" w:space="0" w:color="auto"/>
                    <w:bottom w:val="none" w:sz="0" w:space="0" w:color="auto"/>
                    <w:right w:val="none" w:sz="0" w:space="0" w:color="auto"/>
                  </w:divBdr>
                </w:div>
                <w:div w:id="232467581">
                  <w:marLeft w:val="0"/>
                  <w:marRight w:val="0"/>
                  <w:marTop w:val="0"/>
                  <w:marBottom w:val="0"/>
                  <w:divBdr>
                    <w:top w:val="none" w:sz="0" w:space="0" w:color="auto"/>
                    <w:left w:val="none" w:sz="0" w:space="0" w:color="auto"/>
                    <w:bottom w:val="none" w:sz="0" w:space="0" w:color="auto"/>
                    <w:right w:val="none" w:sz="0" w:space="0" w:color="auto"/>
                  </w:divBdr>
                </w:div>
                <w:div w:id="1082995595">
                  <w:marLeft w:val="0"/>
                  <w:marRight w:val="0"/>
                  <w:marTop w:val="0"/>
                  <w:marBottom w:val="0"/>
                  <w:divBdr>
                    <w:top w:val="none" w:sz="0" w:space="0" w:color="auto"/>
                    <w:left w:val="none" w:sz="0" w:space="0" w:color="auto"/>
                    <w:bottom w:val="none" w:sz="0" w:space="0" w:color="auto"/>
                    <w:right w:val="none" w:sz="0" w:space="0" w:color="auto"/>
                  </w:divBdr>
                </w:div>
                <w:div w:id="1950047694">
                  <w:marLeft w:val="0"/>
                  <w:marRight w:val="0"/>
                  <w:marTop w:val="0"/>
                  <w:marBottom w:val="0"/>
                  <w:divBdr>
                    <w:top w:val="none" w:sz="0" w:space="0" w:color="auto"/>
                    <w:left w:val="none" w:sz="0" w:space="0" w:color="auto"/>
                    <w:bottom w:val="none" w:sz="0" w:space="0" w:color="auto"/>
                    <w:right w:val="none" w:sz="0" w:space="0" w:color="auto"/>
                  </w:divBdr>
                </w:div>
                <w:div w:id="989790283">
                  <w:marLeft w:val="0"/>
                  <w:marRight w:val="0"/>
                  <w:marTop w:val="0"/>
                  <w:marBottom w:val="0"/>
                  <w:divBdr>
                    <w:top w:val="none" w:sz="0" w:space="0" w:color="auto"/>
                    <w:left w:val="none" w:sz="0" w:space="0" w:color="auto"/>
                    <w:bottom w:val="none" w:sz="0" w:space="0" w:color="auto"/>
                    <w:right w:val="none" w:sz="0" w:space="0" w:color="auto"/>
                  </w:divBdr>
                </w:div>
              </w:divsChild>
            </w:div>
            <w:div w:id="1521968035">
              <w:marLeft w:val="0"/>
              <w:marRight w:val="0"/>
              <w:marTop w:val="0"/>
              <w:marBottom w:val="0"/>
              <w:divBdr>
                <w:top w:val="none" w:sz="0" w:space="0" w:color="auto"/>
                <w:left w:val="none" w:sz="0" w:space="0" w:color="auto"/>
                <w:bottom w:val="none" w:sz="0" w:space="0" w:color="auto"/>
                <w:right w:val="none" w:sz="0" w:space="0" w:color="auto"/>
              </w:divBdr>
              <w:divsChild>
                <w:div w:id="1036739680">
                  <w:marLeft w:val="0"/>
                  <w:marRight w:val="0"/>
                  <w:marTop w:val="0"/>
                  <w:marBottom w:val="0"/>
                  <w:divBdr>
                    <w:top w:val="none" w:sz="0" w:space="0" w:color="auto"/>
                    <w:left w:val="single" w:sz="2" w:space="2" w:color="D6D6D6"/>
                    <w:bottom w:val="single" w:sz="2" w:space="0" w:color="D6D6D6"/>
                    <w:right w:val="none" w:sz="0" w:space="0" w:color="auto"/>
                  </w:divBdr>
                </w:div>
                <w:div w:id="1661035315">
                  <w:marLeft w:val="0"/>
                  <w:marRight w:val="0"/>
                  <w:marTop w:val="0"/>
                  <w:marBottom w:val="0"/>
                  <w:divBdr>
                    <w:top w:val="none" w:sz="0" w:space="0" w:color="auto"/>
                    <w:left w:val="none" w:sz="0" w:space="0" w:color="auto"/>
                    <w:bottom w:val="single" w:sz="2" w:space="0" w:color="D6D6D6"/>
                    <w:right w:val="none" w:sz="0" w:space="0" w:color="auto"/>
                  </w:divBdr>
                  <w:divsChild>
                    <w:div w:id="1416052129">
                      <w:marLeft w:val="0"/>
                      <w:marRight w:val="0"/>
                      <w:marTop w:val="0"/>
                      <w:marBottom w:val="0"/>
                      <w:divBdr>
                        <w:top w:val="none" w:sz="0" w:space="0" w:color="auto"/>
                        <w:left w:val="none" w:sz="0" w:space="0" w:color="auto"/>
                        <w:bottom w:val="none" w:sz="0" w:space="0" w:color="auto"/>
                        <w:right w:val="none" w:sz="0" w:space="0" w:color="auto"/>
                      </w:divBdr>
                    </w:div>
                  </w:divsChild>
                </w:div>
                <w:div w:id="1240019620">
                  <w:marLeft w:val="0"/>
                  <w:marRight w:val="0"/>
                  <w:marTop w:val="0"/>
                  <w:marBottom w:val="0"/>
                  <w:divBdr>
                    <w:top w:val="none" w:sz="0" w:space="0" w:color="auto"/>
                    <w:left w:val="none" w:sz="0" w:space="0" w:color="auto"/>
                    <w:bottom w:val="single" w:sz="2" w:space="0" w:color="D6D6D6"/>
                    <w:right w:val="none" w:sz="0" w:space="0" w:color="auto"/>
                  </w:divBdr>
                </w:div>
                <w:div w:id="1560823642">
                  <w:marLeft w:val="0"/>
                  <w:marRight w:val="0"/>
                  <w:marTop w:val="0"/>
                  <w:marBottom w:val="0"/>
                  <w:divBdr>
                    <w:top w:val="none" w:sz="0" w:space="0" w:color="auto"/>
                    <w:left w:val="none" w:sz="0" w:space="0" w:color="auto"/>
                    <w:bottom w:val="single" w:sz="2" w:space="0" w:color="D6D6D6"/>
                    <w:right w:val="none" w:sz="0" w:space="0" w:color="auto"/>
                  </w:divBdr>
                </w:div>
                <w:div w:id="1810321498">
                  <w:marLeft w:val="0"/>
                  <w:marRight w:val="0"/>
                  <w:marTop w:val="0"/>
                  <w:marBottom w:val="0"/>
                  <w:divBdr>
                    <w:top w:val="none" w:sz="0" w:space="0" w:color="auto"/>
                    <w:left w:val="none" w:sz="0" w:space="0" w:color="auto"/>
                    <w:bottom w:val="single" w:sz="2" w:space="0" w:color="D6D6D6"/>
                    <w:right w:val="none" w:sz="0" w:space="0" w:color="auto"/>
                  </w:divBdr>
                </w:div>
                <w:div w:id="726760596">
                  <w:marLeft w:val="0"/>
                  <w:marRight w:val="0"/>
                  <w:marTop w:val="0"/>
                  <w:marBottom w:val="0"/>
                  <w:divBdr>
                    <w:top w:val="none" w:sz="0" w:space="0" w:color="auto"/>
                    <w:left w:val="none" w:sz="0" w:space="0" w:color="auto"/>
                    <w:bottom w:val="single" w:sz="2" w:space="0" w:color="D6D6D6"/>
                    <w:right w:val="single" w:sz="2" w:space="2" w:color="D6D6D6"/>
                  </w:divBdr>
                </w:div>
              </w:divsChild>
            </w:div>
            <w:div w:id="814834949">
              <w:marLeft w:val="0"/>
              <w:marRight w:val="0"/>
              <w:marTop w:val="0"/>
              <w:marBottom w:val="0"/>
              <w:divBdr>
                <w:top w:val="none" w:sz="0" w:space="0" w:color="auto"/>
                <w:left w:val="none" w:sz="0" w:space="0" w:color="auto"/>
                <w:bottom w:val="none" w:sz="0" w:space="0" w:color="auto"/>
                <w:right w:val="none" w:sz="0" w:space="0" w:color="auto"/>
              </w:divBdr>
              <w:divsChild>
                <w:div w:id="448355890">
                  <w:marLeft w:val="0"/>
                  <w:marRight w:val="0"/>
                  <w:marTop w:val="0"/>
                  <w:marBottom w:val="0"/>
                  <w:divBdr>
                    <w:top w:val="none" w:sz="0" w:space="0" w:color="auto"/>
                    <w:left w:val="single" w:sz="2" w:space="2" w:color="D6D6D6"/>
                    <w:bottom w:val="single" w:sz="2" w:space="0" w:color="D6D6D6"/>
                    <w:right w:val="none" w:sz="0" w:space="0" w:color="auto"/>
                  </w:divBdr>
                </w:div>
                <w:div w:id="339821682">
                  <w:marLeft w:val="0"/>
                  <w:marRight w:val="0"/>
                  <w:marTop w:val="0"/>
                  <w:marBottom w:val="0"/>
                  <w:divBdr>
                    <w:top w:val="none" w:sz="0" w:space="0" w:color="auto"/>
                    <w:left w:val="none" w:sz="0" w:space="0" w:color="auto"/>
                    <w:bottom w:val="single" w:sz="2" w:space="0" w:color="D6D6D6"/>
                    <w:right w:val="none" w:sz="0" w:space="0" w:color="auto"/>
                  </w:divBdr>
                  <w:divsChild>
                    <w:div w:id="989603443">
                      <w:marLeft w:val="0"/>
                      <w:marRight w:val="0"/>
                      <w:marTop w:val="0"/>
                      <w:marBottom w:val="0"/>
                      <w:divBdr>
                        <w:top w:val="none" w:sz="0" w:space="0" w:color="auto"/>
                        <w:left w:val="none" w:sz="0" w:space="0" w:color="auto"/>
                        <w:bottom w:val="none" w:sz="0" w:space="0" w:color="auto"/>
                        <w:right w:val="none" w:sz="0" w:space="0" w:color="auto"/>
                      </w:divBdr>
                    </w:div>
                  </w:divsChild>
                </w:div>
                <w:div w:id="1747410470">
                  <w:marLeft w:val="0"/>
                  <w:marRight w:val="0"/>
                  <w:marTop w:val="0"/>
                  <w:marBottom w:val="0"/>
                  <w:divBdr>
                    <w:top w:val="none" w:sz="0" w:space="0" w:color="auto"/>
                    <w:left w:val="none" w:sz="0" w:space="0" w:color="auto"/>
                    <w:bottom w:val="single" w:sz="2" w:space="0" w:color="D6D6D6"/>
                    <w:right w:val="none" w:sz="0" w:space="0" w:color="auto"/>
                  </w:divBdr>
                </w:div>
                <w:div w:id="2137143402">
                  <w:marLeft w:val="0"/>
                  <w:marRight w:val="0"/>
                  <w:marTop w:val="0"/>
                  <w:marBottom w:val="0"/>
                  <w:divBdr>
                    <w:top w:val="none" w:sz="0" w:space="0" w:color="auto"/>
                    <w:left w:val="none" w:sz="0" w:space="0" w:color="auto"/>
                    <w:bottom w:val="single" w:sz="2" w:space="0" w:color="D6D6D6"/>
                    <w:right w:val="none" w:sz="0" w:space="0" w:color="auto"/>
                  </w:divBdr>
                </w:div>
                <w:div w:id="1665283630">
                  <w:marLeft w:val="0"/>
                  <w:marRight w:val="0"/>
                  <w:marTop w:val="0"/>
                  <w:marBottom w:val="0"/>
                  <w:divBdr>
                    <w:top w:val="none" w:sz="0" w:space="0" w:color="auto"/>
                    <w:left w:val="none" w:sz="0" w:space="0" w:color="auto"/>
                    <w:bottom w:val="single" w:sz="2" w:space="0" w:color="D6D6D6"/>
                    <w:right w:val="none" w:sz="0" w:space="0" w:color="auto"/>
                  </w:divBdr>
                </w:div>
                <w:div w:id="281156681">
                  <w:marLeft w:val="0"/>
                  <w:marRight w:val="0"/>
                  <w:marTop w:val="0"/>
                  <w:marBottom w:val="0"/>
                  <w:divBdr>
                    <w:top w:val="none" w:sz="0" w:space="0" w:color="auto"/>
                    <w:left w:val="none" w:sz="0" w:space="0" w:color="auto"/>
                    <w:bottom w:val="single" w:sz="2" w:space="0" w:color="D6D6D6"/>
                    <w:right w:val="single" w:sz="2" w:space="2" w:color="D6D6D6"/>
                  </w:divBdr>
                </w:div>
              </w:divsChild>
            </w:div>
            <w:div w:id="368919831">
              <w:marLeft w:val="0"/>
              <w:marRight w:val="0"/>
              <w:marTop w:val="0"/>
              <w:marBottom w:val="0"/>
              <w:divBdr>
                <w:top w:val="none" w:sz="0" w:space="0" w:color="auto"/>
                <w:left w:val="none" w:sz="0" w:space="0" w:color="auto"/>
                <w:bottom w:val="none" w:sz="0" w:space="0" w:color="auto"/>
                <w:right w:val="none" w:sz="0" w:space="0" w:color="auto"/>
              </w:divBdr>
              <w:divsChild>
                <w:div w:id="465859188">
                  <w:marLeft w:val="0"/>
                  <w:marRight w:val="0"/>
                  <w:marTop w:val="0"/>
                  <w:marBottom w:val="0"/>
                  <w:divBdr>
                    <w:top w:val="none" w:sz="0" w:space="0" w:color="auto"/>
                    <w:left w:val="single" w:sz="2" w:space="2" w:color="D6D6D6"/>
                    <w:bottom w:val="single" w:sz="2" w:space="0" w:color="D6D6D6"/>
                    <w:right w:val="none" w:sz="0" w:space="0" w:color="auto"/>
                  </w:divBdr>
                </w:div>
                <w:div w:id="1499879060">
                  <w:marLeft w:val="0"/>
                  <w:marRight w:val="0"/>
                  <w:marTop w:val="0"/>
                  <w:marBottom w:val="0"/>
                  <w:divBdr>
                    <w:top w:val="none" w:sz="0" w:space="0" w:color="auto"/>
                    <w:left w:val="none" w:sz="0" w:space="0" w:color="auto"/>
                    <w:bottom w:val="single" w:sz="2" w:space="0" w:color="D6D6D6"/>
                    <w:right w:val="none" w:sz="0" w:space="0" w:color="auto"/>
                  </w:divBdr>
                  <w:divsChild>
                    <w:div w:id="1865317187">
                      <w:marLeft w:val="0"/>
                      <w:marRight w:val="0"/>
                      <w:marTop w:val="0"/>
                      <w:marBottom w:val="0"/>
                      <w:divBdr>
                        <w:top w:val="none" w:sz="0" w:space="0" w:color="auto"/>
                        <w:left w:val="none" w:sz="0" w:space="0" w:color="auto"/>
                        <w:bottom w:val="none" w:sz="0" w:space="0" w:color="auto"/>
                        <w:right w:val="none" w:sz="0" w:space="0" w:color="auto"/>
                      </w:divBdr>
                    </w:div>
                  </w:divsChild>
                </w:div>
                <w:div w:id="475489334">
                  <w:marLeft w:val="0"/>
                  <w:marRight w:val="0"/>
                  <w:marTop w:val="0"/>
                  <w:marBottom w:val="0"/>
                  <w:divBdr>
                    <w:top w:val="none" w:sz="0" w:space="0" w:color="auto"/>
                    <w:left w:val="none" w:sz="0" w:space="0" w:color="auto"/>
                    <w:bottom w:val="single" w:sz="2" w:space="0" w:color="D6D6D6"/>
                    <w:right w:val="none" w:sz="0" w:space="0" w:color="auto"/>
                  </w:divBdr>
                </w:div>
                <w:div w:id="513343498">
                  <w:marLeft w:val="0"/>
                  <w:marRight w:val="0"/>
                  <w:marTop w:val="0"/>
                  <w:marBottom w:val="0"/>
                  <w:divBdr>
                    <w:top w:val="none" w:sz="0" w:space="0" w:color="auto"/>
                    <w:left w:val="none" w:sz="0" w:space="0" w:color="auto"/>
                    <w:bottom w:val="single" w:sz="2" w:space="0" w:color="D6D6D6"/>
                    <w:right w:val="none" w:sz="0" w:space="0" w:color="auto"/>
                  </w:divBdr>
                </w:div>
                <w:div w:id="2117215882">
                  <w:marLeft w:val="0"/>
                  <w:marRight w:val="0"/>
                  <w:marTop w:val="0"/>
                  <w:marBottom w:val="0"/>
                  <w:divBdr>
                    <w:top w:val="none" w:sz="0" w:space="0" w:color="auto"/>
                    <w:left w:val="none" w:sz="0" w:space="0" w:color="auto"/>
                    <w:bottom w:val="single" w:sz="2" w:space="0" w:color="D6D6D6"/>
                    <w:right w:val="none" w:sz="0" w:space="0" w:color="auto"/>
                  </w:divBdr>
                </w:div>
                <w:div w:id="204105542">
                  <w:marLeft w:val="0"/>
                  <w:marRight w:val="0"/>
                  <w:marTop w:val="0"/>
                  <w:marBottom w:val="0"/>
                  <w:divBdr>
                    <w:top w:val="none" w:sz="0" w:space="0" w:color="auto"/>
                    <w:left w:val="none" w:sz="0" w:space="0" w:color="auto"/>
                    <w:bottom w:val="single" w:sz="2" w:space="0" w:color="D6D6D6"/>
                    <w:right w:val="single" w:sz="2" w:space="2" w:color="D6D6D6"/>
                  </w:divBdr>
                </w:div>
              </w:divsChild>
            </w:div>
            <w:div w:id="212233272">
              <w:marLeft w:val="0"/>
              <w:marRight w:val="0"/>
              <w:marTop w:val="0"/>
              <w:marBottom w:val="0"/>
              <w:divBdr>
                <w:top w:val="none" w:sz="0" w:space="0" w:color="auto"/>
                <w:left w:val="none" w:sz="0" w:space="0" w:color="auto"/>
                <w:bottom w:val="none" w:sz="0" w:space="0" w:color="auto"/>
                <w:right w:val="none" w:sz="0" w:space="0" w:color="auto"/>
              </w:divBdr>
              <w:divsChild>
                <w:div w:id="314841482">
                  <w:marLeft w:val="0"/>
                  <w:marRight w:val="0"/>
                  <w:marTop w:val="0"/>
                  <w:marBottom w:val="0"/>
                  <w:divBdr>
                    <w:top w:val="none" w:sz="0" w:space="0" w:color="auto"/>
                    <w:left w:val="single" w:sz="2" w:space="2" w:color="D6D6D6"/>
                    <w:bottom w:val="single" w:sz="2" w:space="0" w:color="D6D6D6"/>
                    <w:right w:val="none" w:sz="0" w:space="0" w:color="auto"/>
                  </w:divBdr>
                </w:div>
                <w:div w:id="1408921056">
                  <w:marLeft w:val="0"/>
                  <w:marRight w:val="0"/>
                  <w:marTop w:val="0"/>
                  <w:marBottom w:val="0"/>
                  <w:divBdr>
                    <w:top w:val="none" w:sz="0" w:space="0" w:color="auto"/>
                    <w:left w:val="none" w:sz="0" w:space="0" w:color="auto"/>
                    <w:bottom w:val="single" w:sz="2" w:space="0" w:color="D6D6D6"/>
                    <w:right w:val="none" w:sz="0" w:space="0" w:color="auto"/>
                  </w:divBdr>
                  <w:divsChild>
                    <w:div w:id="1658145245">
                      <w:marLeft w:val="0"/>
                      <w:marRight w:val="0"/>
                      <w:marTop w:val="0"/>
                      <w:marBottom w:val="0"/>
                      <w:divBdr>
                        <w:top w:val="none" w:sz="0" w:space="0" w:color="auto"/>
                        <w:left w:val="none" w:sz="0" w:space="0" w:color="auto"/>
                        <w:bottom w:val="none" w:sz="0" w:space="0" w:color="auto"/>
                        <w:right w:val="none" w:sz="0" w:space="0" w:color="auto"/>
                      </w:divBdr>
                    </w:div>
                  </w:divsChild>
                </w:div>
                <w:div w:id="1624268595">
                  <w:marLeft w:val="0"/>
                  <w:marRight w:val="0"/>
                  <w:marTop w:val="0"/>
                  <w:marBottom w:val="0"/>
                  <w:divBdr>
                    <w:top w:val="none" w:sz="0" w:space="0" w:color="auto"/>
                    <w:left w:val="none" w:sz="0" w:space="0" w:color="auto"/>
                    <w:bottom w:val="single" w:sz="2" w:space="0" w:color="D6D6D6"/>
                    <w:right w:val="none" w:sz="0" w:space="0" w:color="auto"/>
                  </w:divBdr>
                </w:div>
                <w:div w:id="1351296158">
                  <w:marLeft w:val="0"/>
                  <w:marRight w:val="0"/>
                  <w:marTop w:val="0"/>
                  <w:marBottom w:val="0"/>
                  <w:divBdr>
                    <w:top w:val="none" w:sz="0" w:space="0" w:color="auto"/>
                    <w:left w:val="none" w:sz="0" w:space="0" w:color="auto"/>
                    <w:bottom w:val="single" w:sz="2" w:space="0" w:color="D6D6D6"/>
                    <w:right w:val="none" w:sz="0" w:space="0" w:color="auto"/>
                  </w:divBdr>
                </w:div>
                <w:div w:id="1478112861">
                  <w:marLeft w:val="0"/>
                  <w:marRight w:val="0"/>
                  <w:marTop w:val="0"/>
                  <w:marBottom w:val="0"/>
                  <w:divBdr>
                    <w:top w:val="none" w:sz="0" w:space="0" w:color="auto"/>
                    <w:left w:val="none" w:sz="0" w:space="0" w:color="auto"/>
                    <w:bottom w:val="single" w:sz="2" w:space="0" w:color="D6D6D6"/>
                    <w:right w:val="none" w:sz="0" w:space="0" w:color="auto"/>
                  </w:divBdr>
                </w:div>
                <w:div w:id="676882670">
                  <w:marLeft w:val="0"/>
                  <w:marRight w:val="0"/>
                  <w:marTop w:val="0"/>
                  <w:marBottom w:val="0"/>
                  <w:divBdr>
                    <w:top w:val="none" w:sz="0" w:space="0" w:color="auto"/>
                    <w:left w:val="none" w:sz="0" w:space="0" w:color="auto"/>
                    <w:bottom w:val="single" w:sz="2" w:space="0" w:color="D6D6D6"/>
                    <w:right w:val="single" w:sz="2" w:space="2" w:color="D6D6D6"/>
                  </w:divBdr>
                </w:div>
              </w:divsChild>
            </w:div>
            <w:div w:id="1594707718">
              <w:marLeft w:val="0"/>
              <w:marRight w:val="0"/>
              <w:marTop w:val="0"/>
              <w:marBottom w:val="0"/>
              <w:divBdr>
                <w:top w:val="none" w:sz="0" w:space="0" w:color="auto"/>
                <w:left w:val="none" w:sz="0" w:space="0" w:color="auto"/>
                <w:bottom w:val="none" w:sz="0" w:space="0" w:color="auto"/>
                <w:right w:val="none" w:sz="0" w:space="0" w:color="auto"/>
              </w:divBdr>
              <w:divsChild>
                <w:div w:id="1475297757">
                  <w:marLeft w:val="0"/>
                  <w:marRight w:val="0"/>
                  <w:marTop w:val="0"/>
                  <w:marBottom w:val="0"/>
                  <w:divBdr>
                    <w:top w:val="none" w:sz="0" w:space="0" w:color="auto"/>
                    <w:left w:val="single" w:sz="2" w:space="2" w:color="D6D6D6"/>
                    <w:bottom w:val="single" w:sz="2" w:space="0" w:color="D6D6D6"/>
                    <w:right w:val="none" w:sz="0" w:space="0" w:color="auto"/>
                  </w:divBdr>
                </w:div>
                <w:div w:id="747849919">
                  <w:marLeft w:val="0"/>
                  <w:marRight w:val="0"/>
                  <w:marTop w:val="0"/>
                  <w:marBottom w:val="0"/>
                  <w:divBdr>
                    <w:top w:val="none" w:sz="0" w:space="0" w:color="auto"/>
                    <w:left w:val="none" w:sz="0" w:space="0" w:color="auto"/>
                    <w:bottom w:val="single" w:sz="2" w:space="0" w:color="D6D6D6"/>
                    <w:right w:val="none" w:sz="0" w:space="0" w:color="auto"/>
                  </w:divBdr>
                  <w:divsChild>
                    <w:div w:id="1584952796">
                      <w:marLeft w:val="0"/>
                      <w:marRight w:val="0"/>
                      <w:marTop w:val="0"/>
                      <w:marBottom w:val="0"/>
                      <w:divBdr>
                        <w:top w:val="none" w:sz="0" w:space="0" w:color="auto"/>
                        <w:left w:val="none" w:sz="0" w:space="0" w:color="auto"/>
                        <w:bottom w:val="none" w:sz="0" w:space="0" w:color="auto"/>
                        <w:right w:val="none" w:sz="0" w:space="0" w:color="auto"/>
                      </w:divBdr>
                    </w:div>
                  </w:divsChild>
                </w:div>
                <w:div w:id="1822968114">
                  <w:marLeft w:val="0"/>
                  <w:marRight w:val="0"/>
                  <w:marTop w:val="0"/>
                  <w:marBottom w:val="0"/>
                  <w:divBdr>
                    <w:top w:val="none" w:sz="0" w:space="0" w:color="auto"/>
                    <w:left w:val="none" w:sz="0" w:space="0" w:color="auto"/>
                    <w:bottom w:val="single" w:sz="2" w:space="0" w:color="D6D6D6"/>
                    <w:right w:val="none" w:sz="0" w:space="0" w:color="auto"/>
                  </w:divBdr>
                </w:div>
                <w:div w:id="458451910">
                  <w:marLeft w:val="0"/>
                  <w:marRight w:val="0"/>
                  <w:marTop w:val="0"/>
                  <w:marBottom w:val="0"/>
                  <w:divBdr>
                    <w:top w:val="none" w:sz="0" w:space="0" w:color="auto"/>
                    <w:left w:val="none" w:sz="0" w:space="0" w:color="auto"/>
                    <w:bottom w:val="single" w:sz="2" w:space="0" w:color="D6D6D6"/>
                    <w:right w:val="none" w:sz="0" w:space="0" w:color="auto"/>
                  </w:divBdr>
                </w:div>
                <w:div w:id="835992955">
                  <w:marLeft w:val="0"/>
                  <w:marRight w:val="0"/>
                  <w:marTop w:val="0"/>
                  <w:marBottom w:val="0"/>
                  <w:divBdr>
                    <w:top w:val="none" w:sz="0" w:space="0" w:color="auto"/>
                    <w:left w:val="none" w:sz="0" w:space="0" w:color="auto"/>
                    <w:bottom w:val="single" w:sz="2" w:space="0" w:color="D6D6D6"/>
                    <w:right w:val="none" w:sz="0" w:space="0" w:color="auto"/>
                  </w:divBdr>
                </w:div>
                <w:div w:id="806700977">
                  <w:marLeft w:val="0"/>
                  <w:marRight w:val="0"/>
                  <w:marTop w:val="0"/>
                  <w:marBottom w:val="0"/>
                  <w:divBdr>
                    <w:top w:val="none" w:sz="0" w:space="0" w:color="auto"/>
                    <w:left w:val="none" w:sz="0" w:space="0" w:color="auto"/>
                    <w:bottom w:val="single" w:sz="2" w:space="0" w:color="D6D6D6"/>
                    <w:right w:val="single" w:sz="2" w:space="2" w:color="D6D6D6"/>
                  </w:divBdr>
                </w:div>
              </w:divsChild>
            </w:div>
            <w:div w:id="206718095">
              <w:marLeft w:val="0"/>
              <w:marRight w:val="0"/>
              <w:marTop w:val="0"/>
              <w:marBottom w:val="0"/>
              <w:divBdr>
                <w:top w:val="none" w:sz="0" w:space="0" w:color="auto"/>
                <w:left w:val="none" w:sz="0" w:space="0" w:color="auto"/>
                <w:bottom w:val="none" w:sz="0" w:space="0" w:color="auto"/>
                <w:right w:val="none" w:sz="0" w:space="0" w:color="auto"/>
              </w:divBdr>
              <w:divsChild>
                <w:div w:id="684016181">
                  <w:marLeft w:val="0"/>
                  <w:marRight w:val="0"/>
                  <w:marTop w:val="0"/>
                  <w:marBottom w:val="0"/>
                  <w:divBdr>
                    <w:top w:val="none" w:sz="0" w:space="0" w:color="auto"/>
                    <w:left w:val="none" w:sz="0" w:space="0" w:color="auto"/>
                    <w:bottom w:val="none" w:sz="0" w:space="0" w:color="auto"/>
                    <w:right w:val="none" w:sz="0" w:space="0" w:color="auto"/>
                  </w:divBdr>
                </w:div>
              </w:divsChild>
            </w:div>
            <w:div w:id="1481534960">
              <w:marLeft w:val="0"/>
              <w:marRight w:val="0"/>
              <w:marTop w:val="0"/>
              <w:marBottom w:val="0"/>
              <w:divBdr>
                <w:top w:val="none" w:sz="0" w:space="0" w:color="auto"/>
                <w:left w:val="none" w:sz="0" w:space="0" w:color="auto"/>
                <w:bottom w:val="none" w:sz="0" w:space="0" w:color="auto"/>
                <w:right w:val="none" w:sz="0" w:space="0" w:color="auto"/>
              </w:divBdr>
              <w:divsChild>
                <w:div w:id="886768562">
                  <w:marLeft w:val="0"/>
                  <w:marRight w:val="0"/>
                  <w:marTop w:val="0"/>
                  <w:marBottom w:val="0"/>
                  <w:divBdr>
                    <w:top w:val="none" w:sz="0" w:space="0" w:color="auto"/>
                    <w:left w:val="none" w:sz="0" w:space="0" w:color="auto"/>
                    <w:bottom w:val="none" w:sz="0" w:space="0" w:color="auto"/>
                    <w:right w:val="none" w:sz="0" w:space="0" w:color="auto"/>
                  </w:divBdr>
                </w:div>
                <w:div w:id="1035423355">
                  <w:marLeft w:val="0"/>
                  <w:marRight w:val="0"/>
                  <w:marTop w:val="0"/>
                  <w:marBottom w:val="0"/>
                  <w:divBdr>
                    <w:top w:val="none" w:sz="0" w:space="0" w:color="auto"/>
                    <w:left w:val="none" w:sz="0" w:space="0" w:color="auto"/>
                    <w:bottom w:val="none" w:sz="0" w:space="0" w:color="auto"/>
                    <w:right w:val="none" w:sz="0" w:space="0" w:color="auto"/>
                  </w:divBdr>
                </w:div>
                <w:div w:id="1830562677">
                  <w:marLeft w:val="0"/>
                  <w:marRight w:val="0"/>
                  <w:marTop w:val="0"/>
                  <w:marBottom w:val="0"/>
                  <w:divBdr>
                    <w:top w:val="none" w:sz="0" w:space="0" w:color="auto"/>
                    <w:left w:val="none" w:sz="0" w:space="0" w:color="auto"/>
                    <w:bottom w:val="none" w:sz="0" w:space="0" w:color="auto"/>
                    <w:right w:val="none" w:sz="0" w:space="0" w:color="auto"/>
                  </w:divBdr>
                </w:div>
                <w:div w:id="1319266548">
                  <w:marLeft w:val="0"/>
                  <w:marRight w:val="0"/>
                  <w:marTop w:val="0"/>
                  <w:marBottom w:val="0"/>
                  <w:divBdr>
                    <w:top w:val="none" w:sz="0" w:space="0" w:color="auto"/>
                    <w:left w:val="none" w:sz="0" w:space="0" w:color="auto"/>
                    <w:bottom w:val="none" w:sz="0" w:space="0" w:color="auto"/>
                    <w:right w:val="none" w:sz="0" w:space="0" w:color="auto"/>
                  </w:divBdr>
                </w:div>
                <w:div w:id="1862741841">
                  <w:marLeft w:val="0"/>
                  <w:marRight w:val="0"/>
                  <w:marTop w:val="0"/>
                  <w:marBottom w:val="0"/>
                  <w:divBdr>
                    <w:top w:val="none" w:sz="0" w:space="0" w:color="auto"/>
                    <w:left w:val="none" w:sz="0" w:space="0" w:color="auto"/>
                    <w:bottom w:val="none" w:sz="0" w:space="0" w:color="auto"/>
                    <w:right w:val="none" w:sz="0" w:space="0" w:color="auto"/>
                  </w:divBdr>
                </w:div>
                <w:div w:id="1417901096">
                  <w:marLeft w:val="0"/>
                  <w:marRight w:val="0"/>
                  <w:marTop w:val="0"/>
                  <w:marBottom w:val="0"/>
                  <w:divBdr>
                    <w:top w:val="none" w:sz="0" w:space="0" w:color="auto"/>
                    <w:left w:val="none" w:sz="0" w:space="0" w:color="auto"/>
                    <w:bottom w:val="none" w:sz="0" w:space="0" w:color="auto"/>
                    <w:right w:val="none" w:sz="0" w:space="0" w:color="auto"/>
                  </w:divBdr>
                </w:div>
              </w:divsChild>
            </w:div>
            <w:div w:id="339703951">
              <w:marLeft w:val="0"/>
              <w:marRight w:val="0"/>
              <w:marTop w:val="0"/>
              <w:marBottom w:val="0"/>
              <w:divBdr>
                <w:top w:val="none" w:sz="0" w:space="0" w:color="auto"/>
                <w:left w:val="none" w:sz="0" w:space="0" w:color="auto"/>
                <w:bottom w:val="none" w:sz="0" w:space="0" w:color="auto"/>
                <w:right w:val="none" w:sz="0" w:space="0" w:color="auto"/>
              </w:divBdr>
              <w:divsChild>
                <w:div w:id="992299631">
                  <w:marLeft w:val="0"/>
                  <w:marRight w:val="0"/>
                  <w:marTop w:val="0"/>
                  <w:marBottom w:val="0"/>
                  <w:divBdr>
                    <w:top w:val="none" w:sz="0" w:space="0" w:color="auto"/>
                    <w:left w:val="single" w:sz="2" w:space="2" w:color="D6D6D6"/>
                    <w:bottom w:val="single" w:sz="2" w:space="0" w:color="D6D6D6"/>
                    <w:right w:val="none" w:sz="0" w:space="0" w:color="auto"/>
                  </w:divBdr>
                </w:div>
                <w:div w:id="792165011">
                  <w:marLeft w:val="0"/>
                  <w:marRight w:val="0"/>
                  <w:marTop w:val="0"/>
                  <w:marBottom w:val="0"/>
                  <w:divBdr>
                    <w:top w:val="none" w:sz="0" w:space="0" w:color="auto"/>
                    <w:left w:val="none" w:sz="0" w:space="0" w:color="auto"/>
                    <w:bottom w:val="single" w:sz="2" w:space="0" w:color="D6D6D6"/>
                    <w:right w:val="none" w:sz="0" w:space="0" w:color="auto"/>
                  </w:divBdr>
                  <w:divsChild>
                    <w:div w:id="753553878">
                      <w:marLeft w:val="0"/>
                      <w:marRight w:val="0"/>
                      <w:marTop w:val="0"/>
                      <w:marBottom w:val="0"/>
                      <w:divBdr>
                        <w:top w:val="none" w:sz="0" w:space="0" w:color="auto"/>
                        <w:left w:val="none" w:sz="0" w:space="0" w:color="auto"/>
                        <w:bottom w:val="none" w:sz="0" w:space="0" w:color="auto"/>
                        <w:right w:val="none" w:sz="0" w:space="0" w:color="auto"/>
                      </w:divBdr>
                    </w:div>
                  </w:divsChild>
                </w:div>
                <w:div w:id="112099137">
                  <w:marLeft w:val="0"/>
                  <w:marRight w:val="0"/>
                  <w:marTop w:val="0"/>
                  <w:marBottom w:val="0"/>
                  <w:divBdr>
                    <w:top w:val="none" w:sz="0" w:space="0" w:color="auto"/>
                    <w:left w:val="none" w:sz="0" w:space="0" w:color="auto"/>
                    <w:bottom w:val="single" w:sz="2" w:space="0" w:color="D6D6D6"/>
                    <w:right w:val="none" w:sz="0" w:space="0" w:color="auto"/>
                  </w:divBdr>
                </w:div>
                <w:div w:id="36662703">
                  <w:marLeft w:val="0"/>
                  <w:marRight w:val="0"/>
                  <w:marTop w:val="0"/>
                  <w:marBottom w:val="0"/>
                  <w:divBdr>
                    <w:top w:val="none" w:sz="0" w:space="0" w:color="auto"/>
                    <w:left w:val="none" w:sz="0" w:space="0" w:color="auto"/>
                    <w:bottom w:val="single" w:sz="2" w:space="0" w:color="D6D6D6"/>
                    <w:right w:val="none" w:sz="0" w:space="0" w:color="auto"/>
                  </w:divBdr>
                </w:div>
                <w:div w:id="2123726549">
                  <w:marLeft w:val="0"/>
                  <w:marRight w:val="0"/>
                  <w:marTop w:val="0"/>
                  <w:marBottom w:val="0"/>
                  <w:divBdr>
                    <w:top w:val="none" w:sz="0" w:space="0" w:color="auto"/>
                    <w:left w:val="none" w:sz="0" w:space="0" w:color="auto"/>
                    <w:bottom w:val="single" w:sz="2" w:space="0" w:color="D6D6D6"/>
                    <w:right w:val="none" w:sz="0" w:space="0" w:color="auto"/>
                  </w:divBdr>
                </w:div>
                <w:div w:id="1583834793">
                  <w:marLeft w:val="0"/>
                  <w:marRight w:val="0"/>
                  <w:marTop w:val="0"/>
                  <w:marBottom w:val="0"/>
                  <w:divBdr>
                    <w:top w:val="none" w:sz="0" w:space="0" w:color="auto"/>
                    <w:left w:val="none" w:sz="0" w:space="0" w:color="auto"/>
                    <w:bottom w:val="single" w:sz="2" w:space="0" w:color="D6D6D6"/>
                    <w:right w:val="single" w:sz="2" w:space="2" w:color="D6D6D6"/>
                  </w:divBdr>
                </w:div>
              </w:divsChild>
            </w:div>
            <w:div w:id="1607998496">
              <w:marLeft w:val="0"/>
              <w:marRight w:val="0"/>
              <w:marTop w:val="0"/>
              <w:marBottom w:val="0"/>
              <w:divBdr>
                <w:top w:val="none" w:sz="0" w:space="0" w:color="auto"/>
                <w:left w:val="none" w:sz="0" w:space="0" w:color="auto"/>
                <w:bottom w:val="none" w:sz="0" w:space="0" w:color="auto"/>
                <w:right w:val="none" w:sz="0" w:space="0" w:color="auto"/>
              </w:divBdr>
              <w:divsChild>
                <w:div w:id="663552474">
                  <w:marLeft w:val="0"/>
                  <w:marRight w:val="0"/>
                  <w:marTop w:val="0"/>
                  <w:marBottom w:val="0"/>
                  <w:divBdr>
                    <w:top w:val="none" w:sz="0" w:space="0" w:color="auto"/>
                    <w:left w:val="single" w:sz="2" w:space="2" w:color="D6D6D6"/>
                    <w:bottom w:val="single" w:sz="2" w:space="0" w:color="D6D6D6"/>
                    <w:right w:val="none" w:sz="0" w:space="0" w:color="auto"/>
                  </w:divBdr>
                </w:div>
                <w:div w:id="625625950">
                  <w:marLeft w:val="0"/>
                  <w:marRight w:val="0"/>
                  <w:marTop w:val="0"/>
                  <w:marBottom w:val="0"/>
                  <w:divBdr>
                    <w:top w:val="none" w:sz="0" w:space="0" w:color="auto"/>
                    <w:left w:val="none" w:sz="0" w:space="0" w:color="auto"/>
                    <w:bottom w:val="single" w:sz="2" w:space="0" w:color="D6D6D6"/>
                    <w:right w:val="none" w:sz="0" w:space="0" w:color="auto"/>
                  </w:divBdr>
                  <w:divsChild>
                    <w:div w:id="300841713">
                      <w:marLeft w:val="0"/>
                      <w:marRight w:val="0"/>
                      <w:marTop w:val="0"/>
                      <w:marBottom w:val="0"/>
                      <w:divBdr>
                        <w:top w:val="none" w:sz="0" w:space="0" w:color="auto"/>
                        <w:left w:val="none" w:sz="0" w:space="0" w:color="auto"/>
                        <w:bottom w:val="none" w:sz="0" w:space="0" w:color="auto"/>
                        <w:right w:val="none" w:sz="0" w:space="0" w:color="auto"/>
                      </w:divBdr>
                    </w:div>
                  </w:divsChild>
                </w:div>
                <w:div w:id="2071535348">
                  <w:marLeft w:val="0"/>
                  <w:marRight w:val="0"/>
                  <w:marTop w:val="0"/>
                  <w:marBottom w:val="0"/>
                  <w:divBdr>
                    <w:top w:val="none" w:sz="0" w:space="0" w:color="auto"/>
                    <w:left w:val="none" w:sz="0" w:space="0" w:color="auto"/>
                    <w:bottom w:val="single" w:sz="2" w:space="0" w:color="D6D6D6"/>
                    <w:right w:val="none" w:sz="0" w:space="0" w:color="auto"/>
                  </w:divBdr>
                </w:div>
                <w:div w:id="118764809">
                  <w:marLeft w:val="0"/>
                  <w:marRight w:val="0"/>
                  <w:marTop w:val="0"/>
                  <w:marBottom w:val="0"/>
                  <w:divBdr>
                    <w:top w:val="none" w:sz="0" w:space="0" w:color="auto"/>
                    <w:left w:val="none" w:sz="0" w:space="0" w:color="auto"/>
                    <w:bottom w:val="single" w:sz="2" w:space="0" w:color="D6D6D6"/>
                    <w:right w:val="none" w:sz="0" w:space="0" w:color="auto"/>
                  </w:divBdr>
                </w:div>
                <w:div w:id="691803617">
                  <w:marLeft w:val="0"/>
                  <w:marRight w:val="0"/>
                  <w:marTop w:val="0"/>
                  <w:marBottom w:val="0"/>
                  <w:divBdr>
                    <w:top w:val="none" w:sz="0" w:space="0" w:color="auto"/>
                    <w:left w:val="none" w:sz="0" w:space="0" w:color="auto"/>
                    <w:bottom w:val="single" w:sz="2" w:space="0" w:color="D6D6D6"/>
                    <w:right w:val="none" w:sz="0" w:space="0" w:color="auto"/>
                  </w:divBdr>
                </w:div>
                <w:div w:id="1788889619">
                  <w:marLeft w:val="0"/>
                  <w:marRight w:val="0"/>
                  <w:marTop w:val="0"/>
                  <w:marBottom w:val="0"/>
                  <w:divBdr>
                    <w:top w:val="none" w:sz="0" w:space="0" w:color="auto"/>
                    <w:left w:val="none" w:sz="0" w:space="0" w:color="auto"/>
                    <w:bottom w:val="single" w:sz="2" w:space="0" w:color="D6D6D6"/>
                    <w:right w:val="single" w:sz="2" w:space="2" w:color="D6D6D6"/>
                  </w:divBdr>
                </w:div>
              </w:divsChild>
            </w:div>
            <w:div w:id="429204148">
              <w:marLeft w:val="0"/>
              <w:marRight w:val="0"/>
              <w:marTop w:val="0"/>
              <w:marBottom w:val="0"/>
              <w:divBdr>
                <w:top w:val="none" w:sz="0" w:space="0" w:color="auto"/>
                <w:left w:val="none" w:sz="0" w:space="0" w:color="auto"/>
                <w:bottom w:val="none" w:sz="0" w:space="0" w:color="auto"/>
                <w:right w:val="none" w:sz="0" w:space="0" w:color="auto"/>
              </w:divBdr>
              <w:divsChild>
                <w:div w:id="2120178644">
                  <w:marLeft w:val="0"/>
                  <w:marRight w:val="0"/>
                  <w:marTop w:val="0"/>
                  <w:marBottom w:val="0"/>
                  <w:divBdr>
                    <w:top w:val="none" w:sz="0" w:space="0" w:color="auto"/>
                    <w:left w:val="single" w:sz="2" w:space="2" w:color="D6D6D6"/>
                    <w:bottom w:val="single" w:sz="2" w:space="0" w:color="D6D6D6"/>
                    <w:right w:val="none" w:sz="0" w:space="0" w:color="auto"/>
                  </w:divBdr>
                </w:div>
                <w:div w:id="1587691507">
                  <w:marLeft w:val="0"/>
                  <w:marRight w:val="0"/>
                  <w:marTop w:val="0"/>
                  <w:marBottom w:val="0"/>
                  <w:divBdr>
                    <w:top w:val="none" w:sz="0" w:space="0" w:color="auto"/>
                    <w:left w:val="none" w:sz="0" w:space="0" w:color="auto"/>
                    <w:bottom w:val="single" w:sz="2" w:space="0" w:color="D6D6D6"/>
                    <w:right w:val="none" w:sz="0" w:space="0" w:color="auto"/>
                  </w:divBdr>
                  <w:divsChild>
                    <w:div w:id="1725061792">
                      <w:marLeft w:val="0"/>
                      <w:marRight w:val="0"/>
                      <w:marTop w:val="0"/>
                      <w:marBottom w:val="0"/>
                      <w:divBdr>
                        <w:top w:val="none" w:sz="0" w:space="0" w:color="auto"/>
                        <w:left w:val="none" w:sz="0" w:space="0" w:color="auto"/>
                        <w:bottom w:val="none" w:sz="0" w:space="0" w:color="auto"/>
                        <w:right w:val="none" w:sz="0" w:space="0" w:color="auto"/>
                      </w:divBdr>
                    </w:div>
                  </w:divsChild>
                </w:div>
                <w:div w:id="1904363880">
                  <w:marLeft w:val="0"/>
                  <w:marRight w:val="0"/>
                  <w:marTop w:val="0"/>
                  <w:marBottom w:val="0"/>
                  <w:divBdr>
                    <w:top w:val="none" w:sz="0" w:space="0" w:color="auto"/>
                    <w:left w:val="none" w:sz="0" w:space="0" w:color="auto"/>
                    <w:bottom w:val="single" w:sz="2" w:space="0" w:color="D6D6D6"/>
                    <w:right w:val="none" w:sz="0" w:space="0" w:color="auto"/>
                  </w:divBdr>
                </w:div>
                <w:div w:id="1101605076">
                  <w:marLeft w:val="0"/>
                  <w:marRight w:val="0"/>
                  <w:marTop w:val="0"/>
                  <w:marBottom w:val="0"/>
                  <w:divBdr>
                    <w:top w:val="none" w:sz="0" w:space="0" w:color="auto"/>
                    <w:left w:val="none" w:sz="0" w:space="0" w:color="auto"/>
                    <w:bottom w:val="single" w:sz="2" w:space="0" w:color="D6D6D6"/>
                    <w:right w:val="none" w:sz="0" w:space="0" w:color="auto"/>
                  </w:divBdr>
                </w:div>
                <w:div w:id="1731150990">
                  <w:marLeft w:val="0"/>
                  <w:marRight w:val="0"/>
                  <w:marTop w:val="0"/>
                  <w:marBottom w:val="0"/>
                  <w:divBdr>
                    <w:top w:val="none" w:sz="0" w:space="0" w:color="auto"/>
                    <w:left w:val="none" w:sz="0" w:space="0" w:color="auto"/>
                    <w:bottom w:val="single" w:sz="2" w:space="0" w:color="D6D6D6"/>
                    <w:right w:val="none" w:sz="0" w:space="0" w:color="auto"/>
                  </w:divBdr>
                </w:div>
                <w:div w:id="459567780">
                  <w:marLeft w:val="0"/>
                  <w:marRight w:val="0"/>
                  <w:marTop w:val="0"/>
                  <w:marBottom w:val="0"/>
                  <w:divBdr>
                    <w:top w:val="none" w:sz="0" w:space="0" w:color="auto"/>
                    <w:left w:val="none" w:sz="0" w:space="0" w:color="auto"/>
                    <w:bottom w:val="single" w:sz="2" w:space="0" w:color="D6D6D6"/>
                    <w:right w:val="single" w:sz="2" w:space="2" w:color="D6D6D6"/>
                  </w:divBdr>
                </w:div>
              </w:divsChild>
            </w:div>
            <w:div w:id="682317071">
              <w:marLeft w:val="0"/>
              <w:marRight w:val="0"/>
              <w:marTop w:val="0"/>
              <w:marBottom w:val="0"/>
              <w:divBdr>
                <w:top w:val="none" w:sz="0" w:space="0" w:color="auto"/>
                <w:left w:val="none" w:sz="0" w:space="0" w:color="auto"/>
                <w:bottom w:val="none" w:sz="0" w:space="0" w:color="auto"/>
                <w:right w:val="none" w:sz="0" w:space="0" w:color="auto"/>
              </w:divBdr>
              <w:divsChild>
                <w:div w:id="1432630352">
                  <w:marLeft w:val="0"/>
                  <w:marRight w:val="0"/>
                  <w:marTop w:val="0"/>
                  <w:marBottom w:val="0"/>
                  <w:divBdr>
                    <w:top w:val="none" w:sz="0" w:space="0" w:color="auto"/>
                    <w:left w:val="single" w:sz="2" w:space="2" w:color="D6D6D6"/>
                    <w:bottom w:val="single" w:sz="2" w:space="0" w:color="D6D6D6"/>
                    <w:right w:val="none" w:sz="0" w:space="0" w:color="auto"/>
                  </w:divBdr>
                </w:div>
                <w:div w:id="1115364852">
                  <w:marLeft w:val="0"/>
                  <w:marRight w:val="0"/>
                  <w:marTop w:val="0"/>
                  <w:marBottom w:val="0"/>
                  <w:divBdr>
                    <w:top w:val="none" w:sz="0" w:space="0" w:color="auto"/>
                    <w:left w:val="none" w:sz="0" w:space="0" w:color="auto"/>
                    <w:bottom w:val="single" w:sz="2" w:space="0" w:color="D6D6D6"/>
                    <w:right w:val="none" w:sz="0" w:space="0" w:color="auto"/>
                  </w:divBdr>
                  <w:divsChild>
                    <w:div w:id="2146124279">
                      <w:marLeft w:val="0"/>
                      <w:marRight w:val="0"/>
                      <w:marTop w:val="0"/>
                      <w:marBottom w:val="0"/>
                      <w:divBdr>
                        <w:top w:val="none" w:sz="0" w:space="0" w:color="auto"/>
                        <w:left w:val="none" w:sz="0" w:space="0" w:color="auto"/>
                        <w:bottom w:val="none" w:sz="0" w:space="0" w:color="auto"/>
                        <w:right w:val="none" w:sz="0" w:space="0" w:color="auto"/>
                      </w:divBdr>
                    </w:div>
                  </w:divsChild>
                </w:div>
                <w:div w:id="949165626">
                  <w:marLeft w:val="0"/>
                  <w:marRight w:val="0"/>
                  <w:marTop w:val="0"/>
                  <w:marBottom w:val="0"/>
                  <w:divBdr>
                    <w:top w:val="none" w:sz="0" w:space="0" w:color="auto"/>
                    <w:left w:val="none" w:sz="0" w:space="0" w:color="auto"/>
                    <w:bottom w:val="single" w:sz="2" w:space="0" w:color="D6D6D6"/>
                    <w:right w:val="none" w:sz="0" w:space="0" w:color="auto"/>
                  </w:divBdr>
                </w:div>
                <w:div w:id="753362719">
                  <w:marLeft w:val="0"/>
                  <w:marRight w:val="0"/>
                  <w:marTop w:val="0"/>
                  <w:marBottom w:val="0"/>
                  <w:divBdr>
                    <w:top w:val="none" w:sz="0" w:space="0" w:color="auto"/>
                    <w:left w:val="none" w:sz="0" w:space="0" w:color="auto"/>
                    <w:bottom w:val="single" w:sz="2" w:space="0" w:color="D6D6D6"/>
                    <w:right w:val="none" w:sz="0" w:space="0" w:color="auto"/>
                  </w:divBdr>
                </w:div>
                <w:div w:id="1071728973">
                  <w:marLeft w:val="0"/>
                  <w:marRight w:val="0"/>
                  <w:marTop w:val="0"/>
                  <w:marBottom w:val="0"/>
                  <w:divBdr>
                    <w:top w:val="none" w:sz="0" w:space="0" w:color="auto"/>
                    <w:left w:val="none" w:sz="0" w:space="0" w:color="auto"/>
                    <w:bottom w:val="single" w:sz="2" w:space="0" w:color="D6D6D6"/>
                    <w:right w:val="none" w:sz="0" w:space="0" w:color="auto"/>
                  </w:divBdr>
                </w:div>
                <w:div w:id="942884777">
                  <w:marLeft w:val="0"/>
                  <w:marRight w:val="0"/>
                  <w:marTop w:val="0"/>
                  <w:marBottom w:val="0"/>
                  <w:divBdr>
                    <w:top w:val="none" w:sz="0" w:space="0" w:color="auto"/>
                    <w:left w:val="none" w:sz="0" w:space="0" w:color="auto"/>
                    <w:bottom w:val="single" w:sz="2" w:space="0" w:color="D6D6D6"/>
                    <w:right w:val="single" w:sz="2" w:space="2" w:color="D6D6D6"/>
                  </w:divBdr>
                </w:div>
              </w:divsChild>
            </w:div>
            <w:div w:id="1640695006">
              <w:marLeft w:val="0"/>
              <w:marRight w:val="0"/>
              <w:marTop w:val="0"/>
              <w:marBottom w:val="0"/>
              <w:divBdr>
                <w:top w:val="none" w:sz="0" w:space="0" w:color="auto"/>
                <w:left w:val="none" w:sz="0" w:space="0" w:color="auto"/>
                <w:bottom w:val="none" w:sz="0" w:space="0" w:color="auto"/>
                <w:right w:val="none" w:sz="0" w:space="0" w:color="auto"/>
              </w:divBdr>
              <w:divsChild>
                <w:div w:id="1292974033">
                  <w:marLeft w:val="0"/>
                  <w:marRight w:val="0"/>
                  <w:marTop w:val="0"/>
                  <w:marBottom w:val="0"/>
                  <w:divBdr>
                    <w:top w:val="none" w:sz="0" w:space="0" w:color="auto"/>
                    <w:left w:val="single" w:sz="2" w:space="2" w:color="D6D6D6"/>
                    <w:bottom w:val="single" w:sz="2" w:space="0" w:color="D6D6D6"/>
                    <w:right w:val="none" w:sz="0" w:space="0" w:color="auto"/>
                  </w:divBdr>
                </w:div>
                <w:div w:id="2026517505">
                  <w:marLeft w:val="0"/>
                  <w:marRight w:val="0"/>
                  <w:marTop w:val="0"/>
                  <w:marBottom w:val="0"/>
                  <w:divBdr>
                    <w:top w:val="none" w:sz="0" w:space="0" w:color="auto"/>
                    <w:left w:val="none" w:sz="0" w:space="0" w:color="auto"/>
                    <w:bottom w:val="single" w:sz="2" w:space="0" w:color="D6D6D6"/>
                    <w:right w:val="none" w:sz="0" w:space="0" w:color="auto"/>
                  </w:divBdr>
                  <w:divsChild>
                    <w:div w:id="1744792260">
                      <w:marLeft w:val="0"/>
                      <w:marRight w:val="0"/>
                      <w:marTop w:val="0"/>
                      <w:marBottom w:val="0"/>
                      <w:divBdr>
                        <w:top w:val="none" w:sz="0" w:space="0" w:color="auto"/>
                        <w:left w:val="none" w:sz="0" w:space="0" w:color="auto"/>
                        <w:bottom w:val="none" w:sz="0" w:space="0" w:color="auto"/>
                        <w:right w:val="none" w:sz="0" w:space="0" w:color="auto"/>
                      </w:divBdr>
                    </w:div>
                  </w:divsChild>
                </w:div>
                <w:div w:id="396369261">
                  <w:marLeft w:val="0"/>
                  <w:marRight w:val="0"/>
                  <w:marTop w:val="0"/>
                  <w:marBottom w:val="0"/>
                  <w:divBdr>
                    <w:top w:val="none" w:sz="0" w:space="0" w:color="auto"/>
                    <w:left w:val="none" w:sz="0" w:space="0" w:color="auto"/>
                    <w:bottom w:val="single" w:sz="2" w:space="0" w:color="D6D6D6"/>
                    <w:right w:val="none" w:sz="0" w:space="0" w:color="auto"/>
                  </w:divBdr>
                </w:div>
                <w:div w:id="1938245288">
                  <w:marLeft w:val="0"/>
                  <w:marRight w:val="0"/>
                  <w:marTop w:val="0"/>
                  <w:marBottom w:val="0"/>
                  <w:divBdr>
                    <w:top w:val="none" w:sz="0" w:space="0" w:color="auto"/>
                    <w:left w:val="none" w:sz="0" w:space="0" w:color="auto"/>
                    <w:bottom w:val="single" w:sz="2" w:space="0" w:color="D6D6D6"/>
                    <w:right w:val="none" w:sz="0" w:space="0" w:color="auto"/>
                  </w:divBdr>
                </w:div>
                <w:div w:id="667708643">
                  <w:marLeft w:val="0"/>
                  <w:marRight w:val="0"/>
                  <w:marTop w:val="0"/>
                  <w:marBottom w:val="0"/>
                  <w:divBdr>
                    <w:top w:val="none" w:sz="0" w:space="0" w:color="auto"/>
                    <w:left w:val="none" w:sz="0" w:space="0" w:color="auto"/>
                    <w:bottom w:val="single" w:sz="2" w:space="0" w:color="D6D6D6"/>
                    <w:right w:val="none" w:sz="0" w:space="0" w:color="auto"/>
                  </w:divBdr>
                </w:div>
                <w:div w:id="1950576510">
                  <w:marLeft w:val="0"/>
                  <w:marRight w:val="0"/>
                  <w:marTop w:val="0"/>
                  <w:marBottom w:val="0"/>
                  <w:divBdr>
                    <w:top w:val="none" w:sz="0" w:space="0" w:color="auto"/>
                    <w:left w:val="none" w:sz="0" w:space="0" w:color="auto"/>
                    <w:bottom w:val="single" w:sz="2" w:space="0" w:color="D6D6D6"/>
                    <w:right w:val="single" w:sz="2" w:space="2" w:color="D6D6D6"/>
                  </w:divBdr>
                </w:div>
              </w:divsChild>
            </w:div>
            <w:div w:id="771096699">
              <w:marLeft w:val="0"/>
              <w:marRight w:val="0"/>
              <w:marTop w:val="0"/>
              <w:marBottom w:val="0"/>
              <w:divBdr>
                <w:top w:val="none" w:sz="0" w:space="0" w:color="auto"/>
                <w:left w:val="none" w:sz="0" w:space="0" w:color="auto"/>
                <w:bottom w:val="none" w:sz="0" w:space="0" w:color="auto"/>
                <w:right w:val="none" w:sz="0" w:space="0" w:color="auto"/>
              </w:divBdr>
              <w:divsChild>
                <w:div w:id="1312253897">
                  <w:marLeft w:val="0"/>
                  <w:marRight w:val="0"/>
                  <w:marTop w:val="0"/>
                  <w:marBottom w:val="0"/>
                  <w:divBdr>
                    <w:top w:val="none" w:sz="0" w:space="0" w:color="auto"/>
                    <w:left w:val="none" w:sz="0" w:space="0" w:color="auto"/>
                    <w:bottom w:val="none" w:sz="0" w:space="0" w:color="auto"/>
                    <w:right w:val="none" w:sz="0" w:space="0" w:color="auto"/>
                  </w:divBdr>
                </w:div>
              </w:divsChild>
            </w:div>
            <w:div w:id="140663310">
              <w:marLeft w:val="0"/>
              <w:marRight w:val="0"/>
              <w:marTop w:val="0"/>
              <w:marBottom w:val="0"/>
              <w:divBdr>
                <w:top w:val="none" w:sz="0" w:space="0" w:color="auto"/>
                <w:left w:val="none" w:sz="0" w:space="0" w:color="auto"/>
                <w:bottom w:val="none" w:sz="0" w:space="0" w:color="auto"/>
                <w:right w:val="none" w:sz="0" w:space="0" w:color="auto"/>
              </w:divBdr>
              <w:divsChild>
                <w:div w:id="5720776">
                  <w:marLeft w:val="0"/>
                  <w:marRight w:val="0"/>
                  <w:marTop w:val="0"/>
                  <w:marBottom w:val="0"/>
                  <w:divBdr>
                    <w:top w:val="none" w:sz="0" w:space="0" w:color="auto"/>
                    <w:left w:val="none" w:sz="0" w:space="0" w:color="auto"/>
                    <w:bottom w:val="none" w:sz="0" w:space="0" w:color="auto"/>
                    <w:right w:val="none" w:sz="0" w:space="0" w:color="auto"/>
                  </w:divBdr>
                </w:div>
                <w:div w:id="14776033">
                  <w:marLeft w:val="0"/>
                  <w:marRight w:val="0"/>
                  <w:marTop w:val="0"/>
                  <w:marBottom w:val="0"/>
                  <w:divBdr>
                    <w:top w:val="none" w:sz="0" w:space="0" w:color="auto"/>
                    <w:left w:val="none" w:sz="0" w:space="0" w:color="auto"/>
                    <w:bottom w:val="none" w:sz="0" w:space="0" w:color="auto"/>
                    <w:right w:val="none" w:sz="0" w:space="0" w:color="auto"/>
                  </w:divBdr>
                </w:div>
                <w:div w:id="819494211">
                  <w:marLeft w:val="0"/>
                  <w:marRight w:val="0"/>
                  <w:marTop w:val="0"/>
                  <w:marBottom w:val="0"/>
                  <w:divBdr>
                    <w:top w:val="none" w:sz="0" w:space="0" w:color="auto"/>
                    <w:left w:val="none" w:sz="0" w:space="0" w:color="auto"/>
                    <w:bottom w:val="none" w:sz="0" w:space="0" w:color="auto"/>
                    <w:right w:val="none" w:sz="0" w:space="0" w:color="auto"/>
                  </w:divBdr>
                </w:div>
                <w:div w:id="309679077">
                  <w:marLeft w:val="0"/>
                  <w:marRight w:val="0"/>
                  <w:marTop w:val="0"/>
                  <w:marBottom w:val="0"/>
                  <w:divBdr>
                    <w:top w:val="none" w:sz="0" w:space="0" w:color="auto"/>
                    <w:left w:val="none" w:sz="0" w:space="0" w:color="auto"/>
                    <w:bottom w:val="none" w:sz="0" w:space="0" w:color="auto"/>
                    <w:right w:val="none" w:sz="0" w:space="0" w:color="auto"/>
                  </w:divBdr>
                </w:div>
                <w:div w:id="645741463">
                  <w:marLeft w:val="0"/>
                  <w:marRight w:val="0"/>
                  <w:marTop w:val="0"/>
                  <w:marBottom w:val="0"/>
                  <w:divBdr>
                    <w:top w:val="none" w:sz="0" w:space="0" w:color="auto"/>
                    <w:left w:val="none" w:sz="0" w:space="0" w:color="auto"/>
                    <w:bottom w:val="none" w:sz="0" w:space="0" w:color="auto"/>
                    <w:right w:val="none" w:sz="0" w:space="0" w:color="auto"/>
                  </w:divBdr>
                </w:div>
                <w:div w:id="538590342">
                  <w:marLeft w:val="0"/>
                  <w:marRight w:val="0"/>
                  <w:marTop w:val="0"/>
                  <w:marBottom w:val="0"/>
                  <w:divBdr>
                    <w:top w:val="none" w:sz="0" w:space="0" w:color="auto"/>
                    <w:left w:val="none" w:sz="0" w:space="0" w:color="auto"/>
                    <w:bottom w:val="none" w:sz="0" w:space="0" w:color="auto"/>
                    <w:right w:val="none" w:sz="0" w:space="0" w:color="auto"/>
                  </w:divBdr>
                </w:div>
              </w:divsChild>
            </w:div>
            <w:div w:id="15887905">
              <w:marLeft w:val="0"/>
              <w:marRight w:val="0"/>
              <w:marTop w:val="0"/>
              <w:marBottom w:val="0"/>
              <w:divBdr>
                <w:top w:val="none" w:sz="0" w:space="0" w:color="auto"/>
                <w:left w:val="none" w:sz="0" w:space="0" w:color="auto"/>
                <w:bottom w:val="none" w:sz="0" w:space="0" w:color="auto"/>
                <w:right w:val="none" w:sz="0" w:space="0" w:color="auto"/>
              </w:divBdr>
              <w:divsChild>
                <w:div w:id="1691834693">
                  <w:marLeft w:val="0"/>
                  <w:marRight w:val="0"/>
                  <w:marTop w:val="0"/>
                  <w:marBottom w:val="0"/>
                  <w:divBdr>
                    <w:top w:val="none" w:sz="0" w:space="0" w:color="auto"/>
                    <w:left w:val="single" w:sz="2" w:space="2" w:color="D6D6D6"/>
                    <w:bottom w:val="single" w:sz="2" w:space="0" w:color="D6D6D6"/>
                    <w:right w:val="none" w:sz="0" w:space="0" w:color="auto"/>
                  </w:divBdr>
                </w:div>
                <w:div w:id="1218207429">
                  <w:marLeft w:val="0"/>
                  <w:marRight w:val="0"/>
                  <w:marTop w:val="0"/>
                  <w:marBottom w:val="0"/>
                  <w:divBdr>
                    <w:top w:val="none" w:sz="0" w:space="0" w:color="auto"/>
                    <w:left w:val="none" w:sz="0" w:space="0" w:color="auto"/>
                    <w:bottom w:val="single" w:sz="2" w:space="0" w:color="D6D6D6"/>
                    <w:right w:val="none" w:sz="0" w:space="0" w:color="auto"/>
                  </w:divBdr>
                  <w:divsChild>
                    <w:div w:id="1041051560">
                      <w:marLeft w:val="0"/>
                      <w:marRight w:val="0"/>
                      <w:marTop w:val="0"/>
                      <w:marBottom w:val="0"/>
                      <w:divBdr>
                        <w:top w:val="none" w:sz="0" w:space="0" w:color="auto"/>
                        <w:left w:val="none" w:sz="0" w:space="0" w:color="auto"/>
                        <w:bottom w:val="none" w:sz="0" w:space="0" w:color="auto"/>
                        <w:right w:val="none" w:sz="0" w:space="0" w:color="auto"/>
                      </w:divBdr>
                    </w:div>
                  </w:divsChild>
                </w:div>
                <w:div w:id="1225338226">
                  <w:marLeft w:val="0"/>
                  <w:marRight w:val="0"/>
                  <w:marTop w:val="0"/>
                  <w:marBottom w:val="0"/>
                  <w:divBdr>
                    <w:top w:val="none" w:sz="0" w:space="0" w:color="auto"/>
                    <w:left w:val="none" w:sz="0" w:space="0" w:color="auto"/>
                    <w:bottom w:val="single" w:sz="2" w:space="0" w:color="D6D6D6"/>
                    <w:right w:val="none" w:sz="0" w:space="0" w:color="auto"/>
                  </w:divBdr>
                </w:div>
                <w:div w:id="1985504295">
                  <w:marLeft w:val="0"/>
                  <w:marRight w:val="0"/>
                  <w:marTop w:val="0"/>
                  <w:marBottom w:val="0"/>
                  <w:divBdr>
                    <w:top w:val="none" w:sz="0" w:space="0" w:color="auto"/>
                    <w:left w:val="none" w:sz="0" w:space="0" w:color="auto"/>
                    <w:bottom w:val="single" w:sz="2" w:space="0" w:color="D6D6D6"/>
                    <w:right w:val="none" w:sz="0" w:space="0" w:color="auto"/>
                  </w:divBdr>
                </w:div>
                <w:div w:id="1242789691">
                  <w:marLeft w:val="0"/>
                  <w:marRight w:val="0"/>
                  <w:marTop w:val="0"/>
                  <w:marBottom w:val="0"/>
                  <w:divBdr>
                    <w:top w:val="none" w:sz="0" w:space="0" w:color="auto"/>
                    <w:left w:val="none" w:sz="0" w:space="0" w:color="auto"/>
                    <w:bottom w:val="single" w:sz="2" w:space="0" w:color="D6D6D6"/>
                    <w:right w:val="none" w:sz="0" w:space="0" w:color="auto"/>
                  </w:divBdr>
                </w:div>
                <w:div w:id="1028945955">
                  <w:marLeft w:val="0"/>
                  <w:marRight w:val="0"/>
                  <w:marTop w:val="0"/>
                  <w:marBottom w:val="0"/>
                  <w:divBdr>
                    <w:top w:val="none" w:sz="0" w:space="0" w:color="auto"/>
                    <w:left w:val="none" w:sz="0" w:space="0" w:color="auto"/>
                    <w:bottom w:val="single" w:sz="2" w:space="0" w:color="D6D6D6"/>
                    <w:right w:val="single" w:sz="2" w:space="2" w:color="D6D6D6"/>
                  </w:divBdr>
                </w:div>
              </w:divsChild>
            </w:div>
            <w:div w:id="2044017959">
              <w:marLeft w:val="0"/>
              <w:marRight w:val="0"/>
              <w:marTop w:val="0"/>
              <w:marBottom w:val="0"/>
              <w:divBdr>
                <w:top w:val="none" w:sz="0" w:space="0" w:color="auto"/>
                <w:left w:val="none" w:sz="0" w:space="0" w:color="auto"/>
                <w:bottom w:val="none" w:sz="0" w:space="0" w:color="auto"/>
                <w:right w:val="none" w:sz="0" w:space="0" w:color="auto"/>
              </w:divBdr>
              <w:divsChild>
                <w:div w:id="429274486">
                  <w:marLeft w:val="0"/>
                  <w:marRight w:val="0"/>
                  <w:marTop w:val="0"/>
                  <w:marBottom w:val="0"/>
                  <w:divBdr>
                    <w:top w:val="none" w:sz="0" w:space="0" w:color="auto"/>
                    <w:left w:val="single" w:sz="2" w:space="2" w:color="D6D6D6"/>
                    <w:bottom w:val="single" w:sz="2" w:space="0" w:color="D6D6D6"/>
                    <w:right w:val="none" w:sz="0" w:space="0" w:color="auto"/>
                  </w:divBdr>
                </w:div>
                <w:div w:id="1649439661">
                  <w:marLeft w:val="0"/>
                  <w:marRight w:val="0"/>
                  <w:marTop w:val="0"/>
                  <w:marBottom w:val="0"/>
                  <w:divBdr>
                    <w:top w:val="none" w:sz="0" w:space="0" w:color="auto"/>
                    <w:left w:val="none" w:sz="0" w:space="0" w:color="auto"/>
                    <w:bottom w:val="single" w:sz="2" w:space="0" w:color="D6D6D6"/>
                    <w:right w:val="none" w:sz="0" w:space="0" w:color="auto"/>
                  </w:divBdr>
                  <w:divsChild>
                    <w:div w:id="406340892">
                      <w:marLeft w:val="0"/>
                      <w:marRight w:val="0"/>
                      <w:marTop w:val="0"/>
                      <w:marBottom w:val="0"/>
                      <w:divBdr>
                        <w:top w:val="none" w:sz="0" w:space="0" w:color="auto"/>
                        <w:left w:val="none" w:sz="0" w:space="0" w:color="auto"/>
                        <w:bottom w:val="none" w:sz="0" w:space="0" w:color="auto"/>
                        <w:right w:val="none" w:sz="0" w:space="0" w:color="auto"/>
                      </w:divBdr>
                    </w:div>
                  </w:divsChild>
                </w:div>
                <w:div w:id="1594624094">
                  <w:marLeft w:val="0"/>
                  <w:marRight w:val="0"/>
                  <w:marTop w:val="0"/>
                  <w:marBottom w:val="0"/>
                  <w:divBdr>
                    <w:top w:val="none" w:sz="0" w:space="0" w:color="auto"/>
                    <w:left w:val="none" w:sz="0" w:space="0" w:color="auto"/>
                    <w:bottom w:val="single" w:sz="2" w:space="0" w:color="D6D6D6"/>
                    <w:right w:val="none" w:sz="0" w:space="0" w:color="auto"/>
                  </w:divBdr>
                </w:div>
                <w:div w:id="182129268">
                  <w:marLeft w:val="0"/>
                  <w:marRight w:val="0"/>
                  <w:marTop w:val="0"/>
                  <w:marBottom w:val="0"/>
                  <w:divBdr>
                    <w:top w:val="none" w:sz="0" w:space="0" w:color="auto"/>
                    <w:left w:val="none" w:sz="0" w:space="0" w:color="auto"/>
                    <w:bottom w:val="single" w:sz="2" w:space="0" w:color="D6D6D6"/>
                    <w:right w:val="none" w:sz="0" w:space="0" w:color="auto"/>
                  </w:divBdr>
                </w:div>
                <w:div w:id="1894657658">
                  <w:marLeft w:val="0"/>
                  <w:marRight w:val="0"/>
                  <w:marTop w:val="0"/>
                  <w:marBottom w:val="0"/>
                  <w:divBdr>
                    <w:top w:val="none" w:sz="0" w:space="0" w:color="auto"/>
                    <w:left w:val="none" w:sz="0" w:space="0" w:color="auto"/>
                    <w:bottom w:val="single" w:sz="2" w:space="0" w:color="D6D6D6"/>
                    <w:right w:val="none" w:sz="0" w:space="0" w:color="auto"/>
                  </w:divBdr>
                </w:div>
                <w:div w:id="21711036">
                  <w:marLeft w:val="0"/>
                  <w:marRight w:val="0"/>
                  <w:marTop w:val="0"/>
                  <w:marBottom w:val="0"/>
                  <w:divBdr>
                    <w:top w:val="none" w:sz="0" w:space="0" w:color="auto"/>
                    <w:left w:val="none" w:sz="0" w:space="0" w:color="auto"/>
                    <w:bottom w:val="single" w:sz="2" w:space="0" w:color="D6D6D6"/>
                    <w:right w:val="single" w:sz="2" w:space="2" w:color="D6D6D6"/>
                  </w:divBdr>
                </w:div>
              </w:divsChild>
            </w:div>
            <w:div w:id="60251722">
              <w:marLeft w:val="0"/>
              <w:marRight w:val="0"/>
              <w:marTop w:val="0"/>
              <w:marBottom w:val="0"/>
              <w:divBdr>
                <w:top w:val="none" w:sz="0" w:space="0" w:color="auto"/>
                <w:left w:val="none" w:sz="0" w:space="0" w:color="auto"/>
                <w:bottom w:val="none" w:sz="0" w:space="0" w:color="auto"/>
                <w:right w:val="none" w:sz="0" w:space="0" w:color="auto"/>
              </w:divBdr>
              <w:divsChild>
                <w:div w:id="717511777">
                  <w:marLeft w:val="0"/>
                  <w:marRight w:val="0"/>
                  <w:marTop w:val="0"/>
                  <w:marBottom w:val="0"/>
                  <w:divBdr>
                    <w:top w:val="none" w:sz="0" w:space="0" w:color="auto"/>
                    <w:left w:val="single" w:sz="2" w:space="2" w:color="D6D6D6"/>
                    <w:bottom w:val="single" w:sz="2" w:space="0" w:color="D6D6D6"/>
                    <w:right w:val="none" w:sz="0" w:space="0" w:color="auto"/>
                  </w:divBdr>
                </w:div>
                <w:div w:id="945620861">
                  <w:marLeft w:val="0"/>
                  <w:marRight w:val="0"/>
                  <w:marTop w:val="0"/>
                  <w:marBottom w:val="0"/>
                  <w:divBdr>
                    <w:top w:val="none" w:sz="0" w:space="0" w:color="auto"/>
                    <w:left w:val="none" w:sz="0" w:space="0" w:color="auto"/>
                    <w:bottom w:val="single" w:sz="2" w:space="0" w:color="D6D6D6"/>
                    <w:right w:val="none" w:sz="0" w:space="0" w:color="auto"/>
                  </w:divBdr>
                  <w:divsChild>
                    <w:div w:id="151677043">
                      <w:marLeft w:val="0"/>
                      <w:marRight w:val="0"/>
                      <w:marTop w:val="0"/>
                      <w:marBottom w:val="0"/>
                      <w:divBdr>
                        <w:top w:val="none" w:sz="0" w:space="0" w:color="auto"/>
                        <w:left w:val="none" w:sz="0" w:space="0" w:color="auto"/>
                        <w:bottom w:val="none" w:sz="0" w:space="0" w:color="auto"/>
                        <w:right w:val="none" w:sz="0" w:space="0" w:color="auto"/>
                      </w:divBdr>
                    </w:div>
                  </w:divsChild>
                </w:div>
                <w:div w:id="1559436920">
                  <w:marLeft w:val="0"/>
                  <w:marRight w:val="0"/>
                  <w:marTop w:val="0"/>
                  <w:marBottom w:val="0"/>
                  <w:divBdr>
                    <w:top w:val="none" w:sz="0" w:space="0" w:color="auto"/>
                    <w:left w:val="none" w:sz="0" w:space="0" w:color="auto"/>
                    <w:bottom w:val="single" w:sz="2" w:space="0" w:color="D6D6D6"/>
                    <w:right w:val="none" w:sz="0" w:space="0" w:color="auto"/>
                  </w:divBdr>
                </w:div>
                <w:div w:id="1837921417">
                  <w:marLeft w:val="0"/>
                  <w:marRight w:val="0"/>
                  <w:marTop w:val="0"/>
                  <w:marBottom w:val="0"/>
                  <w:divBdr>
                    <w:top w:val="none" w:sz="0" w:space="0" w:color="auto"/>
                    <w:left w:val="none" w:sz="0" w:space="0" w:color="auto"/>
                    <w:bottom w:val="single" w:sz="2" w:space="0" w:color="D6D6D6"/>
                    <w:right w:val="none" w:sz="0" w:space="0" w:color="auto"/>
                  </w:divBdr>
                </w:div>
                <w:div w:id="1640067001">
                  <w:marLeft w:val="0"/>
                  <w:marRight w:val="0"/>
                  <w:marTop w:val="0"/>
                  <w:marBottom w:val="0"/>
                  <w:divBdr>
                    <w:top w:val="none" w:sz="0" w:space="0" w:color="auto"/>
                    <w:left w:val="none" w:sz="0" w:space="0" w:color="auto"/>
                    <w:bottom w:val="single" w:sz="2" w:space="0" w:color="D6D6D6"/>
                    <w:right w:val="none" w:sz="0" w:space="0" w:color="auto"/>
                  </w:divBdr>
                </w:div>
                <w:div w:id="604385150">
                  <w:marLeft w:val="0"/>
                  <w:marRight w:val="0"/>
                  <w:marTop w:val="0"/>
                  <w:marBottom w:val="0"/>
                  <w:divBdr>
                    <w:top w:val="none" w:sz="0" w:space="0" w:color="auto"/>
                    <w:left w:val="none" w:sz="0" w:space="0" w:color="auto"/>
                    <w:bottom w:val="single" w:sz="2" w:space="0" w:color="D6D6D6"/>
                    <w:right w:val="single" w:sz="2" w:space="2" w:color="D6D6D6"/>
                  </w:divBdr>
                </w:div>
              </w:divsChild>
            </w:div>
            <w:div w:id="1191189542">
              <w:marLeft w:val="0"/>
              <w:marRight w:val="0"/>
              <w:marTop w:val="0"/>
              <w:marBottom w:val="0"/>
              <w:divBdr>
                <w:top w:val="none" w:sz="0" w:space="0" w:color="auto"/>
                <w:left w:val="none" w:sz="0" w:space="0" w:color="auto"/>
                <w:bottom w:val="none" w:sz="0" w:space="0" w:color="auto"/>
                <w:right w:val="none" w:sz="0" w:space="0" w:color="auto"/>
              </w:divBdr>
              <w:divsChild>
                <w:div w:id="1824731513">
                  <w:marLeft w:val="0"/>
                  <w:marRight w:val="0"/>
                  <w:marTop w:val="0"/>
                  <w:marBottom w:val="0"/>
                  <w:divBdr>
                    <w:top w:val="none" w:sz="0" w:space="0" w:color="auto"/>
                    <w:left w:val="single" w:sz="2" w:space="2" w:color="D6D6D6"/>
                    <w:bottom w:val="single" w:sz="2" w:space="0" w:color="D6D6D6"/>
                    <w:right w:val="none" w:sz="0" w:space="0" w:color="auto"/>
                  </w:divBdr>
                </w:div>
                <w:div w:id="1564637420">
                  <w:marLeft w:val="0"/>
                  <w:marRight w:val="0"/>
                  <w:marTop w:val="0"/>
                  <w:marBottom w:val="0"/>
                  <w:divBdr>
                    <w:top w:val="none" w:sz="0" w:space="0" w:color="auto"/>
                    <w:left w:val="none" w:sz="0" w:space="0" w:color="auto"/>
                    <w:bottom w:val="single" w:sz="2" w:space="0" w:color="D6D6D6"/>
                    <w:right w:val="none" w:sz="0" w:space="0" w:color="auto"/>
                  </w:divBdr>
                  <w:divsChild>
                    <w:div w:id="1974215088">
                      <w:marLeft w:val="0"/>
                      <w:marRight w:val="0"/>
                      <w:marTop w:val="0"/>
                      <w:marBottom w:val="0"/>
                      <w:divBdr>
                        <w:top w:val="none" w:sz="0" w:space="0" w:color="auto"/>
                        <w:left w:val="none" w:sz="0" w:space="0" w:color="auto"/>
                        <w:bottom w:val="none" w:sz="0" w:space="0" w:color="auto"/>
                        <w:right w:val="none" w:sz="0" w:space="0" w:color="auto"/>
                      </w:divBdr>
                    </w:div>
                  </w:divsChild>
                </w:div>
                <w:div w:id="860124518">
                  <w:marLeft w:val="0"/>
                  <w:marRight w:val="0"/>
                  <w:marTop w:val="0"/>
                  <w:marBottom w:val="0"/>
                  <w:divBdr>
                    <w:top w:val="none" w:sz="0" w:space="0" w:color="auto"/>
                    <w:left w:val="none" w:sz="0" w:space="0" w:color="auto"/>
                    <w:bottom w:val="single" w:sz="2" w:space="0" w:color="D6D6D6"/>
                    <w:right w:val="none" w:sz="0" w:space="0" w:color="auto"/>
                  </w:divBdr>
                </w:div>
                <w:div w:id="1660040865">
                  <w:marLeft w:val="0"/>
                  <w:marRight w:val="0"/>
                  <w:marTop w:val="0"/>
                  <w:marBottom w:val="0"/>
                  <w:divBdr>
                    <w:top w:val="none" w:sz="0" w:space="0" w:color="auto"/>
                    <w:left w:val="none" w:sz="0" w:space="0" w:color="auto"/>
                    <w:bottom w:val="single" w:sz="2" w:space="0" w:color="D6D6D6"/>
                    <w:right w:val="none" w:sz="0" w:space="0" w:color="auto"/>
                  </w:divBdr>
                </w:div>
                <w:div w:id="1302034452">
                  <w:marLeft w:val="0"/>
                  <w:marRight w:val="0"/>
                  <w:marTop w:val="0"/>
                  <w:marBottom w:val="0"/>
                  <w:divBdr>
                    <w:top w:val="none" w:sz="0" w:space="0" w:color="auto"/>
                    <w:left w:val="none" w:sz="0" w:space="0" w:color="auto"/>
                    <w:bottom w:val="single" w:sz="2" w:space="0" w:color="D6D6D6"/>
                    <w:right w:val="none" w:sz="0" w:space="0" w:color="auto"/>
                  </w:divBdr>
                </w:div>
                <w:div w:id="1343894206">
                  <w:marLeft w:val="0"/>
                  <w:marRight w:val="0"/>
                  <w:marTop w:val="0"/>
                  <w:marBottom w:val="0"/>
                  <w:divBdr>
                    <w:top w:val="none" w:sz="0" w:space="0" w:color="auto"/>
                    <w:left w:val="none" w:sz="0" w:space="0" w:color="auto"/>
                    <w:bottom w:val="single" w:sz="2" w:space="0" w:color="D6D6D6"/>
                    <w:right w:val="single" w:sz="2" w:space="2" w:color="D6D6D6"/>
                  </w:divBdr>
                </w:div>
              </w:divsChild>
            </w:div>
            <w:div w:id="1305281173">
              <w:marLeft w:val="0"/>
              <w:marRight w:val="0"/>
              <w:marTop w:val="0"/>
              <w:marBottom w:val="0"/>
              <w:divBdr>
                <w:top w:val="none" w:sz="0" w:space="0" w:color="auto"/>
                <w:left w:val="none" w:sz="0" w:space="0" w:color="auto"/>
                <w:bottom w:val="none" w:sz="0" w:space="0" w:color="auto"/>
                <w:right w:val="none" w:sz="0" w:space="0" w:color="auto"/>
              </w:divBdr>
              <w:divsChild>
                <w:div w:id="1966229747">
                  <w:marLeft w:val="0"/>
                  <w:marRight w:val="0"/>
                  <w:marTop w:val="0"/>
                  <w:marBottom w:val="0"/>
                  <w:divBdr>
                    <w:top w:val="none" w:sz="0" w:space="0" w:color="auto"/>
                    <w:left w:val="single" w:sz="2" w:space="2" w:color="D6D6D6"/>
                    <w:bottom w:val="single" w:sz="2" w:space="0" w:color="D6D6D6"/>
                    <w:right w:val="none" w:sz="0" w:space="0" w:color="auto"/>
                  </w:divBdr>
                </w:div>
                <w:div w:id="1665236086">
                  <w:marLeft w:val="0"/>
                  <w:marRight w:val="0"/>
                  <w:marTop w:val="0"/>
                  <w:marBottom w:val="0"/>
                  <w:divBdr>
                    <w:top w:val="none" w:sz="0" w:space="0" w:color="auto"/>
                    <w:left w:val="none" w:sz="0" w:space="0" w:color="auto"/>
                    <w:bottom w:val="single" w:sz="2" w:space="0" w:color="D6D6D6"/>
                    <w:right w:val="none" w:sz="0" w:space="0" w:color="auto"/>
                  </w:divBdr>
                  <w:divsChild>
                    <w:div w:id="852380800">
                      <w:marLeft w:val="0"/>
                      <w:marRight w:val="0"/>
                      <w:marTop w:val="0"/>
                      <w:marBottom w:val="0"/>
                      <w:divBdr>
                        <w:top w:val="none" w:sz="0" w:space="0" w:color="auto"/>
                        <w:left w:val="none" w:sz="0" w:space="0" w:color="auto"/>
                        <w:bottom w:val="none" w:sz="0" w:space="0" w:color="auto"/>
                        <w:right w:val="none" w:sz="0" w:space="0" w:color="auto"/>
                      </w:divBdr>
                    </w:div>
                  </w:divsChild>
                </w:div>
                <w:div w:id="1591155357">
                  <w:marLeft w:val="0"/>
                  <w:marRight w:val="0"/>
                  <w:marTop w:val="0"/>
                  <w:marBottom w:val="0"/>
                  <w:divBdr>
                    <w:top w:val="none" w:sz="0" w:space="0" w:color="auto"/>
                    <w:left w:val="none" w:sz="0" w:space="0" w:color="auto"/>
                    <w:bottom w:val="single" w:sz="2" w:space="0" w:color="D6D6D6"/>
                    <w:right w:val="none" w:sz="0" w:space="0" w:color="auto"/>
                  </w:divBdr>
                </w:div>
                <w:div w:id="2120563439">
                  <w:marLeft w:val="0"/>
                  <w:marRight w:val="0"/>
                  <w:marTop w:val="0"/>
                  <w:marBottom w:val="0"/>
                  <w:divBdr>
                    <w:top w:val="none" w:sz="0" w:space="0" w:color="auto"/>
                    <w:left w:val="none" w:sz="0" w:space="0" w:color="auto"/>
                    <w:bottom w:val="single" w:sz="2" w:space="0" w:color="D6D6D6"/>
                    <w:right w:val="none" w:sz="0" w:space="0" w:color="auto"/>
                  </w:divBdr>
                </w:div>
                <w:div w:id="97409777">
                  <w:marLeft w:val="0"/>
                  <w:marRight w:val="0"/>
                  <w:marTop w:val="0"/>
                  <w:marBottom w:val="0"/>
                  <w:divBdr>
                    <w:top w:val="none" w:sz="0" w:space="0" w:color="auto"/>
                    <w:left w:val="none" w:sz="0" w:space="0" w:color="auto"/>
                    <w:bottom w:val="single" w:sz="2" w:space="0" w:color="D6D6D6"/>
                    <w:right w:val="none" w:sz="0" w:space="0" w:color="auto"/>
                  </w:divBdr>
                </w:div>
                <w:div w:id="2026587516">
                  <w:marLeft w:val="0"/>
                  <w:marRight w:val="0"/>
                  <w:marTop w:val="0"/>
                  <w:marBottom w:val="0"/>
                  <w:divBdr>
                    <w:top w:val="none" w:sz="0" w:space="0" w:color="auto"/>
                    <w:left w:val="none" w:sz="0" w:space="0" w:color="auto"/>
                    <w:bottom w:val="single" w:sz="2" w:space="0" w:color="D6D6D6"/>
                    <w:right w:val="single" w:sz="2" w:space="2" w:color="D6D6D6"/>
                  </w:divBdr>
                </w:div>
              </w:divsChild>
            </w:div>
            <w:div w:id="2108379843">
              <w:marLeft w:val="0"/>
              <w:marRight w:val="0"/>
              <w:marTop w:val="0"/>
              <w:marBottom w:val="0"/>
              <w:divBdr>
                <w:top w:val="none" w:sz="0" w:space="0" w:color="auto"/>
                <w:left w:val="none" w:sz="0" w:space="0" w:color="auto"/>
                <w:bottom w:val="none" w:sz="0" w:space="0" w:color="auto"/>
                <w:right w:val="none" w:sz="0" w:space="0" w:color="auto"/>
              </w:divBdr>
              <w:divsChild>
                <w:div w:id="526068859">
                  <w:marLeft w:val="0"/>
                  <w:marRight w:val="0"/>
                  <w:marTop w:val="0"/>
                  <w:marBottom w:val="0"/>
                  <w:divBdr>
                    <w:top w:val="none" w:sz="0" w:space="0" w:color="auto"/>
                    <w:left w:val="none" w:sz="0" w:space="0" w:color="auto"/>
                    <w:bottom w:val="none" w:sz="0" w:space="0" w:color="auto"/>
                    <w:right w:val="none" w:sz="0" w:space="0" w:color="auto"/>
                  </w:divBdr>
                </w:div>
              </w:divsChild>
            </w:div>
            <w:div w:id="798914902">
              <w:marLeft w:val="0"/>
              <w:marRight w:val="0"/>
              <w:marTop w:val="0"/>
              <w:marBottom w:val="0"/>
              <w:divBdr>
                <w:top w:val="none" w:sz="0" w:space="0" w:color="auto"/>
                <w:left w:val="none" w:sz="0" w:space="0" w:color="auto"/>
                <w:bottom w:val="none" w:sz="0" w:space="0" w:color="auto"/>
                <w:right w:val="none" w:sz="0" w:space="0" w:color="auto"/>
              </w:divBdr>
              <w:divsChild>
                <w:div w:id="708724893">
                  <w:marLeft w:val="0"/>
                  <w:marRight w:val="0"/>
                  <w:marTop w:val="0"/>
                  <w:marBottom w:val="0"/>
                  <w:divBdr>
                    <w:top w:val="none" w:sz="0" w:space="0" w:color="auto"/>
                    <w:left w:val="none" w:sz="0" w:space="0" w:color="auto"/>
                    <w:bottom w:val="none" w:sz="0" w:space="0" w:color="auto"/>
                    <w:right w:val="none" w:sz="0" w:space="0" w:color="auto"/>
                  </w:divBdr>
                </w:div>
                <w:div w:id="1100838095">
                  <w:marLeft w:val="0"/>
                  <w:marRight w:val="0"/>
                  <w:marTop w:val="0"/>
                  <w:marBottom w:val="0"/>
                  <w:divBdr>
                    <w:top w:val="none" w:sz="0" w:space="0" w:color="auto"/>
                    <w:left w:val="none" w:sz="0" w:space="0" w:color="auto"/>
                    <w:bottom w:val="none" w:sz="0" w:space="0" w:color="auto"/>
                    <w:right w:val="none" w:sz="0" w:space="0" w:color="auto"/>
                  </w:divBdr>
                </w:div>
                <w:div w:id="1711104102">
                  <w:marLeft w:val="0"/>
                  <w:marRight w:val="0"/>
                  <w:marTop w:val="0"/>
                  <w:marBottom w:val="0"/>
                  <w:divBdr>
                    <w:top w:val="none" w:sz="0" w:space="0" w:color="auto"/>
                    <w:left w:val="none" w:sz="0" w:space="0" w:color="auto"/>
                    <w:bottom w:val="none" w:sz="0" w:space="0" w:color="auto"/>
                    <w:right w:val="none" w:sz="0" w:space="0" w:color="auto"/>
                  </w:divBdr>
                </w:div>
                <w:div w:id="1163424462">
                  <w:marLeft w:val="0"/>
                  <w:marRight w:val="0"/>
                  <w:marTop w:val="0"/>
                  <w:marBottom w:val="0"/>
                  <w:divBdr>
                    <w:top w:val="none" w:sz="0" w:space="0" w:color="auto"/>
                    <w:left w:val="none" w:sz="0" w:space="0" w:color="auto"/>
                    <w:bottom w:val="none" w:sz="0" w:space="0" w:color="auto"/>
                    <w:right w:val="none" w:sz="0" w:space="0" w:color="auto"/>
                  </w:divBdr>
                </w:div>
                <w:div w:id="1883129971">
                  <w:marLeft w:val="0"/>
                  <w:marRight w:val="0"/>
                  <w:marTop w:val="0"/>
                  <w:marBottom w:val="0"/>
                  <w:divBdr>
                    <w:top w:val="none" w:sz="0" w:space="0" w:color="auto"/>
                    <w:left w:val="none" w:sz="0" w:space="0" w:color="auto"/>
                    <w:bottom w:val="none" w:sz="0" w:space="0" w:color="auto"/>
                    <w:right w:val="none" w:sz="0" w:space="0" w:color="auto"/>
                  </w:divBdr>
                </w:div>
                <w:div w:id="1887330902">
                  <w:marLeft w:val="0"/>
                  <w:marRight w:val="0"/>
                  <w:marTop w:val="0"/>
                  <w:marBottom w:val="0"/>
                  <w:divBdr>
                    <w:top w:val="none" w:sz="0" w:space="0" w:color="auto"/>
                    <w:left w:val="none" w:sz="0" w:space="0" w:color="auto"/>
                    <w:bottom w:val="none" w:sz="0" w:space="0" w:color="auto"/>
                    <w:right w:val="none" w:sz="0" w:space="0" w:color="auto"/>
                  </w:divBdr>
                </w:div>
              </w:divsChild>
            </w:div>
            <w:div w:id="157884727">
              <w:marLeft w:val="0"/>
              <w:marRight w:val="0"/>
              <w:marTop w:val="0"/>
              <w:marBottom w:val="0"/>
              <w:divBdr>
                <w:top w:val="none" w:sz="0" w:space="0" w:color="auto"/>
                <w:left w:val="none" w:sz="0" w:space="0" w:color="auto"/>
                <w:bottom w:val="none" w:sz="0" w:space="0" w:color="auto"/>
                <w:right w:val="none" w:sz="0" w:space="0" w:color="auto"/>
              </w:divBdr>
              <w:divsChild>
                <w:div w:id="333920787">
                  <w:marLeft w:val="0"/>
                  <w:marRight w:val="0"/>
                  <w:marTop w:val="0"/>
                  <w:marBottom w:val="0"/>
                  <w:divBdr>
                    <w:top w:val="none" w:sz="0" w:space="0" w:color="auto"/>
                    <w:left w:val="single" w:sz="2" w:space="2" w:color="D6D6D6"/>
                    <w:bottom w:val="single" w:sz="2" w:space="0" w:color="D6D6D6"/>
                    <w:right w:val="none" w:sz="0" w:space="0" w:color="auto"/>
                  </w:divBdr>
                </w:div>
                <w:div w:id="722947170">
                  <w:marLeft w:val="0"/>
                  <w:marRight w:val="0"/>
                  <w:marTop w:val="0"/>
                  <w:marBottom w:val="0"/>
                  <w:divBdr>
                    <w:top w:val="none" w:sz="0" w:space="0" w:color="auto"/>
                    <w:left w:val="none" w:sz="0" w:space="0" w:color="auto"/>
                    <w:bottom w:val="single" w:sz="2" w:space="0" w:color="D6D6D6"/>
                    <w:right w:val="none" w:sz="0" w:space="0" w:color="auto"/>
                  </w:divBdr>
                  <w:divsChild>
                    <w:div w:id="151216750">
                      <w:marLeft w:val="0"/>
                      <w:marRight w:val="0"/>
                      <w:marTop w:val="0"/>
                      <w:marBottom w:val="0"/>
                      <w:divBdr>
                        <w:top w:val="none" w:sz="0" w:space="0" w:color="auto"/>
                        <w:left w:val="none" w:sz="0" w:space="0" w:color="auto"/>
                        <w:bottom w:val="none" w:sz="0" w:space="0" w:color="auto"/>
                        <w:right w:val="none" w:sz="0" w:space="0" w:color="auto"/>
                      </w:divBdr>
                    </w:div>
                  </w:divsChild>
                </w:div>
                <w:div w:id="1663042804">
                  <w:marLeft w:val="0"/>
                  <w:marRight w:val="0"/>
                  <w:marTop w:val="0"/>
                  <w:marBottom w:val="0"/>
                  <w:divBdr>
                    <w:top w:val="none" w:sz="0" w:space="0" w:color="auto"/>
                    <w:left w:val="none" w:sz="0" w:space="0" w:color="auto"/>
                    <w:bottom w:val="single" w:sz="2" w:space="0" w:color="D6D6D6"/>
                    <w:right w:val="none" w:sz="0" w:space="0" w:color="auto"/>
                  </w:divBdr>
                </w:div>
                <w:div w:id="77681634">
                  <w:marLeft w:val="0"/>
                  <w:marRight w:val="0"/>
                  <w:marTop w:val="0"/>
                  <w:marBottom w:val="0"/>
                  <w:divBdr>
                    <w:top w:val="none" w:sz="0" w:space="0" w:color="auto"/>
                    <w:left w:val="none" w:sz="0" w:space="0" w:color="auto"/>
                    <w:bottom w:val="single" w:sz="2" w:space="0" w:color="D6D6D6"/>
                    <w:right w:val="none" w:sz="0" w:space="0" w:color="auto"/>
                  </w:divBdr>
                </w:div>
                <w:div w:id="731318393">
                  <w:marLeft w:val="0"/>
                  <w:marRight w:val="0"/>
                  <w:marTop w:val="0"/>
                  <w:marBottom w:val="0"/>
                  <w:divBdr>
                    <w:top w:val="none" w:sz="0" w:space="0" w:color="auto"/>
                    <w:left w:val="none" w:sz="0" w:space="0" w:color="auto"/>
                    <w:bottom w:val="single" w:sz="2" w:space="0" w:color="D6D6D6"/>
                    <w:right w:val="none" w:sz="0" w:space="0" w:color="auto"/>
                  </w:divBdr>
                </w:div>
                <w:div w:id="121195592">
                  <w:marLeft w:val="0"/>
                  <w:marRight w:val="0"/>
                  <w:marTop w:val="0"/>
                  <w:marBottom w:val="0"/>
                  <w:divBdr>
                    <w:top w:val="none" w:sz="0" w:space="0" w:color="auto"/>
                    <w:left w:val="none" w:sz="0" w:space="0" w:color="auto"/>
                    <w:bottom w:val="single" w:sz="2" w:space="0" w:color="D6D6D6"/>
                    <w:right w:val="single" w:sz="2" w:space="2" w:color="D6D6D6"/>
                  </w:divBdr>
                </w:div>
              </w:divsChild>
            </w:div>
            <w:div w:id="299962368">
              <w:marLeft w:val="0"/>
              <w:marRight w:val="0"/>
              <w:marTop w:val="0"/>
              <w:marBottom w:val="0"/>
              <w:divBdr>
                <w:top w:val="none" w:sz="0" w:space="0" w:color="auto"/>
                <w:left w:val="none" w:sz="0" w:space="0" w:color="auto"/>
                <w:bottom w:val="none" w:sz="0" w:space="0" w:color="auto"/>
                <w:right w:val="none" w:sz="0" w:space="0" w:color="auto"/>
              </w:divBdr>
              <w:divsChild>
                <w:div w:id="1232158725">
                  <w:marLeft w:val="0"/>
                  <w:marRight w:val="0"/>
                  <w:marTop w:val="0"/>
                  <w:marBottom w:val="0"/>
                  <w:divBdr>
                    <w:top w:val="none" w:sz="0" w:space="0" w:color="auto"/>
                    <w:left w:val="single" w:sz="2" w:space="2" w:color="D6D6D6"/>
                    <w:bottom w:val="single" w:sz="2" w:space="0" w:color="D6D6D6"/>
                    <w:right w:val="none" w:sz="0" w:space="0" w:color="auto"/>
                  </w:divBdr>
                </w:div>
                <w:div w:id="556867614">
                  <w:marLeft w:val="0"/>
                  <w:marRight w:val="0"/>
                  <w:marTop w:val="0"/>
                  <w:marBottom w:val="0"/>
                  <w:divBdr>
                    <w:top w:val="none" w:sz="0" w:space="0" w:color="auto"/>
                    <w:left w:val="none" w:sz="0" w:space="0" w:color="auto"/>
                    <w:bottom w:val="single" w:sz="2" w:space="0" w:color="D6D6D6"/>
                    <w:right w:val="none" w:sz="0" w:space="0" w:color="auto"/>
                  </w:divBdr>
                  <w:divsChild>
                    <w:div w:id="399180507">
                      <w:marLeft w:val="0"/>
                      <w:marRight w:val="0"/>
                      <w:marTop w:val="0"/>
                      <w:marBottom w:val="0"/>
                      <w:divBdr>
                        <w:top w:val="none" w:sz="0" w:space="0" w:color="auto"/>
                        <w:left w:val="none" w:sz="0" w:space="0" w:color="auto"/>
                        <w:bottom w:val="none" w:sz="0" w:space="0" w:color="auto"/>
                        <w:right w:val="none" w:sz="0" w:space="0" w:color="auto"/>
                      </w:divBdr>
                    </w:div>
                  </w:divsChild>
                </w:div>
                <w:div w:id="664548682">
                  <w:marLeft w:val="0"/>
                  <w:marRight w:val="0"/>
                  <w:marTop w:val="0"/>
                  <w:marBottom w:val="0"/>
                  <w:divBdr>
                    <w:top w:val="none" w:sz="0" w:space="0" w:color="auto"/>
                    <w:left w:val="none" w:sz="0" w:space="0" w:color="auto"/>
                    <w:bottom w:val="single" w:sz="2" w:space="0" w:color="D6D6D6"/>
                    <w:right w:val="none" w:sz="0" w:space="0" w:color="auto"/>
                  </w:divBdr>
                </w:div>
                <w:div w:id="1931739228">
                  <w:marLeft w:val="0"/>
                  <w:marRight w:val="0"/>
                  <w:marTop w:val="0"/>
                  <w:marBottom w:val="0"/>
                  <w:divBdr>
                    <w:top w:val="none" w:sz="0" w:space="0" w:color="auto"/>
                    <w:left w:val="none" w:sz="0" w:space="0" w:color="auto"/>
                    <w:bottom w:val="single" w:sz="2" w:space="0" w:color="D6D6D6"/>
                    <w:right w:val="none" w:sz="0" w:space="0" w:color="auto"/>
                  </w:divBdr>
                </w:div>
                <w:div w:id="1563520027">
                  <w:marLeft w:val="0"/>
                  <w:marRight w:val="0"/>
                  <w:marTop w:val="0"/>
                  <w:marBottom w:val="0"/>
                  <w:divBdr>
                    <w:top w:val="none" w:sz="0" w:space="0" w:color="auto"/>
                    <w:left w:val="none" w:sz="0" w:space="0" w:color="auto"/>
                    <w:bottom w:val="single" w:sz="2" w:space="0" w:color="D6D6D6"/>
                    <w:right w:val="none" w:sz="0" w:space="0" w:color="auto"/>
                  </w:divBdr>
                </w:div>
                <w:div w:id="2107118347">
                  <w:marLeft w:val="0"/>
                  <w:marRight w:val="0"/>
                  <w:marTop w:val="0"/>
                  <w:marBottom w:val="0"/>
                  <w:divBdr>
                    <w:top w:val="none" w:sz="0" w:space="0" w:color="auto"/>
                    <w:left w:val="none" w:sz="0" w:space="0" w:color="auto"/>
                    <w:bottom w:val="single" w:sz="2" w:space="0" w:color="D6D6D6"/>
                    <w:right w:val="single" w:sz="2" w:space="2" w:color="D6D6D6"/>
                  </w:divBdr>
                </w:div>
              </w:divsChild>
            </w:div>
            <w:div w:id="15036294">
              <w:marLeft w:val="0"/>
              <w:marRight w:val="0"/>
              <w:marTop w:val="0"/>
              <w:marBottom w:val="0"/>
              <w:divBdr>
                <w:top w:val="none" w:sz="0" w:space="0" w:color="auto"/>
                <w:left w:val="none" w:sz="0" w:space="0" w:color="auto"/>
                <w:bottom w:val="none" w:sz="0" w:space="0" w:color="auto"/>
                <w:right w:val="none" w:sz="0" w:space="0" w:color="auto"/>
              </w:divBdr>
              <w:divsChild>
                <w:div w:id="1575168437">
                  <w:marLeft w:val="0"/>
                  <w:marRight w:val="0"/>
                  <w:marTop w:val="0"/>
                  <w:marBottom w:val="0"/>
                  <w:divBdr>
                    <w:top w:val="none" w:sz="0" w:space="0" w:color="auto"/>
                    <w:left w:val="single" w:sz="2" w:space="2" w:color="D6D6D6"/>
                    <w:bottom w:val="single" w:sz="2" w:space="0" w:color="D6D6D6"/>
                    <w:right w:val="none" w:sz="0" w:space="0" w:color="auto"/>
                  </w:divBdr>
                </w:div>
                <w:div w:id="1932156049">
                  <w:marLeft w:val="0"/>
                  <w:marRight w:val="0"/>
                  <w:marTop w:val="0"/>
                  <w:marBottom w:val="0"/>
                  <w:divBdr>
                    <w:top w:val="none" w:sz="0" w:space="0" w:color="auto"/>
                    <w:left w:val="none" w:sz="0" w:space="0" w:color="auto"/>
                    <w:bottom w:val="single" w:sz="2" w:space="0" w:color="D6D6D6"/>
                    <w:right w:val="none" w:sz="0" w:space="0" w:color="auto"/>
                  </w:divBdr>
                  <w:divsChild>
                    <w:div w:id="394594754">
                      <w:marLeft w:val="0"/>
                      <w:marRight w:val="0"/>
                      <w:marTop w:val="0"/>
                      <w:marBottom w:val="0"/>
                      <w:divBdr>
                        <w:top w:val="none" w:sz="0" w:space="0" w:color="auto"/>
                        <w:left w:val="none" w:sz="0" w:space="0" w:color="auto"/>
                        <w:bottom w:val="none" w:sz="0" w:space="0" w:color="auto"/>
                        <w:right w:val="none" w:sz="0" w:space="0" w:color="auto"/>
                      </w:divBdr>
                    </w:div>
                  </w:divsChild>
                </w:div>
                <w:div w:id="1198854315">
                  <w:marLeft w:val="0"/>
                  <w:marRight w:val="0"/>
                  <w:marTop w:val="0"/>
                  <w:marBottom w:val="0"/>
                  <w:divBdr>
                    <w:top w:val="none" w:sz="0" w:space="0" w:color="auto"/>
                    <w:left w:val="none" w:sz="0" w:space="0" w:color="auto"/>
                    <w:bottom w:val="single" w:sz="2" w:space="0" w:color="D6D6D6"/>
                    <w:right w:val="none" w:sz="0" w:space="0" w:color="auto"/>
                  </w:divBdr>
                </w:div>
                <w:div w:id="2040738647">
                  <w:marLeft w:val="0"/>
                  <w:marRight w:val="0"/>
                  <w:marTop w:val="0"/>
                  <w:marBottom w:val="0"/>
                  <w:divBdr>
                    <w:top w:val="none" w:sz="0" w:space="0" w:color="auto"/>
                    <w:left w:val="none" w:sz="0" w:space="0" w:color="auto"/>
                    <w:bottom w:val="single" w:sz="2" w:space="0" w:color="D6D6D6"/>
                    <w:right w:val="none" w:sz="0" w:space="0" w:color="auto"/>
                  </w:divBdr>
                </w:div>
                <w:div w:id="361129236">
                  <w:marLeft w:val="0"/>
                  <w:marRight w:val="0"/>
                  <w:marTop w:val="0"/>
                  <w:marBottom w:val="0"/>
                  <w:divBdr>
                    <w:top w:val="none" w:sz="0" w:space="0" w:color="auto"/>
                    <w:left w:val="none" w:sz="0" w:space="0" w:color="auto"/>
                    <w:bottom w:val="single" w:sz="2" w:space="0" w:color="D6D6D6"/>
                    <w:right w:val="none" w:sz="0" w:space="0" w:color="auto"/>
                  </w:divBdr>
                </w:div>
                <w:div w:id="1383793150">
                  <w:marLeft w:val="0"/>
                  <w:marRight w:val="0"/>
                  <w:marTop w:val="0"/>
                  <w:marBottom w:val="0"/>
                  <w:divBdr>
                    <w:top w:val="none" w:sz="0" w:space="0" w:color="auto"/>
                    <w:left w:val="none" w:sz="0" w:space="0" w:color="auto"/>
                    <w:bottom w:val="single" w:sz="2" w:space="0" w:color="D6D6D6"/>
                    <w:right w:val="single" w:sz="2" w:space="2" w:color="D6D6D6"/>
                  </w:divBdr>
                </w:div>
              </w:divsChild>
            </w:div>
            <w:div w:id="835222902">
              <w:marLeft w:val="0"/>
              <w:marRight w:val="0"/>
              <w:marTop w:val="0"/>
              <w:marBottom w:val="0"/>
              <w:divBdr>
                <w:top w:val="none" w:sz="0" w:space="0" w:color="auto"/>
                <w:left w:val="none" w:sz="0" w:space="0" w:color="auto"/>
                <w:bottom w:val="none" w:sz="0" w:space="0" w:color="auto"/>
                <w:right w:val="none" w:sz="0" w:space="0" w:color="auto"/>
              </w:divBdr>
              <w:divsChild>
                <w:div w:id="565992253">
                  <w:marLeft w:val="0"/>
                  <w:marRight w:val="0"/>
                  <w:marTop w:val="0"/>
                  <w:marBottom w:val="0"/>
                  <w:divBdr>
                    <w:top w:val="none" w:sz="0" w:space="0" w:color="auto"/>
                    <w:left w:val="single" w:sz="2" w:space="2" w:color="D6D6D6"/>
                    <w:bottom w:val="single" w:sz="2" w:space="0" w:color="D6D6D6"/>
                    <w:right w:val="none" w:sz="0" w:space="0" w:color="auto"/>
                  </w:divBdr>
                </w:div>
                <w:div w:id="1143619646">
                  <w:marLeft w:val="0"/>
                  <w:marRight w:val="0"/>
                  <w:marTop w:val="0"/>
                  <w:marBottom w:val="0"/>
                  <w:divBdr>
                    <w:top w:val="none" w:sz="0" w:space="0" w:color="auto"/>
                    <w:left w:val="none" w:sz="0" w:space="0" w:color="auto"/>
                    <w:bottom w:val="single" w:sz="2" w:space="0" w:color="D6D6D6"/>
                    <w:right w:val="none" w:sz="0" w:space="0" w:color="auto"/>
                  </w:divBdr>
                  <w:divsChild>
                    <w:div w:id="1317878069">
                      <w:marLeft w:val="0"/>
                      <w:marRight w:val="0"/>
                      <w:marTop w:val="0"/>
                      <w:marBottom w:val="0"/>
                      <w:divBdr>
                        <w:top w:val="none" w:sz="0" w:space="0" w:color="auto"/>
                        <w:left w:val="none" w:sz="0" w:space="0" w:color="auto"/>
                        <w:bottom w:val="none" w:sz="0" w:space="0" w:color="auto"/>
                        <w:right w:val="none" w:sz="0" w:space="0" w:color="auto"/>
                      </w:divBdr>
                    </w:div>
                  </w:divsChild>
                </w:div>
                <w:div w:id="374695317">
                  <w:marLeft w:val="0"/>
                  <w:marRight w:val="0"/>
                  <w:marTop w:val="0"/>
                  <w:marBottom w:val="0"/>
                  <w:divBdr>
                    <w:top w:val="none" w:sz="0" w:space="0" w:color="auto"/>
                    <w:left w:val="none" w:sz="0" w:space="0" w:color="auto"/>
                    <w:bottom w:val="single" w:sz="2" w:space="0" w:color="D6D6D6"/>
                    <w:right w:val="none" w:sz="0" w:space="0" w:color="auto"/>
                  </w:divBdr>
                </w:div>
                <w:div w:id="937173133">
                  <w:marLeft w:val="0"/>
                  <w:marRight w:val="0"/>
                  <w:marTop w:val="0"/>
                  <w:marBottom w:val="0"/>
                  <w:divBdr>
                    <w:top w:val="none" w:sz="0" w:space="0" w:color="auto"/>
                    <w:left w:val="none" w:sz="0" w:space="0" w:color="auto"/>
                    <w:bottom w:val="single" w:sz="2" w:space="0" w:color="D6D6D6"/>
                    <w:right w:val="none" w:sz="0" w:space="0" w:color="auto"/>
                  </w:divBdr>
                </w:div>
                <w:div w:id="1173767224">
                  <w:marLeft w:val="0"/>
                  <w:marRight w:val="0"/>
                  <w:marTop w:val="0"/>
                  <w:marBottom w:val="0"/>
                  <w:divBdr>
                    <w:top w:val="none" w:sz="0" w:space="0" w:color="auto"/>
                    <w:left w:val="none" w:sz="0" w:space="0" w:color="auto"/>
                    <w:bottom w:val="single" w:sz="2" w:space="0" w:color="D6D6D6"/>
                    <w:right w:val="none" w:sz="0" w:space="0" w:color="auto"/>
                  </w:divBdr>
                </w:div>
                <w:div w:id="1008680619">
                  <w:marLeft w:val="0"/>
                  <w:marRight w:val="0"/>
                  <w:marTop w:val="0"/>
                  <w:marBottom w:val="0"/>
                  <w:divBdr>
                    <w:top w:val="none" w:sz="0" w:space="0" w:color="auto"/>
                    <w:left w:val="none" w:sz="0" w:space="0" w:color="auto"/>
                    <w:bottom w:val="single" w:sz="2" w:space="0" w:color="D6D6D6"/>
                    <w:right w:val="single" w:sz="2" w:space="2" w:color="D6D6D6"/>
                  </w:divBdr>
                </w:div>
              </w:divsChild>
            </w:div>
            <w:div w:id="238559224">
              <w:marLeft w:val="0"/>
              <w:marRight w:val="0"/>
              <w:marTop w:val="0"/>
              <w:marBottom w:val="0"/>
              <w:divBdr>
                <w:top w:val="none" w:sz="0" w:space="0" w:color="auto"/>
                <w:left w:val="none" w:sz="0" w:space="0" w:color="auto"/>
                <w:bottom w:val="none" w:sz="0" w:space="0" w:color="auto"/>
                <w:right w:val="none" w:sz="0" w:space="0" w:color="auto"/>
              </w:divBdr>
              <w:divsChild>
                <w:div w:id="1250433012">
                  <w:marLeft w:val="0"/>
                  <w:marRight w:val="0"/>
                  <w:marTop w:val="0"/>
                  <w:marBottom w:val="0"/>
                  <w:divBdr>
                    <w:top w:val="none" w:sz="0" w:space="0" w:color="auto"/>
                    <w:left w:val="single" w:sz="2" w:space="2" w:color="D6D6D6"/>
                    <w:bottom w:val="single" w:sz="2" w:space="0" w:color="D6D6D6"/>
                    <w:right w:val="none" w:sz="0" w:space="0" w:color="auto"/>
                  </w:divBdr>
                </w:div>
                <w:div w:id="2139715603">
                  <w:marLeft w:val="0"/>
                  <w:marRight w:val="0"/>
                  <w:marTop w:val="0"/>
                  <w:marBottom w:val="0"/>
                  <w:divBdr>
                    <w:top w:val="none" w:sz="0" w:space="0" w:color="auto"/>
                    <w:left w:val="none" w:sz="0" w:space="0" w:color="auto"/>
                    <w:bottom w:val="single" w:sz="2" w:space="0" w:color="D6D6D6"/>
                    <w:right w:val="none" w:sz="0" w:space="0" w:color="auto"/>
                  </w:divBdr>
                  <w:divsChild>
                    <w:div w:id="118687104">
                      <w:marLeft w:val="0"/>
                      <w:marRight w:val="0"/>
                      <w:marTop w:val="0"/>
                      <w:marBottom w:val="0"/>
                      <w:divBdr>
                        <w:top w:val="none" w:sz="0" w:space="0" w:color="auto"/>
                        <w:left w:val="none" w:sz="0" w:space="0" w:color="auto"/>
                        <w:bottom w:val="none" w:sz="0" w:space="0" w:color="auto"/>
                        <w:right w:val="none" w:sz="0" w:space="0" w:color="auto"/>
                      </w:divBdr>
                    </w:div>
                  </w:divsChild>
                </w:div>
                <w:div w:id="336033759">
                  <w:marLeft w:val="0"/>
                  <w:marRight w:val="0"/>
                  <w:marTop w:val="0"/>
                  <w:marBottom w:val="0"/>
                  <w:divBdr>
                    <w:top w:val="none" w:sz="0" w:space="0" w:color="auto"/>
                    <w:left w:val="none" w:sz="0" w:space="0" w:color="auto"/>
                    <w:bottom w:val="single" w:sz="2" w:space="0" w:color="D6D6D6"/>
                    <w:right w:val="none" w:sz="0" w:space="0" w:color="auto"/>
                  </w:divBdr>
                </w:div>
                <w:div w:id="1689019354">
                  <w:marLeft w:val="0"/>
                  <w:marRight w:val="0"/>
                  <w:marTop w:val="0"/>
                  <w:marBottom w:val="0"/>
                  <w:divBdr>
                    <w:top w:val="none" w:sz="0" w:space="0" w:color="auto"/>
                    <w:left w:val="none" w:sz="0" w:space="0" w:color="auto"/>
                    <w:bottom w:val="single" w:sz="2" w:space="0" w:color="D6D6D6"/>
                    <w:right w:val="none" w:sz="0" w:space="0" w:color="auto"/>
                  </w:divBdr>
                </w:div>
                <w:div w:id="1015499051">
                  <w:marLeft w:val="0"/>
                  <w:marRight w:val="0"/>
                  <w:marTop w:val="0"/>
                  <w:marBottom w:val="0"/>
                  <w:divBdr>
                    <w:top w:val="none" w:sz="0" w:space="0" w:color="auto"/>
                    <w:left w:val="none" w:sz="0" w:space="0" w:color="auto"/>
                    <w:bottom w:val="single" w:sz="2" w:space="0" w:color="D6D6D6"/>
                    <w:right w:val="none" w:sz="0" w:space="0" w:color="auto"/>
                  </w:divBdr>
                </w:div>
                <w:div w:id="658772970">
                  <w:marLeft w:val="0"/>
                  <w:marRight w:val="0"/>
                  <w:marTop w:val="0"/>
                  <w:marBottom w:val="0"/>
                  <w:divBdr>
                    <w:top w:val="none" w:sz="0" w:space="0" w:color="auto"/>
                    <w:left w:val="none" w:sz="0" w:space="0" w:color="auto"/>
                    <w:bottom w:val="single" w:sz="2" w:space="0" w:color="D6D6D6"/>
                    <w:right w:val="single" w:sz="2" w:space="2" w:color="D6D6D6"/>
                  </w:divBdr>
                </w:div>
              </w:divsChild>
            </w:div>
            <w:div w:id="1875381832">
              <w:marLeft w:val="0"/>
              <w:marRight w:val="0"/>
              <w:marTop w:val="0"/>
              <w:marBottom w:val="0"/>
              <w:divBdr>
                <w:top w:val="none" w:sz="0" w:space="0" w:color="auto"/>
                <w:left w:val="none" w:sz="0" w:space="0" w:color="auto"/>
                <w:bottom w:val="none" w:sz="0" w:space="0" w:color="auto"/>
                <w:right w:val="none" w:sz="0" w:space="0" w:color="auto"/>
              </w:divBdr>
              <w:divsChild>
                <w:div w:id="1814520605">
                  <w:marLeft w:val="0"/>
                  <w:marRight w:val="0"/>
                  <w:marTop w:val="0"/>
                  <w:marBottom w:val="0"/>
                  <w:divBdr>
                    <w:top w:val="none" w:sz="0" w:space="0" w:color="auto"/>
                    <w:left w:val="none" w:sz="0" w:space="0" w:color="auto"/>
                    <w:bottom w:val="none" w:sz="0" w:space="0" w:color="auto"/>
                    <w:right w:val="none" w:sz="0" w:space="0" w:color="auto"/>
                  </w:divBdr>
                </w:div>
              </w:divsChild>
            </w:div>
            <w:div w:id="1412969027">
              <w:marLeft w:val="0"/>
              <w:marRight w:val="0"/>
              <w:marTop w:val="0"/>
              <w:marBottom w:val="0"/>
              <w:divBdr>
                <w:top w:val="none" w:sz="0" w:space="0" w:color="auto"/>
                <w:left w:val="none" w:sz="0" w:space="0" w:color="auto"/>
                <w:bottom w:val="none" w:sz="0" w:space="0" w:color="auto"/>
                <w:right w:val="none" w:sz="0" w:space="0" w:color="auto"/>
              </w:divBdr>
              <w:divsChild>
                <w:div w:id="1589925948">
                  <w:marLeft w:val="0"/>
                  <w:marRight w:val="0"/>
                  <w:marTop w:val="0"/>
                  <w:marBottom w:val="0"/>
                  <w:divBdr>
                    <w:top w:val="none" w:sz="0" w:space="0" w:color="auto"/>
                    <w:left w:val="none" w:sz="0" w:space="0" w:color="auto"/>
                    <w:bottom w:val="none" w:sz="0" w:space="0" w:color="auto"/>
                    <w:right w:val="none" w:sz="0" w:space="0" w:color="auto"/>
                  </w:divBdr>
                </w:div>
                <w:div w:id="646975844">
                  <w:marLeft w:val="0"/>
                  <w:marRight w:val="0"/>
                  <w:marTop w:val="0"/>
                  <w:marBottom w:val="0"/>
                  <w:divBdr>
                    <w:top w:val="none" w:sz="0" w:space="0" w:color="auto"/>
                    <w:left w:val="none" w:sz="0" w:space="0" w:color="auto"/>
                    <w:bottom w:val="none" w:sz="0" w:space="0" w:color="auto"/>
                    <w:right w:val="none" w:sz="0" w:space="0" w:color="auto"/>
                  </w:divBdr>
                </w:div>
                <w:div w:id="602688851">
                  <w:marLeft w:val="0"/>
                  <w:marRight w:val="0"/>
                  <w:marTop w:val="0"/>
                  <w:marBottom w:val="0"/>
                  <w:divBdr>
                    <w:top w:val="none" w:sz="0" w:space="0" w:color="auto"/>
                    <w:left w:val="none" w:sz="0" w:space="0" w:color="auto"/>
                    <w:bottom w:val="none" w:sz="0" w:space="0" w:color="auto"/>
                    <w:right w:val="none" w:sz="0" w:space="0" w:color="auto"/>
                  </w:divBdr>
                </w:div>
                <w:div w:id="443110208">
                  <w:marLeft w:val="0"/>
                  <w:marRight w:val="0"/>
                  <w:marTop w:val="0"/>
                  <w:marBottom w:val="0"/>
                  <w:divBdr>
                    <w:top w:val="none" w:sz="0" w:space="0" w:color="auto"/>
                    <w:left w:val="none" w:sz="0" w:space="0" w:color="auto"/>
                    <w:bottom w:val="none" w:sz="0" w:space="0" w:color="auto"/>
                    <w:right w:val="none" w:sz="0" w:space="0" w:color="auto"/>
                  </w:divBdr>
                </w:div>
                <w:div w:id="1901744778">
                  <w:marLeft w:val="0"/>
                  <w:marRight w:val="0"/>
                  <w:marTop w:val="0"/>
                  <w:marBottom w:val="0"/>
                  <w:divBdr>
                    <w:top w:val="none" w:sz="0" w:space="0" w:color="auto"/>
                    <w:left w:val="none" w:sz="0" w:space="0" w:color="auto"/>
                    <w:bottom w:val="none" w:sz="0" w:space="0" w:color="auto"/>
                    <w:right w:val="none" w:sz="0" w:space="0" w:color="auto"/>
                  </w:divBdr>
                </w:div>
                <w:div w:id="385837939">
                  <w:marLeft w:val="0"/>
                  <w:marRight w:val="0"/>
                  <w:marTop w:val="0"/>
                  <w:marBottom w:val="0"/>
                  <w:divBdr>
                    <w:top w:val="none" w:sz="0" w:space="0" w:color="auto"/>
                    <w:left w:val="none" w:sz="0" w:space="0" w:color="auto"/>
                    <w:bottom w:val="none" w:sz="0" w:space="0" w:color="auto"/>
                    <w:right w:val="none" w:sz="0" w:space="0" w:color="auto"/>
                  </w:divBdr>
                </w:div>
              </w:divsChild>
            </w:div>
            <w:div w:id="323633655">
              <w:marLeft w:val="0"/>
              <w:marRight w:val="0"/>
              <w:marTop w:val="0"/>
              <w:marBottom w:val="0"/>
              <w:divBdr>
                <w:top w:val="none" w:sz="0" w:space="0" w:color="auto"/>
                <w:left w:val="none" w:sz="0" w:space="0" w:color="auto"/>
                <w:bottom w:val="none" w:sz="0" w:space="0" w:color="auto"/>
                <w:right w:val="none" w:sz="0" w:space="0" w:color="auto"/>
              </w:divBdr>
              <w:divsChild>
                <w:div w:id="1338967839">
                  <w:marLeft w:val="0"/>
                  <w:marRight w:val="0"/>
                  <w:marTop w:val="0"/>
                  <w:marBottom w:val="0"/>
                  <w:divBdr>
                    <w:top w:val="none" w:sz="0" w:space="0" w:color="auto"/>
                    <w:left w:val="single" w:sz="2" w:space="2" w:color="D6D6D6"/>
                    <w:bottom w:val="single" w:sz="2" w:space="0" w:color="D6D6D6"/>
                    <w:right w:val="none" w:sz="0" w:space="0" w:color="auto"/>
                  </w:divBdr>
                </w:div>
                <w:div w:id="515576100">
                  <w:marLeft w:val="0"/>
                  <w:marRight w:val="0"/>
                  <w:marTop w:val="0"/>
                  <w:marBottom w:val="0"/>
                  <w:divBdr>
                    <w:top w:val="none" w:sz="0" w:space="0" w:color="auto"/>
                    <w:left w:val="none" w:sz="0" w:space="0" w:color="auto"/>
                    <w:bottom w:val="single" w:sz="2" w:space="0" w:color="D6D6D6"/>
                    <w:right w:val="none" w:sz="0" w:space="0" w:color="auto"/>
                  </w:divBdr>
                  <w:divsChild>
                    <w:div w:id="924148540">
                      <w:marLeft w:val="0"/>
                      <w:marRight w:val="0"/>
                      <w:marTop w:val="0"/>
                      <w:marBottom w:val="0"/>
                      <w:divBdr>
                        <w:top w:val="none" w:sz="0" w:space="0" w:color="auto"/>
                        <w:left w:val="none" w:sz="0" w:space="0" w:color="auto"/>
                        <w:bottom w:val="none" w:sz="0" w:space="0" w:color="auto"/>
                        <w:right w:val="none" w:sz="0" w:space="0" w:color="auto"/>
                      </w:divBdr>
                    </w:div>
                  </w:divsChild>
                </w:div>
                <w:div w:id="428158462">
                  <w:marLeft w:val="0"/>
                  <w:marRight w:val="0"/>
                  <w:marTop w:val="0"/>
                  <w:marBottom w:val="0"/>
                  <w:divBdr>
                    <w:top w:val="none" w:sz="0" w:space="0" w:color="auto"/>
                    <w:left w:val="none" w:sz="0" w:space="0" w:color="auto"/>
                    <w:bottom w:val="single" w:sz="2" w:space="0" w:color="D6D6D6"/>
                    <w:right w:val="none" w:sz="0" w:space="0" w:color="auto"/>
                  </w:divBdr>
                </w:div>
                <w:div w:id="1918399965">
                  <w:marLeft w:val="0"/>
                  <w:marRight w:val="0"/>
                  <w:marTop w:val="0"/>
                  <w:marBottom w:val="0"/>
                  <w:divBdr>
                    <w:top w:val="none" w:sz="0" w:space="0" w:color="auto"/>
                    <w:left w:val="none" w:sz="0" w:space="0" w:color="auto"/>
                    <w:bottom w:val="single" w:sz="2" w:space="0" w:color="D6D6D6"/>
                    <w:right w:val="none" w:sz="0" w:space="0" w:color="auto"/>
                  </w:divBdr>
                </w:div>
                <w:div w:id="1189031586">
                  <w:marLeft w:val="0"/>
                  <w:marRight w:val="0"/>
                  <w:marTop w:val="0"/>
                  <w:marBottom w:val="0"/>
                  <w:divBdr>
                    <w:top w:val="none" w:sz="0" w:space="0" w:color="auto"/>
                    <w:left w:val="none" w:sz="0" w:space="0" w:color="auto"/>
                    <w:bottom w:val="single" w:sz="2" w:space="0" w:color="D6D6D6"/>
                    <w:right w:val="none" w:sz="0" w:space="0" w:color="auto"/>
                  </w:divBdr>
                </w:div>
                <w:div w:id="245962213">
                  <w:marLeft w:val="0"/>
                  <w:marRight w:val="0"/>
                  <w:marTop w:val="0"/>
                  <w:marBottom w:val="0"/>
                  <w:divBdr>
                    <w:top w:val="none" w:sz="0" w:space="0" w:color="auto"/>
                    <w:left w:val="none" w:sz="0" w:space="0" w:color="auto"/>
                    <w:bottom w:val="single" w:sz="2" w:space="0" w:color="D6D6D6"/>
                    <w:right w:val="single" w:sz="2" w:space="2" w:color="D6D6D6"/>
                  </w:divBdr>
                </w:div>
              </w:divsChild>
            </w:div>
            <w:div w:id="1069690389">
              <w:marLeft w:val="0"/>
              <w:marRight w:val="0"/>
              <w:marTop w:val="0"/>
              <w:marBottom w:val="0"/>
              <w:divBdr>
                <w:top w:val="none" w:sz="0" w:space="0" w:color="auto"/>
                <w:left w:val="none" w:sz="0" w:space="0" w:color="auto"/>
                <w:bottom w:val="none" w:sz="0" w:space="0" w:color="auto"/>
                <w:right w:val="none" w:sz="0" w:space="0" w:color="auto"/>
              </w:divBdr>
              <w:divsChild>
                <w:div w:id="1196693734">
                  <w:marLeft w:val="0"/>
                  <w:marRight w:val="0"/>
                  <w:marTop w:val="0"/>
                  <w:marBottom w:val="0"/>
                  <w:divBdr>
                    <w:top w:val="none" w:sz="0" w:space="0" w:color="auto"/>
                    <w:left w:val="single" w:sz="2" w:space="2" w:color="D6D6D6"/>
                    <w:bottom w:val="single" w:sz="2" w:space="0" w:color="D6D6D6"/>
                    <w:right w:val="none" w:sz="0" w:space="0" w:color="auto"/>
                  </w:divBdr>
                </w:div>
                <w:div w:id="259023433">
                  <w:marLeft w:val="0"/>
                  <w:marRight w:val="0"/>
                  <w:marTop w:val="0"/>
                  <w:marBottom w:val="0"/>
                  <w:divBdr>
                    <w:top w:val="none" w:sz="0" w:space="0" w:color="auto"/>
                    <w:left w:val="none" w:sz="0" w:space="0" w:color="auto"/>
                    <w:bottom w:val="single" w:sz="2" w:space="0" w:color="D6D6D6"/>
                    <w:right w:val="none" w:sz="0" w:space="0" w:color="auto"/>
                  </w:divBdr>
                  <w:divsChild>
                    <w:div w:id="879054967">
                      <w:marLeft w:val="0"/>
                      <w:marRight w:val="0"/>
                      <w:marTop w:val="0"/>
                      <w:marBottom w:val="0"/>
                      <w:divBdr>
                        <w:top w:val="none" w:sz="0" w:space="0" w:color="auto"/>
                        <w:left w:val="none" w:sz="0" w:space="0" w:color="auto"/>
                        <w:bottom w:val="none" w:sz="0" w:space="0" w:color="auto"/>
                        <w:right w:val="none" w:sz="0" w:space="0" w:color="auto"/>
                      </w:divBdr>
                    </w:div>
                  </w:divsChild>
                </w:div>
                <w:div w:id="538008839">
                  <w:marLeft w:val="0"/>
                  <w:marRight w:val="0"/>
                  <w:marTop w:val="0"/>
                  <w:marBottom w:val="0"/>
                  <w:divBdr>
                    <w:top w:val="none" w:sz="0" w:space="0" w:color="auto"/>
                    <w:left w:val="none" w:sz="0" w:space="0" w:color="auto"/>
                    <w:bottom w:val="single" w:sz="2" w:space="0" w:color="D6D6D6"/>
                    <w:right w:val="none" w:sz="0" w:space="0" w:color="auto"/>
                  </w:divBdr>
                </w:div>
                <w:div w:id="1846747503">
                  <w:marLeft w:val="0"/>
                  <w:marRight w:val="0"/>
                  <w:marTop w:val="0"/>
                  <w:marBottom w:val="0"/>
                  <w:divBdr>
                    <w:top w:val="none" w:sz="0" w:space="0" w:color="auto"/>
                    <w:left w:val="none" w:sz="0" w:space="0" w:color="auto"/>
                    <w:bottom w:val="single" w:sz="2" w:space="0" w:color="D6D6D6"/>
                    <w:right w:val="none" w:sz="0" w:space="0" w:color="auto"/>
                  </w:divBdr>
                </w:div>
                <w:div w:id="663238344">
                  <w:marLeft w:val="0"/>
                  <w:marRight w:val="0"/>
                  <w:marTop w:val="0"/>
                  <w:marBottom w:val="0"/>
                  <w:divBdr>
                    <w:top w:val="none" w:sz="0" w:space="0" w:color="auto"/>
                    <w:left w:val="none" w:sz="0" w:space="0" w:color="auto"/>
                    <w:bottom w:val="single" w:sz="2" w:space="0" w:color="D6D6D6"/>
                    <w:right w:val="none" w:sz="0" w:space="0" w:color="auto"/>
                  </w:divBdr>
                </w:div>
                <w:div w:id="753360921">
                  <w:marLeft w:val="0"/>
                  <w:marRight w:val="0"/>
                  <w:marTop w:val="0"/>
                  <w:marBottom w:val="0"/>
                  <w:divBdr>
                    <w:top w:val="none" w:sz="0" w:space="0" w:color="auto"/>
                    <w:left w:val="none" w:sz="0" w:space="0" w:color="auto"/>
                    <w:bottom w:val="single" w:sz="2" w:space="0" w:color="D6D6D6"/>
                    <w:right w:val="single" w:sz="2" w:space="2" w:color="D6D6D6"/>
                  </w:divBdr>
                </w:div>
              </w:divsChild>
            </w:div>
            <w:div w:id="130055182">
              <w:marLeft w:val="0"/>
              <w:marRight w:val="0"/>
              <w:marTop w:val="0"/>
              <w:marBottom w:val="0"/>
              <w:divBdr>
                <w:top w:val="none" w:sz="0" w:space="0" w:color="auto"/>
                <w:left w:val="none" w:sz="0" w:space="0" w:color="auto"/>
                <w:bottom w:val="none" w:sz="0" w:space="0" w:color="auto"/>
                <w:right w:val="none" w:sz="0" w:space="0" w:color="auto"/>
              </w:divBdr>
              <w:divsChild>
                <w:div w:id="2055348051">
                  <w:marLeft w:val="0"/>
                  <w:marRight w:val="0"/>
                  <w:marTop w:val="0"/>
                  <w:marBottom w:val="0"/>
                  <w:divBdr>
                    <w:top w:val="none" w:sz="0" w:space="0" w:color="auto"/>
                    <w:left w:val="single" w:sz="2" w:space="2" w:color="D6D6D6"/>
                    <w:bottom w:val="single" w:sz="2" w:space="0" w:color="D6D6D6"/>
                    <w:right w:val="none" w:sz="0" w:space="0" w:color="auto"/>
                  </w:divBdr>
                </w:div>
                <w:div w:id="1089346995">
                  <w:marLeft w:val="0"/>
                  <w:marRight w:val="0"/>
                  <w:marTop w:val="0"/>
                  <w:marBottom w:val="0"/>
                  <w:divBdr>
                    <w:top w:val="none" w:sz="0" w:space="0" w:color="auto"/>
                    <w:left w:val="none" w:sz="0" w:space="0" w:color="auto"/>
                    <w:bottom w:val="single" w:sz="2" w:space="0" w:color="D6D6D6"/>
                    <w:right w:val="none" w:sz="0" w:space="0" w:color="auto"/>
                  </w:divBdr>
                  <w:divsChild>
                    <w:div w:id="1093745143">
                      <w:marLeft w:val="0"/>
                      <w:marRight w:val="0"/>
                      <w:marTop w:val="0"/>
                      <w:marBottom w:val="0"/>
                      <w:divBdr>
                        <w:top w:val="none" w:sz="0" w:space="0" w:color="auto"/>
                        <w:left w:val="none" w:sz="0" w:space="0" w:color="auto"/>
                        <w:bottom w:val="none" w:sz="0" w:space="0" w:color="auto"/>
                        <w:right w:val="none" w:sz="0" w:space="0" w:color="auto"/>
                      </w:divBdr>
                    </w:div>
                  </w:divsChild>
                </w:div>
                <w:div w:id="1629700460">
                  <w:marLeft w:val="0"/>
                  <w:marRight w:val="0"/>
                  <w:marTop w:val="0"/>
                  <w:marBottom w:val="0"/>
                  <w:divBdr>
                    <w:top w:val="none" w:sz="0" w:space="0" w:color="auto"/>
                    <w:left w:val="none" w:sz="0" w:space="0" w:color="auto"/>
                    <w:bottom w:val="single" w:sz="2" w:space="0" w:color="D6D6D6"/>
                    <w:right w:val="none" w:sz="0" w:space="0" w:color="auto"/>
                  </w:divBdr>
                </w:div>
                <w:div w:id="1481458953">
                  <w:marLeft w:val="0"/>
                  <w:marRight w:val="0"/>
                  <w:marTop w:val="0"/>
                  <w:marBottom w:val="0"/>
                  <w:divBdr>
                    <w:top w:val="none" w:sz="0" w:space="0" w:color="auto"/>
                    <w:left w:val="none" w:sz="0" w:space="0" w:color="auto"/>
                    <w:bottom w:val="single" w:sz="2" w:space="0" w:color="D6D6D6"/>
                    <w:right w:val="none" w:sz="0" w:space="0" w:color="auto"/>
                  </w:divBdr>
                </w:div>
                <w:div w:id="398599876">
                  <w:marLeft w:val="0"/>
                  <w:marRight w:val="0"/>
                  <w:marTop w:val="0"/>
                  <w:marBottom w:val="0"/>
                  <w:divBdr>
                    <w:top w:val="none" w:sz="0" w:space="0" w:color="auto"/>
                    <w:left w:val="none" w:sz="0" w:space="0" w:color="auto"/>
                    <w:bottom w:val="single" w:sz="2" w:space="0" w:color="D6D6D6"/>
                    <w:right w:val="none" w:sz="0" w:space="0" w:color="auto"/>
                  </w:divBdr>
                </w:div>
                <w:div w:id="1247299689">
                  <w:marLeft w:val="0"/>
                  <w:marRight w:val="0"/>
                  <w:marTop w:val="0"/>
                  <w:marBottom w:val="0"/>
                  <w:divBdr>
                    <w:top w:val="none" w:sz="0" w:space="0" w:color="auto"/>
                    <w:left w:val="none" w:sz="0" w:space="0" w:color="auto"/>
                    <w:bottom w:val="single" w:sz="2" w:space="0" w:color="D6D6D6"/>
                    <w:right w:val="single" w:sz="2" w:space="2" w:color="D6D6D6"/>
                  </w:divBdr>
                </w:div>
              </w:divsChild>
            </w:div>
            <w:div w:id="2085177222">
              <w:marLeft w:val="0"/>
              <w:marRight w:val="0"/>
              <w:marTop w:val="0"/>
              <w:marBottom w:val="0"/>
              <w:divBdr>
                <w:top w:val="none" w:sz="0" w:space="0" w:color="auto"/>
                <w:left w:val="none" w:sz="0" w:space="0" w:color="auto"/>
                <w:bottom w:val="none" w:sz="0" w:space="0" w:color="auto"/>
                <w:right w:val="none" w:sz="0" w:space="0" w:color="auto"/>
              </w:divBdr>
              <w:divsChild>
                <w:div w:id="1688487155">
                  <w:marLeft w:val="0"/>
                  <w:marRight w:val="0"/>
                  <w:marTop w:val="0"/>
                  <w:marBottom w:val="0"/>
                  <w:divBdr>
                    <w:top w:val="none" w:sz="0" w:space="0" w:color="auto"/>
                    <w:left w:val="single" w:sz="2" w:space="2" w:color="D6D6D6"/>
                    <w:bottom w:val="single" w:sz="2" w:space="0" w:color="D6D6D6"/>
                    <w:right w:val="none" w:sz="0" w:space="0" w:color="auto"/>
                  </w:divBdr>
                </w:div>
                <w:div w:id="1692679775">
                  <w:marLeft w:val="0"/>
                  <w:marRight w:val="0"/>
                  <w:marTop w:val="0"/>
                  <w:marBottom w:val="0"/>
                  <w:divBdr>
                    <w:top w:val="none" w:sz="0" w:space="0" w:color="auto"/>
                    <w:left w:val="none" w:sz="0" w:space="0" w:color="auto"/>
                    <w:bottom w:val="single" w:sz="2" w:space="0" w:color="D6D6D6"/>
                    <w:right w:val="none" w:sz="0" w:space="0" w:color="auto"/>
                  </w:divBdr>
                  <w:divsChild>
                    <w:div w:id="931624774">
                      <w:marLeft w:val="0"/>
                      <w:marRight w:val="0"/>
                      <w:marTop w:val="0"/>
                      <w:marBottom w:val="0"/>
                      <w:divBdr>
                        <w:top w:val="none" w:sz="0" w:space="0" w:color="auto"/>
                        <w:left w:val="none" w:sz="0" w:space="0" w:color="auto"/>
                        <w:bottom w:val="none" w:sz="0" w:space="0" w:color="auto"/>
                        <w:right w:val="none" w:sz="0" w:space="0" w:color="auto"/>
                      </w:divBdr>
                    </w:div>
                  </w:divsChild>
                </w:div>
                <w:div w:id="1463843164">
                  <w:marLeft w:val="0"/>
                  <w:marRight w:val="0"/>
                  <w:marTop w:val="0"/>
                  <w:marBottom w:val="0"/>
                  <w:divBdr>
                    <w:top w:val="none" w:sz="0" w:space="0" w:color="auto"/>
                    <w:left w:val="none" w:sz="0" w:space="0" w:color="auto"/>
                    <w:bottom w:val="single" w:sz="2" w:space="0" w:color="D6D6D6"/>
                    <w:right w:val="none" w:sz="0" w:space="0" w:color="auto"/>
                  </w:divBdr>
                </w:div>
                <w:div w:id="1477917702">
                  <w:marLeft w:val="0"/>
                  <w:marRight w:val="0"/>
                  <w:marTop w:val="0"/>
                  <w:marBottom w:val="0"/>
                  <w:divBdr>
                    <w:top w:val="none" w:sz="0" w:space="0" w:color="auto"/>
                    <w:left w:val="none" w:sz="0" w:space="0" w:color="auto"/>
                    <w:bottom w:val="single" w:sz="2" w:space="0" w:color="D6D6D6"/>
                    <w:right w:val="none" w:sz="0" w:space="0" w:color="auto"/>
                  </w:divBdr>
                </w:div>
                <w:div w:id="1316908358">
                  <w:marLeft w:val="0"/>
                  <w:marRight w:val="0"/>
                  <w:marTop w:val="0"/>
                  <w:marBottom w:val="0"/>
                  <w:divBdr>
                    <w:top w:val="none" w:sz="0" w:space="0" w:color="auto"/>
                    <w:left w:val="none" w:sz="0" w:space="0" w:color="auto"/>
                    <w:bottom w:val="single" w:sz="2" w:space="0" w:color="D6D6D6"/>
                    <w:right w:val="none" w:sz="0" w:space="0" w:color="auto"/>
                  </w:divBdr>
                </w:div>
                <w:div w:id="1184973895">
                  <w:marLeft w:val="0"/>
                  <w:marRight w:val="0"/>
                  <w:marTop w:val="0"/>
                  <w:marBottom w:val="0"/>
                  <w:divBdr>
                    <w:top w:val="none" w:sz="0" w:space="0" w:color="auto"/>
                    <w:left w:val="none" w:sz="0" w:space="0" w:color="auto"/>
                    <w:bottom w:val="single" w:sz="2" w:space="0" w:color="D6D6D6"/>
                    <w:right w:val="single" w:sz="2" w:space="2" w:color="D6D6D6"/>
                  </w:divBdr>
                </w:div>
              </w:divsChild>
            </w:div>
            <w:div w:id="1751928933">
              <w:marLeft w:val="0"/>
              <w:marRight w:val="0"/>
              <w:marTop w:val="0"/>
              <w:marBottom w:val="0"/>
              <w:divBdr>
                <w:top w:val="none" w:sz="0" w:space="0" w:color="auto"/>
                <w:left w:val="none" w:sz="0" w:space="0" w:color="auto"/>
                <w:bottom w:val="none" w:sz="0" w:space="0" w:color="auto"/>
                <w:right w:val="none" w:sz="0" w:space="0" w:color="auto"/>
              </w:divBdr>
              <w:divsChild>
                <w:div w:id="1962303903">
                  <w:marLeft w:val="0"/>
                  <w:marRight w:val="0"/>
                  <w:marTop w:val="0"/>
                  <w:marBottom w:val="0"/>
                  <w:divBdr>
                    <w:top w:val="none" w:sz="0" w:space="0" w:color="auto"/>
                    <w:left w:val="single" w:sz="2" w:space="2" w:color="D6D6D6"/>
                    <w:bottom w:val="single" w:sz="2" w:space="0" w:color="D6D6D6"/>
                    <w:right w:val="none" w:sz="0" w:space="0" w:color="auto"/>
                  </w:divBdr>
                </w:div>
                <w:div w:id="377627256">
                  <w:marLeft w:val="0"/>
                  <w:marRight w:val="0"/>
                  <w:marTop w:val="0"/>
                  <w:marBottom w:val="0"/>
                  <w:divBdr>
                    <w:top w:val="none" w:sz="0" w:space="0" w:color="auto"/>
                    <w:left w:val="none" w:sz="0" w:space="0" w:color="auto"/>
                    <w:bottom w:val="single" w:sz="2" w:space="0" w:color="D6D6D6"/>
                    <w:right w:val="none" w:sz="0" w:space="0" w:color="auto"/>
                  </w:divBdr>
                  <w:divsChild>
                    <w:div w:id="1085346768">
                      <w:marLeft w:val="0"/>
                      <w:marRight w:val="0"/>
                      <w:marTop w:val="0"/>
                      <w:marBottom w:val="0"/>
                      <w:divBdr>
                        <w:top w:val="none" w:sz="0" w:space="0" w:color="auto"/>
                        <w:left w:val="none" w:sz="0" w:space="0" w:color="auto"/>
                        <w:bottom w:val="none" w:sz="0" w:space="0" w:color="auto"/>
                        <w:right w:val="none" w:sz="0" w:space="0" w:color="auto"/>
                      </w:divBdr>
                    </w:div>
                  </w:divsChild>
                </w:div>
                <w:div w:id="1559508899">
                  <w:marLeft w:val="0"/>
                  <w:marRight w:val="0"/>
                  <w:marTop w:val="0"/>
                  <w:marBottom w:val="0"/>
                  <w:divBdr>
                    <w:top w:val="none" w:sz="0" w:space="0" w:color="auto"/>
                    <w:left w:val="none" w:sz="0" w:space="0" w:color="auto"/>
                    <w:bottom w:val="single" w:sz="2" w:space="0" w:color="D6D6D6"/>
                    <w:right w:val="none" w:sz="0" w:space="0" w:color="auto"/>
                  </w:divBdr>
                </w:div>
                <w:div w:id="2049942">
                  <w:marLeft w:val="0"/>
                  <w:marRight w:val="0"/>
                  <w:marTop w:val="0"/>
                  <w:marBottom w:val="0"/>
                  <w:divBdr>
                    <w:top w:val="none" w:sz="0" w:space="0" w:color="auto"/>
                    <w:left w:val="none" w:sz="0" w:space="0" w:color="auto"/>
                    <w:bottom w:val="single" w:sz="2" w:space="0" w:color="D6D6D6"/>
                    <w:right w:val="none" w:sz="0" w:space="0" w:color="auto"/>
                  </w:divBdr>
                </w:div>
                <w:div w:id="1916893157">
                  <w:marLeft w:val="0"/>
                  <w:marRight w:val="0"/>
                  <w:marTop w:val="0"/>
                  <w:marBottom w:val="0"/>
                  <w:divBdr>
                    <w:top w:val="none" w:sz="0" w:space="0" w:color="auto"/>
                    <w:left w:val="none" w:sz="0" w:space="0" w:color="auto"/>
                    <w:bottom w:val="single" w:sz="2" w:space="0" w:color="D6D6D6"/>
                    <w:right w:val="none" w:sz="0" w:space="0" w:color="auto"/>
                  </w:divBdr>
                </w:div>
                <w:div w:id="730075560">
                  <w:marLeft w:val="0"/>
                  <w:marRight w:val="0"/>
                  <w:marTop w:val="0"/>
                  <w:marBottom w:val="0"/>
                  <w:divBdr>
                    <w:top w:val="none" w:sz="0" w:space="0" w:color="auto"/>
                    <w:left w:val="none" w:sz="0" w:space="0" w:color="auto"/>
                    <w:bottom w:val="single" w:sz="2" w:space="0" w:color="D6D6D6"/>
                    <w:right w:val="single" w:sz="2" w:space="2" w:color="D6D6D6"/>
                  </w:divBdr>
                </w:div>
              </w:divsChild>
            </w:div>
            <w:div w:id="1360013881">
              <w:marLeft w:val="0"/>
              <w:marRight w:val="0"/>
              <w:marTop w:val="0"/>
              <w:marBottom w:val="0"/>
              <w:divBdr>
                <w:top w:val="none" w:sz="0" w:space="0" w:color="auto"/>
                <w:left w:val="none" w:sz="0" w:space="0" w:color="auto"/>
                <w:bottom w:val="none" w:sz="0" w:space="0" w:color="auto"/>
                <w:right w:val="none" w:sz="0" w:space="0" w:color="auto"/>
              </w:divBdr>
              <w:divsChild>
                <w:div w:id="1236278169">
                  <w:marLeft w:val="0"/>
                  <w:marRight w:val="0"/>
                  <w:marTop w:val="0"/>
                  <w:marBottom w:val="0"/>
                  <w:divBdr>
                    <w:top w:val="none" w:sz="0" w:space="0" w:color="auto"/>
                    <w:left w:val="none" w:sz="0" w:space="0" w:color="auto"/>
                    <w:bottom w:val="none" w:sz="0" w:space="0" w:color="auto"/>
                    <w:right w:val="none" w:sz="0" w:space="0" w:color="auto"/>
                  </w:divBdr>
                </w:div>
              </w:divsChild>
            </w:div>
            <w:div w:id="1332754072">
              <w:marLeft w:val="0"/>
              <w:marRight w:val="0"/>
              <w:marTop w:val="0"/>
              <w:marBottom w:val="0"/>
              <w:divBdr>
                <w:top w:val="none" w:sz="0" w:space="0" w:color="auto"/>
                <w:left w:val="none" w:sz="0" w:space="0" w:color="auto"/>
                <w:bottom w:val="none" w:sz="0" w:space="0" w:color="auto"/>
                <w:right w:val="none" w:sz="0" w:space="0" w:color="auto"/>
              </w:divBdr>
              <w:divsChild>
                <w:div w:id="1513178913">
                  <w:marLeft w:val="0"/>
                  <w:marRight w:val="0"/>
                  <w:marTop w:val="0"/>
                  <w:marBottom w:val="0"/>
                  <w:divBdr>
                    <w:top w:val="none" w:sz="0" w:space="0" w:color="auto"/>
                    <w:left w:val="none" w:sz="0" w:space="0" w:color="auto"/>
                    <w:bottom w:val="none" w:sz="0" w:space="0" w:color="auto"/>
                    <w:right w:val="none" w:sz="0" w:space="0" w:color="auto"/>
                  </w:divBdr>
                </w:div>
                <w:div w:id="1365979054">
                  <w:marLeft w:val="0"/>
                  <w:marRight w:val="0"/>
                  <w:marTop w:val="0"/>
                  <w:marBottom w:val="0"/>
                  <w:divBdr>
                    <w:top w:val="none" w:sz="0" w:space="0" w:color="auto"/>
                    <w:left w:val="none" w:sz="0" w:space="0" w:color="auto"/>
                    <w:bottom w:val="none" w:sz="0" w:space="0" w:color="auto"/>
                    <w:right w:val="none" w:sz="0" w:space="0" w:color="auto"/>
                  </w:divBdr>
                </w:div>
                <w:div w:id="1040931588">
                  <w:marLeft w:val="0"/>
                  <w:marRight w:val="0"/>
                  <w:marTop w:val="0"/>
                  <w:marBottom w:val="0"/>
                  <w:divBdr>
                    <w:top w:val="none" w:sz="0" w:space="0" w:color="auto"/>
                    <w:left w:val="none" w:sz="0" w:space="0" w:color="auto"/>
                    <w:bottom w:val="none" w:sz="0" w:space="0" w:color="auto"/>
                    <w:right w:val="none" w:sz="0" w:space="0" w:color="auto"/>
                  </w:divBdr>
                </w:div>
                <w:div w:id="1009984677">
                  <w:marLeft w:val="0"/>
                  <w:marRight w:val="0"/>
                  <w:marTop w:val="0"/>
                  <w:marBottom w:val="0"/>
                  <w:divBdr>
                    <w:top w:val="none" w:sz="0" w:space="0" w:color="auto"/>
                    <w:left w:val="none" w:sz="0" w:space="0" w:color="auto"/>
                    <w:bottom w:val="none" w:sz="0" w:space="0" w:color="auto"/>
                    <w:right w:val="none" w:sz="0" w:space="0" w:color="auto"/>
                  </w:divBdr>
                </w:div>
                <w:div w:id="1582134897">
                  <w:marLeft w:val="0"/>
                  <w:marRight w:val="0"/>
                  <w:marTop w:val="0"/>
                  <w:marBottom w:val="0"/>
                  <w:divBdr>
                    <w:top w:val="none" w:sz="0" w:space="0" w:color="auto"/>
                    <w:left w:val="none" w:sz="0" w:space="0" w:color="auto"/>
                    <w:bottom w:val="none" w:sz="0" w:space="0" w:color="auto"/>
                    <w:right w:val="none" w:sz="0" w:space="0" w:color="auto"/>
                  </w:divBdr>
                </w:div>
                <w:div w:id="1800299802">
                  <w:marLeft w:val="0"/>
                  <w:marRight w:val="0"/>
                  <w:marTop w:val="0"/>
                  <w:marBottom w:val="0"/>
                  <w:divBdr>
                    <w:top w:val="none" w:sz="0" w:space="0" w:color="auto"/>
                    <w:left w:val="none" w:sz="0" w:space="0" w:color="auto"/>
                    <w:bottom w:val="none" w:sz="0" w:space="0" w:color="auto"/>
                    <w:right w:val="none" w:sz="0" w:space="0" w:color="auto"/>
                  </w:divBdr>
                </w:div>
              </w:divsChild>
            </w:div>
            <w:div w:id="61803106">
              <w:marLeft w:val="0"/>
              <w:marRight w:val="0"/>
              <w:marTop w:val="0"/>
              <w:marBottom w:val="0"/>
              <w:divBdr>
                <w:top w:val="none" w:sz="0" w:space="0" w:color="auto"/>
                <w:left w:val="none" w:sz="0" w:space="0" w:color="auto"/>
                <w:bottom w:val="none" w:sz="0" w:space="0" w:color="auto"/>
                <w:right w:val="none" w:sz="0" w:space="0" w:color="auto"/>
              </w:divBdr>
              <w:divsChild>
                <w:div w:id="2104063213">
                  <w:marLeft w:val="0"/>
                  <w:marRight w:val="0"/>
                  <w:marTop w:val="0"/>
                  <w:marBottom w:val="0"/>
                  <w:divBdr>
                    <w:top w:val="none" w:sz="0" w:space="0" w:color="auto"/>
                    <w:left w:val="single" w:sz="2" w:space="2" w:color="D6D6D6"/>
                    <w:bottom w:val="single" w:sz="2" w:space="0" w:color="D6D6D6"/>
                    <w:right w:val="none" w:sz="0" w:space="0" w:color="auto"/>
                  </w:divBdr>
                </w:div>
                <w:div w:id="597712832">
                  <w:marLeft w:val="0"/>
                  <w:marRight w:val="0"/>
                  <w:marTop w:val="0"/>
                  <w:marBottom w:val="0"/>
                  <w:divBdr>
                    <w:top w:val="none" w:sz="0" w:space="0" w:color="auto"/>
                    <w:left w:val="none" w:sz="0" w:space="0" w:color="auto"/>
                    <w:bottom w:val="single" w:sz="2" w:space="0" w:color="D6D6D6"/>
                    <w:right w:val="none" w:sz="0" w:space="0" w:color="auto"/>
                  </w:divBdr>
                  <w:divsChild>
                    <w:div w:id="1074401545">
                      <w:marLeft w:val="0"/>
                      <w:marRight w:val="0"/>
                      <w:marTop w:val="0"/>
                      <w:marBottom w:val="0"/>
                      <w:divBdr>
                        <w:top w:val="none" w:sz="0" w:space="0" w:color="auto"/>
                        <w:left w:val="none" w:sz="0" w:space="0" w:color="auto"/>
                        <w:bottom w:val="none" w:sz="0" w:space="0" w:color="auto"/>
                        <w:right w:val="none" w:sz="0" w:space="0" w:color="auto"/>
                      </w:divBdr>
                    </w:div>
                  </w:divsChild>
                </w:div>
                <w:div w:id="2008970637">
                  <w:marLeft w:val="0"/>
                  <w:marRight w:val="0"/>
                  <w:marTop w:val="0"/>
                  <w:marBottom w:val="0"/>
                  <w:divBdr>
                    <w:top w:val="none" w:sz="0" w:space="0" w:color="auto"/>
                    <w:left w:val="none" w:sz="0" w:space="0" w:color="auto"/>
                    <w:bottom w:val="single" w:sz="2" w:space="0" w:color="D6D6D6"/>
                    <w:right w:val="none" w:sz="0" w:space="0" w:color="auto"/>
                  </w:divBdr>
                </w:div>
                <w:div w:id="1382293275">
                  <w:marLeft w:val="0"/>
                  <w:marRight w:val="0"/>
                  <w:marTop w:val="0"/>
                  <w:marBottom w:val="0"/>
                  <w:divBdr>
                    <w:top w:val="none" w:sz="0" w:space="0" w:color="auto"/>
                    <w:left w:val="none" w:sz="0" w:space="0" w:color="auto"/>
                    <w:bottom w:val="single" w:sz="2" w:space="0" w:color="D6D6D6"/>
                    <w:right w:val="none" w:sz="0" w:space="0" w:color="auto"/>
                  </w:divBdr>
                </w:div>
                <w:div w:id="1522010805">
                  <w:marLeft w:val="0"/>
                  <w:marRight w:val="0"/>
                  <w:marTop w:val="0"/>
                  <w:marBottom w:val="0"/>
                  <w:divBdr>
                    <w:top w:val="none" w:sz="0" w:space="0" w:color="auto"/>
                    <w:left w:val="none" w:sz="0" w:space="0" w:color="auto"/>
                    <w:bottom w:val="single" w:sz="2" w:space="0" w:color="D6D6D6"/>
                    <w:right w:val="none" w:sz="0" w:space="0" w:color="auto"/>
                  </w:divBdr>
                </w:div>
                <w:div w:id="1086920062">
                  <w:marLeft w:val="0"/>
                  <w:marRight w:val="0"/>
                  <w:marTop w:val="0"/>
                  <w:marBottom w:val="0"/>
                  <w:divBdr>
                    <w:top w:val="none" w:sz="0" w:space="0" w:color="auto"/>
                    <w:left w:val="none" w:sz="0" w:space="0" w:color="auto"/>
                    <w:bottom w:val="single" w:sz="2" w:space="0" w:color="D6D6D6"/>
                    <w:right w:val="single" w:sz="2" w:space="2" w:color="D6D6D6"/>
                  </w:divBdr>
                </w:div>
              </w:divsChild>
            </w:div>
            <w:div w:id="1199246992">
              <w:marLeft w:val="0"/>
              <w:marRight w:val="0"/>
              <w:marTop w:val="0"/>
              <w:marBottom w:val="0"/>
              <w:divBdr>
                <w:top w:val="none" w:sz="0" w:space="0" w:color="auto"/>
                <w:left w:val="none" w:sz="0" w:space="0" w:color="auto"/>
                <w:bottom w:val="none" w:sz="0" w:space="0" w:color="auto"/>
                <w:right w:val="none" w:sz="0" w:space="0" w:color="auto"/>
              </w:divBdr>
              <w:divsChild>
                <w:div w:id="1639258396">
                  <w:marLeft w:val="0"/>
                  <w:marRight w:val="0"/>
                  <w:marTop w:val="0"/>
                  <w:marBottom w:val="0"/>
                  <w:divBdr>
                    <w:top w:val="none" w:sz="0" w:space="0" w:color="auto"/>
                    <w:left w:val="single" w:sz="2" w:space="2" w:color="D6D6D6"/>
                    <w:bottom w:val="single" w:sz="2" w:space="0" w:color="D6D6D6"/>
                    <w:right w:val="none" w:sz="0" w:space="0" w:color="auto"/>
                  </w:divBdr>
                </w:div>
                <w:div w:id="1948076609">
                  <w:marLeft w:val="0"/>
                  <w:marRight w:val="0"/>
                  <w:marTop w:val="0"/>
                  <w:marBottom w:val="0"/>
                  <w:divBdr>
                    <w:top w:val="none" w:sz="0" w:space="0" w:color="auto"/>
                    <w:left w:val="none" w:sz="0" w:space="0" w:color="auto"/>
                    <w:bottom w:val="single" w:sz="2" w:space="0" w:color="D6D6D6"/>
                    <w:right w:val="none" w:sz="0" w:space="0" w:color="auto"/>
                  </w:divBdr>
                  <w:divsChild>
                    <w:div w:id="1151290710">
                      <w:marLeft w:val="0"/>
                      <w:marRight w:val="0"/>
                      <w:marTop w:val="0"/>
                      <w:marBottom w:val="0"/>
                      <w:divBdr>
                        <w:top w:val="none" w:sz="0" w:space="0" w:color="auto"/>
                        <w:left w:val="none" w:sz="0" w:space="0" w:color="auto"/>
                        <w:bottom w:val="none" w:sz="0" w:space="0" w:color="auto"/>
                        <w:right w:val="none" w:sz="0" w:space="0" w:color="auto"/>
                      </w:divBdr>
                    </w:div>
                  </w:divsChild>
                </w:div>
                <w:div w:id="770856616">
                  <w:marLeft w:val="0"/>
                  <w:marRight w:val="0"/>
                  <w:marTop w:val="0"/>
                  <w:marBottom w:val="0"/>
                  <w:divBdr>
                    <w:top w:val="none" w:sz="0" w:space="0" w:color="auto"/>
                    <w:left w:val="none" w:sz="0" w:space="0" w:color="auto"/>
                    <w:bottom w:val="single" w:sz="2" w:space="0" w:color="D6D6D6"/>
                    <w:right w:val="none" w:sz="0" w:space="0" w:color="auto"/>
                  </w:divBdr>
                </w:div>
                <w:div w:id="148837162">
                  <w:marLeft w:val="0"/>
                  <w:marRight w:val="0"/>
                  <w:marTop w:val="0"/>
                  <w:marBottom w:val="0"/>
                  <w:divBdr>
                    <w:top w:val="none" w:sz="0" w:space="0" w:color="auto"/>
                    <w:left w:val="none" w:sz="0" w:space="0" w:color="auto"/>
                    <w:bottom w:val="single" w:sz="2" w:space="0" w:color="D6D6D6"/>
                    <w:right w:val="none" w:sz="0" w:space="0" w:color="auto"/>
                  </w:divBdr>
                </w:div>
                <w:div w:id="867791778">
                  <w:marLeft w:val="0"/>
                  <w:marRight w:val="0"/>
                  <w:marTop w:val="0"/>
                  <w:marBottom w:val="0"/>
                  <w:divBdr>
                    <w:top w:val="none" w:sz="0" w:space="0" w:color="auto"/>
                    <w:left w:val="none" w:sz="0" w:space="0" w:color="auto"/>
                    <w:bottom w:val="single" w:sz="2" w:space="0" w:color="D6D6D6"/>
                    <w:right w:val="none" w:sz="0" w:space="0" w:color="auto"/>
                  </w:divBdr>
                </w:div>
                <w:div w:id="869954797">
                  <w:marLeft w:val="0"/>
                  <w:marRight w:val="0"/>
                  <w:marTop w:val="0"/>
                  <w:marBottom w:val="0"/>
                  <w:divBdr>
                    <w:top w:val="none" w:sz="0" w:space="0" w:color="auto"/>
                    <w:left w:val="none" w:sz="0" w:space="0" w:color="auto"/>
                    <w:bottom w:val="single" w:sz="2" w:space="0" w:color="D6D6D6"/>
                    <w:right w:val="single" w:sz="2" w:space="2" w:color="D6D6D6"/>
                  </w:divBdr>
                </w:div>
              </w:divsChild>
            </w:div>
            <w:div w:id="1829010245">
              <w:marLeft w:val="0"/>
              <w:marRight w:val="0"/>
              <w:marTop w:val="0"/>
              <w:marBottom w:val="0"/>
              <w:divBdr>
                <w:top w:val="none" w:sz="0" w:space="0" w:color="auto"/>
                <w:left w:val="none" w:sz="0" w:space="0" w:color="auto"/>
                <w:bottom w:val="none" w:sz="0" w:space="0" w:color="auto"/>
                <w:right w:val="none" w:sz="0" w:space="0" w:color="auto"/>
              </w:divBdr>
              <w:divsChild>
                <w:div w:id="685789587">
                  <w:marLeft w:val="0"/>
                  <w:marRight w:val="0"/>
                  <w:marTop w:val="0"/>
                  <w:marBottom w:val="0"/>
                  <w:divBdr>
                    <w:top w:val="none" w:sz="0" w:space="0" w:color="auto"/>
                    <w:left w:val="single" w:sz="2" w:space="2" w:color="D6D6D6"/>
                    <w:bottom w:val="single" w:sz="2" w:space="0" w:color="D6D6D6"/>
                    <w:right w:val="none" w:sz="0" w:space="0" w:color="auto"/>
                  </w:divBdr>
                </w:div>
                <w:div w:id="1541240897">
                  <w:marLeft w:val="0"/>
                  <w:marRight w:val="0"/>
                  <w:marTop w:val="0"/>
                  <w:marBottom w:val="0"/>
                  <w:divBdr>
                    <w:top w:val="none" w:sz="0" w:space="0" w:color="auto"/>
                    <w:left w:val="none" w:sz="0" w:space="0" w:color="auto"/>
                    <w:bottom w:val="single" w:sz="2" w:space="0" w:color="D6D6D6"/>
                    <w:right w:val="none" w:sz="0" w:space="0" w:color="auto"/>
                  </w:divBdr>
                  <w:divsChild>
                    <w:div w:id="330254070">
                      <w:marLeft w:val="0"/>
                      <w:marRight w:val="0"/>
                      <w:marTop w:val="0"/>
                      <w:marBottom w:val="0"/>
                      <w:divBdr>
                        <w:top w:val="none" w:sz="0" w:space="0" w:color="auto"/>
                        <w:left w:val="none" w:sz="0" w:space="0" w:color="auto"/>
                        <w:bottom w:val="none" w:sz="0" w:space="0" w:color="auto"/>
                        <w:right w:val="none" w:sz="0" w:space="0" w:color="auto"/>
                      </w:divBdr>
                    </w:div>
                  </w:divsChild>
                </w:div>
                <w:div w:id="206913721">
                  <w:marLeft w:val="0"/>
                  <w:marRight w:val="0"/>
                  <w:marTop w:val="0"/>
                  <w:marBottom w:val="0"/>
                  <w:divBdr>
                    <w:top w:val="none" w:sz="0" w:space="0" w:color="auto"/>
                    <w:left w:val="none" w:sz="0" w:space="0" w:color="auto"/>
                    <w:bottom w:val="single" w:sz="2" w:space="0" w:color="D6D6D6"/>
                    <w:right w:val="none" w:sz="0" w:space="0" w:color="auto"/>
                  </w:divBdr>
                </w:div>
                <w:div w:id="460467139">
                  <w:marLeft w:val="0"/>
                  <w:marRight w:val="0"/>
                  <w:marTop w:val="0"/>
                  <w:marBottom w:val="0"/>
                  <w:divBdr>
                    <w:top w:val="none" w:sz="0" w:space="0" w:color="auto"/>
                    <w:left w:val="none" w:sz="0" w:space="0" w:color="auto"/>
                    <w:bottom w:val="single" w:sz="2" w:space="0" w:color="D6D6D6"/>
                    <w:right w:val="none" w:sz="0" w:space="0" w:color="auto"/>
                  </w:divBdr>
                </w:div>
                <w:div w:id="1871871511">
                  <w:marLeft w:val="0"/>
                  <w:marRight w:val="0"/>
                  <w:marTop w:val="0"/>
                  <w:marBottom w:val="0"/>
                  <w:divBdr>
                    <w:top w:val="none" w:sz="0" w:space="0" w:color="auto"/>
                    <w:left w:val="none" w:sz="0" w:space="0" w:color="auto"/>
                    <w:bottom w:val="single" w:sz="2" w:space="0" w:color="D6D6D6"/>
                    <w:right w:val="none" w:sz="0" w:space="0" w:color="auto"/>
                  </w:divBdr>
                </w:div>
                <w:div w:id="1701280232">
                  <w:marLeft w:val="0"/>
                  <w:marRight w:val="0"/>
                  <w:marTop w:val="0"/>
                  <w:marBottom w:val="0"/>
                  <w:divBdr>
                    <w:top w:val="none" w:sz="0" w:space="0" w:color="auto"/>
                    <w:left w:val="none" w:sz="0" w:space="0" w:color="auto"/>
                    <w:bottom w:val="single" w:sz="2" w:space="0" w:color="D6D6D6"/>
                    <w:right w:val="single" w:sz="2" w:space="2" w:color="D6D6D6"/>
                  </w:divBdr>
                </w:div>
              </w:divsChild>
            </w:div>
            <w:div w:id="1135485967">
              <w:marLeft w:val="0"/>
              <w:marRight w:val="0"/>
              <w:marTop w:val="0"/>
              <w:marBottom w:val="0"/>
              <w:divBdr>
                <w:top w:val="none" w:sz="0" w:space="0" w:color="auto"/>
                <w:left w:val="none" w:sz="0" w:space="0" w:color="auto"/>
                <w:bottom w:val="none" w:sz="0" w:space="0" w:color="auto"/>
                <w:right w:val="none" w:sz="0" w:space="0" w:color="auto"/>
              </w:divBdr>
              <w:divsChild>
                <w:div w:id="951328245">
                  <w:marLeft w:val="0"/>
                  <w:marRight w:val="0"/>
                  <w:marTop w:val="0"/>
                  <w:marBottom w:val="0"/>
                  <w:divBdr>
                    <w:top w:val="none" w:sz="0" w:space="0" w:color="auto"/>
                    <w:left w:val="single" w:sz="2" w:space="2" w:color="D6D6D6"/>
                    <w:bottom w:val="single" w:sz="2" w:space="0" w:color="D6D6D6"/>
                    <w:right w:val="none" w:sz="0" w:space="0" w:color="auto"/>
                  </w:divBdr>
                </w:div>
                <w:div w:id="1443964211">
                  <w:marLeft w:val="0"/>
                  <w:marRight w:val="0"/>
                  <w:marTop w:val="0"/>
                  <w:marBottom w:val="0"/>
                  <w:divBdr>
                    <w:top w:val="none" w:sz="0" w:space="0" w:color="auto"/>
                    <w:left w:val="none" w:sz="0" w:space="0" w:color="auto"/>
                    <w:bottom w:val="single" w:sz="2" w:space="0" w:color="D6D6D6"/>
                    <w:right w:val="none" w:sz="0" w:space="0" w:color="auto"/>
                  </w:divBdr>
                  <w:divsChild>
                    <w:div w:id="1415466992">
                      <w:marLeft w:val="0"/>
                      <w:marRight w:val="0"/>
                      <w:marTop w:val="0"/>
                      <w:marBottom w:val="0"/>
                      <w:divBdr>
                        <w:top w:val="none" w:sz="0" w:space="0" w:color="auto"/>
                        <w:left w:val="none" w:sz="0" w:space="0" w:color="auto"/>
                        <w:bottom w:val="none" w:sz="0" w:space="0" w:color="auto"/>
                        <w:right w:val="none" w:sz="0" w:space="0" w:color="auto"/>
                      </w:divBdr>
                    </w:div>
                  </w:divsChild>
                </w:div>
                <w:div w:id="829058815">
                  <w:marLeft w:val="0"/>
                  <w:marRight w:val="0"/>
                  <w:marTop w:val="0"/>
                  <w:marBottom w:val="0"/>
                  <w:divBdr>
                    <w:top w:val="none" w:sz="0" w:space="0" w:color="auto"/>
                    <w:left w:val="none" w:sz="0" w:space="0" w:color="auto"/>
                    <w:bottom w:val="single" w:sz="2" w:space="0" w:color="D6D6D6"/>
                    <w:right w:val="none" w:sz="0" w:space="0" w:color="auto"/>
                  </w:divBdr>
                </w:div>
                <w:div w:id="1354260314">
                  <w:marLeft w:val="0"/>
                  <w:marRight w:val="0"/>
                  <w:marTop w:val="0"/>
                  <w:marBottom w:val="0"/>
                  <w:divBdr>
                    <w:top w:val="none" w:sz="0" w:space="0" w:color="auto"/>
                    <w:left w:val="none" w:sz="0" w:space="0" w:color="auto"/>
                    <w:bottom w:val="single" w:sz="2" w:space="0" w:color="D6D6D6"/>
                    <w:right w:val="none" w:sz="0" w:space="0" w:color="auto"/>
                  </w:divBdr>
                </w:div>
                <w:div w:id="436758049">
                  <w:marLeft w:val="0"/>
                  <w:marRight w:val="0"/>
                  <w:marTop w:val="0"/>
                  <w:marBottom w:val="0"/>
                  <w:divBdr>
                    <w:top w:val="none" w:sz="0" w:space="0" w:color="auto"/>
                    <w:left w:val="none" w:sz="0" w:space="0" w:color="auto"/>
                    <w:bottom w:val="single" w:sz="2" w:space="0" w:color="D6D6D6"/>
                    <w:right w:val="none" w:sz="0" w:space="0" w:color="auto"/>
                  </w:divBdr>
                </w:div>
                <w:div w:id="374890975">
                  <w:marLeft w:val="0"/>
                  <w:marRight w:val="0"/>
                  <w:marTop w:val="0"/>
                  <w:marBottom w:val="0"/>
                  <w:divBdr>
                    <w:top w:val="none" w:sz="0" w:space="0" w:color="auto"/>
                    <w:left w:val="none" w:sz="0" w:space="0" w:color="auto"/>
                    <w:bottom w:val="single" w:sz="2" w:space="0" w:color="D6D6D6"/>
                    <w:right w:val="single" w:sz="2" w:space="2" w:color="D6D6D6"/>
                  </w:divBdr>
                </w:div>
              </w:divsChild>
            </w:div>
            <w:div w:id="1192180980">
              <w:marLeft w:val="0"/>
              <w:marRight w:val="0"/>
              <w:marTop w:val="0"/>
              <w:marBottom w:val="0"/>
              <w:divBdr>
                <w:top w:val="none" w:sz="0" w:space="0" w:color="auto"/>
                <w:left w:val="none" w:sz="0" w:space="0" w:color="auto"/>
                <w:bottom w:val="none" w:sz="0" w:space="0" w:color="auto"/>
                <w:right w:val="none" w:sz="0" w:space="0" w:color="auto"/>
              </w:divBdr>
              <w:divsChild>
                <w:div w:id="1947153123">
                  <w:marLeft w:val="0"/>
                  <w:marRight w:val="0"/>
                  <w:marTop w:val="0"/>
                  <w:marBottom w:val="0"/>
                  <w:divBdr>
                    <w:top w:val="none" w:sz="0" w:space="0" w:color="auto"/>
                    <w:left w:val="single" w:sz="2" w:space="2" w:color="D6D6D6"/>
                    <w:bottom w:val="single" w:sz="2" w:space="0" w:color="D6D6D6"/>
                    <w:right w:val="none" w:sz="0" w:space="0" w:color="auto"/>
                  </w:divBdr>
                </w:div>
                <w:div w:id="224723717">
                  <w:marLeft w:val="0"/>
                  <w:marRight w:val="0"/>
                  <w:marTop w:val="0"/>
                  <w:marBottom w:val="0"/>
                  <w:divBdr>
                    <w:top w:val="none" w:sz="0" w:space="0" w:color="auto"/>
                    <w:left w:val="none" w:sz="0" w:space="0" w:color="auto"/>
                    <w:bottom w:val="single" w:sz="2" w:space="0" w:color="D6D6D6"/>
                    <w:right w:val="none" w:sz="0" w:space="0" w:color="auto"/>
                  </w:divBdr>
                  <w:divsChild>
                    <w:div w:id="937131527">
                      <w:marLeft w:val="0"/>
                      <w:marRight w:val="0"/>
                      <w:marTop w:val="0"/>
                      <w:marBottom w:val="0"/>
                      <w:divBdr>
                        <w:top w:val="none" w:sz="0" w:space="0" w:color="auto"/>
                        <w:left w:val="none" w:sz="0" w:space="0" w:color="auto"/>
                        <w:bottom w:val="none" w:sz="0" w:space="0" w:color="auto"/>
                        <w:right w:val="none" w:sz="0" w:space="0" w:color="auto"/>
                      </w:divBdr>
                    </w:div>
                  </w:divsChild>
                </w:div>
                <w:div w:id="1577588858">
                  <w:marLeft w:val="0"/>
                  <w:marRight w:val="0"/>
                  <w:marTop w:val="0"/>
                  <w:marBottom w:val="0"/>
                  <w:divBdr>
                    <w:top w:val="none" w:sz="0" w:space="0" w:color="auto"/>
                    <w:left w:val="none" w:sz="0" w:space="0" w:color="auto"/>
                    <w:bottom w:val="single" w:sz="2" w:space="0" w:color="D6D6D6"/>
                    <w:right w:val="none" w:sz="0" w:space="0" w:color="auto"/>
                  </w:divBdr>
                </w:div>
                <w:div w:id="104692124">
                  <w:marLeft w:val="0"/>
                  <w:marRight w:val="0"/>
                  <w:marTop w:val="0"/>
                  <w:marBottom w:val="0"/>
                  <w:divBdr>
                    <w:top w:val="none" w:sz="0" w:space="0" w:color="auto"/>
                    <w:left w:val="none" w:sz="0" w:space="0" w:color="auto"/>
                    <w:bottom w:val="single" w:sz="2" w:space="0" w:color="D6D6D6"/>
                    <w:right w:val="none" w:sz="0" w:space="0" w:color="auto"/>
                  </w:divBdr>
                </w:div>
                <w:div w:id="348410784">
                  <w:marLeft w:val="0"/>
                  <w:marRight w:val="0"/>
                  <w:marTop w:val="0"/>
                  <w:marBottom w:val="0"/>
                  <w:divBdr>
                    <w:top w:val="none" w:sz="0" w:space="0" w:color="auto"/>
                    <w:left w:val="none" w:sz="0" w:space="0" w:color="auto"/>
                    <w:bottom w:val="single" w:sz="2" w:space="0" w:color="D6D6D6"/>
                    <w:right w:val="none" w:sz="0" w:space="0" w:color="auto"/>
                  </w:divBdr>
                </w:div>
                <w:div w:id="940576180">
                  <w:marLeft w:val="0"/>
                  <w:marRight w:val="0"/>
                  <w:marTop w:val="0"/>
                  <w:marBottom w:val="0"/>
                  <w:divBdr>
                    <w:top w:val="none" w:sz="0" w:space="0" w:color="auto"/>
                    <w:left w:val="none" w:sz="0" w:space="0" w:color="auto"/>
                    <w:bottom w:val="single" w:sz="2" w:space="0" w:color="D6D6D6"/>
                    <w:right w:val="single" w:sz="2" w:space="2" w:color="D6D6D6"/>
                  </w:divBdr>
                </w:div>
              </w:divsChild>
            </w:div>
            <w:div w:id="1481455946">
              <w:marLeft w:val="0"/>
              <w:marRight w:val="0"/>
              <w:marTop w:val="0"/>
              <w:marBottom w:val="0"/>
              <w:divBdr>
                <w:top w:val="none" w:sz="0" w:space="0" w:color="auto"/>
                <w:left w:val="none" w:sz="0" w:space="0" w:color="auto"/>
                <w:bottom w:val="none" w:sz="0" w:space="0" w:color="auto"/>
                <w:right w:val="none" w:sz="0" w:space="0" w:color="auto"/>
              </w:divBdr>
              <w:divsChild>
                <w:div w:id="1820803489">
                  <w:marLeft w:val="0"/>
                  <w:marRight w:val="0"/>
                  <w:marTop w:val="0"/>
                  <w:marBottom w:val="0"/>
                  <w:divBdr>
                    <w:top w:val="none" w:sz="0" w:space="0" w:color="auto"/>
                    <w:left w:val="none" w:sz="0" w:space="0" w:color="auto"/>
                    <w:bottom w:val="none" w:sz="0" w:space="0" w:color="auto"/>
                    <w:right w:val="none" w:sz="0" w:space="0" w:color="auto"/>
                  </w:divBdr>
                </w:div>
              </w:divsChild>
            </w:div>
            <w:div w:id="532154653">
              <w:marLeft w:val="0"/>
              <w:marRight w:val="0"/>
              <w:marTop w:val="0"/>
              <w:marBottom w:val="0"/>
              <w:divBdr>
                <w:top w:val="none" w:sz="0" w:space="0" w:color="auto"/>
                <w:left w:val="none" w:sz="0" w:space="0" w:color="auto"/>
                <w:bottom w:val="none" w:sz="0" w:space="0" w:color="auto"/>
                <w:right w:val="none" w:sz="0" w:space="0" w:color="auto"/>
              </w:divBdr>
              <w:divsChild>
                <w:div w:id="1647664113">
                  <w:marLeft w:val="0"/>
                  <w:marRight w:val="0"/>
                  <w:marTop w:val="0"/>
                  <w:marBottom w:val="0"/>
                  <w:divBdr>
                    <w:top w:val="none" w:sz="0" w:space="0" w:color="auto"/>
                    <w:left w:val="none" w:sz="0" w:space="0" w:color="auto"/>
                    <w:bottom w:val="none" w:sz="0" w:space="0" w:color="auto"/>
                    <w:right w:val="none" w:sz="0" w:space="0" w:color="auto"/>
                  </w:divBdr>
                </w:div>
                <w:div w:id="1622109420">
                  <w:marLeft w:val="0"/>
                  <w:marRight w:val="0"/>
                  <w:marTop w:val="0"/>
                  <w:marBottom w:val="0"/>
                  <w:divBdr>
                    <w:top w:val="none" w:sz="0" w:space="0" w:color="auto"/>
                    <w:left w:val="none" w:sz="0" w:space="0" w:color="auto"/>
                    <w:bottom w:val="none" w:sz="0" w:space="0" w:color="auto"/>
                    <w:right w:val="none" w:sz="0" w:space="0" w:color="auto"/>
                  </w:divBdr>
                </w:div>
                <w:div w:id="1023357876">
                  <w:marLeft w:val="0"/>
                  <w:marRight w:val="0"/>
                  <w:marTop w:val="0"/>
                  <w:marBottom w:val="0"/>
                  <w:divBdr>
                    <w:top w:val="none" w:sz="0" w:space="0" w:color="auto"/>
                    <w:left w:val="none" w:sz="0" w:space="0" w:color="auto"/>
                    <w:bottom w:val="none" w:sz="0" w:space="0" w:color="auto"/>
                    <w:right w:val="none" w:sz="0" w:space="0" w:color="auto"/>
                  </w:divBdr>
                </w:div>
                <w:div w:id="512186730">
                  <w:marLeft w:val="0"/>
                  <w:marRight w:val="0"/>
                  <w:marTop w:val="0"/>
                  <w:marBottom w:val="0"/>
                  <w:divBdr>
                    <w:top w:val="none" w:sz="0" w:space="0" w:color="auto"/>
                    <w:left w:val="none" w:sz="0" w:space="0" w:color="auto"/>
                    <w:bottom w:val="none" w:sz="0" w:space="0" w:color="auto"/>
                    <w:right w:val="none" w:sz="0" w:space="0" w:color="auto"/>
                  </w:divBdr>
                </w:div>
                <w:div w:id="1631131592">
                  <w:marLeft w:val="0"/>
                  <w:marRight w:val="0"/>
                  <w:marTop w:val="0"/>
                  <w:marBottom w:val="0"/>
                  <w:divBdr>
                    <w:top w:val="none" w:sz="0" w:space="0" w:color="auto"/>
                    <w:left w:val="none" w:sz="0" w:space="0" w:color="auto"/>
                    <w:bottom w:val="none" w:sz="0" w:space="0" w:color="auto"/>
                    <w:right w:val="none" w:sz="0" w:space="0" w:color="auto"/>
                  </w:divBdr>
                </w:div>
                <w:div w:id="1352755825">
                  <w:marLeft w:val="0"/>
                  <w:marRight w:val="0"/>
                  <w:marTop w:val="0"/>
                  <w:marBottom w:val="0"/>
                  <w:divBdr>
                    <w:top w:val="none" w:sz="0" w:space="0" w:color="auto"/>
                    <w:left w:val="none" w:sz="0" w:space="0" w:color="auto"/>
                    <w:bottom w:val="none" w:sz="0" w:space="0" w:color="auto"/>
                    <w:right w:val="none" w:sz="0" w:space="0" w:color="auto"/>
                  </w:divBdr>
                </w:div>
              </w:divsChild>
            </w:div>
            <w:div w:id="994604587">
              <w:marLeft w:val="0"/>
              <w:marRight w:val="0"/>
              <w:marTop w:val="0"/>
              <w:marBottom w:val="0"/>
              <w:divBdr>
                <w:top w:val="none" w:sz="0" w:space="0" w:color="auto"/>
                <w:left w:val="none" w:sz="0" w:space="0" w:color="auto"/>
                <w:bottom w:val="none" w:sz="0" w:space="0" w:color="auto"/>
                <w:right w:val="none" w:sz="0" w:space="0" w:color="auto"/>
              </w:divBdr>
              <w:divsChild>
                <w:div w:id="595283904">
                  <w:marLeft w:val="0"/>
                  <w:marRight w:val="0"/>
                  <w:marTop w:val="0"/>
                  <w:marBottom w:val="0"/>
                  <w:divBdr>
                    <w:top w:val="none" w:sz="0" w:space="0" w:color="auto"/>
                    <w:left w:val="single" w:sz="2" w:space="2" w:color="D6D6D6"/>
                    <w:bottom w:val="single" w:sz="2" w:space="0" w:color="D6D6D6"/>
                    <w:right w:val="none" w:sz="0" w:space="0" w:color="auto"/>
                  </w:divBdr>
                </w:div>
                <w:div w:id="1970283998">
                  <w:marLeft w:val="0"/>
                  <w:marRight w:val="0"/>
                  <w:marTop w:val="0"/>
                  <w:marBottom w:val="0"/>
                  <w:divBdr>
                    <w:top w:val="none" w:sz="0" w:space="0" w:color="auto"/>
                    <w:left w:val="none" w:sz="0" w:space="0" w:color="auto"/>
                    <w:bottom w:val="single" w:sz="2" w:space="0" w:color="D6D6D6"/>
                    <w:right w:val="none" w:sz="0" w:space="0" w:color="auto"/>
                  </w:divBdr>
                  <w:divsChild>
                    <w:div w:id="406223740">
                      <w:marLeft w:val="0"/>
                      <w:marRight w:val="0"/>
                      <w:marTop w:val="0"/>
                      <w:marBottom w:val="0"/>
                      <w:divBdr>
                        <w:top w:val="none" w:sz="0" w:space="0" w:color="auto"/>
                        <w:left w:val="none" w:sz="0" w:space="0" w:color="auto"/>
                        <w:bottom w:val="none" w:sz="0" w:space="0" w:color="auto"/>
                        <w:right w:val="none" w:sz="0" w:space="0" w:color="auto"/>
                      </w:divBdr>
                    </w:div>
                  </w:divsChild>
                </w:div>
                <w:div w:id="1251548953">
                  <w:marLeft w:val="0"/>
                  <w:marRight w:val="0"/>
                  <w:marTop w:val="0"/>
                  <w:marBottom w:val="0"/>
                  <w:divBdr>
                    <w:top w:val="none" w:sz="0" w:space="0" w:color="auto"/>
                    <w:left w:val="none" w:sz="0" w:space="0" w:color="auto"/>
                    <w:bottom w:val="single" w:sz="2" w:space="0" w:color="D6D6D6"/>
                    <w:right w:val="none" w:sz="0" w:space="0" w:color="auto"/>
                  </w:divBdr>
                </w:div>
                <w:div w:id="332488709">
                  <w:marLeft w:val="0"/>
                  <w:marRight w:val="0"/>
                  <w:marTop w:val="0"/>
                  <w:marBottom w:val="0"/>
                  <w:divBdr>
                    <w:top w:val="none" w:sz="0" w:space="0" w:color="auto"/>
                    <w:left w:val="none" w:sz="0" w:space="0" w:color="auto"/>
                    <w:bottom w:val="single" w:sz="2" w:space="0" w:color="D6D6D6"/>
                    <w:right w:val="none" w:sz="0" w:space="0" w:color="auto"/>
                  </w:divBdr>
                </w:div>
                <w:div w:id="871722586">
                  <w:marLeft w:val="0"/>
                  <w:marRight w:val="0"/>
                  <w:marTop w:val="0"/>
                  <w:marBottom w:val="0"/>
                  <w:divBdr>
                    <w:top w:val="none" w:sz="0" w:space="0" w:color="auto"/>
                    <w:left w:val="none" w:sz="0" w:space="0" w:color="auto"/>
                    <w:bottom w:val="single" w:sz="2" w:space="0" w:color="D6D6D6"/>
                    <w:right w:val="none" w:sz="0" w:space="0" w:color="auto"/>
                  </w:divBdr>
                </w:div>
                <w:div w:id="192303395">
                  <w:marLeft w:val="0"/>
                  <w:marRight w:val="0"/>
                  <w:marTop w:val="0"/>
                  <w:marBottom w:val="0"/>
                  <w:divBdr>
                    <w:top w:val="none" w:sz="0" w:space="0" w:color="auto"/>
                    <w:left w:val="none" w:sz="0" w:space="0" w:color="auto"/>
                    <w:bottom w:val="single" w:sz="2" w:space="0" w:color="D6D6D6"/>
                    <w:right w:val="single" w:sz="2" w:space="2" w:color="D6D6D6"/>
                  </w:divBdr>
                </w:div>
              </w:divsChild>
            </w:div>
            <w:div w:id="725105943">
              <w:marLeft w:val="0"/>
              <w:marRight w:val="0"/>
              <w:marTop w:val="0"/>
              <w:marBottom w:val="0"/>
              <w:divBdr>
                <w:top w:val="none" w:sz="0" w:space="0" w:color="auto"/>
                <w:left w:val="none" w:sz="0" w:space="0" w:color="auto"/>
                <w:bottom w:val="none" w:sz="0" w:space="0" w:color="auto"/>
                <w:right w:val="none" w:sz="0" w:space="0" w:color="auto"/>
              </w:divBdr>
              <w:divsChild>
                <w:div w:id="2038114967">
                  <w:marLeft w:val="0"/>
                  <w:marRight w:val="0"/>
                  <w:marTop w:val="0"/>
                  <w:marBottom w:val="0"/>
                  <w:divBdr>
                    <w:top w:val="none" w:sz="0" w:space="0" w:color="auto"/>
                    <w:left w:val="single" w:sz="2" w:space="2" w:color="D6D6D6"/>
                    <w:bottom w:val="single" w:sz="2" w:space="0" w:color="D6D6D6"/>
                    <w:right w:val="none" w:sz="0" w:space="0" w:color="auto"/>
                  </w:divBdr>
                </w:div>
                <w:div w:id="1656955831">
                  <w:marLeft w:val="0"/>
                  <w:marRight w:val="0"/>
                  <w:marTop w:val="0"/>
                  <w:marBottom w:val="0"/>
                  <w:divBdr>
                    <w:top w:val="none" w:sz="0" w:space="0" w:color="auto"/>
                    <w:left w:val="none" w:sz="0" w:space="0" w:color="auto"/>
                    <w:bottom w:val="single" w:sz="2" w:space="0" w:color="D6D6D6"/>
                    <w:right w:val="none" w:sz="0" w:space="0" w:color="auto"/>
                  </w:divBdr>
                  <w:divsChild>
                    <w:div w:id="2123301424">
                      <w:marLeft w:val="0"/>
                      <w:marRight w:val="0"/>
                      <w:marTop w:val="0"/>
                      <w:marBottom w:val="0"/>
                      <w:divBdr>
                        <w:top w:val="none" w:sz="0" w:space="0" w:color="auto"/>
                        <w:left w:val="none" w:sz="0" w:space="0" w:color="auto"/>
                        <w:bottom w:val="none" w:sz="0" w:space="0" w:color="auto"/>
                        <w:right w:val="none" w:sz="0" w:space="0" w:color="auto"/>
                      </w:divBdr>
                    </w:div>
                  </w:divsChild>
                </w:div>
                <w:div w:id="820271717">
                  <w:marLeft w:val="0"/>
                  <w:marRight w:val="0"/>
                  <w:marTop w:val="0"/>
                  <w:marBottom w:val="0"/>
                  <w:divBdr>
                    <w:top w:val="none" w:sz="0" w:space="0" w:color="auto"/>
                    <w:left w:val="none" w:sz="0" w:space="0" w:color="auto"/>
                    <w:bottom w:val="single" w:sz="2" w:space="0" w:color="D6D6D6"/>
                    <w:right w:val="none" w:sz="0" w:space="0" w:color="auto"/>
                  </w:divBdr>
                </w:div>
                <w:div w:id="1887982025">
                  <w:marLeft w:val="0"/>
                  <w:marRight w:val="0"/>
                  <w:marTop w:val="0"/>
                  <w:marBottom w:val="0"/>
                  <w:divBdr>
                    <w:top w:val="none" w:sz="0" w:space="0" w:color="auto"/>
                    <w:left w:val="none" w:sz="0" w:space="0" w:color="auto"/>
                    <w:bottom w:val="single" w:sz="2" w:space="0" w:color="D6D6D6"/>
                    <w:right w:val="none" w:sz="0" w:space="0" w:color="auto"/>
                  </w:divBdr>
                </w:div>
                <w:div w:id="595868923">
                  <w:marLeft w:val="0"/>
                  <w:marRight w:val="0"/>
                  <w:marTop w:val="0"/>
                  <w:marBottom w:val="0"/>
                  <w:divBdr>
                    <w:top w:val="none" w:sz="0" w:space="0" w:color="auto"/>
                    <w:left w:val="none" w:sz="0" w:space="0" w:color="auto"/>
                    <w:bottom w:val="single" w:sz="2" w:space="0" w:color="D6D6D6"/>
                    <w:right w:val="none" w:sz="0" w:space="0" w:color="auto"/>
                  </w:divBdr>
                </w:div>
                <w:div w:id="35660153">
                  <w:marLeft w:val="0"/>
                  <w:marRight w:val="0"/>
                  <w:marTop w:val="0"/>
                  <w:marBottom w:val="0"/>
                  <w:divBdr>
                    <w:top w:val="none" w:sz="0" w:space="0" w:color="auto"/>
                    <w:left w:val="none" w:sz="0" w:space="0" w:color="auto"/>
                    <w:bottom w:val="single" w:sz="2" w:space="0" w:color="D6D6D6"/>
                    <w:right w:val="single" w:sz="2" w:space="2" w:color="D6D6D6"/>
                  </w:divBdr>
                </w:div>
              </w:divsChild>
            </w:div>
            <w:div w:id="211696070">
              <w:marLeft w:val="0"/>
              <w:marRight w:val="0"/>
              <w:marTop w:val="0"/>
              <w:marBottom w:val="0"/>
              <w:divBdr>
                <w:top w:val="none" w:sz="0" w:space="0" w:color="auto"/>
                <w:left w:val="none" w:sz="0" w:space="0" w:color="auto"/>
                <w:bottom w:val="none" w:sz="0" w:space="0" w:color="auto"/>
                <w:right w:val="none" w:sz="0" w:space="0" w:color="auto"/>
              </w:divBdr>
              <w:divsChild>
                <w:div w:id="713240478">
                  <w:marLeft w:val="0"/>
                  <w:marRight w:val="0"/>
                  <w:marTop w:val="0"/>
                  <w:marBottom w:val="0"/>
                  <w:divBdr>
                    <w:top w:val="none" w:sz="0" w:space="0" w:color="auto"/>
                    <w:left w:val="single" w:sz="2" w:space="2" w:color="D6D6D6"/>
                    <w:bottom w:val="single" w:sz="2" w:space="0" w:color="D6D6D6"/>
                    <w:right w:val="none" w:sz="0" w:space="0" w:color="auto"/>
                  </w:divBdr>
                </w:div>
                <w:div w:id="1109741470">
                  <w:marLeft w:val="0"/>
                  <w:marRight w:val="0"/>
                  <w:marTop w:val="0"/>
                  <w:marBottom w:val="0"/>
                  <w:divBdr>
                    <w:top w:val="none" w:sz="0" w:space="0" w:color="auto"/>
                    <w:left w:val="none" w:sz="0" w:space="0" w:color="auto"/>
                    <w:bottom w:val="single" w:sz="2" w:space="0" w:color="D6D6D6"/>
                    <w:right w:val="none" w:sz="0" w:space="0" w:color="auto"/>
                  </w:divBdr>
                  <w:divsChild>
                    <w:div w:id="1334800510">
                      <w:marLeft w:val="0"/>
                      <w:marRight w:val="0"/>
                      <w:marTop w:val="0"/>
                      <w:marBottom w:val="0"/>
                      <w:divBdr>
                        <w:top w:val="none" w:sz="0" w:space="0" w:color="auto"/>
                        <w:left w:val="none" w:sz="0" w:space="0" w:color="auto"/>
                        <w:bottom w:val="none" w:sz="0" w:space="0" w:color="auto"/>
                        <w:right w:val="none" w:sz="0" w:space="0" w:color="auto"/>
                      </w:divBdr>
                    </w:div>
                  </w:divsChild>
                </w:div>
                <w:div w:id="11038036">
                  <w:marLeft w:val="0"/>
                  <w:marRight w:val="0"/>
                  <w:marTop w:val="0"/>
                  <w:marBottom w:val="0"/>
                  <w:divBdr>
                    <w:top w:val="none" w:sz="0" w:space="0" w:color="auto"/>
                    <w:left w:val="none" w:sz="0" w:space="0" w:color="auto"/>
                    <w:bottom w:val="single" w:sz="2" w:space="0" w:color="D6D6D6"/>
                    <w:right w:val="none" w:sz="0" w:space="0" w:color="auto"/>
                  </w:divBdr>
                </w:div>
                <w:div w:id="1772435286">
                  <w:marLeft w:val="0"/>
                  <w:marRight w:val="0"/>
                  <w:marTop w:val="0"/>
                  <w:marBottom w:val="0"/>
                  <w:divBdr>
                    <w:top w:val="none" w:sz="0" w:space="0" w:color="auto"/>
                    <w:left w:val="none" w:sz="0" w:space="0" w:color="auto"/>
                    <w:bottom w:val="single" w:sz="2" w:space="0" w:color="D6D6D6"/>
                    <w:right w:val="none" w:sz="0" w:space="0" w:color="auto"/>
                  </w:divBdr>
                </w:div>
                <w:div w:id="51121538">
                  <w:marLeft w:val="0"/>
                  <w:marRight w:val="0"/>
                  <w:marTop w:val="0"/>
                  <w:marBottom w:val="0"/>
                  <w:divBdr>
                    <w:top w:val="none" w:sz="0" w:space="0" w:color="auto"/>
                    <w:left w:val="none" w:sz="0" w:space="0" w:color="auto"/>
                    <w:bottom w:val="single" w:sz="2" w:space="0" w:color="D6D6D6"/>
                    <w:right w:val="none" w:sz="0" w:space="0" w:color="auto"/>
                  </w:divBdr>
                </w:div>
                <w:div w:id="1328971358">
                  <w:marLeft w:val="0"/>
                  <w:marRight w:val="0"/>
                  <w:marTop w:val="0"/>
                  <w:marBottom w:val="0"/>
                  <w:divBdr>
                    <w:top w:val="none" w:sz="0" w:space="0" w:color="auto"/>
                    <w:left w:val="none" w:sz="0" w:space="0" w:color="auto"/>
                    <w:bottom w:val="single" w:sz="2" w:space="0" w:color="D6D6D6"/>
                    <w:right w:val="single" w:sz="2" w:space="2" w:color="D6D6D6"/>
                  </w:divBdr>
                </w:div>
              </w:divsChild>
            </w:div>
            <w:div w:id="376198101">
              <w:marLeft w:val="0"/>
              <w:marRight w:val="0"/>
              <w:marTop w:val="0"/>
              <w:marBottom w:val="0"/>
              <w:divBdr>
                <w:top w:val="none" w:sz="0" w:space="0" w:color="auto"/>
                <w:left w:val="none" w:sz="0" w:space="0" w:color="auto"/>
                <w:bottom w:val="none" w:sz="0" w:space="0" w:color="auto"/>
                <w:right w:val="none" w:sz="0" w:space="0" w:color="auto"/>
              </w:divBdr>
              <w:divsChild>
                <w:div w:id="1772045058">
                  <w:marLeft w:val="0"/>
                  <w:marRight w:val="0"/>
                  <w:marTop w:val="0"/>
                  <w:marBottom w:val="0"/>
                  <w:divBdr>
                    <w:top w:val="none" w:sz="0" w:space="0" w:color="auto"/>
                    <w:left w:val="single" w:sz="2" w:space="2" w:color="D6D6D6"/>
                    <w:bottom w:val="single" w:sz="2" w:space="0" w:color="D6D6D6"/>
                    <w:right w:val="none" w:sz="0" w:space="0" w:color="auto"/>
                  </w:divBdr>
                </w:div>
                <w:div w:id="1820460645">
                  <w:marLeft w:val="0"/>
                  <w:marRight w:val="0"/>
                  <w:marTop w:val="0"/>
                  <w:marBottom w:val="0"/>
                  <w:divBdr>
                    <w:top w:val="none" w:sz="0" w:space="0" w:color="auto"/>
                    <w:left w:val="none" w:sz="0" w:space="0" w:color="auto"/>
                    <w:bottom w:val="single" w:sz="2" w:space="0" w:color="D6D6D6"/>
                    <w:right w:val="none" w:sz="0" w:space="0" w:color="auto"/>
                  </w:divBdr>
                  <w:divsChild>
                    <w:div w:id="1241408862">
                      <w:marLeft w:val="0"/>
                      <w:marRight w:val="0"/>
                      <w:marTop w:val="0"/>
                      <w:marBottom w:val="0"/>
                      <w:divBdr>
                        <w:top w:val="none" w:sz="0" w:space="0" w:color="auto"/>
                        <w:left w:val="none" w:sz="0" w:space="0" w:color="auto"/>
                        <w:bottom w:val="none" w:sz="0" w:space="0" w:color="auto"/>
                        <w:right w:val="none" w:sz="0" w:space="0" w:color="auto"/>
                      </w:divBdr>
                    </w:div>
                  </w:divsChild>
                </w:div>
                <w:div w:id="1480270966">
                  <w:marLeft w:val="0"/>
                  <w:marRight w:val="0"/>
                  <w:marTop w:val="0"/>
                  <w:marBottom w:val="0"/>
                  <w:divBdr>
                    <w:top w:val="none" w:sz="0" w:space="0" w:color="auto"/>
                    <w:left w:val="none" w:sz="0" w:space="0" w:color="auto"/>
                    <w:bottom w:val="single" w:sz="2" w:space="0" w:color="D6D6D6"/>
                    <w:right w:val="none" w:sz="0" w:space="0" w:color="auto"/>
                  </w:divBdr>
                </w:div>
                <w:div w:id="1640651384">
                  <w:marLeft w:val="0"/>
                  <w:marRight w:val="0"/>
                  <w:marTop w:val="0"/>
                  <w:marBottom w:val="0"/>
                  <w:divBdr>
                    <w:top w:val="none" w:sz="0" w:space="0" w:color="auto"/>
                    <w:left w:val="none" w:sz="0" w:space="0" w:color="auto"/>
                    <w:bottom w:val="single" w:sz="2" w:space="0" w:color="D6D6D6"/>
                    <w:right w:val="none" w:sz="0" w:space="0" w:color="auto"/>
                  </w:divBdr>
                </w:div>
                <w:div w:id="1157919863">
                  <w:marLeft w:val="0"/>
                  <w:marRight w:val="0"/>
                  <w:marTop w:val="0"/>
                  <w:marBottom w:val="0"/>
                  <w:divBdr>
                    <w:top w:val="none" w:sz="0" w:space="0" w:color="auto"/>
                    <w:left w:val="none" w:sz="0" w:space="0" w:color="auto"/>
                    <w:bottom w:val="single" w:sz="2" w:space="0" w:color="D6D6D6"/>
                    <w:right w:val="none" w:sz="0" w:space="0" w:color="auto"/>
                  </w:divBdr>
                </w:div>
                <w:div w:id="468783189">
                  <w:marLeft w:val="0"/>
                  <w:marRight w:val="0"/>
                  <w:marTop w:val="0"/>
                  <w:marBottom w:val="0"/>
                  <w:divBdr>
                    <w:top w:val="none" w:sz="0" w:space="0" w:color="auto"/>
                    <w:left w:val="none" w:sz="0" w:space="0" w:color="auto"/>
                    <w:bottom w:val="single" w:sz="2" w:space="0" w:color="D6D6D6"/>
                    <w:right w:val="single" w:sz="2" w:space="2" w:color="D6D6D6"/>
                  </w:divBdr>
                </w:div>
              </w:divsChild>
            </w:div>
            <w:div w:id="274485539">
              <w:marLeft w:val="0"/>
              <w:marRight w:val="0"/>
              <w:marTop w:val="0"/>
              <w:marBottom w:val="0"/>
              <w:divBdr>
                <w:top w:val="none" w:sz="0" w:space="0" w:color="auto"/>
                <w:left w:val="none" w:sz="0" w:space="0" w:color="auto"/>
                <w:bottom w:val="none" w:sz="0" w:space="0" w:color="auto"/>
                <w:right w:val="none" w:sz="0" w:space="0" w:color="auto"/>
              </w:divBdr>
              <w:divsChild>
                <w:div w:id="845437004">
                  <w:marLeft w:val="0"/>
                  <w:marRight w:val="0"/>
                  <w:marTop w:val="0"/>
                  <w:marBottom w:val="0"/>
                  <w:divBdr>
                    <w:top w:val="none" w:sz="0" w:space="0" w:color="auto"/>
                    <w:left w:val="single" w:sz="2" w:space="2" w:color="D6D6D6"/>
                    <w:bottom w:val="single" w:sz="2" w:space="0" w:color="D6D6D6"/>
                    <w:right w:val="none" w:sz="0" w:space="0" w:color="auto"/>
                  </w:divBdr>
                </w:div>
                <w:div w:id="711927037">
                  <w:marLeft w:val="0"/>
                  <w:marRight w:val="0"/>
                  <w:marTop w:val="0"/>
                  <w:marBottom w:val="0"/>
                  <w:divBdr>
                    <w:top w:val="none" w:sz="0" w:space="0" w:color="auto"/>
                    <w:left w:val="none" w:sz="0" w:space="0" w:color="auto"/>
                    <w:bottom w:val="single" w:sz="2" w:space="0" w:color="D6D6D6"/>
                    <w:right w:val="none" w:sz="0" w:space="0" w:color="auto"/>
                  </w:divBdr>
                  <w:divsChild>
                    <w:div w:id="128207435">
                      <w:marLeft w:val="0"/>
                      <w:marRight w:val="0"/>
                      <w:marTop w:val="0"/>
                      <w:marBottom w:val="0"/>
                      <w:divBdr>
                        <w:top w:val="none" w:sz="0" w:space="0" w:color="auto"/>
                        <w:left w:val="none" w:sz="0" w:space="0" w:color="auto"/>
                        <w:bottom w:val="none" w:sz="0" w:space="0" w:color="auto"/>
                        <w:right w:val="none" w:sz="0" w:space="0" w:color="auto"/>
                      </w:divBdr>
                    </w:div>
                  </w:divsChild>
                </w:div>
                <w:div w:id="137304078">
                  <w:marLeft w:val="0"/>
                  <w:marRight w:val="0"/>
                  <w:marTop w:val="0"/>
                  <w:marBottom w:val="0"/>
                  <w:divBdr>
                    <w:top w:val="none" w:sz="0" w:space="0" w:color="auto"/>
                    <w:left w:val="none" w:sz="0" w:space="0" w:color="auto"/>
                    <w:bottom w:val="single" w:sz="2" w:space="0" w:color="D6D6D6"/>
                    <w:right w:val="none" w:sz="0" w:space="0" w:color="auto"/>
                  </w:divBdr>
                </w:div>
                <w:div w:id="1454445323">
                  <w:marLeft w:val="0"/>
                  <w:marRight w:val="0"/>
                  <w:marTop w:val="0"/>
                  <w:marBottom w:val="0"/>
                  <w:divBdr>
                    <w:top w:val="none" w:sz="0" w:space="0" w:color="auto"/>
                    <w:left w:val="none" w:sz="0" w:space="0" w:color="auto"/>
                    <w:bottom w:val="single" w:sz="2" w:space="0" w:color="D6D6D6"/>
                    <w:right w:val="none" w:sz="0" w:space="0" w:color="auto"/>
                  </w:divBdr>
                </w:div>
                <w:div w:id="592397505">
                  <w:marLeft w:val="0"/>
                  <w:marRight w:val="0"/>
                  <w:marTop w:val="0"/>
                  <w:marBottom w:val="0"/>
                  <w:divBdr>
                    <w:top w:val="none" w:sz="0" w:space="0" w:color="auto"/>
                    <w:left w:val="none" w:sz="0" w:space="0" w:color="auto"/>
                    <w:bottom w:val="single" w:sz="2" w:space="0" w:color="D6D6D6"/>
                    <w:right w:val="none" w:sz="0" w:space="0" w:color="auto"/>
                  </w:divBdr>
                </w:div>
                <w:div w:id="741827434">
                  <w:marLeft w:val="0"/>
                  <w:marRight w:val="0"/>
                  <w:marTop w:val="0"/>
                  <w:marBottom w:val="0"/>
                  <w:divBdr>
                    <w:top w:val="none" w:sz="0" w:space="0" w:color="auto"/>
                    <w:left w:val="none" w:sz="0" w:space="0" w:color="auto"/>
                    <w:bottom w:val="single" w:sz="2" w:space="0" w:color="D6D6D6"/>
                    <w:right w:val="single" w:sz="2" w:space="2" w:color="D6D6D6"/>
                  </w:divBdr>
                </w:div>
              </w:divsChild>
            </w:div>
            <w:div w:id="220990622">
              <w:marLeft w:val="0"/>
              <w:marRight w:val="0"/>
              <w:marTop w:val="0"/>
              <w:marBottom w:val="0"/>
              <w:divBdr>
                <w:top w:val="none" w:sz="0" w:space="0" w:color="auto"/>
                <w:left w:val="none" w:sz="0" w:space="0" w:color="auto"/>
                <w:bottom w:val="none" w:sz="0" w:space="0" w:color="auto"/>
                <w:right w:val="none" w:sz="0" w:space="0" w:color="auto"/>
              </w:divBdr>
              <w:divsChild>
                <w:div w:id="1534422808">
                  <w:marLeft w:val="0"/>
                  <w:marRight w:val="0"/>
                  <w:marTop w:val="0"/>
                  <w:marBottom w:val="0"/>
                  <w:divBdr>
                    <w:top w:val="none" w:sz="0" w:space="0" w:color="auto"/>
                    <w:left w:val="none" w:sz="0" w:space="0" w:color="auto"/>
                    <w:bottom w:val="none" w:sz="0" w:space="0" w:color="auto"/>
                    <w:right w:val="none" w:sz="0" w:space="0" w:color="auto"/>
                  </w:divBdr>
                </w:div>
              </w:divsChild>
            </w:div>
            <w:div w:id="129520436">
              <w:marLeft w:val="0"/>
              <w:marRight w:val="0"/>
              <w:marTop w:val="0"/>
              <w:marBottom w:val="0"/>
              <w:divBdr>
                <w:top w:val="none" w:sz="0" w:space="0" w:color="auto"/>
                <w:left w:val="none" w:sz="0" w:space="0" w:color="auto"/>
                <w:bottom w:val="none" w:sz="0" w:space="0" w:color="auto"/>
                <w:right w:val="none" w:sz="0" w:space="0" w:color="auto"/>
              </w:divBdr>
              <w:divsChild>
                <w:div w:id="525410512">
                  <w:marLeft w:val="0"/>
                  <w:marRight w:val="0"/>
                  <w:marTop w:val="0"/>
                  <w:marBottom w:val="0"/>
                  <w:divBdr>
                    <w:top w:val="none" w:sz="0" w:space="0" w:color="auto"/>
                    <w:left w:val="none" w:sz="0" w:space="0" w:color="auto"/>
                    <w:bottom w:val="none" w:sz="0" w:space="0" w:color="auto"/>
                    <w:right w:val="none" w:sz="0" w:space="0" w:color="auto"/>
                  </w:divBdr>
                </w:div>
                <w:div w:id="1261988589">
                  <w:marLeft w:val="0"/>
                  <w:marRight w:val="0"/>
                  <w:marTop w:val="0"/>
                  <w:marBottom w:val="0"/>
                  <w:divBdr>
                    <w:top w:val="none" w:sz="0" w:space="0" w:color="auto"/>
                    <w:left w:val="none" w:sz="0" w:space="0" w:color="auto"/>
                    <w:bottom w:val="none" w:sz="0" w:space="0" w:color="auto"/>
                    <w:right w:val="none" w:sz="0" w:space="0" w:color="auto"/>
                  </w:divBdr>
                </w:div>
                <w:div w:id="485049145">
                  <w:marLeft w:val="0"/>
                  <w:marRight w:val="0"/>
                  <w:marTop w:val="0"/>
                  <w:marBottom w:val="0"/>
                  <w:divBdr>
                    <w:top w:val="none" w:sz="0" w:space="0" w:color="auto"/>
                    <w:left w:val="none" w:sz="0" w:space="0" w:color="auto"/>
                    <w:bottom w:val="none" w:sz="0" w:space="0" w:color="auto"/>
                    <w:right w:val="none" w:sz="0" w:space="0" w:color="auto"/>
                  </w:divBdr>
                </w:div>
                <w:div w:id="45223272">
                  <w:marLeft w:val="0"/>
                  <w:marRight w:val="0"/>
                  <w:marTop w:val="0"/>
                  <w:marBottom w:val="0"/>
                  <w:divBdr>
                    <w:top w:val="none" w:sz="0" w:space="0" w:color="auto"/>
                    <w:left w:val="none" w:sz="0" w:space="0" w:color="auto"/>
                    <w:bottom w:val="none" w:sz="0" w:space="0" w:color="auto"/>
                    <w:right w:val="none" w:sz="0" w:space="0" w:color="auto"/>
                  </w:divBdr>
                </w:div>
                <w:div w:id="1581794284">
                  <w:marLeft w:val="0"/>
                  <w:marRight w:val="0"/>
                  <w:marTop w:val="0"/>
                  <w:marBottom w:val="0"/>
                  <w:divBdr>
                    <w:top w:val="none" w:sz="0" w:space="0" w:color="auto"/>
                    <w:left w:val="none" w:sz="0" w:space="0" w:color="auto"/>
                    <w:bottom w:val="none" w:sz="0" w:space="0" w:color="auto"/>
                    <w:right w:val="none" w:sz="0" w:space="0" w:color="auto"/>
                  </w:divBdr>
                </w:div>
                <w:div w:id="1206137379">
                  <w:marLeft w:val="0"/>
                  <w:marRight w:val="0"/>
                  <w:marTop w:val="0"/>
                  <w:marBottom w:val="0"/>
                  <w:divBdr>
                    <w:top w:val="none" w:sz="0" w:space="0" w:color="auto"/>
                    <w:left w:val="none" w:sz="0" w:space="0" w:color="auto"/>
                    <w:bottom w:val="none" w:sz="0" w:space="0" w:color="auto"/>
                    <w:right w:val="none" w:sz="0" w:space="0" w:color="auto"/>
                  </w:divBdr>
                </w:div>
              </w:divsChild>
            </w:div>
            <w:div w:id="991253701">
              <w:marLeft w:val="0"/>
              <w:marRight w:val="0"/>
              <w:marTop w:val="0"/>
              <w:marBottom w:val="0"/>
              <w:divBdr>
                <w:top w:val="none" w:sz="0" w:space="0" w:color="auto"/>
                <w:left w:val="none" w:sz="0" w:space="0" w:color="auto"/>
                <w:bottom w:val="none" w:sz="0" w:space="0" w:color="auto"/>
                <w:right w:val="none" w:sz="0" w:space="0" w:color="auto"/>
              </w:divBdr>
              <w:divsChild>
                <w:div w:id="359939066">
                  <w:marLeft w:val="0"/>
                  <w:marRight w:val="0"/>
                  <w:marTop w:val="0"/>
                  <w:marBottom w:val="0"/>
                  <w:divBdr>
                    <w:top w:val="none" w:sz="0" w:space="0" w:color="auto"/>
                    <w:left w:val="single" w:sz="2" w:space="2" w:color="D6D6D6"/>
                    <w:bottom w:val="single" w:sz="2" w:space="0" w:color="D6D6D6"/>
                    <w:right w:val="none" w:sz="0" w:space="0" w:color="auto"/>
                  </w:divBdr>
                </w:div>
                <w:div w:id="1705472857">
                  <w:marLeft w:val="0"/>
                  <w:marRight w:val="0"/>
                  <w:marTop w:val="0"/>
                  <w:marBottom w:val="0"/>
                  <w:divBdr>
                    <w:top w:val="none" w:sz="0" w:space="0" w:color="auto"/>
                    <w:left w:val="none" w:sz="0" w:space="0" w:color="auto"/>
                    <w:bottom w:val="single" w:sz="2" w:space="0" w:color="D6D6D6"/>
                    <w:right w:val="none" w:sz="0" w:space="0" w:color="auto"/>
                  </w:divBdr>
                  <w:divsChild>
                    <w:div w:id="1891112817">
                      <w:marLeft w:val="0"/>
                      <w:marRight w:val="0"/>
                      <w:marTop w:val="0"/>
                      <w:marBottom w:val="0"/>
                      <w:divBdr>
                        <w:top w:val="none" w:sz="0" w:space="0" w:color="auto"/>
                        <w:left w:val="none" w:sz="0" w:space="0" w:color="auto"/>
                        <w:bottom w:val="none" w:sz="0" w:space="0" w:color="auto"/>
                        <w:right w:val="none" w:sz="0" w:space="0" w:color="auto"/>
                      </w:divBdr>
                    </w:div>
                  </w:divsChild>
                </w:div>
                <w:div w:id="1125809790">
                  <w:marLeft w:val="0"/>
                  <w:marRight w:val="0"/>
                  <w:marTop w:val="0"/>
                  <w:marBottom w:val="0"/>
                  <w:divBdr>
                    <w:top w:val="none" w:sz="0" w:space="0" w:color="auto"/>
                    <w:left w:val="none" w:sz="0" w:space="0" w:color="auto"/>
                    <w:bottom w:val="single" w:sz="2" w:space="0" w:color="D6D6D6"/>
                    <w:right w:val="none" w:sz="0" w:space="0" w:color="auto"/>
                  </w:divBdr>
                </w:div>
                <w:div w:id="1750150994">
                  <w:marLeft w:val="0"/>
                  <w:marRight w:val="0"/>
                  <w:marTop w:val="0"/>
                  <w:marBottom w:val="0"/>
                  <w:divBdr>
                    <w:top w:val="none" w:sz="0" w:space="0" w:color="auto"/>
                    <w:left w:val="none" w:sz="0" w:space="0" w:color="auto"/>
                    <w:bottom w:val="single" w:sz="2" w:space="0" w:color="D6D6D6"/>
                    <w:right w:val="none" w:sz="0" w:space="0" w:color="auto"/>
                  </w:divBdr>
                </w:div>
                <w:div w:id="2040928167">
                  <w:marLeft w:val="0"/>
                  <w:marRight w:val="0"/>
                  <w:marTop w:val="0"/>
                  <w:marBottom w:val="0"/>
                  <w:divBdr>
                    <w:top w:val="none" w:sz="0" w:space="0" w:color="auto"/>
                    <w:left w:val="none" w:sz="0" w:space="0" w:color="auto"/>
                    <w:bottom w:val="single" w:sz="2" w:space="0" w:color="D6D6D6"/>
                    <w:right w:val="none" w:sz="0" w:space="0" w:color="auto"/>
                  </w:divBdr>
                </w:div>
                <w:div w:id="1985547820">
                  <w:marLeft w:val="0"/>
                  <w:marRight w:val="0"/>
                  <w:marTop w:val="0"/>
                  <w:marBottom w:val="0"/>
                  <w:divBdr>
                    <w:top w:val="none" w:sz="0" w:space="0" w:color="auto"/>
                    <w:left w:val="none" w:sz="0" w:space="0" w:color="auto"/>
                    <w:bottom w:val="single" w:sz="2" w:space="0" w:color="D6D6D6"/>
                    <w:right w:val="single" w:sz="2" w:space="2" w:color="D6D6D6"/>
                  </w:divBdr>
                </w:div>
              </w:divsChild>
            </w:div>
            <w:div w:id="794564132">
              <w:marLeft w:val="0"/>
              <w:marRight w:val="0"/>
              <w:marTop w:val="0"/>
              <w:marBottom w:val="0"/>
              <w:divBdr>
                <w:top w:val="none" w:sz="0" w:space="0" w:color="auto"/>
                <w:left w:val="none" w:sz="0" w:space="0" w:color="auto"/>
                <w:bottom w:val="none" w:sz="0" w:space="0" w:color="auto"/>
                <w:right w:val="none" w:sz="0" w:space="0" w:color="auto"/>
              </w:divBdr>
              <w:divsChild>
                <w:div w:id="420880323">
                  <w:marLeft w:val="0"/>
                  <w:marRight w:val="0"/>
                  <w:marTop w:val="0"/>
                  <w:marBottom w:val="0"/>
                  <w:divBdr>
                    <w:top w:val="none" w:sz="0" w:space="0" w:color="auto"/>
                    <w:left w:val="single" w:sz="2" w:space="2" w:color="D6D6D6"/>
                    <w:bottom w:val="single" w:sz="2" w:space="0" w:color="D6D6D6"/>
                    <w:right w:val="none" w:sz="0" w:space="0" w:color="auto"/>
                  </w:divBdr>
                </w:div>
                <w:div w:id="1416318307">
                  <w:marLeft w:val="0"/>
                  <w:marRight w:val="0"/>
                  <w:marTop w:val="0"/>
                  <w:marBottom w:val="0"/>
                  <w:divBdr>
                    <w:top w:val="none" w:sz="0" w:space="0" w:color="auto"/>
                    <w:left w:val="none" w:sz="0" w:space="0" w:color="auto"/>
                    <w:bottom w:val="single" w:sz="2" w:space="0" w:color="D6D6D6"/>
                    <w:right w:val="none" w:sz="0" w:space="0" w:color="auto"/>
                  </w:divBdr>
                  <w:divsChild>
                    <w:div w:id="2141527961">
                      <w:marLeft w:val="0"/>
                      <w:marRight w:val="0"/>
                      <w:marTop w:val="0"/>
                      <w:marBottom w:val="0"/>
                      <w:divBdr>
                        <w:top w:val="none" w:sz="0" w:space="0" w:color="auto"/>
                        <w:left w:val="none" w:sz="0" w:space="0" w:color="auto"/>
                        <w:bottom w:val="none" w:sz="0" w:space="0" w:color="auto"/>
                        <w:right w:val="none" w:sz="0" w:space="0" w:color="auto"/>
                      </w:divBdr>
                    </w:div>
                  </w:divsChild>
                </w:div>
                <w:div w:id="1562252468">
                  <w:marLeft w:val="0"/>
                  <w:marRight w:val="0"/>
                  <w:marTop w:val="0"/>
                  <w:marBottom w:val="0"/>
                  <w:divBdr>
                    <w:top w:val="none" w:sz="0" w:space="0" w:color="auto"/>
                    <w:left w:val="none" w:sz="0" w:space="0" w:color="auto"/>
                    <w:bottom w:val="single" w:sz="2" w:space="0" w:color="D6D6D6"/>
                    <w:right w:val="none" w:sz="0" w:space="0" w:color="auto"/>
                  </w:divBdr>
                </w:div>
                <w:div w:id="1394305457">
                  <w:marLeft w:val="0"/>
                  <w:marRight w:val="0"/>
                  <w:marTop w:val="0"/>
                  <w:marBottom w:val="0"/>
                  <w:divBdr>
                    <w:top w:val="none" w:sz="0" w:space="0" w:color="auto"/>
                    <w:left w:val="none" w:sz="0" w:space="0" w:color="auto"/>
                    <w:bottom w:val="single" w:sz="2" w:space="0" w:color="D6D6D6"/>
                    <w:right w:val="none" w:sz="0" w:space="0" w:color="auto"/>
                  </w:divBdr>
                </w:div>
                <w:div w:id="1225489344">
                  <w:marLeft w:val="0"/>
                  <w:marRight w:val="0"/>
                  <w:marTop w:val="0"/>
                  <w:marBottom w:val="0"/>
                  <w:divBdr>
                    <w:top w:val="none" w:sz="0" w:space="0" w:color="auto"/>
                    <w:left w:val="none" w:sz="0" w:space="0" w:color="auto"/>
                    <w:bottom w:val="single" w:sz="2" w:space="0" w:color="D6D6D6"/>
                    <w:right w:val="none" w:sz="0" w:space="0" w:color="auto"/>
                  </w:divBdr>
                </w:div>
                <w:div w:id="738672579">
                  <w:marLeft w:val="0"/>
                  <w:marRight w:val="0"/>
                  <w:marTop w:val="0"/>
                  <w:marBottom w:val="0"/>
                  <w:divBdr>
                    <w:top w:val="none" w:sz="0" w:space="0" w:color="auto"/>
                    <w:left w:val="none" w:sz="0" w:space="0" w:color="auto"/>
                    <w:bottom w:val="single" w:sz="2" w:space="0" w:color="D6D6D6"/>
                    <w:right w:val="single" w:sz="2" w:space="2" w:color="D6D6D6"/>
                  </w:divBdr>
                </w:div>
              </w:divsChild>
            </w:div>
            <w:div w:id="1167598427">
              <w:marLeft w:val="0"/>
              <w:marRight w:val="0"/>
              <w:marTop w:val="0"/>
              <w:marBottom w:val="0"/>
              <w:divBdr>
                <w:top w:val="none" w:sz="0" w:space="0" w:color="auto"/>
                <w:left w:val="none" w:sz="0" w:space="0" w:color="auto"/>
                <w:bottom w:val="none" w:sz="0" w:space="0" w:color="auto"/>
                <w:right w:val="none" w:sz="0" w:space="0" w:color="auto"/>
              </w:divBdr>
              <w:divsChild>
                <w:div w:id="1843856378">
                  <w:marLeft w:val="0"/>
                  <w:marRight w:val="0"/>
                  <w:marTop w:val="0"/>
                  <w:marBottom w:val="0"/>
                  <w:divBdr>
                    <w:top w:val="none" w:sz="0" w:space="0" w:color="auto"/>
                    <w:left w:val="single" w:sz="2" w:space="2" w:color="D6D6D6"/>
                    <w:bottom w:val="single" w:sz="2" w:space="0" w:color="D6D6D6"/>
                    <w:right w:val="none" w:sz="0" w:space="0" w:color="auto"/>
                  </w:divBdr>
                </w:div>
                <w:div w:id="2085370373">
                  <w:marLeft w:val="0"/>
                  <w:marRight w:val="0"/>
                  <w:marTop w:val="0"/>
                  <w:marBottom w:val="0"/>
                  <w:divBdr>
                    <w:top w:val="none" w:sz="0" w:space="0" w:color="auto"/>
                    <w:left w:val="none" w:sz="0" w:space="0" w:color="auto"/>
                    <w:bottom w:val="single" w:sz="2" w:space="0" w:color="D6D6D6"/>
                    <w:right w:val="none" w:sz="0" w:space="0" w:color="auto"/>
                  </w:divBdr>
                  <w:divsChild>
                    <w:div w:id="378436920">
                      <w:marLeft w:val="0"/>
                      <w:marRight w:val="0"/>
                      <w:marTop w:val="0"/>
                      <w:marBottom w:val="0"/>
                      <w:divBdr>
                        <w:top w:val="none" w:sz="0" w:space="0" w:color="auto"/>
                        <w:left w:val="none" w:sz="0" w:space="0" w:color="auto"/>
                        <w:bottom w:val="none" w:sz="0" w:space="0" w:color="auto"/>
                        <w:right w:val="none" w:sz="0" w:space="0" w:color="auto"/>
                      </w:divBdr>
                    </w:div>
                  </w:divsChild>
                </w:div>
                <w:div w:id="2010671693">
                  <w:marLeft w:val="0"/>
                  <w:marRight w:val="0"/>
                  <w:marTop w:val="0"/>
                  <w:marBottom w:val="0"/>
                  <w:divBdr>
                    <w:top w:val="none" w:sz="0" w:space="0" w:color="auto"/>
                    <w:left w:val="none" w:sz="0" w:space="0" w:color="auto"/>
                    <w:bottom w:val="single" w:sz="2" w:space="0" w:color="D6D6D6"/>
                    <w:right w:val="none" w:sz="0" w:space="0" w:color="auto"/>
                  </w:divBdr>
                </w:div>
                <w:div w:id="588003290">
                  <w:marLeft w:val="0"/>
                  <w:marRight w:val="0"/>
                  <w:marTop w:val="0"/>
                  <w:marBottom w:val="0"/>
                  <w:divBdr>
                    <w:top w:val="none" w:sz="0" w:space="0" w:color="auto"/>
                    <w:left w:val="none" w:sz="0" w:space="0" w:color="auto"/>
                    <w:bottom w:val="single" w:sz="2" w:space="0" w:color="D6D6D6"/>
                    <w:right w:val="none" w:sz="0" w:space="0" w:color="auto"/>
                  </w:divBdr>
                </w:div>
                <w:div w:id="1114833353">
                  <w:marLeft w:val="0"/>
                  <w:marRight w:val="0"/>
                  <w:marTop w:val="0"/>
                  <w:marBottom w:val="0"/>
                  <w:divBdr>
                    <w:top w:val="none" w:sz="0" w:space="0" w:color="auto"/>
                    <w:left w:val="none" w:sz="0" w:space="0" w:color="auto"/>
                    <w:bottom w:val="single" w:sz="2" w:space="0" w:color="D6D6D6"/>
                    <w:right w:val="none" w:sz="0" w:space="0" w:color="auto"/>
                  </w:divBdr>
                </w:div>
                <w:div w:id="1925527931">
                  <w:marLeft w:val="0"/>
                  <w:marRight w:val="0"/>
                  <w:marTop w:val="0"/>
                  <w:marBottom w:val="0"/>
                  <w:divBdr>
                    <w:top w:val="none" w:sz="0" w:space="0" w:color="auto"/>
                    <w:left w:val="none" w:sz="0" w:space="0" w:color="auto"/>
                    <w:bottom w:val="single" w:sz="2" w:space="0" w:color="D6D6D6"/>
                    <w:right w:val="single" w:sz="2" w:space="2" w:color="D6D6D6"/>
                  </w:divBdr>
                </w:div>
              </w:divsChild>
            </w:div>
            <w:div w:id="361516586">
              <w:marLeft w:val="0"/>
              <w:marRight w:val="0"/>
              <w:marTop w:val="0"/>
              <w:marBottom w:val="0"/>
              <w:divBdr>
                <w:top w:val="none" w:sz="0" w:space="0" w:color="auto"/>
                <w:left w:val="none" w:sz="0" w:space="0" w:color="auto"/>
                <w:bottom w:val="none" w:sz="0" w:space="0" w:color="auto"/>
                <w:right w:val="none" w:sz="0" w:space="0" w:color="auto"/>
              </w:divBdr>
              <w:divsChild>
                <w:div w:id="1869222750">
                  <w:marLeft w:val="0"/>
                  <w:marRight w:val="0"/>
                  <w:marTop w:val="0"/>
                  <w:marBottom w:val="0"/>
                  <w:divBdr>
                    <w:top w:val="none" w:sz="0" w:space="0" w:color="auto"/>
                    <w:left w:val="single" w:sz="2" w:space="2" w:color="D6D6D6"/>
                    <w:bottom w:val="single" w:sz="2" w:space="0" w:color="D6D6D6"/>
                    <w:right w:val="none" w:sz="0" w:space="0" w:color="auto"/>
                  </w:divBdr>
                </w:div>
                <w:div w:id="580916896">
                  <w:marLeft w:val="0"/>
                  <w:marRight w:val="0"/>
                  <w:marTop w:val="0"/>
                  <w:marBottom w:val="0"/>
                  <w:divBdr>
                    <w:top w:val="none" w:sz="0" w:space="0" w:color="auto"/>
                    <w:left w:val="none" w:sz="0" w:space="0" w:color="auto"/>
                    <w:bottom w:val="single" w:sz="2" w:space="0" w:color="D6D6D6"/>
                    <w:right w:val="none" w:sz="0" w:space="0" w:color="auto"/>
                  </w:divBdr>
                  <w:divsChild>
                    <w:div w:id="475681105">
                      <w:marLeft w:val="0"/>
                      <w:marRight w:val="0"/>
                      <w:marTop w:val="0"/>
                      <w:marBottom w:val="0"/>
                      <w:divBdr>
                        <w:top w:val="none" w:sz="0" w:space="0" w:color="auto"/>
                        <w:left w:val="none" w:sz="0" w:space="0" w:color="auto"/>
                        <w:bottom w:val="none" w:sz="0" w:space="0" w:color="auto"/>
                        <w:right w:val="none" w:sz="0" w:space="0" w:color="auto"/>
                      </w:divBdr>
                    </w:div>
                  </w:divsChild>
                </w:div>
                <w:div w:id="1950115135">
                  <w:marLeft w:val="0"/>
                  <w:marRight w:val="0"/>
                  <w:marTop w:val="0"/>
                  <w:marBottom w:val="0"/>
                  <w:divBdr>
                    <w:top w:val="none" w:sz="0" w:space="0" w:color="auto"/>
                    <w:left w:val="none" w:sz="0" w:space="0" w:color="auto"/>
                    <w:bottom w:val="single" w:sz="2" w:space="0" w:color="D6D6D6"/>
                    <w:right w:val="none" w:sz="0" w:space="0" w:color="auto"/>
                  </w:divBdr>
                </w:div>
                <w:div w:id="1282421122">
                  <w:marLeft w:val="0"/>
                  <w:marRight w:val="0"/>
                  <w:marTop w:val="0"/>
                  <w:marBottom w:val="0"/>
                  <w:divBdr>
                    <w:top w:val="none" w:sz="0" w:space="0" w:color="auto"/>
                    <w:left w:val="none" w:sz="0" w:space="0" w:color="auto"/>
                    <w:bottom w:val="single" w:sz="2" w:space="0" w:color="D6D6D6"/>
                    <w:right w:val="none" w:sz="0" w:space="0" w:color="auto"/>
                  </w:divBdr>
                </w:div>
                <w:div w:id="1745494200">
                  <w:marLeft w:val="0"/>
                  <w:marRight w:val="0"/>
                  <w:marTop w:val="0"/>
                  <w:marBottom w:val="0"/>
                  <w:divBdr>
                    <w:top w:val="none" w:sz="0" w:space="0" w:color="auto"/>
                    <w:left w:val="none" w:sz="0" w:space="0" w:color="auto"/>
                    <w:bottom w:val="single" w:sz="2" w:space="0" w:color="D6D6D6"/>
                    <w:right w:val="none" w:sz="0" w:space="0" w:color="auto"/>
                  </w:divBdr>
                </w:div>
                <w:div w:id="1360619081">
                  <w:marLeft w:val="0"/>
                  <w:marRight w:val="0"/>
                  <w:marTop w:val="0"/>
                  <w:marBottom w:val="0"/>
                  <w:divBdr>
                    <w:top w:val="none" w:sz="0" w:space="0" w:color="auto"/>
                    <w:left w:val="none" w:sz="0" w:space="0" w:color="auto"/>
                    <w:bottom w:val="single" w:sz="2" w:space="0" w:color="D6D6D6"/>
                    <w:right w:val="single" w:sz="2" w:space="2" w:color="D6D6D6"/>
                  </w:divBdr>
                </w:div>
              </w:divsChild>
            </w:div>
            <w:div w:id="1053122096">
              <w:marLeft w:val="0"/>
              <w:marRight w:val="0"/>
              <w:marTop w:val="0"/>
              <w:marBottom w:val="0"/>
              <w:divBdr>
                <w:top w:val="none" w:sz="0" w:space="0" w:color="auto"/>
                <w:left w:val="none" w:sz="0" w:space="0" w:color="auto"/>
                <w:bottom w:val="none" w:sz="0" w:space="0" w:color="auto"/>
                <w:right w:val="none" w:sz="0" w:space="0" w:color="auto"/>
              </w:divBdr>
              <w:divsChild>
                <w:div w:id="1070885026">
                  <w:marLeft w:val="0"/>
                  <w:marRight w:val="0"/>
                  <w:marTop w:val="0"/>
                  <w:marBottom w:val="0"/>
                  <w:divBdr>
                    <w:top w:val="none" w:sz="0" w:space="0" w:color="auto"/>
                    <w:left w:val="single" w:sz="2" w:space="2" w:color="D6D6D6"/>
                    <w:bottom w:val="single" w:sz="2" w:space="0" w:color="D6D6D6"/>
                    <w:right w:val="none" w:sz="0" w:space="0" w:color="auto"/>
                  </w:divBdr>
                </w:div>
                <w:div w:id="1010061562">
                  <w:marLeft w:val="0"/>
                  <w:marRight w:val="0"/>
                  <w:marTop w:val="0"/>
                  <w:marBottom w:val="0"/>
                  <w:divBdr>
                    <w:top w:val="none" w:sz="0" w:space="0" w:color="auto"/>
                    <w:left w:val="none" w:sz="0" w:space="0" w:color="auto"/>
                    <w:bottom w:val="single" w:sz="2" w:space="0" w:color="D6D6D6"/>
                    <w:right w:val="none" w:sz="0" w:space="0" w:color="auto"/>
                  </w:divBdr>
                  <w:divsChild>
                    <w:div w:id="896630221">
                      <w:marLeft w:val="0"/>
                      <w:marRight w:val="0"/>
                      <w:marTop w:val="0"/>
                      <w:marBottom w:val="0"/>
                      <w:divBdr>
                        <w:top w:val="none" w:sz="0" w:space="0" w:color="auto"/>
                        <w:left w:val="none" w:sz="0" w:space="0" w:color="auto"/>
                        <w:bottom w:val="none" w:sz="0" w:space="0" w:color="auto"/>
                        <w:right w:val="none" w:sz="0" w:space="0" w:color="auto"/>
                      </w:divBdr>
                    </w:div>
                  </w:divsChild>
                </w:div>
                <w:div w:id="406417787">
                  <w:marLeft w:val="0"/>
                  <w:marRight w:val="0"/>
                  <w:marTop w:val="0"/>
                  <w:marBottom w:val="0"/>
                  <w:divBdr>
                    <w:top w:val="none" w:sz="0" w:space="0" w:color="auto"/>
                    <w:left w:val="none" w:sz="0" w:space="0" w:color="auto"/>
                    <w:bottom w:val="single" w:sz="2" w:space="0" w:color="D6D6D6"/>
                    <w:right w:val="none" w:sz="0" w:space="0" w:color="auto"/>
                  </w:divBdr>
                </w:div>
                <w:div w:id="419369414">
                  <w:marLeft w:val="0"/>
                  <w:marRight w:val="0"/>
                  <w:marTop w:val="0"/>
                  <w:marBottom w:val="0"/>
                  <w:divBdr>
                    <w:top w:val="none" w:sz="0" w:space="0" w:color="auto"/>
                    <w:left w:val="none" w:sz="0" w:space="0" w:color="auto"/>
                    <w:bottom w:val="single" w:sz="2" w:space="0" w:color="D6D6D6"/>
                    <w:right w:val="none" w:sz="0" w:space="0" w:color="auto"/>
                  </w:divBdr>
                </w:div>
                <w:div w:id="1799565881">
                  <w:marLeft w:val="0"/>
                  <w:marRight w:val="0"/>
                  <w:marTop w:val="0"/>
                  <w:marBottom w:val="0"/>
                  <w:divBdr>
                    <w:top w:val="none" w:sz="0" w:space="0" w:color="auto"/>
                    <w:left w:val="none" w:sz="0" w:space="0" w:color="auto"/>
                    <w:bottom w:val="single" w:sz="2" w:space="0" w:color="D6D6D6"/>
                    <w:right w:val="none" w:sz="0" w:space="0" w:color="auto"/>
                  </w:divBdr>
                </w:div>
                <w:div w:id="1079016638">
                  <w:marLeft w:val="0"/>
                  <w:marRight w:val="0"/>
                  <w:marTop w:val="0"/>
                  <w:marBottom w:val="0"/>
                  <w:divBdr>
                    <w:top w:val="none" w:sz="0" w:space="0" w:color="auto"/>
                    <w:left w:val="none" w:sz="0" w:space="0" w:color="auto"/>
                    <w:bottom w:val="single" w:sz="2" w:space="0" w:color="D6D6D6"/>
                    <w:right w:val="single" w:sz="2" w:space="2" w:color="D6D6D6"/>
                  </w:divBdr>
                </w:div>
              </w:divsChild>
            </w:div>
            <w:div w:id="1670790866">
              <w:marLeft w:val="0"/>
              <w:marRight w:val="0"/>
              <w:marTop w:val="0"/>
              <w:marBottom w:val="0"/>
              <w:divBdr>
                <w:top w:val="none" w:sz="0" w:space="0" w:color="auto"/>
                <w:left w:val="none" w:sz="0" w:space="0" w:color="auto"/>
                <w:bottom w:val="none" w:sz="0" w:space="0" w:color="auto"/>
                <w:right w:val="none" w:sz="0" w:space="0" w:color="auto"/>
              </w:divBdr>
              <w:divsChild>
                <w:div w:id="2076319031">
                  <w:marLeft w:val="0"/>
                  <w:marRight w:val="0"/>
                  <w:marTop w:val="0"/>
                  <w:marBottom w:val="0"/>
                  <w:divBdr>
                    <w:top w:val="none" w:sz="0" w:space="0" w:color="auto"/>
                    <w:left w:val="none" w:sz="0" w:space="0" w:color="auto"/>
                    <w:bottom w:val="none" w:sz="0" w:space="0" w:color="auto"/>
                    <w:right w:val="none" w:sz="0" w:space="0" w:color="auto"/>
                  </w:divBdr>
                </w:div>
              </w:divsChild>
            </w:div>
            <w:div w:id="1192106602">
              <w:marLeft w:val="0"/>
              <w:marRight w:val="0"/>
              <w:marTop w:val="0"/>
              <w:marBottom w:val="0"/>
              <w:divBdr>
                <w:top w:val="none" w:sz="0" w:space="0" w:color="auto"/>
                <w:left w:val="none" w:sz="0" w:space="0" w:color="auto"/>
                <w:bottom w:val="none" w:sz="0" w:space="0" w:color="auto"/>
                <w:right w:val="none" w:sz="0" w:space="0" w:color="auto"/>
              </w:divBdr>
              <w:divsChild>
                <w:div w:id="524708908">
                  <w:marLeft w:val="0"/>
                  <w:marRight w:val="0"/>
                  <w:marTop w:val="0"/>
                  <w:marBottom w:val="0"/>
                  <w:divBdr>
                    <w:top w:val="none" w:sz="0" w:space="0" w:color="auto"/>
                    <w:left w:val="none" w:sz="0" w:space="0" w:color="auto"/>
                    <w:bottom w:val="none" w:sz="0" w:space="0" w:color="auto"/>
                    <w:right w:val="none" w:sz="0" w:space="0" w:color="auto"/>
                  </w:divBdr>
                </w:div>
                <w:div w:id="85423150">
                  <w:marLeft w:val="0"/>
                  <w:marRight w:val="0"/>
                  <w:marTop w:val="0"/>
                  <w:marBottom w:val="0"/>
                  <w:divBdr>
                    <w:top w:val="none" w:sz="0" w:space="0" w:color="auto"/>
                    <w:left w:val="none" w:sz="0" w:space="0" w:color="auto"/>
                    <w:bottom w:val="none" w:sz="0" w:space="0" w:color="auto"/>
                    <w:right w:val="none" w:sz="0" w:space="0" w:color="auto"/>
                  </w:divBdr>
                </w:div>
                <w:div w:id="544606495">
                  <w:marLeft w:val="0"/>
                  <w:marRight w:val="0"/>
                  <w:marTop w:val="0"/>
                  <w:marBottom w:val="0"/>
                  <w:divBdr>
                    <w:top w:val="none" w:sz="0" w:space="0" w:color="auto"/>
                    <w:left w:val="none" w:sz="0" w:space="0" w:color="auto"/>
                    <w:bottom w:val="none" w:sz="0" w:space="0" w:color="auto"/>
                    <w:right w:val="none" w:sz="0" w:space="0" w:color="auto"/>
                  </w:divBdr>
                </w:div>
                <w:div w:id="121314112">
                  <w:marLeft w:val="0"/>
                  <w:marRight w:val="0"/>
                  <w:marTop w:val="0"/>
                  <w:marBottom w:val="0"/>
                  <w:divBdr>
                    <w:top w:val="none" w:sz="0" w:space="0" w:color="auto"/>
                    <w:left w:val="none" w:sz="0" w:space="0" w:color="auto"/>
                    <w:bottom w:val="none" w:sz="0" w:space="0" w:color="auto"/>
                    <w:right w:val="none" w:sz="0" w:space="0" w:color="auto"/>
                  </w:divBdr>
                </w:div>
                <w:div w:id="2127389199">
                  <w:marLeft w:val="0"/>
                  <w:marRight w:val="0"/>
                  <w:marTop w:val="0"/>
                  <w:marBottom w:val="0"/>
                  <w:divBdr>
                    <w:top w:val="none" w:sz="0" w:space="0" w:color="auto"/>
                    <w:left w:val="none" w:sz="0" w:space="0" w:color="auto"/>
                    <w:bottom w:val="none" w:sz="0" w:space="0" w:color="auto"/>
                    <w:right w:val="none" w:sz="0" w:space="0" w:color="auto"/>
                  </w:divBdr>
                </w:div>
                <w:div w:id="1865292173">
                  <w:marLeft w:val="0"/>
                  <w:marRight w:val="0"/>
                  <w:marTop w:val="0"/>
                  <w:marBottom w:val="0"/>
                  <w:divBdr>
                    <w:top w:val="none" w:sz="0" w:space="0" w:color="auto"/>
                    <w:left w:val="none" w:sz="0" w:space="0" w:color="auto"/>
                    <w:bottom w:val="none" w:sz="0" w:space="0" w:color="auto"/>
                    <w:right w:val="none" w:sz="0" w:space="0" w:color="auto"/>
                  </w:divBdr>
                </w:div>
              </w:divsChild>
            </w:div>
            <w:div w:id="226915694">
              <w:marLeft w:val="0"/>
              <w:marRight w:val="0"/>
              <w:marTop w:val="0"/>
              <w:marBottom w:val="0"/>
              <w:divBdr>
                <w:top w:val="none" w:sz="0" w:space="0" w:color="auto"/>
                <w:left w:val="none" w:sz="0" w:space="0" w:color="auto"/>
                <w:bottom w:val="none" w:sz="0" w:space="0" w:color="auto"/>
                <w:right w:val="none" w:sz="0" w:space="0" w:color="auto"/>
              </w:divBdr>
              <w:divsChild>
                <w:div w:id="1607348114">
                  <w:marLeft w:val="0"/>
                  <w:marRight w:val="0"/>
                  <w:marTop w:val="0"/>
                  <w:marBottom w:val="0"/>
                  <w:divBdr>
                    <w:top w:val="none" w:sz="0" w:space="0" w:color="auto"/>
                    <w:left w:val="single" w:sz="2" w:space="2" w:color="D6D6D6"/>
                    <w:bottom w:val="single" w:sz="2" w:space="0" w:color="D6D6D6"/>
                    <w:right w:val="none" w:sz="0" w:space="0" w:color="auto"/>
                  </w:divBdr>
                </w:div>
                <w:div w:id="1505318202">
                  <w:marLeft w:val="0"/>
                  <w:marRight w:val="0"/>
                  <w:marTop w:val="0"/>
                  <w:marBottom w:val="0"/>
                  <w:divBdr>
                    <w:top w:val="none" w:sz="0" w:space="0" w:color="auto"/>
                    <w:left w:val="none" w:sz="0" w:space="0" w:color="auto"/>
                    <w:bottom w:val="single" w:sz="2" w:space="0" w:color="D6D6D6"/>
                    <w:right w:val="none" w:sz="0" w:space="0" w:color="auto"/>
                  </w:divBdr>
                  <w:divsChild>
                    <w:div w:id="267153912">
                      <w:marLeft w:val="0"/>
                      <w:marRight w:val="0"/>
                      <w:marTop w:val="0"/>
                      <w:marBottom w:val="0"/>
                      <w:divBdr>
                        <w:top w:val="none" w:sz="0" w:space="0" w:color="auto"/>
                        <w:left w:val="none" w:sz="0" w:space="0" w:color="auto"/>
                        <w:bottom w:val="none" w:sz="0" w:space="0" w:color="auto"/>
                        <w:right w:val="none" w:sz="0" w:space="0" w:color="auto"/>
                      </w:divBdr>
                    </w:div>
                  </w:divsChild>
                </w:div>
                <w:div w:id="1049183895">
                  <w:marLeft w:val="0"/>
                  <w:marRight w:val="0"/>
                  <w:marTop w:val="0"/>
                  <w:marBottom w:val="0"/>
                  <w:divBdr>
                    <w:top w:val="none" w:sz="0" w:space="0" w:color="auto"/>
                    <w:left w:val="none" w:sz="0" w:space="0" w:color="auto"/>
                    <w:bottom w:val="single" w:sz="2" w:space="0" w:color="D6D6D6"/>
                    <w:right w:val="none" w:sz="0" w:space="0" w:color="auto"/>
                  </w:divBdr>
                </w:div>
                <w:div w:id="806898446">
                  <w:marLeft w:val="0"/>
                  <w:marRight w:val="0"/>
                  <w:marTop w:val="0"/>
                  <w:marBottom w:val="0"/>
                  <w:divBdr>
                    <w:top w:val="none" w:sz="0" w:space="0" w:color="auto"/>
                    <w:left w:val="none" w:sz="0" w:space="0" w:color="auto"/>
                    <w:bottom w:val="single" w:sz="2" w:space="0" w:color="D6D6D6"/>
                    <w:right w:val="none" w:sz="0" w:space="0" w:color="auto"/>
                  </w:divBdr>
                </w:div>
                <w:div w:id="1927614789">
                  <w:marLeft w:val="0"/>
                  <w:marRight w:val="0"/>
                  <w:marTop w:val="0"/>
                  <w:marBottom w:val="0"/>
                  <w:divBdr>
                    <w:top w:val="none" w:sz="0" w:space="0" w:color="auto"/>
                    <w:left w:val="none" w:sz="0" w:space="0" w:color="auto"/>
                    <w:bottom w:val="single" w:sz="2" w:space="0" w:color="D6D6D6"/>
                    <w:right w:val="none" w:sz="0" w:space="0" w:color="auto"/>
                  </w:divBdr>
                </w:div>
                <w:div w:id="421605410">
                  <w:marLeft w:val="0"/>
                  <w:marRight w:val="0"/>
                  <w:marTop w:val="0"/>
                  <w:marBottom w:val="0"/>
                  <w:divBdr>
                    <w:top w:val="none" w:sz="0" w:space="0" w:color="auto"/>
                    <w:left w:val="none" w:sz="0" w:space="0" w:color="auto"/>
                    <w:bottom w:val="single" w:sz="2" w:space="0" w:color="D6D6D6"/>
                    <w:right w:val="single" w:sz="2" w:space="2" w:color="D6D6D6"/>
                  </w:divBdr>
                </w:div>
              </w:divsChild>
            </w:div>
            <w:div w:id="422607343">
              <w:marLeft w:val="0"/>
              <w:marRight w:val="0"/>
              <w:marTop w:val="0"/>
              <w:marBottom w:val="0"/>
              <w:divBdr>
                <w:top w:val="none" w:sz="0" w:space="0" w:color="auto"/>
                <w:left w:val="none" w:sz="0" w:space="0" w:color="auto"/>
                <w:bottom w:val="none" w:sz="0" w:space="0" w:color="auto"/>
                <w:right w:val="none" w:sz="0" w:space="0" w:color="auto"/>
              </w:divBdr>
              <w:divsChild>
                <w:div w:id="783311155">
                  <w:marLeft w:val="0"/>
                  <w:marRight w:val="0"/>
                  <w:marTop w:val="0"/>
                  <w:marBottom w:val="0"/>
                  <w:divBdr>
                    <w:top w:val="none" w:sz="0" w:space="0" w:color="auto"/>
                    <w:left w:val="single" w:sz="2" w:space="2" w:color="D6D6D6"/>
                    <w:bottom w:val="single" w:sz="2" w:space="0" w:color="D6D6D6"/>
                    <w:right w:val="none" w:sz="0" w:space="0" w:color="auto"/>
                  </w:divBdr>
                </w:div>
                <w:div w:id="1921861842">
                  <w:marLeft w:val="0"/>
                  <w:marRight w:val="0"/>
                  <w:marTop w:val="0"/>
                  <w:marBottom w:val="0"/>
                  <w:divBdr>
                    <w:top w:val="none" w:sz="0" w:space="0" w:color="auto"/>
                    <w:left w:val="none" w:sz="0" w:space="0" w:color="auto"/>
                    <w:bottom w:val="single" w:sz="2" w:space="0" w:color="D6D6D6"/>
                    <w:right w:val="none" w:sz="0" w:space="0" w:color="auto"/>
                  </w:divBdr>
                  <w:divsChild>
                    <w:div w:id="2116560108">
                      <w:marLeft w:val="0"/>
                      <w:marRight w:val="0"/>
                      <w:marTop w:val="0"/>
                      <w:marBottom w:val="0"/>
                      <w:divBdr>
                        <w:top w:val="none" w:sz="0" w:space="0" w:color="auto"/>
                        <w:left w:val="none" w:sz="0" w:space="0" w:color="auto"/>
                        <w:bottom w:val="none" w:sz="0" w:space="0" w:color="auto"/>
                        <w:right w:val="none" w:sz="0" w:space="0" w:color="auto"/>
                      </w:divBdr>
                    </w:div>
                  </w:divsChild>
                </w:div>
                <w:div w:id="733701597">
                  <w:marLeft w:val="0"/>
                  <w:marRight w:val="0"/>
                  <w:marTop w:val="0"/>
                  <w:marBottom w:val="0"/>
                  <w:divBdr>
                    <w:top w:val="none" w:sz="0" w:space="0" w:color="auto"/>
                    <w:left w:val="none" w:sz="0" w:space="0" w:color="auto"/>
                    <w:bottom w:val="single" w:sz="2" w:space="0" w:color="D6D6D6"/>
                    <w:right w:val="none" w:sz="0" w:space="0" w:color="auto"/>
                  </w:divBdr>
                </w:div>
                <w:div w:id="2096634600">
                  <w:marLeft w:val="0"/>
                  <w:marRight w:val="0"/>
                  <w:marTop w:val="0"/>
                  <w:marBottom w:val="0"/>
                  <w:divBdr>
                    <w:top w:val="none" w:sz="0" w:space="0" w:color="auto"/>
                    <w:left w:val="none" w:sz="0" w:space="0" w:color="auto"/>
                    <w:bottom w:val="single" w:sz="2" w:space="0" w:color="D6D6D6"/>
                    <w:right w:val="none" w:sz="0" w:space="0" w:color="auto"/>
                  </w:divBdr>
                </w:div>
                <w:div w:id="1072703267">
                  <w:marLeft w:val="0"/>
                  <w:marRight w:val="0"/>
                  <w:marTop w:val="0"/>
                  <w:marBottom w:val="0"/>
                  <w:divBdr>
                    <w:top w:val="none" w:sz="0" w:space="0" w:color="auto"/>
                    <w:left w:val="none" w:sz="0" w:space="0" w:color="auto"/>
                    <w:bottom w:val="single" w:sz="2" w:space="0" w:color="D6D6D6"/>
                    <w:right w:val="none" w:sz="0" w:space="0" w:color="auto"/>
                  </w:divBdr>
                </w:div>
                <w:div w:id="224730251">
                  <w:marLeft w:val="0"/>
                  <w:marRight w:val="0"/>
                  <w:marTop w:val="0"/>
                  <w:marBottom w:val="0"/>
                  <w:divBdr>
                    <w:top w:val="none" w:sz="0" w:space="0" w:color="auto"/>
                    <w:left w:val="none" w:sz="0" w:space="0" w:color="auto"/>
                    <w:bottom w:val="single" w:sz="2" w:space="0" w:color="D6D6D6"/>
                    <w:right w:val="single" w:sz="2" w:space="2" w:color="D6D6D6"/>
                  </w:divBdr>
                </w:div>
              </w:divsChild>
            </w:div>
            <w:div w:id="920020046">
              <w:marLeft w:val="0"/>
              <w:marRight w:val="0"/>
              <w:marTop w:val="0"/>
              <w:marBottom w:val="0"/>
              <w:divBdr>
                <w:top w:val="none" w:sz="0" w:space="0" w:color="auto"/>
                <w:left w:val="none" w:sz="0" w:space="0" w:color="auto"/>
                <w:bottom w:val="none" w:sz="0" w:space="0" w:color="auto"/>
                <w:right w:val="none" w:sz="0" w:space="0" w:color="auto"/>
              </w:divBdr>
              <w:divsChild>
                <w:div w:id="1956135569">
                  <w:marLeft w:val="0"/>
                  <w:marRight w:val="0"/>
                  <w:marTop w:val="0"/>
                  <w:marBottom w:val="0"/>
                  <w:divBdr>
                    <w:top w:val="none" w:sz="0" w:space="0" w:color="auto"/>
                    <w:left w:val="single" w:sz="2" w:space="2" w:color="D6D6D6"/>
                    <w:bottom w:val="single" w:sz="2" w:space="0" w:color="D6D6D6"/>
                    <w:right w:val="none" w:sz="0" w:space="0" w:color="auto"/>
                  </w:divBdr>
                </w:div>
                <w:div w:id="504049886">
                  <w:marLeft w:val="0"/>
                  <w:marRight w:val="0"/>
                  <w:marTop w:val="0"/>
                  <w:marBottom w:val="0"/>
                  <w:divBdr>
                    <w:top w:val="none" w:sz="0" w:space="0" w:color="auto"/>
                    <w:left w:val="none" w:sz="0" w:space="0" w:color="auto"/>
                    <w:bottom w:val="single" w:sz="2" w:space="0" w:color="D6D6D6"/>
                    <w:right w:val="none" w:sz="0" w:space="0" w:color="auto"/>
                  </w:divBdr>
                  <w:divsChild>
                    <w:div w:id="1547332456">
                      <w:marLeft w:val="0"/>
                      <w:marRight w:val="0"/>
                      <w:marTop w:val="0"/>
                      <w:marBottom w:val="0"/>
                      <w:divBdr>
                        <w:top w:val="none" w:sz="0" w:space="0" w:color="auto"/>
                        <w:left w:val="none" w:sz="0" w:space="0" w:color="auto"/>
                        <w:bottom w:val="none" w:sz="0" w:space="0" w:color="auto"/>
                        <w:right w:val="none" w:sz="0" w:space="0" w:color="auto"/>
                      </w:divBdr>
                    </w:div>
                  </w:divsChild>
                </w:div>
                <w:div w:id="1337342207">
                  <w:marLeft w:val="0"/>
                  <w:marRight w:val="0"/>
                  <w:marTop w:val="0"/>
                  <w:marBottom w:val="0"/>
                  <w:divBdr>
                    <w:top w:val="none" w:sz="0" w:space="0" w:color="auto"/>
                    <w:left w:val="none" w:sz="0" w:space="0" w:color="auto"/>
                    <w:bottom w:val="single" w:sz="2" w:space="0" w:color="D6D6D6"/>
                    <w:right w:val="none" w:sz="0" w:space="0" w:color="auto"/>
                  </w:divBdr>
                </w:div>
                <w:div w:id="636951827">
                  <w:marLeft w:val="0"/>
                  <w:marRight w:val="0"/>
                  <w:marTop w:val="0"/>
                  <w:marBottom w:val="0"/>
                  <w:divBdr>
                    <w:top w:val="none" w:sz="0" w:space="0" w:color="auto"/>
                    <w:left w:val="none" w:sz="0" w:space="0" w:color="auto"/>
                    <w:bottom w:val="single" w:sz="2" w:space="0" w:color="D6D6D6"/>
                    <w:right w:val="none" w:sz="0" w:space="0" w:color="auto"/>
                  </w:divBdr>
                </w:div>
                <w:div w:id="1943995659">
                  <w:marLeft w:val="0"/>
                  <w:marRight w:val="0"/>
                  <w:marTop w:val="0"/>
                  <w:marBottom w:val="0"/>
                  <w:divBdr>
                    <w:top w:val="none" w:sz="0" w:space="0" w:color="auto"/>
                    <w:left w:val="none" w:sz="0" w:space="0" w:color="auto"/>
                    <w:bottom w:val="single" w:sz="2" w:space="0" w:color="D6D6D6"/>
                    <w:right w:val="none" w:sz="0" w:space="0" w:color="auto"/>
                  </w:divBdr>
                </w:div>
                <w:div w:id="82921468">
                  <w:marLeft w:val="0"/>
                  <w:marRight w:val="0"/>
                  <w:marTop w:val="0"/>
                  <w:marBottom w:val="0"/>
                  <w:divBdr>
                    <w:top w:val="none" w:sz="0" w:space="0" w:color="auto"/>
                    <w:left w:val="none" w:sz="0" w:space="0" w:color="auto"/>
                    <w:bottom w:val="single" w:sz="2" w:space="0" w:color="D6D6D6"/>
                    <w:right w:val="single" w:sz="2" w:space="2" w:color="D6D6D6"/>
                  </w:divBdr>
                </w:div>
              </w:divsChild>
            </w:div>
            <w:div w:id="1076053636">
              <w:marLeft w:val="0"/>
              <w:marRight w:val="0"/>
              <w:marTop w:val="0"/>
              <w:marBottom w:val="0"/>
              <w:divBdr>
                <w:top w:val="none" w:sz="0" w:space="0" w:color="auto"/>
                <w:left w:val="none" w:sz="0" w:space="0" w:color="auto"/>
                <w:bottom w:val="none" w:sz="0" w:space="0" w:color="auto"/>
                <w:right w:val="none" w:sz="0" w:space="0" w:color="auto"/>
              </w:divBdr>
              <w:divsChild>
                <w:div w:id="569655682">
                  <w:marLeft w:val="0"/>
                  <w:marRight w:val="0"/>
                  <w:marTop w:val="0"/>
                  <w:marBottom w:val="0"/>
                  <w:divBdr>
                    <w:top w:val="none" w:sz="0" w:space="0" w:color="auto"/>
                    <w:left w:val="single" w:sz="2" w:space="2" w:color="D6D6D6"/>
                    <w:bottom w:val="single" w:sz="2" w:space="0" w:color="D6D6D6"/>
                    <w:right w:val="none" w:sz="0" w:space="0" w:color="auto"/>
                  </w:divBdr>
                </w:div>
                <w:div w:id="452138036">
                  <w:marLeft w:val="0"/>
                  <w:marRight w:val="0"/>
                  <w:marTop w:val="0"/>
                  <w:marBottom w:val="0"/>
                  <w:divBdr>
                    <w:top w:val="none" w:sz="0" w:space="0" w:color="auto"/>
                    <w:left w:val="none" w:sz="0" w:space="0" w:color="auto"/>
                    <w:bottom w:val="single" w:sz="2" w:space="0" w:color="D6D6D6"/>
                    <w:right w:val="none" w:sz="0" w:space="0" w:color="auto"/>
                  </w:divBdr>
                  <w:divsChild>
                    <w:div w:id="1032345213">
                      <w:marLeft w:val="0"/>
                      <w:marRight w:val="0"/>
                      <w:marTop w:val="0"/>
                      <w:marBottom w:val="0"/>
                      <w:divBdr>
                        <w:top w:val="none" w:sz="0" w:space="0" w:color="auto"/>
                        <w:left w:val="none" w:sz="0" w:space="0" w:color="auto"/>
                        <w:bottom w:val="none" w:sz="0" w:space="0" w:color="auto"/>
                        <w:right w:val="none" w:sz="0" w:space="0" w:color="auto"/>
                      </w:divBdr>
                    </w:div>
                  </w:divsChild>
                </w:div>
                <w:div w:id="501313008">
                  <w:marLeft w:val="0"/>
                  <w:marRight w:val="0"/>
                  <w:marTop w:val="0"/>
                  <w:marBottom w:val="0"/>
                  <w:divBdr>
                    <w:top w:val="none" w:sz="0" w:space="0" w:color="auto"/>
                    <w:left w:val="none" w:sz="0" w:space="0" w:color="auto"/>
                    <w:bottom w:val="single" w:sz="2" w:space="0" w:color="D6D6D6"/>
                    <w:right w:val="none" w:sz="0" w:space="0" w:color="auto"/>
                  </w:divBdr>
                </w:div>
                <w:div w:id="1156457473">
                  <w:marLeft w:val="0"/>
                  <w:marRight w:val="0"/>
                  <w:marTop w:val="0"/>
                  <w:marBottom w:val="0"/>
                  <w:divBdr>
                    <w:top w:val="none" w:sz="0" w:space="0" w:color="auto"/>
                    <w:left w:val="none" w:sz="0" w:space="0" w:color="auto"/>
                    <w:bottom w:val="single" w:sz="2" w:space="0" w:color="D6D6D6"/>
                    <w:right w:val="none" w:sz="0" w:space="0" w:color="auto"/>
                  </w:divBdr>
                </w:div>
                <w:div w:id="1162817838">
                  <w:marLeft w:val="0"/>
                  <w:marRight w:val="0"/>
                  <w:marTop w:val="0"/>
                  <w:marBottom w:val="0"/>
                  <w:divBdr>
                    <w:top w:val="none" w:sz="0" w:space="0" w:color="auto"/>
                    <w:left w:val="none" w:sz="0" w:space="0" w:color="auto"/>
                    <w:bottom w:val="single" w:sz="2" w:space="0" w:color="D6D6D6"/>
                    <w:right w:val="none" w:sz="0" w:space="0" w:color="auto"/>
                  </w:divBdr>
                </w:div>
                <w:div w:id="1080370093">
                  <w:marLeft w:val="0"/>
                  <w:marRight w:val="0"/>
                  <w:marTop w:val="0"/>
                  <w:marBottom w:val="0"/>
                  <w:divBdr>
                    <w:top w:val="none" w:sz="0" w:space="0" w:color="auto"/>
                    <w:left w:val="none" w:sz="0" w:space="0" w:color="auto"/>
                    <w:bottom w:val="single" w:sz="2" w:space="0" w:color="D6D6D6"/>
                    <w:right w:val="single" w:sz="2" w:space="2" w:color="D6D6D6"/>
                  </w:divBdr>
                </w:div>
              </w:divsChild>
            </w:div>
            <w:div w:id="561991178">
              <w:marLeft w:val="0"/>
              <w:marRight w:val="0"/>
              <w:marTop w:val="0"/>
              <w:marBottom w:val="0"/>
              <w:divBdr>
                <w:top w:val="none" w:sz="0" w:space="0" w:color="auto"/>
                <w:left w:val="none" w:sz="0" w:space="0" w:color="auto"/>
                <w:bottom w:val="none" w:sz="0" w:space="0" w:color="auto"/>
                <w:right w:val="none" w:sz="0" w:space="0" w:color="auto"/>
              </w:divBdr>
              <w:divsChild>
                <w:div w:id="1252161918">
                  <w:marLeft w:val="0"/>
                  <w:marRight w:val="0"/>
                  <w:marTop w:val="0"/>
                  <w:marBottom w:val="0"/>
                  <w:divBdr>
                    <w:top w:val="none" w:sz="0" w:space="0" w:color="auto"/>
                    <w:left w:val="single" w:sz="2" w:space="2" w:color="D6D6D6"/>
                    <w:bottom w:val="single" w:sz="2" w:space="0" w:color="D6D6D6"/>
                    <w:right w:val="none" w:sz="0" w:space="0" w:color="auto"/>
                  </w:divBdr>
                </w:div>
                <w:div w:id="320742448">
                  <w:marLeft w:val="0"/>
                  <w:marRight w:val="0"/>
                  <w:marTop w:val="0"/>
                  <w:marBottom w:val="0"/>
                  <w:divBdr>
                    <w:top w:val="none" w:sz="0" w:space="0" w:color="auto"/>
                    <w:left w:val="none" w:sz="0" w:space="0" w:color="auto"/>
                    <w:bottom w:val="single" w:sz="2" w:space="0" w:color="D6D6D6"/>
                    <w:right w:val="none" w:sz="0" w:space="0" w:color="auto"/>
                  </w:divBdr>
                  <w:divsChild>
                    <w:div w:id="35812621">
                      <w:marLeft w:val="0"/>
                      <w:marRight w:val="0"/>
                      <w:marTop w:val="0"/>
                      <w:marBottom w:val="0"/>
                      <w:divBdr>
                        <w:top w:val="none" w:sz="0" w:space="0" w:color="auto"/>
                        <w:left w:val="none" w:sz="0" w:space="0" w:color="auto"/>
                        <w:bottom w:val="none" w:sz="0" w:space="0" w:color="auto"/>
                        <w:right w:val="none" w:sz="0" w:space="0" w:color="auto"/>
                      </w:divBdr>
                    </w:div>
                  </w:divsChild>
                </w:div>
                <w:div w:id="1255741992">
                  <w:marLeft w:val="0"/>
                  <w:marRight w:val="0"/>
                  <w:marTop w:val="0"/>
                  <w:marBottom w:val="0"/>
                  <w:divBdr>
                    <w:top w:val="none" w:sz="0" w:space="0" w:color="auto"/>
                    <w:left w:val="none" w:sz="0" w:space="0" w:color="auto"/>
                    <w:bottom w:val="single" w:sz="2" w:space="0" w:color="D6D6D6"/>
                    <w:right w:val="none" w:sz="0" w:space="0" w:color="auto"/>
                  </w:divBdr>
                </w:div>
                <w:div w:id="1961954902">
                  <w:marLeft w:val="0"/>
                  <w:marRight w:val="0"/>
                  <w:marTop w:val="0"/>
                  <w:marBottom w:val="0"/>
                  <w:divBdr>
                    <w:top w:val="none" w:sz="0" w:space="0" w:color="auto"/>
                    <w:left w:val="none" w:sz="0" w:space="0" w:color="auto"/>
                    <w:bottom w:val="single" w:sz="2" w:space="0" w:color="D6D6D6"/>
                    <w:right w:val="none" w:sz="0" w:space="0" w:color="auto"/>
                  </w:divBdr>
                </w:div>
                <w:div w:id="256250827">
                  <w:marLeft w:val="0"/>
                  <w:marRight w:val="0"/>
                  <w:marTop w:val="0"/>
                  <w:marBottom w:val="0"/>
                  <w:divBdr>
                    <w:top w:val="none" w:sz="0" w:space="0" w:color="auto"/>
                    <w:left w:val="none" w:sz="0" w:space="0" w:color="auto"/>
                    <w:bottom w:val="single" w:sz="2" w:space="0" w:color="D6D6D6"/>
                    <w:right w:val="none" w:sz="0" w:space="0" w:color="auto"/>
                  </w:divBdr>
                </w:div>
                <w:div w:id="1451322360">
                  <w:marLeft w:val="0"/>
                  <w:marRight w:val="0"/>
                  <w:marTop w:val="0"/>
                  <w:marBottom w:val="0"/>
                  <w:divBdr>
                    <w:top w:val="none" w:sz="0" w:space="0" w:color="auto"/>
                    <w:left w:val="none" w:sz="0" w:space="0" w:color="auto"/>
                    <w:bottom w:val="single" w:sz="2" w:space="0" w:color="D6D6D6"/>
                    <w:right w:val="single" w:sz="2" w:space="2" w:color="D6D6D6"/>
                  </w:divBdr>
                </w:div>
              </w:divsChild>
            </w:div>
            <w:div w:id="613710973">
              <w:marLeft w:val="0"/>
              <w:marRight w:val="0"/>
              <w:marTop w:val="0"/>
              <w:marBottom w:val="0"/>
              <w:divBdr>
                <w:top w:val="none" w:sz="0" w:space="0" w:color="auto"/>
                <w:left w:val="none" w:sz="0" w:space="0" w:color="auto"/>
                <w:bottom w:val="none" w:sz="0" w:space="0" w:color="auto"/>
                <w:right w:val="none" w:sz="0" w:space="0" w:color="auto"/>
              </w:divBdr>
              <w:divsChild>
                <w:div w:id="80950857">
                  <w:marLeft w:val="0"/>
                  <w:marRight w:val="0"/>
                  <w:marTop w:val="0"/>
                  <w:marBottom w:val="0"/>
                  <w:divBdr>
                    <w:top w:val="none" w:sz="0" w:space="0" w:color="auto"/>
                    <w:left w:val="none" w:sz="0" w:space="0" w:color="auto"/>
                    <w:bottom w:val="none" w:sz="0" w:space="0" w:color="auto"/>
                    <w:right w:val="none" w:sz="0" w:space="0" w:color="auto"/>
                  </w:divBdr>
                </w:div>
              </w:divsChild>
            </w:div>
            <w:div w:id="1802386343">
              <w:marLeft w:val="0"/>
              <w:marRight w:val="0"/>
              <w:marTop w:val="0"/>
              <w:marBottom w:val="0"/>
              <w:divBdr>
                <w:top w:val="none" w:sz="0" w:space="0" w:color="auto"/>
                <w:left w:val="none" w:sz="0" w:space="0" w:color="auto"/>
                <w:bottom w:val="none" w:sz="0" w:space="0" w:color="auto"/>
                <w:right w:val="none" w:sz="0" w:space="0" w:color="auto"/>
              </w:divBdr>
              <w:divsChild>
                <w:div w:id="2060401416">
                  <w:marLeft w:val="0"/>
                  <w:marRight w:val="0"/>
                  <w:marTop w:val="0"/>
                  <w:marBottom w:val="0"/>
                  <w:divBdr>
                    <w:top w:val="none" w:sz="0" w:space="0" w:color="auto"/>
                    <w:left w:val="none" w:sz="0" w:space="0" w:color="auto"/>
                    <w:bottom w:val="none" w:sz="0" w:space="0" w:color="auto"/>
                    <w:right w:val="none" w:sz="0" w:space="0" w:color="auto"/>
                  </w:divBdr>
                </w:div>
                <w:div w:id="755326337">
                  <w:marLeft w:val="0"/>
                  <w:marRight w:val="0"/>
                  <w:marTop w:val="0"/>
                  <w:marBottom w:val="0"/>
                  <w:divBdr>
                    <w:top w:val="none" w:sz="0" w:space="0" w:color="auto"/>
                    <w:left w:val="none" w:sz="0" w:space="0" w:color="auto"/>
                    <w:bottom w:val="none" w:sz="0" w:space="0" w:color="auto"/>
                    <w:right w:val="none" w:sz="0" w:space="0" w:color="auto"/>
                  </w:divBdr>
                </w:div>
                <w:div w:id="826440189">
                  <w:marLeft w:val="0"/>
                  <w:marRight w:val="0"/>
                  <w:marTop w:val="0"/>
                  <w:marBottom w:val="0"/>
                  <w:divBdr>
                    <w:top w:val="none" w:sz="0" w:space="0" w:color="auto"/>
                    <w:left w:val="none" w:sz="0" w:space="0" w:color="auto"/>
                    <w:bottom w:val="none" w:sz="0" w:space="0" w:color="auto"/>
                    <w:right w:val="none" w:sz="0" w:space="0" w:color="auto"/>
                  </w:divBdr>
                </w:div>
                <w:div w:id="56902058">
                  <w:marLeft w:val="0"/>
                  <w:marRight w:val="0"/>
                  <w:marTop w:val="0"/>
                  <w:marBottom w:val="0"/>
                  <w:divBdr>
                    <w:top w:val="none" w:sz="0" w:space="0" w:color="auto"/>
                    <w:left w:val="none" w:sz="0" w:space="0" w:color="auto"/>
                    <w:bottom w:val="none" w:sz="0" w:space="0" w:color="auto"/>
                    <w:right w:val="none" w:sz="0" w:space="0" w:color="auto"/>
                  </w:divBdr>
                </w:div>
                <w:div w:id="637956586">
                  <w:marLeft w:val="0"/>
                  <w:marRight w:val="0"/>
                  <w:marTop w:val="0"/>
                  <w:marBottom w:val="0"/>
                  <w:divBdr>
                    <w:top w:val="none" w:sz="0" w:space="0" w:color="auto"/>
                    <w:left w:val="none" w:sz="0" w:space="0" w:color="auto"/>
                    <w:bottom w:val="none" w:sz="0" w:space="0" w:color="auto"/>
                    <w:right w:val="none" w:sz="0" w:space="0" w:color="auto"/>
                  </w:divBdr>
                </w:div>
                <w:div w:id="960652198">
                  <w:marLeft w:val="0"/>
                  <w:marRight w:val="0"/>
                  <w:marTop w:val="0"/>
                  <w:marBottom w:val="0"/>
                  <w:divBdr>
                    <w:top w:val="none" w:sz="0" w:space="0" w:color="auto"/>
                    <w:left w:val="none" w:sz="0" w:space="0" w:color="auto"/>
                    <w:bottom w:val="none" w:sz="0" w:space="0" w:color="auto"/>
                    <w:right w:val="none" w:sz="0" w:space="0" w:color="auto"/>
                  </w:divBdr>
                </w:div>
              </w:divsChild>
            </w:div>
            <w:div w:id="182591598">
              <w:marLeft w:val="0"/>
              <w:marRight w:val="0"/>
              <w:marTop w:val="0"/>
              <w:marBottom w:val="0"/>
              <w:divBdr>
                <w:top w:val="none" w:sz="0" w:space="0" w:color="auto"/>
                <w:left w:val="none" w:sz="0" w:space="0" w:color="auto"/>
                <w:bottom w:val="none" w:sz="0" w:space="0" w:color="auto"/>
                <w:right w:val="none" w:sz="0" w:space="0" w:color="auto"/>
              </w:divBdr>
              <w:divsChild>
                <w:div w:id="148206869">
                  <w:marLeft w:val="0"/>
                  <w:marRight w:val="0"/>
                  <w:marTop w:val="0"/>
                  <w:marBottom w:val="0"/>
                  <w:divBdr>
                    <w:top w:val="none" w:sz="0" w:space="0" w:color="auto"/>
                    <w:left w:val="single" w:sz="2" w:space="2" w:color="D6D6D6"/>
                    <w:bottom w:val="single" w:sz="2" w:space="0" w:color="D6D6D6"/>
                    <w:right w:val="none" w:sz="0" w:space="0" w:color="auto"/>
                  </w:divBdr>
                </w:div>
                <w:div w:id="1447117490">
                  <w:marLeft w:val="0"/>
                  <w:marRight w:val="0"/>
                  <w:marTop w:val="0"/>
                  <w:marBottom w:val="0"/>
                  <w:divBdr>
                    <w:top w:val="none" w:sz="0" w:space="0" w:color="auto"/>
                    <w:left w:val="none" w:sz="0" w:space="0" w:color="auto"/>
                    <w:bottom w:val="single" w:sz="2" w:space="0" w:color="D6D6D6"/>
                    <w:right w:val="none" w:sz="0" w:space="0" w:color="auto"/>
                  </w:divBdr>
                  <w:divsChild>
                    <w:div w:id="1647661718">
                      <w:marLeft w:val="0"/>
                      <w:marRight w:val="0"/>
                      <w:marTop w:val="0"/>
                      <w:marBottom w:val="0"/>
                      <w:divBdr>
                        <w:top w:val="none" w:sz="0" w:space="0" w:color="auto"/>
                        <w:left w:val="none" w:sz="0" w:space="0" w:color="auto"/>
                        <w:bottom w:val="none" w:sz="0" w:space="0" w:color="auto"/>
                        <w:right w:val="none" w:sz="0" w:space="0" w:color="auto"/>
                      </w:divBdr>
                    </w:div>
                  </w:divsChild>
                </w:div>
                <w:div w:id="892539909">
                  <w:marLeft w:val="0"/>
                  <w:marRight w:val="0"/>
                  <w:marTop w:val="0"/>
                  <w:marBottom w:val="0"/>
                  <w:divBdr>
                    <w:top w:val="none" w:sz="0" w:space="0" w:color="auto"/>
                    <w:left w:val="none" w:sz="0" w:space="0" w:color="auto"/>
                    <w:bottom w:val="single" w:sz="2" w:space="0" w:color="D6D6D6"/>
                    <w:right w:val="none" w:sz="0" w:space="0" w:color="auto"/>
                  </w:divBdr>
                </w:div>
                <w:div w:id="4477913">
                  <w:marLeft w:val="0"/>
                  <w:marRight w:val="0"/>
                  <w:marTop w:val="0"/>
                  <w:marBottom w:val="0"/>
                  <w:divBdr>
                    <w:top w:val="none" w:sz="0" w:space="0" w:color="auto"/>
                    <w:left w:val="none" w:sz="0" w:space="0" w:color="auto"/>
                    <w:bottom w:val="single" w:sz="2" w:space="0" w:color="D6D6D6"/>
                    <w:right w:val="none" w:sz="0" w:space="0" w:color="auto"/>
                  </w:divBdr>
                </w:div>
                <w:div w:id="1074009957">
                  <w:marLeft w:val="0"/>
                  <w:marRight w:val="0"/>
                  <w:marTop w:val="0"/>
                  <w:marBottom w:val="0"/>
                  <w:divBdr>
                    <w:top w:val="none" w:sz="0" w:space="0" w:color="auto"/>
                    <w:left w:val="none" w:sz="0" w:space="0" w:color="auto"/>
                    <w:bottom w:val="single" w:sz="2" w:space="0" w:color="D6D6D6"/>
                    <w:right w:val="none" w:sz="0" w:space="0" w:color="auto"/>
                  </w:divBdr>
                </w:div>
                <w:div w:id="2095393068">
                  <w:marLeft w:val="0"/>
                  <w:marRight w:val="0"/>
                  <w:marTop w:val="0"/>
                  <w:marBottom w:val="0"/>
                  <w:divBdr>
                    <w:top w:val="none" w:sz="0" w:space="0" w:color="auto"/>
                    <w:left w:val="none" w:sz="0" w:space="0" w:color="auto"/>
                    <w:bottom w:val="single" w:sz="2" w:space="0" w:color="D6D6D6"/>
                    <w:right w:val="single" w:sz="2" w:space="2" w:color="D6D6D6"/>
                  </w:divBdr>
                </w:div>
              </w:divsChild>
            </w:div>
            <w:div w:id="354963428">
              <w:marLeft w:val="0"/>
              <w:marRight w:val="0"/>
              <w:marTop w:val="0"/>
              <w:marBottom w:val="0"/>
              <w:divBdr>
                <w:top w:val="none" w:sz="0" w:space="0" w:color="auto"/>
                <w:left w:val="none" w:sz="0" w:space="0" w:color="auto"/>
                <w:bottom w:val="none" w:sz="0" w:space="0" w:color="auto"/>
                <w:right w:val="none" w:sz="0" w:space="0" w:color="auto"/>
              </w:divBdr>
              <w:divsChild>
                <w:div w:id="956176778">
                  <w:marLeft w:val="0"/>
                  <w:marRight w:val="0"/>
                  <w:marTop w:val="0"/>
                  <w:marBottom w:val="0"/>
                  <w:divBdr>
                    <w:top w:val="none" w:sz="0" w:space="0" w:color="auto"/>
                    <w:left w:val="single" w:sz="2" w:space="2" w:color="D6D6D6"/>
                    <w:bottom w:val="single" w:sz="2" w:space="0" w:color="D6D6D6"/>
                    <w:right w:val="none" w:sz="0" w:space="0" w:color="auto"/>
                  </w:divBdr>
                </w:div>
                <w:div w:id="6445110">
                  <w:marLeft w:val="0"/>
                  <w:marRight w:val="0"/>
                  <w:marTop w:val="0"/>
                  <w:marBottom w:val="0"/>
                  <w:divBdr>
                    <w:top w:val="none" w:sz="0" w:space="0" w:color="auto"/>
                    <w:left w:val="none" w:sz="0" w:space="0" w:color="auto"/>
                    <w:bottom w:val="single" w:sz="2" w:space="0" w:color="D6D6D6"/>
                    <w:right w:val="none" w:sz="0" w:space="0" w:color="auto"/>
                  </w:divBdr>
                  <w:divsChild>
                    <w:div w:id="1280068813">
                      <w:marLeft w:val="0"/>
                      <w:marRight w:val="0"/>
                      <w:marTop w:val="0"/>
                      <w:marBottom w:val="0"/>
                      <w:divBdr>
                        <w:top w:val="none" w:sz="0" w:space="0" w:color="auto"/>
                        <w:left w:val="none" w:sz="0" w:space="0" w:color="auto"/>
                        <w:bottom w:val="none" w:sz="0" w:space="0" w:color="auto"/>
                        <w:right w:val="none" w:sz="0" w:space="0" w:color="auto"/>
                      </w:divBdr>
                    </w:div>
                  </w:divsChild>
                </w:div>
                <w:div w:id="784733413">
                  <w:marLeft w:val="0"/>
                  <w:marRight w:val="0"/>
                  <w:marTop w:val="0"/>
                  <w:marBottom w:val="0"/>
                  <w:divBdr>
                    <w:top w:val="none" w:sz="0" w:space="0" w:color="auto"/>
                    <w:left w:val="none" w:sz="0" w:space="0" w:color="auto"/>
                    <w:bottom w:val="single" w:sz="2" w:space="0" w:color="D6D6D6"/>
                    <w:right w:val="none" w:sz="0" w:space="0" w:color="auto"/>
                  </w:divBdr>
                </w:div>
                <w:div w:id="694817427">
                  <w:marLeft w:val="0"/>
                  <w:marRight w:val="0"/>
                  <w:marTop w:val="0"/>
                  <w:marBottom w:val="0"/>
                  <w:divBdr>
                    <w:top w:val="none" w:sz="0" w:space="0" w:color="auto"/>
                    <w:left w:val="none" w:sz="0" w:space="0" w:color="auto"/>
                    <w:bottom w:val="single" w:sz="2" w:space="0" w:color="D6D6D6"/>
                    <w:right w:val="none" w:sz="0" w:space="0" w:color="auto"/>
                  </w:divBdr>
                </w:div>
                <w:div w:id="419110267">
                  <w:marLeft w:val="0"/>
                  <w:marRight w:val="0"/>
                  <w:marTop w:val="0"/>
                  <w:marBottom w:val="0"/>
                  <w:divBdr>
                    <w:top w:val="none" w:sz="0" w:space="0" w:color="auto"/>
                    <w:left w:val="none" w:sz="0" w:space="0" w:color="auto"/>
                    <w:bottom w:val="single" w:sz="2" w:space="0" w:color="D6D6D6"/>
                    <w:right w:val="none" w:sz="0" w:space="0" w:color="auto"/>
                  </w:divBdr>
                </w:div>
                <w:div w:id="2084527314">
                  <w:marLeft w:val="0"/>
                  <w:marRight w:val="0"/>
                  <w:marTop w:val="0"/>
                  <w:marBottom w:val="0"/>
                  <w:divBdr>
                    <w:top w:val="none" w:sz="0" w:space="0" w:color="auto"/>
                    <w:left w:val="none" w:sz="0" w:space="0" w:color="auto"/>
                    <w:bottom w:val="single" w:sz="2" w:space="0" w:color="D6D6D6"/>
                    <w:right w:val="single" w:sz="2" w:space="2" w:color="D6D6D6"/>
                  </w:divBdr>
                </w:div>
              </w:divsChild>
            </w:div>
            <w:div w:id="723800032">
              <w:marLeft w:val="0"/>
              <w:marRight w:val="0"/>
              <w:marTop w:val="0"/>
              <w:marBottom w:val="0"/>
              <w:divBdr>
                <w:top w:val="none" w:sz="0" w:space="0" w:color="auto"/>
                <w:left w:val="none" w:sz="0" w:space="0" w:color="auto"/>
                <w:bottom w:val="none" w:sz="0" w:space="0" w:color="auto"/>
                <w:right w:val="none" w:sz="0" w:space="0" w:color="auto"/>
              </w:divBdr>
              <w:divsChild>
                <w:div w:id="2008895100">
                  <w:marLeft w:val="0"/>
                  <w:marRight w:val="0"/>
                  <w:marTop w:val="0"/>
                  <w:marBottom w:val="0"/>
                  <w:divBdr>
                    <w:top w:val="none" w:sz="0" w:space="0" w:color="auto"/>
                    <w:left w:val="single" w:sz="2" w:space="2" w:color="D6D6D6"/>
                    <w:bottom w:val="single" w:sz="2" w:space="0" w:color="D6D6D6"/>
                    <w:right w:val="none" w:sz="0" w:space="0" w:color="auto"/>
                  </w:divBdr>
                </w:div>
                <w:div w:id="190607685">
                  <w:marLeft w:val="0"/>
                  <w:marRight w:val="0"/>
                  <w:marTop w:val="0"/>
                  <w:marBottom w:val="0"/>
                  <w:divBdr>
                    <w:top w:val="none" w:sz="0" w:space="0" w:color="auto"/>
                    <w:left w:val="none" w:sz="0" w:space="0" w:color="auto"/>
                    <w:bottom w:val="single" w:sz="2" w:space="0" w:color="D6D6D6"/>
                    <w:right w:val="none" w:sz="0" w:space="0" w:color="auto"/>
                  </w:divBdr>
                  <w:divsChild>
                    <w:div w:id="2027094049">
                      <w:marLeft w:val="0"/>
                      <w:marRight w:val="0"/>
                      <w:marTop w:val="0"/>
                      <w:marBottom w:val="0"/>
                      <w:divBdr>
                        <w:top w:val="none" w:sz="0" w:space="0" w:color="auto"/>
                        <w:left w:val="none" w:sz="0" w:space="0" w:color="auto"/>
                        <w:bottom w:val="none" w:sz="0" w:space="0" w:color="auto"/>
                        <w:right w:val="none" w:sz="0" w:space="0" w:color="auto"/>
                      </w:divBdr>
                    </w:div>
                  </w:divsChild>
                </w:div>
                <w:div w:id="94641599">
                  <w:marLeft w:val="0"/>
                  <w:marRight w:val="0"/>
                  <w:marTop w:val="0"/>
                  <w:marBottom w:val="0"/>
                  <w:divBdr>
                    <w:top w:val="none" w:sz="0" w:space="0" w:color="auto"/>
                    <w:left w:val="none" w:sz="0" w:space="0" w:color="auto"/>
                    <w:bottom w:val="single" w:sz="2" w:space="0" w:color="D6D6D6"/>
                    <w:right w:val="none" w:sz="0" w:space="0" w:color="auto"/>
                  </w:divBdr>
                </w:div>
                <w:div w:id="640043791">
                  <w:marLeft w:val="0"/>
                  <w:marRight w:val="0"/>
                  <w:marTop w:val="0"/>
                  <w:marBottom w:val="0"/>
                  <w:divBdr>
                    <w:top w:val="none" w:sz="0" w:space="0" w:color="auto"/>
                    <w:left w:val="none" w:sz="0" w:space="0" w:color="auto"/>
                    <w:bottom w:val="single" w:sz="2" w:space="0" w:color="D6D6D6"/>
                    <w:right w:val="none" w:sz="0" w:space="0" w:color="auto"/>
                  </w:divBdr>
                </w:div>
                <w:div w:id="641467370">
                  <w:marLeft w:val="0"/>
                  <w:marRight w:val="0"/>
                  <w:marTop w:val="0"/>
                  <w:marBottom w:val="0"/>
                  <w:divBdr>
                    <w:top w:val="none" w:sz="0" w:space="0" w:color="auto"/>
                    <w:left w:val="none" w:sz="0" w:space="0" w:color="auto"/>
                    <w:bottom w:val="single" w:sz="2" w:space="0" w:color="D6D6D6"/>
                    <w:right w:val="none" w:sz="0" w:space="0" w:color="auto"/>
                  </w:divBdr>
                </w:div>
                <w:div w:id="922571739">
                  <w:marLeft w:val="0"/>
                  <w:marRight w:val="0"/>
                  <w:marTop w:val="0"/>
                  <w:marBottom w:val="0"/>
                  <w:divBdr>
                    <w:top w:val="none" w:sz="0" w:space="0" w:color="auto"/>
                    <w:left w:val="none" w:sz="0" w:space="0" w:color="auto"/>
                    <w:bottom w:val="single" w:sz="2" w:space="0" w:color="D6D6D6"/>
                    <w:right w:val="single" w:sz="2" w:space="2" w:color="D6D6D6"/>
                  </w:divBdr>
                </w:div>
              </w:divsChild>
            </w:div>
            <w:div w:id="838350931">
              <w:marLeft w:val="0"/>
              <w:marRight w:val="0"/>
              <w:marTop w:val="0"/>
              <w:marBottom w:val="0"/>
              <w:divBdr>
                <w:top w:val="none" w:sz="0" w:space="0" w:color="auto"/>
                <w:left w:val="none" w:sz="0" w:space="0" w:color="auto"/>
                <w:bottom w:val="none" w:sz="0" w:space="0" w:color="auto"/>
                <w:right w:val="none" w:sz="0" w:space="0" w:color="auto"/>
              </w:divBdr>
              <w:divsChild>
                <w:div w:id="1375039461">
                  <w:marLeft w:val="0"/>
                  <w:marRight w:val="0"/>
                  <w:marTop w:val="0"/>
                  <w:marBottom w:val="0"/>
                  <w:divBdr>
                    <w:top w:val="none" w:sz="0" w:space="0" w:color="auto"/>
                    <w:left w:val="single" w:sz="2" w:space="2" w:color="D6D6D6"/>
                    <w:bottom w:val="single" w:sz="2" w:space="0" w:color="D6D6D6"/>
                    <w:right w:val="none" w:sz="0" w:space="0" w:color="auto"/>
                  </w:divBdr>
                </w:div>
                <w:div w:id="1570841270">
                  <w:marLeft w:val="0"/>
                  <w:marRight w:val="0"/>
                  <w:marTop w:val="0"/>
                  <w:marBottom w:val="0"/>
                  <w:divBdr>
                    <w:top w:val="none" w:sz="0" w:space="0" w:color="auto"/>
                    <w:left w:val="none" w:sz="0" w:space="0" w:color="auto"/>
                    <w:bottom w:val="single" w:sz="2" w:space="0" w:color="D6D6D6"/>
                    <w:right w:val="none" w:sz="0" w:space="0" w:color="auto"/>
                  </w:divBdr>
                  <w:divsChild>
                    <w:div w:id="1075396291">
                      <w:marLeft w:val="0"/>
                      <w:marRight w:val="0"/>
                      <w:marTop w:val="0"/>
                      <w:marBottom w:val="0"/>
                      <w:divBdr>
                        <w:top w:val="none" w:sz="0" w:space="0" w:color="auto"/>
                        <w:left w:val="none" w:sz="0" w:space="0" w:color="auto"/>
                        <w:bottom w:val="none" w:sz="0" w:space="0" w:color="auto"/>
                        <w:right w:val="none" w:sz="0" w:space="0" w:color="auto"/>
                      </w:divBdr>
                    </w:div>
                  </w:divsChild>
                </w:div>
                <w:div w:id="1058893185">
                  <w:marLeft w:val="0"/>
                  <w:marRight w:val="0"/>
                  <w:marTop w:val="0"/>
                  <w:marBottom w:val="0"/>
                  <w:divBdr>
                    <w:top w:val="none" w:sz="0" w:space="0" w:color="auto"/>
                    <w:left w:val="none" w:sz="0" w:space="0" w:color="auto"/>
                    <w:bottom w:val="single" w:sz="2" w:space="0" w:color="D6D6D6"/>
                    <w:right w:val="none" w:sz="0" w:space="0" w:color="auto"/>
                  </w:divBdr>
                </w:div>
                <w:div w:id="600988941">
                  <w:marLeft w:val="0"/>
                  <w:marRight w:val="0"/>
                  <w:marTop w:val="0"/>
                  <w:marBottom w:val="0"/>
                  <w:divBdr>
                    <w:top w:val="none" w:sz="0" w:space="0" w:color="auto"/>
                    <w:left w:val="none" w:sz="0" w:space="0" w:color="auto"/>
                    <w:bottom w:val="single" w:sz="2" w:space="0" w:color="D6D6D6"/>
                    <w:right w:val="none" w:sz="0" w:space="0" w:color="auto"/>
                  </w:divBdr>
                </w:div>
                <w:div w:id="1610745911">
                  <w:marLeft w:val="0"/>
                  <w:marRight w:val="0"/>
                  <w:marTop w:val="0"/>
                  <w:marBottom w:val="0"/>
                  <w:divBdr>
                    <w:top w:val="none" w:sz="0" w:space="0" w:color="auto"/>
                    <w:left w:val="none" w:sz="0" w:space="0" w:color="auto"/>
                    <w:bottom w:val="single" w:sz="2" w:space="0" w:color="D6D6D6"/>
                    <w:right w:val="none" w:sz="0" w:space="0" w:color="auto"/>
                  </w:divBdr>
                </w:div>
                <w:div w:id="502745892">
                  <w:marLeft w:val="0"/>
                  <w:marRight w:val="0"/>
                  <w:marTop w:val="0"/>
                  <w:marBottom w:val="0"/>
                  <w:divBdr>
                    <w:top w:val="none" w:sz="0" w:space="0" w:color="auto"/>
                    <w:left w:val="none" w:sz="0" w:space="0" w:color="auto"/>
                    <w:bottom w:val="single" w:sz="2" w:space="0" w:color="D6D6D6"/>
                    <w:right w:val="single" w:sz="2" w:space="2" w:color="D6D6D6"/>
                  </w:divBdr>
                </w:div>
              </w:divsChild>
            </w:div>
            <w:div w:id="297734827">
              <w:marLeft w:val="0"/>
              <w:marRight w:val="0"/>
              <w:marTop w:val="0"/>
              <w:marBottom w:val="0"/>
              <w:divBdr>
                <w:top w:val="none" w:sz="0" w:space="0" w:color="auto"/>
                <w:left w:val="none" w:sz="0" w:space="0" w:color="auto"/>
                <w:bottom w:val="none" w:sz="0" w:space="0" w:color="auto"/>
                <w:right w:val="none" w:sz="0" w:space="0" w:color="auto"/>
              </w:divBdr>
              <w:divsChild>
                <w:div w:id="1598903431">
                  <w:marLeft w:val="0"/>
                  <w:marRight w:val="0"/>
                  <w:marTop w:val="0"/>
                  <w:marBottom w:val="0"/>
                  <w:divBdr>
                    <w:top w:val="none" w:sz="0" w:space="0" w:color="auto"/>
                    <w:left w:val="single" w:sz="2" w:space="2" w:color="D6D6D6"/>
                    <w:bottom w:val="single" w:sz="2" w:space="0" w:color="D6D6D6"/>
                    <w:right w:val="none" w:sz="0" w:space="0" w:color="auto"/>
                  </w:divBdr>
                </w:div>
                <w:div w:id="1348210993">
                  <w:marLeft w:val="0"/>
                  <w:marRight w:val="0"/>
                  <w:marTop w:val="0"/>
                  <w:marBottom w:val="0"/>
                  <w:divBdr>
                    <w:top w:val="none" w:sz="0" w:space="0" w:color="auto"/>
                    <w:left w:val="none" w:sz="0" w:space="0" w:color="auto"/>
                    <w:bottom w:val="single" w:sz="2" w:space="0" w:color="D6D6D6"/>
                    <w:right w:val="none" w:sz="0" w:space="0" w:color="auto"/>
                  </w:divBdr>
                  <w:divsChild>
                    <w:div w:id="1353797359">
                      <w:marLeft w:val="0"/>
                      <w:marRight w:val="0"/>
                      <w:marTop w:val="0"/>
                      <w:marBottom w:val="0"/>
                      <w:divBdr>
                        <w:top w:val="none" w:sz="0" w:space="0" w:color="auto"/>
                        <w:left w:val="none" w:sz="0" w:space="0" w:color="auto"/>
                        <w:bottom w:val="none" w:sz="0" w:space="0" w:color="auto"/>
                        <w:right w:val="none" w:sz="0" w:space="0" w:color="auto"/>
                      </w:divBdr>
                    </w:div>
                  </w:divsChild>
                </w:div>
                <w:div w:id="344602506">
                  <w:marLeft w:val="0"/>
                  <w:marRight w:val="0"/>
                  <w:marTop w:val="0"/>
                  <w:marBottom w:val="0"/>
                  <w:divBdr>
                    <w:top w:val="none" w:sz="0" w:space="0" w:color="auto"/>
                    <w:left w:val="none" w:sz="0" w:space="0" w:color="auto"/>
                    <w:bottom w:val="single" w:sz="2" w:space="0" w:color="D6D6D6"/>
                    <w:right w:val="none" w:sz="0" w:space="0" w:color="auto"/>
                  </w:divBdr>
                </w:div>
                <w:div w:id="1346401840">
                  <w:marLeft w:val="0"/>
                  <w:marRight w:val="0"/>
                  <w:marTop w:val="0"/>
                  <w:marBottom w:val="0"/>
                  <w:divBdr>
                    <w:top w:val="none" w:sz="0" w:space="0" w:color="auto"/>
                    <w:left w:val="none" w:sz="0" w:space="0" w:color="auto"/>
                    <w:bottom w:val="single" w:sz="2" w:space="0" w:color="D6D6D6"/>
                    <w:right w:val="none" w:sz="0" w:space="0" w:color="auto"/>
                  </w:divBdr>
                </w:div>
                <w:div w:id="1069233246">
                  <w:marLeft w:val="0"/>
                  <w:marRight w:val="0"/>
                  <w:marTop w:val="0"/>
                  <w:marBottom w:val="0"/>
                  <w:divBdr>
                    <w:top w:val="none" w:sz="0" w:space="0" w:color="auto"/>
                    <w:left w:val="none" w:sz="0" w:space="0" w:color="auto"/>
                    <w:bottom w:val="single" w:sz="2" w:space="0" w:color="D6D6D6"/>
                    <w:right w:val="none" w:sz="0" w:space="0" w:color="auto"/>
                  </w:divBdr>
                </w:div>
                <w:div w:id="419450202">
                  <w:marLeft w:val="0"/>
                  <w:marRight w:val="0"/>
                  <w:marTop w:val="0"/>
                  <w:marBottom w:val="0"/>
                  <w:divBdr>
                    <w:top w:val="none" w:sz="0" w:space="0" w:color="auto"/>
                    <w:left w:val="none" w:sz="0" w:space="0" w:color="auto"/>
                    <w:bottom w:val="single" w:sz="2" w:space="0" w:color="D6D6D6"/>
                    <w:right w:val="single" w:sz="2" w:space="2" w:color="D6D6D6"/>
                  </w:divBdr>
                </w:div>
              </w:divsChild>
            </w:div>
            <w:div w:id="2003897522">
              <w:marLeft w:val="0"/>
              <w:marRight w:val="0"/>
              <w:marTop w:val="0"/>
              <w:marBottom w:val="0"/>
              <w:divBdr>
                <w:top w:val="none" w:sz="0" w:space="0" w:color="auto"/>
                <w:left w:val="none" w:sz="0" w:space="0" w:color="auto"/>
                <w:bottom w:val="none" w:sz="0" w:space="0" w:color="auto"/>
                <w:right w:val="none" w:sz="0" w:space="0" w:color="auto"/>
              </w:divBdr>
              <w:divsChild>
                <w:div w:id="959796947">
                  <w:marLeft w:val="0"/>
                  <w:marRight w:val="0"/>
                  <w:marTop w:val="0"/>
                  <w:marBottom w:val="0"/>
                  <w:divBdr>
                    <w:top w:val="none" w:sz="0" w:space="0" w:color="auto"/>
                    <w:left w:val="none" w:sz="0" w:space="0" w:color="auto"/>
                    <w:bottom w:val="none" w:sz="0" w:space="0" w:color="auto"/>
                    <w:right w:val="none" w:sz="0" w:space="0" w:color="auto"/>
                  </w:divBdr>
                </w:div>
              </w:divsChild>
            </w:div>
            <w:div w:id="1594314180">
              <w:marLeft w:val="0"/>
              <w:marRight w:val="0"/>
              <w:marTop w:val="0"/>
              <w:marBottom w:val="0"/>
              <w:divBdr>
                <w:top w:val="none" w:sz="0" w:space="0" w:color="auto"/>
                <w:left w:val="none" w:sz="0" w:space="0" w:color="auto"/>
                <w:bottom w:val="none" w:sz="0" w:space="0" w:color="auto"/>
                <w:right w:val="none" w:sz="0" w:space="0" w:color="auto"/>
              </w:divBdr>
              <w:divsChild>
                <w:div w:id="218522653">
                  <w:marLeft w:val="0"/>
                  <w:marRight w:val="0"/>
                  <w:marTop w:val="0"/>
                  <w:marBottom w:val="0"/>
                  <w:divBdr>
                    <w:top w:val="none" w:sz="0" w:space="0" w:color="auto"/>
                    <w:left w:val="none" w:sz="0" w:space="0" w:color="auto"/>
                    <w:bottom w:val="none" w:sz="0" w:space="0" w:color="auto"/>
                    <w:right w:val="none" w:sz="0" w:space="0" w:color="auto"/>
                  </w:divBdr>
                </w:div>
                <w:div w:id="1223713463">
                  <w:marLeft w:val="0"/>
                  <w:marRight w:val="0"/>
                  <w:marTop w:val="0"/>
                  <w:marBottom w:val="0"/>
                  <w:divBdr>
                    <w:top w:val="none" w:sz="0" w:space="0" w:color="auto"/>
                    <w:left w:val="none" w:sz="0" w:space="0" w:color="auto"/>
                    <w:bottom w:val="none" w:sz="0" w:space="0" w:color="auto"/>
                    <w:right w:val="none" w:sz="0" w:space="0" w:color="auto"/>
                  </w:divBdr>
                </w:div>
                <w:div w:id="786119317">
                  <w:marLeft w:val="0"/>
                  <w:marRight w:val="0"/>
                  <w:marTop w:val="0"/>
                  <w:marBottom w:val="0"/>
                  <w:divBdr>
                    <w:top w:val="none" w:sz="0" w:space="0" w:color="auto"/>
                    <w:left w:val="none" w:sz="0" w:space="0" w:color="auto"/>
                    <w:bottom w:val="none" w:sz="0" w:space="0" w:color="auto"/>
                    <w:right w:val="none" w:sz="0" w:space="0" w:color="auto"/>
                  </w:divBdr>
                </w:div>
                <w:div w:id="1951165167">
                  <w:marLeft w:val="0"/>
                  <w:marRight w:val="0"/>
                  <w:marTop w:val="0"/>
                  <w:marBottom w:val="0"/>
                  <w:divBdr>
                    <w:top w:val="none" w:sz="0" w:space="0" w:color="auto"/>
                    <w:left w:val="none" w:sz="0" w:space="0" w:color="auto"/>
                    <w:bottom w:val="none" w:sz="0" w:space="0" w:color="auto"/>
                    <w:right w:val="none" w:sz="0" w:space="0" w:color="auto"/>
                  </w:divBdr>
                </w:div>
                <w:div w:id="1807160657">
                  <w:marLeft w:val="0"/>
                  <w:marRight w:val="0"/>
                  <w:marTop w:val="0"/>
                  <w:marBottom w:val="0"/>
                  <w:divBdr>
                    <w:top w:val="none" w:sz="0" w:space="0" w:color="auto"/>
                    <w:left w:val="none" w:sz="0" w:space="0" w:color="auto"/>
                    <w:bottom w:val="none" w:sz="0" w:space="0" w:color="auto"/>
                    <w:right w:val="none" w:sz="0" w:space="0" w:color="auto"/>
                  </w:divBdr>
                </w:div>
                <w:div w:id="1591306300">
                  <w:marLeft w:val="0"/>
                  <w:marRight w:val="0"/>
                  <w:marTop w:val="0"/>
                  <w:marBottom w:val="0"/>
                  <w:divBdr>
                    <w:top w:val="none" w:sz="0" w:space="0" w:color="auto"/>
                    <w:left w:val="none" w:sz="0" w:space="0" w:color="auto"/>
                    <w:bottom w:val="none" w:sz="0" w:space="0" w:color="auto"/>
                    <w:right w:val="none" w:sz="0" w:space="0" w:color="auto"/>
                  </w:divBdr>
                </w:div>
              </w:divsChild>
            </w:div>
            <w:div w:id="1614938593">
              <w:marLeft w:val="0"/>
              <w:marRight w:val="0"/>
              <w:marTop w:val="0"/>
              <w:marBottom w:val="0"/>
              <w:divBdr>
                <w:top w:val="none" w:sz="0" w:space="0" w:color="auto"/>
                <w:left w:val="none" w:sz="0" w:space="0" w:color="auto"/>
                <w:bottom w:val="none" w:sz="0" w:space="0" w:color="auto"/>
                <w:right w:val="none" w:sz="0" w:space="0" w:color="auto"/>
              </w:divBdr>
              <w:divsChild>
                <w:div w:id="1994285736">
                  <w:marLeft w:val="0"/>
                  <w:marRight w:val="0"/>
                  <w:marTop w:val="0"/>
                  <w:marBottom w:val="0"/>
                  <w:divBdr>
                    <w:top w:val="none" w:sz="0" w:space="0" w:color="auto"/>
                    <w:left w:val="single" w:sz="2" w:space="2" w:color="D6D6D6"/>
                    <w:bottom w:val="single" w:sz="2" w:space="0" w:color="D6D6D6"/>
                    <w:right w:val="none" w:sz="0" w:space="0" w:color="auto"/>
                  </w:divBdr>
                </w:div>
                <w:div w:id="2124155605">
                  <w:marLeft w:val="0"/>
                  <w:marRight w:val="0"/>
                  <w:marTop w:val="0"/>
                  <w:marBottom w:val="0"/>
                  <w:divBdr>
                    <w:top w:val="none" w:sz="0" w:space="0" w:color="auto"/>
                    <w:left w:val="none" w:sz="0" w:space="0" w:color="auto"/>
                    <w:bottom w:val="single" w:sz="2" w:space="0" w:color="D6D6D6"/>
                    <w:right w:val="none" w:sz="0" w:space="0" w:color="auto"/>
                  </w:divBdr>
                  <w:divsChild>
                    <w:div w:id="1584026613">
                      <w:marLeft w:val="0"/>
                      <w:marRight w:val="0"/>
                      <w:marTop w:val="0"/>
                      <w:marBottom w:val="0"/>
                      <w:divBdr>
                        <w:top w:val="none" w:sz="0" w:space="0" w:color="auto"/>
                        <w:left w:val="none" w:sz="0" w:space="0" w:color="auto"/>
                        <w:bottom w:val="none" w:sz="0" w:space="0" w:color="auto"/>
                        <w:right w:val="none" w:sz="0" w:space="0" w:color="auto"/>
                      </w:divBdr>
                    </w:div>
                  </w:divsChild>
                </w:div>
                <w:div w:id="490562938">
                  <w:marLeft w:val="0"/>
                  <w:marRight w:val="0"/>
                  <w:marTop w:val="0"/>
                  <w:marBottom w:val="0"/>
                  <w:divBdr>
                    <w:top w:val="none" w:sz="0" w:space="0" w:color="auto"/>
                    <w:left w:val="none" w:sz="0" w:space="0" w:color="auto"/>
                    <w:bottom w:val="single" w:sz="2" w:space="0" w:color="D6D6D6"/>
                    <w:right w:val="none" w:sz="0" w:space="0" w:color="auto"/>
                  </w:divBdr>
                </w:div>
                <w:div w:id="839008674">
                  <w:marLeft w:val="0"/>
                  <w:marRight w:val="0"/>
                  <w:marTop w:val="0"/>
                  <w:marBottom w:val="0"/>
                  <w:divBdr>
                    <w:top w:val="none" w:sz="0" w:space="0" w:color="auto"/>
                    <w:left w:val="none" w:sz="0" w:space="0" w:color="auto"/>
                    <w:bottom w:val="single" w:sz="2" w:space="0" w:color="D6D6D6"/>
                    <w:right w:val="none" w:sz="0" w:space="0" w:color="auto"/>
                  </w:divBdr>
                </w:div>
                <w:div w:id="1860923456">
                  <w:marLeft w:val="0"/>
                  <w:marRight w:val="0"/>
                  <w:marTop w:val="0"/>
                  <w:marBottom w:val="0"/>
                  <w:divBdr>
                    <w:top w:val="none" w:sz="0" w:space="0" w:color="auto"/>
                    <w:left w:val="none" w:sz="0" w:space="0" w:color="auto"/>
                    <w:bottom w:val="single" w:sz="2" w:space="0" w:color="D6D6D6"/>
                    <w:right w:val="none" w:sz="0" w:space="0" w:color="auto"/>
                  </w:divBdr>
                </w:div>
                <w:div w:id="2031291902">
                  <w:marLeft w:val="0"/>
                  <w:marRight w:val="0"/>
                  <w:marTop w:val="0"/>
                  <w:marBottom w:val="0"/>
                  <w:divBdr>
                    <w:top w:val="none" w:sz="0" w:space="0" w:color="auto"/>
                    <w:left w:val="none" w:sz="0" w:space="0" w:color="auto"/>
                    <w:bottom w:val="single" w:sz="2" w:space="0" w:color="D6D6D6"/>
                    <w:right w:val="single" w:sz="2" w:space="2" w:color="D6D6D6"/>
                  </w:divBdr>
                </w:div>
              </w:divsChild>
            </w:div>
            <w:div w:id="264509292">
              <w:marLeft w:val="0"/>
              <w:marRight w:val="0"/>
              <w:marTop w:val="0"/>
              <w:marBottom w:val="0"/>
              <w:divBdr>
                <w:top w:val="none" w:sz="0" w:space="0" w:color="auto"/>
                <w:left w:val="none" w:sz="0" w:space="0" w:color="auto"/>
                <w:bottom w:val="none" w:sz="0" w:space="0" w:color="auto"/>
                <w:right w:val="none" w:sz="0" w:space="0" w:color="auto"/>
              </w:divBdr>
              <w:divsChild>
                <w:div w:id="355157220">
                  <w:marLeft w:val="0"/>
                  <w:marRight w:val="0"/>
                  <w:marTop w:val="0"/>
                  <w:marBottom w:val="0"/>
                  <w:divBdr>
                    <w:top w:val="none" w:sz="0" w:space="0" w:color="auto"/>
                    <w:left w:val="single" w:sz="2" w:space="2" w:color="D6D6D6"/>
                    <w:bottom w:val="single" w:sz="2" w:space="0" w:color="D6D6D6"/>
                    <w:right w:val="none" w:sz="0" w:space="0" w:color="auto"/>
                  </w:divBdr>
                </w:div>
                <w:div w:id="1658533448">
                  <w:marLeft w:val="0"/>
                  <w:marRight w:val="0"/>
                  <w:marTop w:val="0"/>
                  <w:marBottom w:val="0"/>
                  <w:divBdr>
                    <w:top w:val="none" w:sz="0" w:space="0" w:color="auto"/>
                    <w:left w:val="none" w:sz="0" w:space="0" w:color="auto"/>
                    <w:bottom w:val="single" w:sz="2" w:space="0" w:color="D6D6D6"/>
                    <w:right w:val="none" w:sz="0" w:space="0" w:color="auto"/>
                  </w:divBdr>
                  <w:divsChild>
                    <w:div w:id="203831736">
                      <w:marLeft w:val="0"/>
                      <w:marRight w:val="0"/>
                      <w:marTop w:val="0"/>
                      <w:marBottom w:val="0"/>
                      <w:divBdr>
                        <w:top w:val="none" w:sz="0" w:space="0" w:color="auto"/>
                        <w:left w:val="none" w:sz="0" w:space="0" w:color="auto"/>
                        <w:bottom w:val="none" w:sz="0" w:space="0" w:color="auto"/>
                        <w:right w:val="none" w:sz="0" w:space="0" w:color="auto"/>
                      </w:divBdr>
                    </w:div>
                  </w:divsChild>
                </w:div>
                <w:div w:id="120080040">
                  <w:marLeft w:val="0"/>
                  <w:marRight w:val="0"/>
                  <w:marTop w:val="0"/>
                  <w:marBottom w:val="0"/>
                  <w:divBdr>
                    <w:top w:val="none" w:sz="0" w:space="0" w:color="auto"/>
                    <w:left w:val="none" w:sz="0" w:space="0" w:color="auto"/>
                    <w:bottom w:val="single" w:sz="2" w:space="0" w:color="D6D6D6"/>
                    <w:right w:val="none" w:sz="0" w:space="0" w:color="auto"/>
                  </w:divBdr>
                </w:div>
                <w:div w:id="1051223517">
                  <w:marLeft w:val="0"/>
                  <w:marRight w:val="0"/>
                  <w:marTop w:val="0"/>
                  <w:marBottom w:val="0"/>
                  <w:divBdr>
                    <w:top w:val="none" w:sz="0" w:space="0" w:color="auto"/>
                    <w:left w:val="none" w:sz="0" w:space="0" w:color="auto"/>
                    <w:bottom w:val="single" w:sz="2" w:space="0" w:color="D6D6D6"/>
                    <w:right w:val="none" w:sz="0" w:space="0" w:color="auto"/>
                  </w:divBdr>
                </w:div>
                <w:div w:id="1692755592">
                  <w:marLeft w:val="0"/>
                  <w:marRight w:val="0"/>
                  <w:marTop w:val="0"/>
                  <w:marBottom w:val="0"/>
                  <w:divBdr>
                    <w:top w:val="none" w:sz="0" w:space="0" w:color="auto"/>
                    <w:left w:val="none" w:sz="0" w:space="0" w:color="auto"/>
                    <w:bottom w:val="single" w:sz="2" w:space="0" w:color="D6D6D6"/>
                    <w:right w:val="none" w:sz="0" w:space="0" w:color="auto"/>
                  </w:divBdr>
                </w:div>
                <w:div w:id="63916221">
                  <w:marLeft w:val="0"/>
                  <w:marRight w:val="0"/>
                  <w:marTop w:val="0"/>
                  <w:marBottom w:val="0"/>
                  <w:divBdr>
                    <w:top w:val="none" w:sz="0" w:space="0" w:color="auto"/>
                    <w:left w:val="none" w:sz="0" w:space="0" w:color="auto"/>
                    <w:bottom w:val="single" w:sz="2" w:space="0" w:color="D6D6D6"/>
                    <w:right w:val="single" w:sz="2" w:space="2" w:color="D6D6D6"/>
                  </w:divBdr>
                </w:div>
              </w:divsChild>
            </w:div>
            <w:div w:id="1982222480">
              <w:marLeft w:val="0"/>
              <w:marRight w:val="0"/>
              <w:marTop w:val="0"/>
              <w:marBottom w:val="0"/>
              <w:divBdr>
                <w:top w:val="none" w:sz="0" w:space="0" w:color="auto"/>
                <w:left w:val="none" w:sz="0" w:space="0" w:color="auto"/>
                <w:bottom w:val="none" w:sz="0" w:space="0" w:color="auto"/>
                <w:right w:val="none" w:sz="0" w:space="0" w:color="auto"/>
              </w:divBdr>
              <w:divsChild>
                <w:div w:id="500395032">
                  <w:marLeft w:val="0"/>
                  <w:marRight w:val="0"/>
                  <w:marTop w:val="0"/>
                  <w:marBottom w:val="0"/>
                  <w:divBdr>
                    <w:top w:val="none" w:sz="0" w:space="0" w:color="auto"/>
                    <w:left w:val="single" w:sz="2" w:space="2" w:color="D6D6D6"/>
                    <w:bottom w:val="single" w:sz="2" w:space="0" w:color="D6D6D6"/>
                    <w:right w:val="none" w:sz="0" w:space="0" w:color="auto"/>
                  </w:divBdr>
                </w:div>
                <w:div w:id="1694915853">
                  <w:marLeft w:val="0"/>
                  <w:marRight w:val="0"/>
                  <w:marTop w:val="0"/>
                  <w:marBottom w:val="0"/>
                  <w:divBdr>
                    <w:top w:val="none" w:sz="0" w:space="0" w:color="auto"/>
                    <w:left w:val="none" w:sz="0" w:space="0" w:color="auto"/>
                    <w:bottom w:val="single" w:sz="2" w:space="0" w:color="D6D6D6"/>
                    <w:right w:val="none" w:sz="0" w:space="0" w:color="auto"/>
                  </w:divBdr>
                  <w:divsChild>
                    <w:div w:id="2053189481">
                      <w:marLeft w:val="0"/>
                      <w:marRight w:val="0"/>
                      <w:marTop w:val="0"/>
                      <w:marBottom w:val="0"/>
                      <w:divBdr>
                        <w:top w:val="none" w:sz="0" w:space="0" w:color="auto"/>
                        <w:left w:val="none" w:sz="0" w:space="0" w:color="auto"/>
                        <w:bottom w:val="none" w:sz="0" w:space="0" w:color="auto"/>
                        <w:right w:val="none" w:sz="0" w:space="0" w:color="auto"/>
                      </w:divBdr>
                    </w:div>
                  </w:divsChild>
                </w:div>
                <w:div w:id="1394082501">
                  <w:marLeft w:val="0"/>
                  <w:marRight w:val="0"/>
                  <w:marTop w:val="0"/>
                  <w:marBottom w:val="0"/>
                  <w:divBdr>
                    <w:top w:val="none" w:sz="0" w:space="0" w:color="auto"/>
                    <w:left w:val="none" w:sz="0" w:space="0" w:color="auto"/>
                    <w:bottom w:val="single" w:sz="2" w:space="0" w:color="D6D6D6"/>
                    <w:right w:val="none" w:sz="0" w:space="0" w:color="auto"/>
                  </w:divBdr>
                </w:div>
                <w:div w:id="1166895564">
                  <w:marLeft w:val="0"/>
                  <w:marRight w:val="0"/>
                  <w:marTop w:val="0"/>
                  <w:marBottom w:val="0"/>
                  <w:divBdr>
                    <w:top w:val="none" w:sz="0" w:space="0" w:color="auto"/>
                    <w:left w:val="none" w:sz="0" w:space="0" w:color="auto"/>
                    <w:bottom w:val="single" w:sz="2" w:space="0" w:color="D6D6D6"/>
                    <w:right w:val="none" w:sz="0" w:space="0" w:color="auto"/>
                  </w:divBdr>
                </w:div>
                <w:div w:id="1457066892">
                  <w:marLeft w:val="0"/>
                  <w:marRight w:val="0"/>
                  <w:marTop w:val="0"/>
                  <w:marBottom w:val="0"/>
                  <w:divBdr>
                    <w:top w:val="none" w:sz="0" w:space="0" w:color="auto"/>
                    <w:left w:val="none" w:sz="0" w:space="0" w:color="auto"/>
                    <w:bottom w:val="single" w:sz="2" w:space="0" w:color="D6D6D6"/>
                    <w:right w:val="none" w:sz="0" w:space="0" w:color="auto"/>
                  </w:divBdr>
                </w:div>
                <w:div w:id="2017801276">
                  <w:marLeft w:val="0"/>
                  <w:marRight w:val="0"/>
                  <w:marTop w:val="0"/>
                  <w:marBottom w:val="0"/>
                  <w:divBdr>
                    <w:top w:val="none" w:sz="0" w:space="0" w:color="auto"/>
                    <w:left w:val="none" w:sz="0" w:space="0" w:color="auto"/>
                    <w:bottom w:val="single" w:sz="2" w:space="0" w:color="D6D6D6"/>
                    <w:right w:val="single" w:sz="2" w:space="2" w:color="D6D6D6"/>
                  </w:divBdr>
                </w:div>
              </w:divsChild>
            </w:div>
            <w:div w:id="791899846">
              <w:marLeft w:val="0"/>
              <w:marRight w:val="0"/>
              <w:marTop w:val="0"/>
              <w:marBottom w:val="0"/>
              <w:divBdr>
                <w:top w:val="none" w:sz="0" w:space="0" w:color="auto"/>
                <w:left w:val="none" w:sz="0" w:space="0" w:color="auto"/>
                <w:bottom w:val="none" w:sz="0" w:space="0" w:color="auto"/>
                <w:right w:val="none" w:sz="0" w:space="0" w:color="auto"/>
              </w:divBdr>
              <w:divsChild>
                <w:div w:id="1222864612">
                  <w:marLeft w:val="0"/>
                  <w:marRight w:val="0"/>
                  <w:marTop w:val="0"/>
                  <w:marBottom w:val="0"/>
                  <w:divBdr>
                    <w:top w:val="none" w:sz="0" w:space="0" w:color="auto"/>
                    <w:left w:val="single" w:sz="2" w:space="2" w:color="D6D6D6"/>
                    <w:bottom w:val="single" w:sz="2" w:space="0" w:color="D6D6D6"/>
                    <w:right w:val="none" w:sz="0" w:space="0" w:color="auto"/>
                  </w:divBdr>
                </w:div>
                <w:div w:id="988368249">
                  <w:marLeft w:val="0"/>
                  <w:marRight w:val="0"/>
                  <w:marTop w:val="0"/>
                  <w:marBottom w:val="0"/>
                  <w:divBdr>
                    <w:top w:val="none" w:sz="0" w:space="0" w:color="auto"/>
                    <w:left w:val="none" w:sz="0" w:space="0" w:color="auto"/>
                    <w:bottom w:val="single" w:sz="2" w:space="0" w:color="D6D6D6"/>
                    <w:right w:val="none" w:sz="0" w:space="0" w:color="auto"/>
                  </w:divBdr>
                  <w:divsChild>
                    <w:div w:id="1561021377">
                      <w:marLeft w:val="0"/>
                      <w:marRight w:val="0"/>
                      <w:marTop w:val="0"/>
                      <w:marBottom w:val="0"/>
                      <w:divBdr>
                        <w:top w:val="none" w:sz="0" w:space="0" w:color="auto"/>
                        <w:left w:val="none" w:sz="0" w:space="0" w:color="auto"/>
                        <w:bottom w:val="none" w:sz="0" w:space="0" w:color="auto"/>
                        <w:right w:val="none" w:sz="0" w:space="0" w:color="auto"/>
                      </w:divBdr>
                    </w:div>
                  </w:divsChild>
                </w:div>
                <w:div w:id="687869999">
                  <w:marLeft w:val="0"/>
                  <w:marRight w:val="0"/>
                  <w:marTop w:val="0"/>
                  <w:marBottom w:val="0"/>
                  <w:divBdr>
                    <w:top w:val="none" w:sz="0" w:space="0" w:color="auto"/>
                    <w:left w:val="none" w:sz="0" w:space="0" w:color="auto"/>
                    <w:bottom w:val="single" w:sz="2" w:space="0" w:color="D6D6D6"/>
                    <w:right w:val="none" w:sz="0" w:space="0" w:color="auto"/>
                  </w:divBdr>
                </w:div>
                <w:div w:id="2030914182">
                  <w:marLeft w:val="0"/>
                  <w:marRight w:val="0"/>
                  <w:marTop w:val="0"/>
                  <w:marBottom w:val="0"/>
                  <w:divBdr>
                    <w:top w:val="none" w:sz="0" w:space="0" w:color="auto"/>
                    <w:left w:val="none" w:sz="0" w:space="0" w:color="auto"/>
                    <w:bottom w:val="single" w:sz="2" w:space="0" w:color="D6D6D6"/>
                    <w:right w:val="none" w:sz="0" w:space="0" w:color="auto"/>
                  </w:divBdr>
                </w:div>
                <w:div w:id="290526143">
                  <w:marLeft w:val="0"/>
                  <w:marRight w:val="0"/>
                  <w:marTop w:val="0"/>
                  <w:marBottom w:val="0"/>
                  <w:divBdr>
                    <w:top w:val="none" w:sz="0" w:space="0" w:color="auto"/>
                    <w:left w:val="none" w:sz="0" w:space="0" w:color="auto"/>
                    <w:bottom w:val="single" w:sz="2" w:space="0" w:color="D6D6D6"/>
                    <w:right w:val="none" w:sz="0" w:space="0" w:color="auto"/>
                  </w:divBdr>
                </w:div>
                <w:div w:id="404375238">
                  <w:marLeft w:val="0"/>
                  <w:marRight w:val="0"/>
                  <w:marTop w:val="0"/>
                  <w:marBottom w:val="0"/>
                  <w:divBdr>
                    <w:top w:val="none" w:sz="0" w:space="0" w:color="auto"/>
                    <w:left w:val="none" w:sz="0" w:space="0" w:color="auto"/>
                    <w:bottom w:val="single" w:sz="2" w:space="0" w:color="D6D6D6"/>
                    <w:right w:val="single" w:sz="2" w:space="2" w:color="D6D6D6"/>
                  </w:divBdr>
                </w:div>
              </w:divsChild>
            </w:div>
            <w:div w:id="1325012586">
              <w:marLeft w:val="0"/>
              <w:marRight w:val="0"/>
              <w:marTop w:val="0"/>
              <w:marBottom w:val="0"/>
              <w:divBdr>
                <w:top w:val="none" w:sz="0" w:space="0" w:color="auto"/>
                <w:left w:val="none" w:sz="0" w:space="0" w:color="auto"/>
                <w:bottom w:val="none" w:sz="0" w:space="0" w:color="auto"/>
                <w:right w:val="none" w:sz="0" w:space="0" w:color="auto"/>
              </w:divBdr>
              <w:divsChild>
                <w:div w:id="1227300068">
                  <w:marLeft w:val="0"/>
                  <w:marRight w:val="0"/>
                  <w:marTop w:val="0"/>
                  <w:marBottom w:val="0"/>
                  <w:divBdr>
                    <w:top w:val="none" w:sz="0" w:space="0" w:color="auto"/>
                    <w:left w:val="single" w:sz="2" w:space="2" w:color="D6D6D6"/>
                    <w:bottom w:val="single" w:sz="2" w:space="0" w:color="D6D6D6"/>
                    <w:right w:val="none" w:sz="0" w:space="0" w:color="auto"/>
                  </w:divBdr>
                </w:div>
                <w:div w:id="799348806">
                  <w:marLeft w:val="0"/>
                  <w:marRight w:val="0"/>
                  <w:marTop w:val="0"/>
                  <w:marBottom w:val="0"/>
                  <w:divBdr>
                    <w:top w:val="none" w:sz="0" w:space="0" w:color="auto"/>
                    <w:left w:val="none" w:sz="0" w:space="0" w:color="auto"/>
                    <w:bottom w:val="single" w:sz="2" w:space="0" w:color="D6D6D6"/>
                    <w:right w:val="none" w:sz="0" w:space="0" w:color="auto"/>
                  </w:divBdr>
                  <w:divsChild>
                    <w:div w:id="1918131384">
                      <w:marLeft w:val="0"/>
                      <w:marRight w:val="0"/>
                      <w:marTop w:val="0"/>
                      <w:marBottom w:val="0"/>
                      <w:divBdr>
                        <w:top w:val="none" w:sz="0" w:space="0" w:color="auto"/>
                        <w:left w:val="none" w:sz="0" w:space="0" w:color="auto"/>
                        <w:bottom w:val="none" w:sz="0" w:space="0" w:color="auto"/>
                        <w:right w:val="none" w:sz="0" w:space="0" w:color="auto"/>
                      </w:divBdr>
                    </w:div>
                  </w:divsChild>
                </w:div>
                <w:div w:id="1413770525">
                  <w:marLeft w:val="0"/>
                  <w:marRight w:val="0"/>
                  <w:marTop w:val="0"/>
                  <w:marBottom w:val="0"/>
                  <w:divBdr>
                    <w:top w:val="none" w:sz="0" w:space="0" w:color="auto"/>
                    <w:left w:val="none" w:sz="0" w:space="0" w:color="auto"/>
                    <w:bottom w:val="single" w:sz="2" w:space="0" w:color="D6D6D6"/>
                    <w:right w:val="none" w:sz="0" w:space="0" w:color="auto"/>
                  </w:divBdr>
                </w:div>
                <w:div w:id="566721470">
                  <w:marLeft w:val="0"/>
                  <w:marRight w:val="0"/>
                  <w:marTop w:val="0"/>
                  <w:marBottom w:val="0"/>
                  <w:divBdr>
                    <w:top w:val="none" w:sz="0" w:space="0" w:color="auto"/>
                    <w:left w:val="none" w:sz="0" w:space="0" w:color="auto"/>
                    <w:bottom w:val="single" w:sz="2" w:space="0" w:color="D6D6D6"/>
                    <w:right w:val="none" w:sz="0" w:space="0" w:color="auto"/>
                  </w:divBdr>
                </w:div>
                <w:div w:id="1643777473">
                  <w:marLeft w:val="0"/>
                  <w:marRight w:val="0"/>
                  <w:marTop w:val="0"/>
                  <w:marBottom w:val="0"/>
                  <w:divBdr>
                    <w:top w:val="none" w:sz="0" w:space="0" w:color="auto"/>
                    <w:left w:val="none" w:sz="0" w:space="0" w:color="auto"/>
                    <w:bottom w:val="single" w:sz="2" w:space="0" w:color="D6D6D6"/>
                    <w:right w:val="none" w:sz="0" w:space="0" w:color="auto"/>
                  </w:divBdr>
                </w:div>
                <w:div w:id="1115291977">
                  <w:marLeft w:val="0"/>
                  <w:marRight w:val="0"/>
                  <w:marTop w:val="0"/>
                  <w:marBottom w:val="0"/>
                  <w:divBdr>
                    <w:top w:val="none" w:sz="0" w:space="0" w:color="auto"/>
                    <w:left w:val="none" w:sz="0" w:space="0" w:color="auto"/>
                    <w:bottom w:val="single" w:sz="2" w:space="0" w:color="D6D6D6"/>
                    <w:right w:val="single" w:sz="2" w:space="2" w:color="D6D6D6"/>
                  </w:divBdr>
                </w:div>
              </w:divsChild>
            </w:div>
            <w:div w:id="392781049">
              <w:marLeft w:val="0"/>
              <w:marRight w:val="0"/>
              <w:marTop w:val="0"/>
              <w:marBottom w:val="0"/>
              <w:divBdr>
                <w:top w:val="none" w:sz="0" w:space="0" w:color="auto"/>
                <w:left w:val="none" w:sz="0" w:space="0" w:color="auto"/>
                <w:bottom w:val="none" w:sz="0" w:space="0" w:color="auto"/>
                <w:right w:val="none" w:sz="0" w:space="0" w:color="auto"/>
              </w:divBdr>
              <w:divsChild>
                <w:div w:id="21470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687743">
      <w:bodyDiv w:val="1"/>
      <w:marLeft w:val="0"/>
      <w:marRight w:val="0"/>
      <w:marTop w:val="0"/>
      <w:marBottom w:val="0"/>
      <w:divBdr>
        <w:top w:val="none" w:sz="0" w:space="0" w:color="auto"/>
        <w:left w:val="none" w:sz="0" w:space="0" w:color="auto"/>
        <w:bottom w:val="none" w:sz="0" w:space="0" w:color="auto"/>
        <w:right w:val="none" w:sz="0" w:space="0" w:color="auto"/>
      </w:divBdr>
      <w:divsChild>
        <w:div w:id="884365605">
          <w:marLeft w:val="0"/>
          <w:marRight w:val="0"/>
          <w:marTop w:val="0"/>
          <w:marBottom w:val="0"/>
          <w:divBdr>
            <w:top w:val="none" w:sz="0" w:space="0" w:color="auto"/>
            <w:left w:val="none" w:sz="0" w:space="0" w:color="auto"/>
            <w:bottom w:val="none" w:sz="0" w:space="0" w:color="auto"/>
            <w:right w:val="none" w:sz="0" w:space="0" w:color="auto"/>
          </w:divBdr>
          <w:divsChild>
            <w:div w:id="863902146">
              <w:marLeft w:val="0"/>
              <w:marRight w:val="0"/>
              <w:marTop w:val="0"/>
              <w:marBottom w:val="0"/>
              <w:divBdr>
                <w:top w:val="none" w:sz="0" w:space="0" w:color="auto"/>
                <w:left w:val="none" w:sz="0" w:space="0" w:color="auto"/>
                <w:bottom w:val="none" w:sz="0" w:space="0" w:color="auto"/>
                <w:right w:val="none" w:sz="0" w:space="0" w:color="auto"/>
              </w:divBdr>
              <w:divsChild>
                <w:div w:id="944310077">
                  <w:marLeft w:val="0"/>
                  <w:marRight w:val="0"/>
                  <w:marTop w:val="0"/>
                  <w:marBottom w:val="0"/>
                  <w:divBdr>
                    <w:top w:val="none" w:sz="0" w:space="0" w:color="auto"/>
                    <w:left w:val="none" w:sz="0" w:space="0" w:color="auto"/>
                    <w:bottom w:val="none" w:sz="0" w:space="0" w:color="auto"/>
                    <w:right w:val="none" w:sz="0" w:space="0" w:color="auto"/>
                  </w:divBdr>
                  <w:divsChild>
                    <w:div w:id="1330673961">
                      <w:marLeft w:val="0"/>
                      <w:marRight w:val="0"/>
                      <w:marTop w:val="0"/>
                      <w:marBottom w:val="0"/>
                      <w:divBdr>
                        <w:top w:val="none" w:sz="0" w:space="0" w:color="auto"/>
                        <w:left w:val="none" w:sz="0" w:space="0" w:color="auto"/>
                        <w:bottom w:val="none" w:sz="0" w:space="0" w:color="auto"/>
                        <w:right w:val="none" w:sz="0" w:space="0" w:color="auto"/>
                      </w:divBdr>
                      <w:divsChild>
                        <w:div w:id="215242133">
                          <w:marLeft w:val="0"/>
                          <w:marRight w:val="0"/>
                          <w:marTop w:val="0"/>
                          <w:marBottom w:val="0"/>
                          <w:divBdr>
                            <w:top w:val="none" w:sz="0" w:space="0" w:color="auto"/>
                            <w:left w:val="none" w:sz="0" w:space="0" w:color="auto"/>
                            <w:bottom w:val="none" w:sz="0" w:space="0" w:color="auto"/>
                            <w:right w:val="none" w:sz="0" w:space="0" w:color="auto"/>
                          </w:divBdr>
                          <w:divsChild>
                            <w:div w:id="868953281">
                              <w:marLeft w:val="0"/>
                              <w:marRight w:val="0"/>
                              <w:marTop w:val="0"/>
                              <w:marBottom w:val="0"/>
                              <w:divBdr>
                                <w:top w:val="none" w:sz="0" w:space="0" w:color="auto"/>
                                <w:left w:val="none" w:sz="0" w:space="0" w:color="auto"/>
                                <w:bottom w:val="none" w:sz="0" w:space="0" w:color="auto"/>
                                <w:right w:val="none" w:sz="0" w:space="0" w:color="auto"/>
                              </w:divBdr>
                              <w:divsChild>
                                <w:div w:id="1240366643">
                                  <w:marLeft w:val="0"/>
                                  <w:marRight w:val="0"/>
                                  <w:marTop w:val="0"/>
                                  <w:marBottom w:val="0"/>
                                  <w:divBdr>
                                    <w:top w:val="none" w:sz="0" w:space="0" w:color="auto"/>
                                    <w:left w:val="none" w:sz="0" w:space="0" w:color="auto"/>
                                    <w:bottom w:val="none" w:sz="0" w:space="0" w:color="auto"/>
                                    <w:right w:val="none" w:sz="0" w:space="0" w:color="auto"/>
                                  </w:divBdr>
                                  <w:divsChild>
                                    <w:div w:id="52556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8842353">
          <w:marLeft w:val="0"/>
          <w:marRight w:val="0"/>
          <w:marTop w:val="0"/>
          <w:marBottom w:val="0"/>
          <w:divBdr>
            <w:top w:val="none" w:sz="0" w:space="0" w:color="auto"/>
            <w:left w:val="none" w:sz="0" w:space="0" w:color="auto"/>
            <w:bottom w:val="none" w:sz="0" w:space="0" w:color="auto"/>
            <w:right w:val="none" w:sz="0" w:space="0" w:color="auto"/>
          </w:divBdr>
          <w:divsChild>
            <w:div w:id="1945764213">
              <w:marLeft w:val="0"/>
              <w:marRight w:val="0"/>
              <w:marTop w:val="0"/>
              <w:marBottom w:val="0"/>
              <w:divBdr>
                <w:top w:val="none" w:sz="0" w:space="0" w:color="auto"/>
                <w:left w:val="none" w:sz="0" w:space="0" w:color="auto"/>
                <w:bottom w:val="none" w:sz="0" w:space="0" w:color="auto"/>
                <w:right w:val="none" w:sz="0" w:space="0" w:color="auto"/>
              </w:divBdr>
              <w:divsChild>
                <w:div w:id="1847397206">
                  <w:marLeft w:val="0"/>
                  <w:marRight w:val="0"/>
                  <w:marTop w:val="0"/>
                  <w:marBottom w:val="0"/>
                  <w:divBdr>
                    <w:top w:val="none" w:sz="0" w:space="0" w:color="auto"/>
                    <w:left w:val="none" w:sz="0" w:space="0" w:color="auto"/>
                    <w:bottom w:val="none" w:sz="0" w:space="0" w:color="auto"/>
                    <w:right w:val="none" w:sz="0" w:space="0" w:color="auto"/>
                  </w:divBdr>
                  <w:divsChild>
                    <w:div w:id="1881278067">
                      <w:marLeft w:val="0"/>
                      <w:marRight w:val="0"/>
                      <w:marTop w:val="0"/>
                      <w:marBottom w:val="0"/>
                      <w:divBdr>
                        <w:top w:val="none" w:sz="0" w:space="0" w:color="auto"/>
                        <w:left w:val="none" w:sz="0" w:space="0" w:color="auto"/>
                        <w:bottom w:val="none" w:sz="0" w:space="0" w:color="auto"/>
                        <w:right w:val="none" w:sz="0" w:space="0" w:color="auto"/>
                      </w:divBdr>
                      <w:divsChild>
                        <w:div w:id="341469671">
                          <w:marLeft w:val="0"/>
                          <w:marRight w:val="0"/>
                          <w:marTop w:val="0"/>
                          <w:marBottom w:val="0"/>
                          <w:divBdr>
                            <w:top w:val="none" w:sz="0" w:space="0" w:color="auto"/>
                            <w:left w:val="none" w:sz="0" w:space="0" w:color="auto"/>
                            <w:bottom w:val="none" w:sz="0" w:space="0" w:color="auto"/>
                            <w:right w:val="none" w:sz="0" w:space="0" w:color="auto"/>
                          </w:divBdr>
                          <w:divsChild>
                            <w:div w:id="354115614">
                              <w:marLeft w:val="0"/>
                              <w:marRight w:val="0"/>
                              <w:marTop w:val="0"/>
                              <w:marBottom w:val="0"/>
                              <w:divBdr>
                                <w:top w:val="none" w:sz="0" w:space="0" w:color="auto"/>
                                <w:left w:val="none" w:sz="0" w:space="0" w:color="auto"/>
                                <w:bottom w:val="none" w:sz="0" w:space="0" w:color="auto"/>
                                <w:right w:val="none" w:sz="0" w:space="0" w:color="auto"/>
                              </w:divBdr>
                              <w:divsChild>
                                <w:div w:id="202967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769662">
          <w:marLeft w:val="0"/>
          <w:marRight w:val="0"/>
          <w:marTop w:val="0"/>
          <w:marBottom w:val="0"/>
          <w:divBdr>
            <w:top w:val="none" w:sz="0" w:space="0" w:color="auto"/>
            <w:left w:val="none" w:sz="0" w:space="0" w:color="auto"/>
            <w:bottom w:val="none" w:sz="0" w:space="0" w:color="auto"/>
            <w:right w:val="none" w:sz="0" w:space="0" w:color="auto"/>
          </w:divBdr>
          <w:divsChild>
            <w:div w:id="19595874">
              <w:marLeft w:val="0"/>
              <w:marRight w:val="0"/>
              <w:marTop w:val="0"/>
              <w:marBottom w:val="0"/>
              <w:divBdr>
                <w:top w:val="none" w:sz="0" w:space="0" w:color="auto"/>
                <w:left w:val="none" w:sz="0" w:space="0" w:color="auto"/>
                <w:bottom w:val="none" w:sz="0" w:space="0" w:color="auto"/>
                <w:right w:val="none" w:sz="0" w:space="0" w:color="auto"/>
              </w:divBdr>
              <w:divsChild>
                <w:div w:id="1077245753">
                  <w:marLeft w:val="0"/>
                  <w:marRight w:val="0"/>
                  <w:marTop w:val="0"/>
                  <w:marBottom w:val="0"/>
                  <w:divBdr>
                    <w:top w:val="none" w:sz="0" w:space="0" w:color="auto"/>
                    <w:left w:val="none" w:sz="0" w:space="0" w:color="auto"/>
                    <w:bottom w:val="none" w:sz="0" w:space="0" w:color="auto"/>
                    <w:right w:val="none" w:sz="0" w:space="0" w:color="auto"/>
                  </w:divBdr>
                  <w:divsChild>
                    <w:div w:id="218827005">
                      <w:marLeft w:val="0"/>
                      <w:marRight w:val="0"/>
                      <w:marTop w:val="0"/>
                      <w:marBottom w:val="0"/>
                      <w:divBdr>
                        <w:top w:val="none" w:sz="0" w:space="0" w:color="auto"/>
                        <w:left w:val="none" w:sz="0" w:space="0" w:color="auto"/>
                        <w:bottom w:val="none" w:sz="0" w:space="0" w:color="auto"/>
                        <w:right w:val="none" w:sz="0" w:space="0" w:color="auto"/>
                      </w:divBdr>
                      <w:divsChild>
                        <w:div w:id="1700013095">
                          <w:marLeft w:val="0"/>
                          <w:marRight w:val="0"/>
                          <w:marTop w:val="0"/>
                          <w:marBottom w:val="0"/>
                          <w:divBdr>
                            <w:top w:val="none" w:sz="0" w:space="0" w:color="auto"/>
                            <w:left w:val="none" w:sz="0" w:space="0" w:color="auto"/>
                            <w:bottom w:val="none" w:sz="0" w:space="0" w:color="auto"/>
                            <w:right w:val="none" w:sz="0" w:space="0" w:color="auto"/>
                          </w:divBdr>
                          <w:divsChild>
                            <w:div w:id="2062513309">
                              <w:marLeft w:val="0"/>
                              <w:marRight w:val="0"/>
                              <w:marTop w:val="0"/>
                              <w:marBottom w:val="0"/>
                              <w:divBdr>
                                <w:top w:val="none" w:sz="0" w:space="0" w:color="auto"/>
                                <w:left w:val="none" w:sz="0" w:space="0" w:color="auto"/>
                                <w:bottom w:val="none" w:sz="0" w:space="0" w:color="auto"/>
                                <w:right w:val="none" w:sz="0" w:space="0" w:color="auto"/>
                              </w:divBdr>
                              <w:divsChild>
                                <w:div w:id="9661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514677">
                      <w:marLeft w:val="0"/>
                      <w:marRight w:val="0"/>
                      <w:marTop w:val="0"/>
                      <w:marBottom w:val="0"/>
                      <w:divBdr>
                        <w:top w:val="none" w:sz="0" w:space="0" w:color="auto"/>
                        <w:left w:val="none" w:sz="0" w:space="0" w:color="auto"/>
                        <w:bottom w:val="none" w:sz="0" w:space="0" w:color="auto"/>
                        <w:right w:val="none" w:sz="0" w:space="0" w:color="auto"/>
                      </w:divBdr>
                      <w:divsChild>
                        <w:div w:id="18508748">
                          <w:marLeft w:val="0"/>
                          <w:marRight w:val="0"/>
                          <w:marTop w:val="0"/>
                          <w:marBottom w:val="0"/>
                          <w:divBdr>
                            <w:top w:val="none" w:sz="0" w:space="0" w:color="auto"/>
                            <w:left w:val="none" w:sz="0" w:space="0" w:color="auto"/>
                            <w:bottom w:val="none" w:sz="0" w:space="0" w:color="auto"/>
                            <w:right w:val="none" w:sz="0" w:space="0" w:color="auto"/>
                          </w:divBdr>
                          <w:divsChild>
                            <w:div w:id="1268392882">
                              <w:marLeft w:val="0"/>
                              <w:marRight w:val="0"/>
                              <w:marTop w:val="0"/>
                              <w:marBottom w:val="0"/>
                              <w:divBdr>
                                <w:top w:val="none" w:sz="0" w:space="0" w:color="auto"/>
                                <w:left w:val="none" w:sz="0" w:space="0" w:color="auto"/>
                                <w:bottom w:val="none" w:sz="0" w:space="0" w:color="auto"/>
                                <w:right w:val="none" w:sz="0" w:space="0" w:color="auto"/>
                              </w:divBdr>
                              <w:divsChild>
                                <w:div w:id="9552559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45666496">
                                  <w:marLeft w:val="0"/>
                                  <w:marRight w:val="0"/>
                                  <w:marTop w:val="0"/>
                                  <w:marBottom w:val="0"/>
                                  <w:divBdr>
                                    <w:top w:val="none" w:sz="0" w:space="0" w:color="auto"/>
                                    <w:left w:val="none" w:sz="0" w:space="0" w:color="auto"/>
                                    <w:bottom w:val="none" w:sz="0" w:space="0" w:color="auto"/>
                                    <w:right w:val="none" w:sz="0" w:space="0" w:color="auto"/>
                                  </w:divBdr>
                                  <w:divsChild>
                                    <w:div w:id="49068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6903961">
      <w:bodyDiv w:val="1"/>
      <w:marLeft w:val="0"/>
      <w:marRight w:val="0"/>
      <w:marTop w:val="0"/>
      <w:marBottom w:val="0"/>
      <w:divBdr>
        <w:top w:val="none" w:sz="0" w:space="0" w:color="auto"/>
        <w:left w:val="none" w:sz="0" w:space="0" w:color="auto"/>
        <w:bottom w:val="none" w:sz="0" w:space="0" w:color="auto"/>
        <w:right w:val="none" w:sz="0" w:space="0" w:color="auto"/>
      </w:divBdr>
    </w:div>
    <w:div w:id="724716075">
      <w:bodyDiv w:val="1"/>
      <w:marLeft w:val="0"/>
      <w:marRight w:val="0"/>
      <w:marTop w:val="0"/>
      <w:marBottom w:val="0"/>
      <w:divBdr>
        <w:top w:val="none" w:sz="0" w:space="0" w:color="auto"/>
        <w:left w:val="none" w:sz="0" w:space="0" w:color="auto"/>
        <w:bottom w:val="none" w:sz="0" w:space="0" w:color="auto"/>
        <w:right w:val="none" w:sz="0" w:space="0" w:color="auto"/>
      </w:divBdr>
    </w:div>
    <w:div w:id="742028072">
      <w:bodyDiv w:val="1"/>
      <w:marLeft w:val="0"/>
      <w:marRight w:val="0"/>
      <w:marTop w:val="0"/>
      <w:marBottom w:val="0"/>
      <w:divBdr>
        <w:top w:val="none" w:sz="0" w:space="0" w:color="auto"/>
        <w:left w:val="none" w:sz="0" w:space="0" w:color="auto"/>
        <w:bottom w:val="none" w:sz="0" w:space="0" w:color="auto"/>
        <w:right w:val="none" w:sz="0" w:space="0" w:color="auto"/>
      </w:divBdr>
    </w:div>
    <w:div w:id="749042240">
      <w:bodyDiv w:val="1"/>
      <w:marLeft w:val="0"/>
      <w:marRight w:val="0"/>
      <w:marTop w:val="0"/>
      <w:marBottom w:val="0"/>
      <w:divBdr>
        <w:top w:val="none" w:sz="0" w:space="0" w:color="auto"/>
        <w:left w:val="none" w:sz="0" w:space="0" w:color="auto"/>
        <w:bottom w:val="none" w:sz="0" w:space="0" w:color="auto"/>
        <w:right w:val="none" w:sz="0" w:space="0" w:color="auto"/>
      </w:divBdr>
    </w:div>
    <w:div w:id="750471480">
      <w:bodyDiv w:val="1"/>
      <w:marLeft w:val="0"/>
      <w:marRight w:val="0"/>
      <w:marTop w:val="0"/>
      <w:marBottom w:val="0"/>
      <w:divBdr>
        <w:top w:val="none" w:sz="0" w:space="0" w:color="auto"/>
        <w:left w:val="none" w:sz="0" w:space="0" w:color="auto"/>
        <w:bottom w:val="none" w:sz="0" w:space="0" w:color="auto"/>
        <w:right w:val="none" w:sz="0" w:space="0" w:color="auto"/>
      </w:divBdr>
    </w:div>
    <w:div w:id="761267538">
      <w:bodyDiv w:val="1"/>
      <w:marLeft w:val="0"/>
      <w:marRight w:val="0"/>
      <w:marTop w:val="0"/>
      <w:marBottom w:val="0"/>
      <w:divBdr>
        <w:top w:val="none" w:sz="0" w:space="0" w:color="auto"/>
        <w:left w:val="none" w:sz="0" w:space="0" w:color="auto"/>
        <w:bottom w:val="none" w:sz="0" w:space="0" w:color="auto"/>
        <w:right w:val="none" w:sz="0" w:space="0" w:color="auto"/>
      </w:divBdr>
    </w:div>
    <w:div w:id="788090164">
      <w:bodyDiv w:val="1"/>
      <w:marLeft w:val="0"/>
      <w:marRight w:val="0"/>
      <w:marTop w:val="0"/>
      <w:marBottom w:val="0"/>
      <w:divBdr>
        <w:top w:val="none" w:sz="0" w:space="0" w:color="auto"/>
        <w:left w:val="none" w:sz="0" w:space="0" w:color="auto"/>
        <w:bottom w:val="none" w:sz="0" w:space="0" w:color="auto"/>
        <w:right w:val="none" w:sz="0" w:space="0" w:color="auto"/>
      </w:divBdr>
    </w:div>
    <w:div w:id="809905004">
      <w:bodyDiv w:val="1"/>
      <w:marLeft w:val="0"/>
      <w:marRight w:val="0"/>
      <w:marTop w:val="0"/>
      <w:marBottom w:val="0"/>
      <w:divBdr>
        <w:top w:val="none" w:sz="0" w:space="0" w:color="auto"/>
        <w:left w:val="none" w:sz="0" w:space="0" w:color="auto"/>
        <w:bottom w:val="none" w:sz="0" w:space="0" w:color="auto"/>
        <w:right w:val="none" w:sz="0" w:space="0" w:color="auto"/>
      </w:divBdr>
    </w:div>
    <w:div w:id="829754535">
      <w:bodyDiv w:val="1"/>
      <w:marLeft w:val="0"/>
      <w:marRight w:val="0"/>
      <w:marTop w:val="0"/>
      <w:marBottom w:val="0"/>
      <w:divBdr>
        <w:top w:val="none" w:sz="0" w:space="0" w:color="auto"/>
        <w:left w:val="none" w:sz="0" w:space="0" w:color="auto"/>
        <w:bottom w:val="none" w:sz="0" w:space="0" w:color="auto"/>
        <w:right w:val="none" w:sz="0" w:space="0" w:color="auto"/>
      </w:divBdr>
    </w:div>
    <w:div w:id="881478197">
      <w:bodyDiv w:val="1"/>
      <w:marLeft w:val="0"/>
      <w:marRight w:val="0"/>
      <w:marTop w:val="0"/>
      <w:marBottom w:val="0"/>
      <w:divBdr>
        <w:top w:val="none" w:sz="0" w:space="0" w:color="auto"/>
        <w:left w:val="none" w:sz="0" w:space="0" w:color="auto"/>
        <w:bottom w:val="none" w:sz="0" w:space="0" w:color="auto"/>
        <w:right w:val="none" w:sz="0" w:space="0" w:color="auto"/>
      </w:divBdr>
    </w:div>
    <w:div w:id="890992826">
      <w:bodyDiv w:val="1"/>
      <w:marLeft w:val="0"/>
      <w:marRight w:val="0"/>
      <w:marTop w:val="0"/>
      <w:marBottom w:val="0"/>
      <w:divBdr>
        <w:top w:val="none" w:sz="0" w:space="0" w:color="auto"/>
        <w:left w:val="none" w:sz="0" w:space="0" w:color="auto"/>
        <w:bottom w:val="none" w:sz="0" w:space="0" w:color="auto"/>
        <w:right w:val="none" w:sz="0" w:space="0" w:color="auto"/>
      </w:divBdr>
    </w:div>
    <w:div w:id="893396551">
      <w:bodyDiv w:val="1"/>
      <w:marLeft w:val="0"/>
      <w:marRight w:val="0"/>
      <w:marTop w:val="0"/>
      <w:marBottom w:val="0"/>
      <w:divBdr>
        <w:top w:val="none" w:sz="0" w:space="0" w:color="auto"/>
        <w:left w:val="none" w:sz="0" w:space="0" w:color="auto"/>
        <w:bottom w:val="none" w:sz="0" w:space="0" w:color="auto"/>
        <w:right w:val="none" w:sz="0" w:space="0" w:color="auto"/>
      </w:divBdr>
    </w:div>
    <w:div w:id="939489427">
      <w:bodyDiv w:val="1"/>
      <w:marLeft w:val="0"/>
      <w:marRight w:val="0"/>
      <w:marTop w:val="0"/>
      <w:marBottom w:val="0"/>
      <w:divBdr>
        <w:top w:val="none" w:sz="0" w:space="0" w:color="auto"/>
        <w:left w:val="none" w:sz="0" w:space="0" w:color="auto"/>
        <w:bottom w:val="none" w:sz="0" w:space="0" w:color="auto"/>
        <w:right w:val="none" w:sz="0" w:space="0" w:color="auto"/>
      </w:divBdr>
    </w:div>
    <w:div w:id="949896580">
      <w:bodyDiv w:val="1"/>
      <w:marLeft w:val="0"/>
      <w:marRight w:val="0"/>
      <w:marTop w:val="0"/>
      <w:marBottom w:val="0"/>
      <w:divBdr>
        <w:top w:val="none" w:sz="0" w:space="0" w:color="auto"/>
        <w:left w:val="none" w:sz="0" w:space="0" w:color="auto"/>
        <w:bottom w:val="none" w:sz="0" w:space="0" w:color="auto"/>
        <w:right w:val="none" w:sz="0" w:space="0" w:color="auto"/>
      </w:divBdr>
    </w:div>
    <w:div w:id="954557408">
      <w:bodyDiv w:val="1"/>
      <w:marLeft w:val="0"/>
      <w:marRight w:val="0"/>
      <w:marTop w:val="0"/>
      <w:marBottom w:val="0"/>
      <w:divBdr>
        <w:top w:val="none" w:sz="0" w:space="0" w:color="auto"/>
        <w:left w:val="none" w:sz="0" w:space="0" w:color="auto"/>
        <w:bottom w:val="none" w:sz="0" w:space="0" w:color="auto"/>
        <w:right w:val="none" w:sz="0" w:space="0" w:color="auto"/>
      </w:divBdr>
    </w:div>
    <w:div w:id="960383232">
      <w:bodyDiv w:val="1"/>
      <w:marLeft w:val="0"/>
      <w:marRight w:val="0"/>
      <w:marTop w:val="0"/>
      <w:marBottom w:val="0"/>
      <w:divBdr>
        <w:top w:val="none" w:sz="0" w:space="0" w:color="auto"/>
        <w:left w:val="none" w:sz="0" w:space="0" w:color="auto"/>
        <w:bottom w:val="none" w:sz="0" w:space="0" w:color="auto"/>
        <w:right w:val="none" w:sz="0" w:space="0" w:color="auto"/>
      </w:divBdr>
    </w:div>
    <w:div w:id="963928654">
      <w:bodyDiv w:val="1"/>
      <w:marLeft w:val="0"/>
      <w:marRight w:val="0"/>
      <w:marTop w:val="0"/>
      <w:marBottom w:val="0"/>
      <w:divBdr>
        <w:top w:val="none" w:sz="0" w:space="0" w:color="auto"/>
        <w:left w:val="none" w:sz="0" w:space="0" w:color="auto"/>
        <w:bottom w:val="none" w:sz="0" w:space="0" w:color="auto"/>
        <w:right w:val="none" w:sz="0" w:space="0" w:color="auto"/>
      </w:divBdr>
    </w:div>
    <w:div w:id="969936779">
      <w:bodyDiv w:val="1"/>
      <w:marLeft w:val="0"/>
      <w:marRight w:val="0"/>
      <w:marTop w:val="0"/>
      <w:marBottom w:val="0"/>
      <w:divBdr>
        <w:top w:val="none" w:sz="0" w:space="0" w:color="auto"/>
        <w:left w:val="none" w:sz="0" w:space="0" w:color="auto"/>
        <w:bottom w:val="none" w:sz="0" w:space="0" w:color="auto"/>
        <w:right w:val="none" w:sz="0" w:space="0" w:color="auto"/>
      </w:divBdr>
    </w:div>
    <w:div w:id="1008292822">
      <w:bodyDiv w:val="1"/>
      <w:marLeft w:val="0"/>
      <w:marRight w:val="0"/>
      <w:marTop w:val="0"/>
      <w:marBottom w:val="0"/>
      <w:divBdr>
        <w:top w:val="none" w:sz="0" w:space="0" w:color="auto"/>
        <w:left w:val="none" w:sz="0" w:space="0" w:color="auto"/>
        <w:bottom w:val="none" w:sz="0" w:space="0" w:color="auto"/>
        <w:right w:val="none" w:sz="0" w:space="0" w:color="auto"/>
      </w:divBdr>
    </w:div>
    <w:div w:id="1015155904">
      <w:bodyDiv w:val="1"/>
      <w:marLeft w:val="0"/>
      <w:marRight w:val="0"/>
      <w:marTop w:val="0"/>
      <w:marBottom w:val="0"/>
      <w:divBdr>
        <w:top w:val="none" w:sz="0" w:space="0" w:color="auto"/>
        <w:left w:val="none" w:sz="0" w:space="0" w:color="auto"/>
        <w:bottom w:val="none" w:sz="0" w:space="0" w:color="auto"/>
        <w:right w:val="none" w:sz="0" w:space="0" w:color="auto"/>
      </w:divBdr>
      <w:divsChild>
        <w:div w:id="1791316663">
          <w:marLeft w:val="0"/>
          <w:marRight w:val="0"/>
          <w:marTop w:val="0"/>
          <w:marBottom w:val="0"/>
          <w:divBdr>
            <w:top w:val="none" w:sz="0" w:space="0" w:color="auto"/>
            <w:left w:val="none" w:sz="0" w:space="0" w:color="auto"/>
            <w:bottom w:val="none" w:sz="0" w:space="0" w:color="auto"/>
            <w:right w:val="none" w:sz="0" w:space="0" w:color="auto"/>
          </w:divBdr>
          <w:divsChild>
            <w:div w:id="161120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52572">
      <w:bodyDiv w:val="1"/>
      <w:marLeft w:val="0"/>
      <w:marRight w:val="0"/>
      <w:marTop w:val="0"/>
      <w:marBottom w:val="0"/>
      <w:divBdr>
        <w:top w:val="none" w:sz="0" w:space="0" w:color="auto"/>
        <w:left w:val="none" w:sz="0" w:space="0" w:color="auto"/>
        <w:bottom w:val="none" w:sz="0" w:space="0" w:color="auto"/>
        <w:right w:val="none" w:sz="0" w:space="0" w:color="auto"/>
      </w:divBdr>
    </w:div>
    <w:div w:id="1026977361">
      <w:bodyDiv w:val="1"/>
      <w:marLeft w:val="0"/>
      <w:marRight w:val="0"/>
      <w:marTop w:val="0"/>
      <w:marBottom w:val="0"/>
      <w:divBdr>
        <w:top w:val="none" w:sz="0" w:space="0" w:color="auto"/>
        <w:left w:val="none" w:sz="0" w:space="0" w:color="auto"/>
        <w:bottom w:val="none" w:sz="0" w:space="0" w:color="auto"/>
        <w:right w:val="none" w:sz="0" w:space="0" w:color="auto"/>
      </w:divBdr>
    </w:div>
    <w:div w:id="1028726739">
      <w:bodyDiv w:val="1"/>
      <w:marLeft w:val="0"/>
      <w:marRight w:val="0"/>
      <w:marTop w:val="0"/>
      <w:marBottom w:val="0"/>
      <w:divBdr>
        <w:top w:val="none" w:sz="0" w:space="0" w:color="auto"/>
        <w:left w:val="none" w:sz="0" w:space="0" w:color="auto"/>
        <w:bottom w:val="none" w:sz="0" w:space="0" w:color="auto"/>
        <w:right w:val="none" w:sz="0" w:space="0" w:color="auto"/>
      </w:divBdr>
    </w:div>
    <w:div w:id="1063598921">
      <w:bodyDiv w:val="1"/>
      <w:marLeft w:val="0"/>
      <w:marRight w:val="0"/>
      <w:marTop w:val="0"/>
      <w:marBottom w:val="0"/>
      <w:divBdr>
        <w:top w:val="none" w:sz="0" w:space="0" w:color="auto"/>
        <w:left w:val="none" w:sz="0" w:space="0" w:color="auto"/>
        <w:bottom w:val="none" w:sz="0" w:space="0" w:color="auto"/>
        <w:right w:val="none" w:sz="0" w:space="0" w:color="auto"/>
      </w:divBdr>
      <w:divsChild>
        <w:div w:id="724178241">
          <w:marLeft w:val="0"/>
          <w:marRight w:val="0"/>
          <w:marTop w:val="0"/>
          <w:marBottom w:val="0"/>
          <w:divBdr>
            <w:top w:val="none" w:sz="0" w:space="0" w:color="auto"/>
            <w:left w:val="none" w:sz="0" w:space="0" w:color="auto"/>
            <w:bottom w:val="none" w:sz="0" w:space="0" w:color="auto"/>
            <w:right w:val="none" w:sz="0" w:space="0" w:color="auto"/>
          </w:divBdr>
          <w:divsChild>
            <w:div w:id="555704394">
              <w:marLeft w:val="0"/>
              <w:marRight w:val="0"/>
              <w:marTop w:val="0"/>
              <w:marBottom w:val="0"/>
              <w:divBdr>
                <w:top w:val="none" w:sz="0" w:space="0" w:color="auto"/>
                <w:left w:val="none" w:sz="0" w:space="0" w:color="auto"/>
                <w:bottom w:val="none" w:sz="0" w:space="0" w:color="auto"/>
                <w:right w:val="none" w:sz="0" w:space="0" w:color="auto"/>
              </w:divBdr>
            </w:div>
          </w:divsChild>
        </w:div>
        <w:div w:id="2145536582">
          <w:marLeft w:val="0"/>
          <w:marRight w:val="0"/>
          <w:marTop w:val="0"/>
          <w:marBottom w:val="0"/>
          <w:divBdr>
            <w:top w:val="none" w:sz="0" w:space="0" w:color="auto"/>
            <w:left w:val="none" w:sz="0" w:space="0" w:color="auto"/>
            <w:bottom w:val="none" w:sz="0" w:space="0" w:color="auto"/>
            <w:right w:val="none" w:sz="0" w:space="0" w:color="auto"/>
          </w:divBdr>
          <w:divsChild>
            <w:div w:id="1923179894">
              <w:marLeft w:val="0"/>
              <w:marRight w:val="0"/>
              <w:marTop w:val="0"/>
              <w:marBottom w:val="0"/>
              <w:divBdr>
                <w:top w:val="none" w:sz="0" w:space="0" w:color="auto"/>
                <w:left w:val="none" w:sz="0" w:space="0" w:color="auto"/>
                <w:bottom w:val="none" w:sz="0" w:space="0" w:color="auto"/>
                <w:right w:val="none" w:sz="0" w:space="0" w:color="auto"/>
              </w:divBdr>
            </w:div>
          </w:divsChild>
        </w:div>
        <w:div w:id="200170121">
          <w:marLeft w:val="0"/>
          <w:marRight w:val="0"/>
          <w:marTop w:val="0"/>
          <w:marBottom w:val="0"/>
          <w:divBdr>
            <w:top w:val="none" w:sz="0" w:space="0" w:color="auto"/>
            <w:left w:val="none" w:sz="0" w:space="0" w:color="auto"/>
            <w:bottom w:val="none" w:sz="0" w:space="0" w:color="auto"/>
            <w:right w:val="none" w:sz="0" w:space="0" w:color="auto"/>
          </w:divBdr>
          <w:divsChild>
            <w:div w:id="99031355">
              <w:marLeft w:val="0"/>
              <w:marRight w:val="0"/>
              <w:marTop w:val="0"/>
              <w:marBottom w:val="0"/>
              <w:divBdr>
                <w:top w:val="none" w:sz="0" w:space="0" w:color="auto"/>
                <w:left w:val="none" w:sz="0" w:space="0" w:color="auto"/>
                <w:bottom w:val="none" w:sz="0" w:space="0" w:color="auto"/>
                <w:right w:val="none" w:sz="0" w:space="0" w:color="auto"/>
              </w:divBdr>
            </w:div>
          </w:divsChild>
        </w:div>
        <w:div w:id="1311128536">
          <w:marLeft w:val="0"/>
          <w:marRight w:val="0"/>
          <w:marTop w:val="0"/>
          <w:marBottom w:val="0"/>
          <w:divBdr>
            <w:top w:val="none" w:sz="0" w:space="0" w:color="auto"/>
            <w:left w:val="none" w:sz="0" w:space="0" w:color="auto"/>
            <w:bottom w:val="none" w:sz="0" w:space="0" w:color="auto"/>
            <w:right w:val="none" w:sz="0" w:space="0" w:color="auto"/>
          </w:divBdr>
          <w:divsChild>
            <w:div w:id="1544830936">
              <w:marLeft w:val="0"/>
              <w:marRight w:val="0"/>
              <w:marTop w:val="0"/>
              <w:marBottom w:val="0"/>
              <w:divBdr>
                <w:top w:val="none" w:sz="0" w:space="0" w:color="auto"/>
                <w:left w:val="none" w:sz="0" w:space="0" w:color="auto"/>
                <w:bottom w:val="none" w:sz="0" w:space="0" w:color="auto"/>
                <w:right w:val="none" w:sz="0" w:space="0" w:color="auto"/>
              </w:divBdr>
            </w:div>
          </w:divsChild>
        </w:div>
        <w:div w:id="2083793503">
          <w:marLeft w:val="0"/>
          <w:marRight w:val="0"/>
          <w:marTop w:val="0"/>
          <w:marBottom w:val="0"/>
          <w:divBdr>
            <w:top w:val="none" w:sz="0" w:space="0" w:color="auto"/>
            <w:left w:val="none" w:sz="0" w:space="0" w:color="auto"/>
            <w:bottom w:val="none" w:sz="0" w:space="0" w:color="auto"/>
            <w:right w:val="none" w:sz="0" w:space="0" w:color="auto"/>
          </w:divBdr>
          <w:divsChild>
            <w:div w:id="154463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504439">
      <w:bodyDiv w:val="1"/>
      <w:marLeft w:val="0"/>
      <w:marRight w:val="0"/>
      <w:marTop w:val="0"/>
      <w:marBottom w:val="0"/>
      <w:divBdr>
        <w:top w:val="none" w:sz="0" w:space="0" w:color="auto"/>
        <w:left w:val="none" w:sz="0" w:space="0" w:color="auto"/>
        <w:bottom w:val="none" w:sz="0" w:space="0" w:color="auto"/>
        <w:right w:val="none" w:sz="0" w:space="0" w:color="auto"/>
      </w:divBdr>
    </w:div>
    <w:div w:id="1083526808">
      <w:bodyDiv w:val="1"/>
      <w:marLeft w:val="0"/>
      <w:marRight w:val="0"/>
      <w:marTop w:val="0"/>
      <w:marBottom w:val="0"/>
      <w:divBdr>
        <w:top w:val="none" w:sz="0" w:space="0" w:color="auto"/>
        <w:left w:val="none" w:sz="0" w:space="0" w:color="auto"/>
        <w:bottom w:val="none" w:sz="0" w:space="0" w:color="auto"/>
        <w:right w:val="none" w:sz="0" w:space="0" w:color="auto"/>
      </w:divBdr>
      <w:divsChild>
        <w:div w:id="83914385">
          <w:marLeft w:val="0"/>
          <w:marRight w:val="0"/>
          <w:marTop w:val="0"/>
          <w:marBottom w:val="0"/>
          <w:divBdr>
            <w:top w:val="none" w:sz="0" w:space="0" w:color="auto"/>
            <w:left w:val="none" w:sz="0" w:space="0" w:color="auto"/>
            <w:bottom w:val="none" w:sz="0" w:space="0" w:color="auto"/>
            <w:right w:val="none" w:sz="0" w:space="0" w:color="auto"/>
          </w:divBdr>
        </w:div>
        <w:div w:id="1416626643">
          <w:marLeft w:val="0"/>
          <w:marRight w:val="0"/>
          <w:marTop w:val="0"/>
          <w:marBottom w:val="0"/>
          <w:divBdr>
            <w:top w:val="none" w:sz="0" w:space="0" w:color="auto"/>
            <w:left w:val="none" w:sz="0" w:space="0" w:color="auto"/>
            <w:bottom w:val="none" w:sz="0" w:space="0" w:color="auto"/>
            <w:right w:val="none" w:sz="0" w:space="0" w:color="auto"/>
          </w:divBdr>
        </w:div>
        <w:div w:id="1946112350">
          <w:marLeft w:val="0"/>
          <w:marRight w:val="0"/>
          <w:marTop w:val="0"/>
          <w:marBottom w:val="0"/>
          <w:divBdr>
            <w:top w:val="none" w:sz="0" w:space="0" w:color="auto"/>
            <w:left w:val="none" w:sz="0" w:space="0" w:color="auto"/>
            <w:bottom w:val="none" w:sz="0" w:space="0" w:color="auto"/>
            <w:right w:val="none" w:sz="0" w:space="0" w:color="auto"/>
          </w:divBdr>
        </w:div>
        <w:div w:id="285427896">
          <w:marLeft w:val="0"/>
          <w:marRight w:val="0"/>
          <w:marTop w:val="0"/>
          <w:marBottom w:val="0"/>
          <w:divBdr>
            <w:top w:val="none" w:sz="0" w:space="0" w:color="auto"/>
            <w:left w:val="none" w:sz="0" w:space="0" w:color="auto"/>
            <w:bottom w:val="none" w:sz="0" w:space="0" w:color="auto"/>
            <w:right w:val="none" w:sz="0" w:space="0" w:color="auto"/>
          </w:divBdr>
        </w:div>
        <w:div w:id="1738434665">
          <w:marLeft w:val="0"/>
          <w:marRight w:val="0"/>
          <w:marTop w:val="0"/>
          <w:marBottom w:val="0"/>
          <w:divBdr>
            <w:top w:val="none" w:sz="0" w:space="0" w:color="auto"/>
            <w:left w:val="none" w:sz="0" w:space="0" w:color="auto"/>
            <w:bottom w:val="none" w:sz="0" w:space="0" w:color="auto"/>
            <w:right w:val="none" w:sz="0" w:space="0" w:color="auto"/>
          </w:divBdr>
        </w:div>
        <w:div w:id="934753776">
          <w:marLeft w:val="0"/>
          <w:marRight w:val="0"/>
          <w:marTop w:val="0"/>
          <w:marBottom w:val="0"/>
          <w:divBdr>
            <w:top w:val="none" w:sz="0" w:space="0" w:color="auto"/>
            <w:left w:val="none" w:sz="0" w:space="0" w:color="auto"/>
            <w:bottom w:val="none" w:sz="0" w:space="0" w:color="auto"/>
            <w:right w:val="none" w:sz="0" w:space="0" w:color="auto"/>
          </w:divBdr>
        </w:div>
        <w:div w:id="1542857747">
          <w:marLeft w:val="0"/>
          <w:marRight w:val="0"/>
          <w:marTop w:val="0"/>
          <w:marBottom w:val="0"/>
          <w:divBdr>
            <w:top w:val="none" w:sz="0" w:space="0" w:color="auto"/>
            <w:left w:val="none" w:sz="0" w:space="0" w:color="auto"/>
            <w:bottom w:val="none" w:sz="0" w:space="0" w:color="auto"/>
            <w:right w:val="none" w:sz="0" w:space="0" w:color="auto"/>
          </w:divBdr>
        </w:div>
        <w:div w:id="85881638">
          <w:marLeft w:val="0"/>
          <w:marRight w:val="0"/>
          <w:marTop w:val="0"/>
          <w:marBottom w:val="0"/>
          <w:divBdr>
            <w:top w:val="none" w:sz="0" w:space="0" w:color="auto"/>
            <w:left w:val="none" w:sz="0" w:space="0" w:color="auto"/>
            <w:bottom w:val="none" w:sz="0" w:space="0" w:color="auto"/>
            <w:right w:val="none" w:sz="0" w:space="0" w:color="auto"/>
          </w:divBdr>
        </w:div>
        <w:div w:id="858616376">
          <w:marLeft w:val="0"/>
          <w:marRight w:val="0"/>
          <w:marTop w:val="0"/>
          <w:marBottom w:val="0"/>
          <w:divBdr>
            <w:top w:val="none" w:sz="0" w:space="0" w:color="auto"/>
            <w:left w:val="none" w:sz="0" w:space="0" w:color="auto"/>
            <w:bottom w:val="none" w:sz="0" w:space="0" w:color="auto"/>
            <w:right w:val="none" w:sz="0" w:space="0" w:color="auto"/>
          </w:divBdr>
        </w:div>
        <w:div w:id="1788116328">
          <w:marLeft w:val="0"/>
          <w:marRight w:val="0"/>
          <w:marTop w:val="0"/>
          <w:marBottom w:val="0"/>
          <w:divBdr>
            <w:top w:val="none" w:sz="0" w:space="0" w:color="auto"/>
            <w:left w:val="none" w:sz="0" w:space="0" w:color="auto"/>
            <w:bottom w:val="none" w:sz="0" w:space="0" w:color="auto"/>
            <w:right w:val="none" w:sz="0" w:space="0" w:color="auto"/>
          </w:divBdr>
        </w:div>
        <w:div w:id="23337063">
          <w:marLeft w:val="0"/>
          <w:marRight w:val="0"/>
          <w:marTop w:val="0"/>
          <w:marBottom w:val="0"/>
          <w:divBdr>
            <w:top w:val="none" w:sz="0" w:space="0" w:color="auto"/>
            <w:left w:val="none" w:sz="0" w:space="0" w:color="auto"/>
            <w:bottom w:val="none" w:sz="0" w:space="0" w:color="auto"/>
            <w:right w:val="none" w:sz="0" w:space="0" w:color="auto"/>
          </w:divBdr>
          <w:divsChild>
            <w:div w:id="1567762585">
              <w:marLeft w:val="0"/>
              <w:marRight w:val="0"/>
              <w:marTop w:val="0"/>
              <w:marBottom w:val="0"/>
              <w:divBdr>
                <w:top w:val="single" w:sz="2" w:space="2" w:color="D6D6D6"/>
                <w:left w:val="single" w:sz="2" w:space="2" w:color="D6D6D6"/>
                <w:bottom w:val="single" w:sz="2" w:space="2" w:color="D6D6D6"/>
                <w:right w:val="single" w:sz="2" w:space="2" w:color="D6D6D6"/>
              </w:divBdr>
              <w:divsChild>
                <w:div w:id="906526290">
                  <w:marLeft w:val="0"/>
                  <w:marRight w:val="0"/>
                  <w:marTop w:val="0"/>
                  <w:marBottom w:val="0"/>
                  <w:divBdr>
                    <w:top w:val="none" w:sz="0" w:space="0" w:color="auto"/>
                    <w:left w:val="none" w:sz="0" w:space="0" w:color="auto"/>
                    <w:bottom w:val="none" w:sz="0" w:space="0" w:color="auto"/>
                    <w:right w:val="none" w:sz="0" w:space="0" w:color="auto"/>
                  </w:divBdr>
                </w:div>
                <w:div w:id="805469008">
                  <w:marLeft w:val="0"/>
                  <w:marRight w:val="0"/>
                  <w:marTop w:val="0"/>
                  <w:marBottom w:val="0"/>
                  <w:divBdr>
                    <w:top w:val="none" w:sz="0" w:space="0" w:color="auto"/>
                    <w:left w:val="none" w:sz="0" w:space="0" w:color="auto"/>
                    <w:bottom w:val="none" w:sz="0" w:space="0" w:color="auto"/>
                    <w:right w:val="none" w:sz="0" w:space="0" w:color="auto"/>
                  </w:divBdr>
                  <w:divsChild>
                    <w:div w:id="86735458">
                      <w:marLeft w:val="0"/>
                      <w:marRight w:val="0"/>
                      <w:marTop w:val="0"/>
                      <w:marBottom w:val="0"/>
                      <w:divBdr>
                        <w:top w:val="none" w:sz="0" w:space="0" w:color="auto"/>
                        <w:left w:val="none" w:sz="0" w:space="0" w:color="auto"/>
                        <w:bottom w:val="none" w:sz="0" w:space="0" w:color="auto"/>
                        <w:right w:val="none" w:sz="0" w:space="0" w:color="auto"/>
                      </w:divBdr>
                      <w:divsChild>
                        <w:div w:id="133137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796226">
      <w:bodyDiv w:val="1"/>
      <w:marLeft w:val="0"/>
      <w:marRight w:val="0"/>
      <w:marTop w:val="0"/>
      <w:marBottom w:val="0"/>
      <w:divBdr>
        <w:top w:val="none" w:sz="0" w:space="0" w:color="auto"/>
        <w:left w:val="none" w:sz="0" w:space="0" w:color="auto"/>
        <w:bottom w:val="none" w:sz="0" w:space="0" w:color="auto"/>
        <w:right w:val="none" w:sz="0" w:space="0" w:color="auto"/>
      </w:divBdr>
    </w:div>
    <w:div w:id="1119910330">
      <w:bodyDiv w:val="1"/>
      <w:marLeft w:val="0"/>
      <w:marRight w:val="0"/>
      <w:marTop w:val="0"/>
      <w:marBottom w:val="0"/>
      <w:divBdr>
        <w:top w:val="none" w:sz="0" w:space="0" w:color="auto"/>
        <w:left w:val="none" w:sz="0" w:space="0" w:color="auto"/>
        <w:bottom w:val="none" w:sz="0" w:space="0" w:color="auto"/>
        <w:right w:val="none" w:sz="0" w:space="0" w:color="auto"/>
      </w:divBdr>
    </w:div>
    <w:div w:id="1158502600">
      <w:bodyDiv w:val="1"/>
      <w:marLeft w:val="0"/>
      <w:marRight w:val="0"/>
      <w:marTop w:val="0"/>
      <w:marBottom w:val="0"/>
      <w:divBdr>
        <w:top w:val="none" w:sz="0" w:space="0" w:color="auto"/>
        <w:left w:val="none" w:sz="0" w:space="0" w:color="auto"/>
        <w:bottom w:val="none" w:sz="0" w:space="0" w:color="auto"/>
        <w:right w:val="none" w:sz="0" w:space="0" w:color="auto"/>
      </w:divBdr>
      <w:divsChild>
        <w:div w:id="9574189">
          <w:marLeft w:val="0"/>
          <w:marRight w:val="0"/>
          <w:marTop w:val="0"/>
          <w:marBottom w:val="0"/>
          <w:divBdr>
            <w:top w:val="none" w:sz="0" w:space="0" w:color="auto"/>
            <w:left w:val="none" w:sz="0" w:space="0" w:color="auto"/>
            <w:bottom w:val="none" w:sz="0" w:space="0" w:color="auto"/>
            <w:right w:val="none" w:sz="0" w:space="0" w:color="auto"/>
          </w:divBdr>
          <w:divsChild>
            <w:div w:id="60955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474559">
      <w:bodyDiv w:val="1"/>
      <w:marLeft w:val="0"/>
      <w:marRight w:val="0"/>
      <w:marTop w:val="0"/>
      <w:marBottom w:val="0"/>
      <w:divBdr>
        <w:top w:val="none" w:sz="0" w:space="0" w:color="auto"/>
        <w:left w:val="none" w:sz="0" w:space="0" w:color="auto"/>
        <w:bottom w:val="none" w:sz="0" w:space="0" w:color="auto"/>
        <w:right w:val="none" w:sz="0" w:space="0" w:color="auto"/>
      </w:divBdr>
    </w:div>
    <w:div w:id="1166743848">
      <w:bodyDiv w:val="1"/>
      <w:marLeft w:val="0"/>
      <w:marRight w:val="0"/>
      <w:marTop w:val="0"/>
      <w:marBottom w:val="0"/>
      <w:divBdr>
        <w:top w:val="none" w:sz="0" w:space="0" w:color="auto"/>
        <w:left w:val="none" w:sz="0" w:space="0" w:color="auto"/>
        <w:bottom w:val="none" w:sz="0" w:space="0" w:color="auto"/>
        <w:right w:val="none" w:sz="0" w:space="0" w:color="auto"/>
      </w:divBdr>
    </w:div>
    <w:div w:id="1169248468">
      <w:bodyDiv w:val="1"/>
      <w:marLeft w:val="0"/>
      <w:marRight w:val="0"/>
      <w:marTop w:val="0"/>
      <w:marBottom w:val="0"/>
      <w:divBdr>
        <w:top w:val="none" w:sz="0" w:space="0" w:color="auto"/>
        <w:left w:val="none" w:sz="0" w:space="0" w:color="auto"/>
        <w:bottom w:val="none" w:sz="0" w:space="0" w:color="auto"/>
        <w:right w:val="none" w:sz="0" w:space="0" w:color="auto"/>
      </w:divBdr>
    </w:div>
    <w:div w:id="1178616096">
      <w:bodyDiv w:val="1"/>
      <w:marLeft w:val="0"/>
      <w:marRight w:val="0"/>
      <w:marTop w:val="0"/>
      <w:marBottom w:val="0"/>
      <w:divBdr>
        <w:top w:val="none" w:sz="0" w:space="0" w:color="auto"/>
        <w:left w:val="none" w:sz="0" w:space="0" w:color="auto"/>
        <w:bottom w:val="none" w:sz="0" w:space="0" w:color="auto"/>
        <w:right w:val="none" w:sz="0" w:space="0" w:color="auto"/>
      </w:divBdr>
    </w:div>
    <w:div w:id="1180244251">
      <w:bodyDiv w:val="1"/>
      <w:marLeft w:val="0"/>
      <w:marRight w:val="0"/>
      <w:marTop w:val="0"/>
      <w:marBottom w:val="0"/>
      <w:divBdr>
        <w:top w:val="none" w:sz="0" w:space="0" w:color="auto"/>
        <w:left w:val="none" w:sz="0" w:space="0" w:color="auto"/>
        <w:bottom w:val="none" w:sz="0" w:space="0" w:color="auto"/>
        <w:right w:val="none" w:sz="0" w:space="0" w:color="auto"/>
      </w:divBdr>
    </w:div>
    <w:div w:id="1183858680">
      <w:bodyDiv w:val="1"/>
      <w:marLeft w:val="0"/>
      <w:marRight w:val="0"/>
      <w:marTop w:val="0"/>
      <w:marBottom w:val="0"/>
      <w:divBdr>
        <w:top w:val="none" w:sz="0" w:space="0" w:color="auto"/>
        <w:left w:val="none" w:sz="0" w:space="0" w:color="auto"/>
        <w:bottom w:val="none" w:sz="0" w:space="0" w:color="auto"/>
        <w:right w:val="none" w:sz="0" w:space="0" w:color="auto"/>
      </w:divBdr>
    </w:div>
    <w:div w:id="1188367107">
      <w:bodyDiv w:val="1"/>
      <w:marLeft w:val="0"/>
      <w:marRight w:val="0"/>
      <w:marTop w:val="0"/>
      <w:marBottom w:val="0"/>
      <w:divBdr>
        <w:top w:val="none" w:sz="0" w:space="0" w:color="auto"/>
        <w:left w:val="none" w:sz="0" w:space="0" w:color="auto"/>
        <w:bottom w:val="none" w:sz="0" w:space="0" w:color="auto"/>
        <w:right w:val="none" w:sz="0" w:space="0" w:color="auto"/>
      </w:divBdr>
    </w:div>
    <w:div w:id="1191335679">
      <w:bodyDiv w:val="1"/>
      <w:marLeft w:val="0"/>
      <w:marRight w:val="0"/>
      <w:marTop w:val="0"/>
      <w:marBottom w:val="0"/>
      <w:divBdr>
        <w:top w:val="none" w:sz="0" w:space="0" w:color="auto"/>
        <w:left w:val="none" w:sz="0" w:space="0" w:color="auto"/>
        <w:bottom w:val="none" w:sz="0" w:space="0" w:color="auto"/>
        <w:right w:val="none" w:sz="0" w:space="0" w:color="auto"/>
      </w:divBdr>
    </w:div>
    <w:div w:id="1210605570">
      <w:bodyDiv w:val="1"/>
      <w:marLeft w:val="0"/>
      <w:marRight w:val="0"/>
      <w:marTop w:val="0"/>
      <w:marBottom w:val="0"/>
      <w:divBdr>
        <w:top w:val="none" w:sz="0" w:space="0" w:color="auto"/>
        <w:left w:val="none" w:sz="0" w:space="0" w:color="auto"/>
        <w:bottom w:val="none" w:sz="0" w:space="0" w:color="auto"/>
        <w:right w:val="none" w:sz="0" w:space="0" w:color="auto"/>
      </w:divBdr>
    </w:div>
    <w:div w:id="1216550518">
      <w:bodyDiv w:val="1"/>
      <w:marLeft w:val="0"/>
      <w:marRight w:val="0"/>
      <w:marTop w:val="0"/>
      <w:marBottom w:val="0"/>
      <w:divBdr>
        <w:top w:val="none" w:sz="0" w:space="0" w:color="auto"/>
        <w:left w:val="none" w:sz="0" w:space="0" w:color="auto"/>
        <w:bottom w:val="none" w:sz="0" w:space="0" w:color="auto"/>
        <w:right w:val="none" w:sz="0" w:space="0" w:color="auto"/>
      </w:divBdr>
    </w:div>
    <w:div w:id="1218391336">
      <w:bodyDiv w:val="1"/>
      <w:marLeft w:val="0"/>
      <w:marRight w:val="0"/>
      <w:marTop w:val="0"/>
      <w:marBottom w:val="0"/>
      <w:divBdr>
        <w:top w:val="none" w:sz="0" w:space="0" w:color="auto"/>
        <w:left w:val="none" w:sz="0" w:space="0" w:color="auto"/>
        <w:bottom w:val="none" w:sz="0" w:space="0" w:color="auto"/>
        <w:right w:val="none" w:sz="0" w:space="0" w:color="auto"/>
      </w:divBdr>
    </w:div>
    <w:div w:id="1221212531">
      <w:bodyDiv w:val="1"/>
      <w:marLeft w:val="0"/>
      <w:marRight w:val="0"/>
      <w:marTop w:val="0"/>
      <w:marBottom w:val="0"/>
      <w:divBdr>
        <w:top w:val="none" w:sz="0" w:space="0" w:color="auto"/>
        <w:left w:val="none" w:sz="0" w:space="0" w:color="auto"/>
        <w:bottom w:val="none" w:sz="0" w:space="0" w:color="auto"/>
        <w:right w:val="none" w:sz="0" w:space="0" w:color="auto"/>
      </w:divBdr>
    </w:div>
    <w:div w:id="1236208191">
      <w:bodyDiv w:val="1"/>
      <w:marLeft w:val="0"/>
      <w:marRight w:val="0"/>
      <w:marTop w:val="0"/>
      <w:marBottom w:val="0"/>
      <w:divBdr>
        <w:top w:val="none" w:sz="0" w:space="0" w:color="auto"/>
        <w:left w:val="none" w:sz="0" w:space="0" w:color="auto"/>
        <w:bottom w:val="none" w:sz="0" w:space="0" w:color="auto"/>
        <w:right w:val="none" w:sz="0" w:space="0" w:color="auto"/>
      </w:divBdr>
    </w:div>
    <w:div w:id="1240822635">
      <w:bodyDiv w:val="1"/>
      <w:marLeft w:val="0"/>
      <w:marRight w:val="0"/>
      <w:marTop w:val="0"/>
      <w:marBottom w:val="0"/>
      <w:divBdr>
        <w:top w:val="none" w:sz="0" w:space="0" w:color="auto"/>
        <w:left w:val="none" w:sz="0" w:space="0" w:color="auto"/>
        <w:bottom w:val="none" w:sz="0" w:space="0" w:color="auto"/>
        <w:right w:val="none" w:sz="0" w:space="0" w:color="auto"/>
      </w:divBdr>
      <w:divsChild>
        <w:div w:id="1777676754">
          <w:marLeft w:val="0"/>
          <w:marRight w:val="0"/>
          <w:marTop w:val="0"/>
          <w:marBottom w:val="0"/>
          <w:divBdr>
            <w:top w:val="none" w:sz="0" w:space="0" w:color="auto"/>
            <w:left w:val="none" w:sz="0" w:space="0" w:color="auto"/>
            <w:bottom w:val="none" w:sz="0" w:space="0" w:color="auto"/>
            <w:right w:val="none" w:sz="0" w:space="0" w:color="auto"/>
          </w:divBdr>
          <w:divsChild>
            <w:div w:id="29491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95549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4655365">
      <w:bodyDiv w:val="1"/>
      <w:marLeft w:val="0"/>
      <w:marRight w:val="0"/>
      <w:marTop w:val="0"/>
      <w:marBottom w:val="0"/>
      <w:divBdr>
        <w:top w:val="none" w:sz="0" w:space="0" w:color="auto"/>
        <w:left w:val="none" w:sz="0" w:space="0" w:color="auto"/>
        <w:bottom w:val="none" w:sz="0" w:space="0" w:color="auto"/>
        <w:right w:val="none" w:sz="0" w:space="0" w:color="auto"/>
      </w:divBdr>
    </w:div>
    <w:div w:id="1268347190">
      <w:bodyDiv w:val="1"/>
      <w:marLeft w:val="0"/>
      <w:marRight w:val="0"/>
      <w:marTop w:val="0"/>
      <w:marBottom w:val="0"/>
      <w:divBdr>
        <w:top w:val="none" w:sz="0" w:space="0" w:color="auto"/>
        <w:left w:val="none" w:sz="0" w:space="0" w:color="auto"/>
        <w:bottom w:val="none" w:sz="0" w:space="0" w:color="auto"/>
        <w:right w:val="none" w:sz="0" w:space="0" w:color="auto"/>
      </w:divBdr>
    </w:div>
    <w:div w:id="1288657126">
      <w:bodyDiv w:val="1"/>
      <w:marLeft w:val="0"/>
      <w:marRight w:val="0"/>
      <w:marTop w:val="0"/>
      <w:marBottom w:val="0"/>
      <w:divBdr>
        <w:top w:val="none" w:sz="0" w:space="0" w:color="auto"/>
        <w:left w:val="none" w:sz="0" w:space="0" w:color="auto"/>
        <w:bottom w:val="none" w:sz="0" w:space="0" w:color="auto"/>
        <w:right w:val="none" w:sz="0" w:space="0" w:color="auto"/>
      </w:divBdr>
    </w:div>
    <w:div w:id="1302929176">
      <w:bodyDiv w:val="1"/>
      <w:marLeft w:val="0"/>
      <w:marRight w:val="0"/>
      <w:marTop w:val="0"/>
      <w:marBottom w:val="0"/>
      <w:divBdr>
        <w:top w:val="none" w:sz="0" w:space="0" w:color="auto"/>
        <w:left w:val="none" w:sz="0" w:space="0" w:color="auto"/>
        <w:bottom w:val="none" w:sz="0" w:space="0" w:color="auto"/>
        <w:right w:val="none" w:sz="0" w:space="0" w:color="auto"/>
      </w:divBdr>
    </w:div>
    <w:div w:id="1305349344">
      <w:bodyDiv w:val="1"/>
      <w:marLeft w:val="0"/>
      <w:marRight w:val="0"/>
      <w:marTop w:val="0"/>
      <w:marBottom w:val="0"/>
      <w:divBdr>
        <w:top w:val="none" w:sz="0" w:space="0" w:color="auto"/>
        <w:left w:val="none" w:sz="0" w:space="0" w:color="auto"/>
        <w:bottom w:val="none" w:sz="0" w:space="0" w:color="auto"/>
        <w:right w:val="none" w:sz="0" w:space="0" w:color="auto"/>
      </w:divBdr>
    </w:div>
    <w:div w:id="1306931398">
      <w:bodyDiv w:val="1"/>
      <w:marLeft w:val="0"/>
      <w:marRight w:val="0"/>
      <w:marTop w:val="0"/>
      <w:marBottom w:val="0"/>
      <w:divBdr>
        <w:top w:val="none" w:sz="0" w:space="0" w:color="auto"/>
        <w:left w:val="none" w:sz="0" w:space="0" w:color="auto"/>
        <w:bottom w:val="none" w:sz="0" w:space="0" w:color="auto"/>
        <w:right w:val="none" w:sz="0" w:space="0" w:color="auto"/>
      </w:divBdr>
    </w:div>
    <w:div w:id="1320885943">
      <w:bodyDiv w:val="1"/>
      <w:marLeft w:val="0"/>
      <w:marRight w:val="0"/>
      <w:marTop w:val="0"/>
      <w:marBottom w:val="0"/>
      <w:divBdr>
        <w:top w:val="none" w:sz="0" w:space="0" w:color="auto"/>
        <w:left w:val="none" w:sz="0" w:space="0" w:color="auto"/>
        <w:bottom w:val="none" w:sz="0" w:space="0" w:color="auto"/>
        <w:right w:val="none" w:sz="0" w:space="0" w:color="auto"/>
      </w:divBdr>
    </w:div>
    <w:div w:id="1331718562">
      <w:bodyDiv w:val="1"/>
      <w:marLeft w:val="0"/>
      <w:marRight w:val="0"/>
      <w:marTop w:val="0"/>
      <w:marBottom w:val="0"/>
      <w:divBdr>
        <w:top w:val="none" w:sz="0" w:space="0" w:color="auto"/>
        <w:left w:val="none" w:sz="0" w:space="0" w:color="auto"/>
        <w:bottom w:val="none" w:sz="0" w:space="0" w:color="auto"/>
        <w:right w:val="none" w:sz="0" w:space="0" w:color="auto"/>
      </w:divBdr>
    </w:div>
    <w:div w:id="1352685483">
      <w:bodyDiv w:val="1"/>
      <w:marLeft w:val="0"/>
      <w:marRight w:val="0"/>
      <w:marTop w:val="0"/>
      <w:marBottom w:val="0"/>
      <w:divBdr>
        <w:top w:val="none" w:sz="0" w:space="0" w:color="auto"/>
        <w:left w:val="none" w:sz="0" w:space="0" w:color="auto"/>
        <w:bottom w:val="none" w:sz="0" w:space="0" w:color="auto"/>
        <w:right w:val="none" w:sz="0" w:space="0" w:color="auto"/>
      </w:divBdr>
    </w:div>
    <w:div w:id="1362590199">
      <w:bodyDiv w:val="1"/>
      <w:marLeft w:val="0"/>
      <w:marRight w:val="0"/>
      <w:marTop w:val="0"/>
      <w:marBottom w:val="0"/>
      <w:divBdr>
        <w:top w:val="none" w:sz="0" w:space="0" w:color="auto"/>
        <w:left w:val="none" w:sz="0" w:space="0" w:color="auto"/>
        <w:bottom w:val="none" w:sz="0" w:space="0" w:color="auto"/>
        <w:right w:val="none" w:sz="0" w:space="0" w:color="auto"/>
      </w:divBdr>
    </w:div>
    <w:div w:id="1368261721">
      <w:bodyDiv w:val="1"/>
      <w:marLeft w:val="0"/>
      <w:marRight w:val="0"/>
      <w:marTop w:val="0"/>
      <w:marBottom w:val="0"/>
      <w:divBdr>
        <w:top w:val="none" w:sz="0" w:space="0" w:color="auto"/>
        <w:left w:val="none" w:sz="0" w:space="0" w:color="auto"/>
        <w:bottom w:val="none" w:sz="0" w:space="0" w:color="auto"/>
        <w:right w:val="none" w:sz="0" w:space="0" w:color="auto"/>
      </w:divBdr>
    </w:div>
    <w:div w:id="1381326626">
      <w:bodyDiv w:val="1"/>
      <w:marLeft w:val="0"/>
      <w:marRight w:val="0"/>
      <w:marTop w:val="0"/>
      <w:marBottom w:val="0"/>
      <w:divBdr>
        <w:top w:val="none" w:sz="0" w:space="0" w:color="auto"/>
        <w:left w:val="none" w:sz="0" w:space="0" w:color="auto"/>
        <w:bottom w:val="none" w:sz="0" w:space="0" w:color="auto"/>
        <w:right w:val="none" w:sz="0" w:space="0" w:color="auto"/>
      </w:divBdr>
    </w:div>
    <w:div w:id="1408260078">
      <w:bodyDiv w:val="1"/>
      <w:marLeft w:val="0"/>
      <w:marRight w:val="0"/>
      <w:marTop w:val="0"/>
      <w:marBottom w:val="0"/>
      <w:divBdr>
        <w:top w:val="none" w:sz="0" w:space="0" w:color="auto"/>
        <w:left w:val="none" w:sz="0" w:space="0" w:color="auto"/>
        <w:bottom w:val="none" w:sz="0" w:space="0" w:color="auto"/>
        <w:right w:val="none" w:sz="0" w:space="0" w:color="auto"/>
      </w:divBdr>
    </w:div>
    <w:div w:id="1408303311">
      <w:bodyDiv w:val="1"/>
      <w:marLeft w:val="0"/>
      <w:marRight w:val="0"/>
      <w:marTop w:val="0"/>
      <w:marBottom w:val="0"/>
      <w:divBdr>
        <w:top w:val="none" w:sz="0" w:space="0" w:color="auto"/>
        <w:left w:val="none" w:sz="0" w:space="0" w:color="auto"/>
        <w:bottom w:val="none" w:sz="0" w:space="0" w:color="auto"/>
        <w:right w:val="none" w:sz="0" w:space="0" w:color="auto"/>
      </w:divBdr>
    </w:div>
    <w:div w:id="1409693709">
      <w:bodyDiv w:val="1"/>
      <w:marLeft w:val="0"/>
      <w:marRight w:val="0"/>
      <w:marTop w:val="0"/>
      <w:marBottom w:val="0"/>
      <w:divBdr>
        <w:top w:val="none" w:sz="0" w:space="0" w:color="auto"/>
        <w:left w:val="none" w:sz="0" w:space="0" w:color="auto"/>
        <w:bottom w:val="none" w:sz="0" w:space="0" w:color="auto"/>
        <w:right w:val="none" w:sz="0" w:space="0" w:color="auto"/>
      </w:divBdr>
    </w:div>
    <w:div w:id="1454440825">
      <w:bodyDiv w:val="1"/>
      <w:marLeft w:val="0"/>
      <w:marRight w:val="0"/>
      <w:marTop w:val="0"/>
      <w:marBottom w:val="0"/>
      <w:divBdr>
        <w:top w:val="none" w:sz="0" w:space="0" w:color="auto"/>
        <w:left w:val="none" w:sz="0" w:space="0" w:color="auto"/>
        <w:bottom w:val="none" w:sz="0" w:space="0" w:color="auto"/>
        <w:right w:val="none" w:sz="0" w:space="0" w:color="auto"/>
      </w:divBdr>
    </w:div>
    <w:div w:id="1479154049">
      <w:bodyDiv w:val="1"/>
      <w:marLeft w:val="0"/>
      <w:marRight w:val="0"/>
      <w:marTop w:val="0"/>
      <w:marBottom w:val="0"/>
      <w:divBdr>
        <w:top w:val="none" w:sz="0" w:space="0" w:color="auto"/>
        <w:left w:val="none" w:sz="0" w:space="0" w:color="auto"/>
        <w:bottom w:val="none" w:sz="0" w:space="0" w:color="auto"/>
        <w:right w:val="none" w:sz="0" w:space="0" w:color="auto"/>
      </w:divBdr>
    </w:div>
    <w:div w:id="1507015758">
      <w:bodyDiv w:val="1"/>
      <w:marLeft w:val="0"/>
      <w:marRight w:val="0"/>
      <w:marTop w:val="0"/>
      <w:marBottom w:val="0"/>
      <w:divBdr>
        <w:top w:val="none" w:sz="0" w:space="0" w:color="auto"/>
        <w:left w:val="none" w:sz="0" w:space="0" w:color="auto"/>
        <w:bottom w:val="none" w:sz="0" w:space="0" w:color="auto"/>
        <w:right w:val="none" w:sz="0" w:space="0" w:color="auto"/>
      </w:divBdr>
    </w:div>
    <w:div w:id="1529022437">
      <w:bodyDiv w:val="1"/>
      <w:marLeft w:val="0"/>
      <w:marRight w:val="0"/>
      <w:marTop w:val="0"/>
      <w:marBottom w:val="0"/>
      <w:divBdr>
        <w:top w:val="none" w:sz="0" w:space="0" w:color="auto"/>
        <w:left w:val="none" w:sz="0" w:space="0" w:color="auto"/>
        <w:bottom w:val="none" w:sz="0" w:space="0" w:color="auto"/>
        <w:right w:val="none" w:sz="0" w:space="0" w:color="auto"/>
      </w:divBdr>
    </w:div>
    <w:div w:id="1535146384">
      <w:bodyDiv w:val="1"/>
      <w:marLeft w:val="0"/>
      <w:marRight w:val="0"/>
      <w:marTop w:val="0"/>
      <w:marBottom w:val="0"/>
      <w:divBdr>
        <w:top w:val="none" w:sz="0" w:space="0" w:color="auto"/>
        <w:left w:val="none" w:sz="0" w:space="0" w:color="auto"/>
        <w:bottom w:val="none" w:sz="0" w:space="0" w:color="auto"/>
        <w:right w:val="none" w:sz="0" w:space="0" w:color="auto"/>
      </w:divBdr>
    </w:div>
    <w:div w:id="1539322269">
      <w:bodyDiv w:val="1"/>
      <w:marLeft w:val="0"/>
      <w:marRight w:val="0"/>
      <w:marTop w:val="0"/>
      <w:marBottom w:val="0"/>
      <w:divBdr>
        <w:top w:val="none" w:sz="0" w:space="0" w:color="auto"/>
        <w:left w:val="none" w:sz="0" w:space="0" w:color="auto"/>
        <w:bottom w:val="none" w:sz="0" w:space="0" w:color="auto"/>
        <w:right w:val="none" w:sz="0" w:space="0" w:color="auto"/>
      </w:divBdr>
    </w:div>
    <w:div w:id="1542087813">
      <w:bodyDiv w:val="1"/>
      <w:marLeft w:val="0"/>
      <w:marRight w:val="0"/>
      <w:marTop w:val="0"/>
      <w:marBottom w:val="0"/>
      <w:divBdr>
        <w:top w:val="none" w:sz="0" w:space="0" w:color="auto"/>
        <w:left w:val="none" w:sz="0" w:space="0" w:color="auto"/>
        <w:bottom w:val="none" w:sz="0" w:space="0" w:color="auto"/>
        <w:right w:val="none" w:sz="0" w:space="0" w:color="auto"/>
      </w:divBdr>
    </w:div>
    <w:div w:id="1545674846">
      <w:bodyDiv w:val="1"/>
      <w:marLeft w:val="0"/>
      <w:marRight w:val="0"/>
      <w:marTop w:val="0"/>
      <w:marBottom w:val="0"/>
      <w:divBdr>
        <w:top w:val="none" w:sz="0" w:space="0" w:color="auto"/>
        <w:left w:val="none" w:sz="0" w:space="0" w:color="auto"/>
        <w:bottom w:val="none" w:sz="0" w:space="0" w:color="auto"/>
        <w:right w:val="none" w:sz="0" w:space="0" w:color="auto"/>
      </w:divBdr>
      <w:divsChild>
        <w:div w:id="1978492824">
          <w:blockQuote w:val="1"/>
          <w:marLeft w:val="720"/>
          <w:marRight w:val="720"/>
          <w:marTop w:val="100"/>
          <w:marBottom w:val="100"/>
          <w:divBdr>
            <w:top w:val="none" w:sz="0" w:space="0" w:color="auto"/>
            <w:left w:val="none" w:sz="0" w:space="0" w:color="auto"/>
            <w:bottom w:val="none" w:sz="0" w:space="0" w:color="auto"/>
            <w:right w:val="none" w:sz="0" w:space="0" w:color="auto"/>
          </w:divBdr>
        </w:div>
        <w:div w:id="1116365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9612465">
      <w:bodyDiv w:val="1"/>
      <w:marLeft w:val="0"/>
      <w:marRight w:val="0"/>
      <w:marTop w:val="0"/>
      <w:marBottom w:val="0"/>
      <w:divBdr>
        <w:top w:val="none" w:sz="0" w:space="0" w:color="auto"/>
        <w:left w:val="none" w:sz="0" w:space="0" w:color="auto"/>
        <w:bottom w:val="none" w:sz="0" w:space="0" w:color="auto"/>
        <w:right w:val="none" w:sz="0" w:space="0" w:color="auto"/>
      </w:divBdr>
    </w:div>
    <w:div w:id="1560240923">
      <w:bodyDiv w:val="1"/>
      <w:marLeft w:val="0"/>
      <w:marRight w:val="0"/>
      <w:marTop w:val="0"/>
      <w:marBottom w:val="0"/>
      <w:divBdr>
        <w:top w:val="none" w:sz="0" w:space="0" w:color="auto"/>
        <w:left w:val="none" w:sz="0" w:space="0" w:color="auto"/>
        <w:bottom w:val="none" w:sz="0" w:space="0" w:color="auto"/>
        <w:right w:val="none" w:sz="0" w:space="0" w:color="auto"/>
      </w:divBdr>
    </w:div>
    <w:div w:id="1582760594">
      <w:bodyDiv w:val="1"/>
      <w:marLeft w:val="0"/>
      <w:marRight w:val="0"/>
      <w:marTop w:val="0"/>
      <w:marBottom w:val="0"/>
      <w:divBdr>
        <w:top w:val="none" w:sz="0" w:space="0" w:color="auto"/>
        <w:left w:val="none" w:sz="0" w:space="0" w:color="auto"/>
        <w:bottom w:val="none" w:sz="0" w:space="0" w:color="auto"/>
        <w:right w:val="none" w:sz="0" w:space="0" w:color="auto"/>
      </w:divBdr>
      <w:divsChild>
        <w:div w:id="13274367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2906933">
      <w:bodyDiv w:val="1"/>
      <w:marLeft w:val="0"/>
      <w:marRight w:val="0"/>
      <w:marTop w:val="0"/>
      <w:marBottom w:val="0"/>
      <w:divBdr>
        <w:top w:val="none" w:sz="0" w:space="0" w:color="auto"/>
        <w:left w:val="none" w:sz="0" w:space="0" w:color="auto"/>
        <w:bottom w:val="none" w:sz="0" w:space="0" w:color="auto"/>
        <w:right w:val="none" w:sz="0" w:space="0" w:color="auto"/>
      </w:divBdr>
    </w:div>
    <w:div w:id="1597714027">
      <w:bodyDiv w:val="1"/>
      <w:marLeft w:val="0"/>
      <w:marRight w:val="0"/>
      <w:marTop w:val="0"/>
      <w:marBottom w:val="0"/>
      <w:divBdr>
        <w:top w:val="none" w:sz="0" w:space="0" w:color="auto"/>
        <w:left w:val="none" w:sz="0" w:space="0" w:color="auto"/>
        <w:bottom w:val="none" w:sz="0" w:space="0" w:color="auto"/>
        <w:right w:val="none" w:sz="0" w:space="0" w:color="auto"/>
      </w:divBdr>
    </w:div>
    <w:div w:id="1599750619">
      <w:bodyDiv w:val="1"/>
      <w:marLeft w:val="0"/>
      <w:marRight w:val="0"/>
      <w:marTop w:val="0"/>
      <w:marBottom w:val="0"/>
      <w:divBdr>
        <w:top w:val="none" w:sz="0" w:space="0" w:color="auto"/>
        <w:left w:val="none" w:sz="0" w:space="0" w:color="auto"/>
        <w:bottom w:val="none" w:sz="0" w:space="0" w:color="auto"/>
        <w:right w:val="none" w:sz="0" w:space="0" w:color="auto"/>
      </w:divBdr>
    </w:div>
    <w:div w:id="1600333674">
      <w:bodyDiv w:val="1"/>
      <w:marLeft w:val="0"/>
      <w:marRight w:val="0"/>
      <w:marTop w:val="0"/>
      <w:marBottom w:val="0"/>
      <w:divBdr>
        <w:top w:val="none" w:sz="0" w:space="0" w:color="auto"/>
        <w:left w:val="none" w:sz="0" w:space="0" w:color="auto"/>
        <w:bottom w:val="none" w:sz="0" w:space="0" w:color="auto"/>
        <w:right w:val="none" w:sz="0" w:space="0" w:color="auto"/>
      </w:divBdr>
    </w:div>
    <w:div w:id="1603412255">
      <w:bodyDiv w:val="1"/>
      <w:marLeft w:val="0"/>
      <w:marRight w:val="0"/>
      <w:marTop w:val="0"/>
      <w:marBottom w:val="0"/>
      <w:divBdr>
        <w:top w:val="none" w:sz="0" w:space="0" w:color="auto"/>
        <w:left w:val="none" w:sz="0" w:space="0" w:color="auto"/>
        <w:bottom w:val="none" w:sz="0" w:space="0" w:color="auto"/>
        <w:right w:val="none" w:sz="0" w:space="0" w:color="auto"/>
      </w:divBdr>
    </w:div>
    <w:div w:id="1610233910">
      <w:bodyDiv w:val="1"/>
      <w:marLeft w:val="0"/>
      <w:marRight w:val="0"/>
      <w:marTop w:val="0"/>
      <w:marBottom w:val="0"/>
      <w:divBdr>
        <w:top w:val="none" w:sz="0" w:space="0" w:color="auto"/>
        <w:left w:val="none" w:sz="0" w:space="0" w:color="auto"/>
        <w:bottom w:val="none" w:sz="0" w:space="0" w:color="auto"/>
        <w:right w:val="none" w:sz="0" w:space="0" w:color="auto"/>
      </w:divBdr>
    </w:div>
    <w:div w:id="1658339682">
      <w:bodyDiv w:val="1"/>
      <w:marLeft w:val="0"/>
      <w:marRight w:val="0"/>
      <w:marTop w:val="0"/>
      <w:marBottom w:val="0"/>
      <w:divBdr>
        <w:top w:val="none" w:sz="0" w:space="0" w:color="auto"/>
        <w:left w:val="none" w:sz="0" w:space="0" w:color="auto"/>
        <w:bottom w:val="none" w:sz="0" w:space="0" w:color="auto"/>
        <w:right w:val="none" w:sz="0" w:space="0" w:color="auto"/>
      </w:divBdr>
    </w:div>
    <w:div w:id="1661081111">
      <w:bodyDiv w:val="1"/>
      <w:marLeft w:val="0"/>
      <w:marRight w:val="0"/>
      <w:marTop w:val="0"/>
      <w:marBottom w:val="0"/>
      <w:divBdr>
        <w:top w:val="none" w:sz="0" w:space="0" w:color="auto"/>
        <w:left w:val="none" w:sz="0" w:space="0" w:color="auto"/>
        <w:bottom w:val="none" w:sz="0" w:space="0" w:color="auto"/>
        <w:right w:val="none" w:sz="0" w:space="0" w:color="auto"/>
      </w:divBdr>
    </w:div>
    <w:div w:id="1667396460">
      <w:bodyDiv w:val="1"/>
      <w:marLeft w:val="0"/>
      <w:marRight w:val="0"/>
      <w:marTop w:val="0"/>
      <w:marBottom w:val="0"/>
      <w:divBdr>
        <w:top w:val="none" w:sz="0" w:space="0" w:color="auto"/>
        <w:left w:val="none" w:sz="0" w:space="0" w:color="auto"/>
        <w:bottom w:val="none" w:sz="0" w:space="0" w:color="auto"/>
        <w:right w:val="none" w:sz="0" w:space="0" w:color="auto"/>
      </w:divBdr>
      <w:divsChild>
        <w:div w:id="1896968205">
          <w:marLeft w:val="0"/>
          <w:marRight w:val="0"/>
          <w:marTop w:val="0"/>
          <w:marBottom w:val="0"/>
          <w:divBdr>
            <w:top w:val="none" w:sz="0" w:space="0" w:color="auto"/>
            <w:left w:val="none" w:sz="0" w:space="0" w:color="auto"/>
            <w:bottom w:val="none" w:sz="0" w:space="0" w:color="auto"/>
            <w:right w:val="none" w:sz="0" w:space="0" w:color="auto"/>
          </w:divBdr>
          <w:divsChild>
            <w:div w:id="797649068">
              <w:marLeft w:val="0"/>
              <w:marRight w:val="0"/>
              <w:marTop w:val="0"/>
              <w:marBottom w:val="0"/>
              <w:divBdr>
                <w:top w:val="none" w:sz="0" w:space="0" w:color="auto"/>
                <w:left w:val="none" w:sz="0" w:space="0" w:color="auto"/>
                <w:bottom w:val="none" w:sz="0" w:space="0" w:color="auto"/>
                <w:right w:val="none" w:sz="0" w:space="0" w:color="auto"/>
              </w:divBdr>
            </w:div>
          </w:divsChild>
        </w:div>
        <w:div w:id="1975595064">
          <w:marLeft w:val="0"/>
          <w:marRight w:val="0"/>
          <w:marTop w:val="0"/>
          <w:marBottom w:val="0"/>
          <w:divBdr>
            <w:top w:val="none" w:sz="0" w:space="0" w:color="auto"/>
            <w:left w:val="none" w:sz="0" w:space="0" w:color="auto"/>
            <w:bottom w:val="none" w:sz="0" w:space="0" w:color="auto"/>
            <w:right w:val="none" w:sz="0" w:space="0" w:color="auto"/>
          </w:divBdr>
          <w:divsChild>
            <w:div w:id="156876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548734">
      <w:bodyDiv w:val="1"/>
      <w:marLeft w:val="0"/>
      <w:marRight w:val="0"/>
      <w:marTop w:val="0"/>
      <w:marBottom w:val="0"/>
      <w:divBdr>
        <w:top w:val="none" w:sz="0" w:space="0" w:color="auto"/>
        <w:left w:val="none" w:sz="0" w:space="0" w:color="auto"/>
        <w:bottom w:val="none" w:sz="0" w:space="0" w:color="auto"/>
        <w:right w:val="none" w:sz="0" w:space="0" w:color="auto"/>
      </w:divBdr>
    </w:div>
    <w:div w:id="1682509982">
      <w:bodyDiv w:val="1"/>
      <w:marLeft w:val="0"/>
      <w:marRight w:val="0"/>
      <w:marTop w:val="0"/>
      <w:marBottom w:val="0"/>
      <w:divBdr>
        <w:top w:val="none" w:sz="0" w:space="0" w:color="auto"/>
        <w:left w:val="none" w:sz="0" w:space="0" w:color="auto"/>
        <w:bottom w:val="none" w:sz="0" w:space="0" w:color="auto"/>
        <w:right w:val="none" w:sz="0" w:space="0" w:color="auto"/>
      </w:divBdr>
    </w:div>
    <w:div w:id="1692143230">
      <w:bodyDiv w:val="1"/>
      <w:marLeft w:val="0"/>
      <w:marRight w:val="0"/>
      <w:marTop w:val="0"/>
      <w:marBottom w:val="0"/>
      <w:divBdr>
        <w:top w:val="none" w:sz="0" w:space="0" w:color="auto"/>
        <w:left w:val="none" w:sz="0" w:space="0" w:color="auto"/>
        <w:bottom w:val="none" w:sz="0" w:space="0" w:color="auto"/>
        <w:right w:val="none" w:sz="0" w:space="0" w:color="auto"/>
      </w:divBdr>
    </w:div>
    <w:div w:id="1703895223">
      <w:bodyDiv w:val="1"/>
      <w:marLeft w:val="0"/>
      <w:marRight w:val="0"/>
      <w:marTop w:val="0"/>
      <w:marBottom w:val="0"/>
      <w:divBdr>
        <w:top w:val="none" w:sz="0" w:space="0" w:color="auto"/>
        <w:left w:val="none" w:sz="0" w:space="0" w:color="auto"/>
        <w:bottom w:val="none" w:sz="0" w:space="0" w:color="auto"/>
        <w:right w:val="none" w:sz="0" w:space="0" w:color="auto"/>
      </w:divBdr>
    </w:div>
    <w:div w:id="1730152135">
      <w:bodyDiv w:val="1"/>
      <w:marLeft w:val="0"/>
      <w:marRight w:val="0"/>
      <w:marTop w:val="0"/>
      <w:marBottom w:val="0"/>
      <w:divBdr>
        <w:top w:val="none" w:sz="0" w:space="0" w:color="auto"/>
        <w:left w:val="none" w:sz="0" w:space="0" w:color="auto"/>
        <w:bottom w:val="none" w:sz="0" w:space="0" w:color="auto"/>
        <w:right w:val="none" w:sz="0" w:space="0" w:color="auto"/>
      </w:divBdr>
    </w:div>
    <w:div w:id="1736003855">
      <w:bodyDiv w:val="1"/>
      <w:marLeft w:val="0"/>
      <w:marRight w:val="0"/>
      <w:marTop w:val="0"/>
      <w:marBottom w:val="0"/>
      <w:divBdr>
        <w:top w:val="none" w:sz="0" w:space="0" w:color="auto"/>
        <w:left w:val="none" w:sz="0" w:space="0" w:color="auto"/>
        <w:bottom w:val="none" w:sz="0" w:space="0" w:color="auto"/>
        <w:right w:val="none" w:sz="0" w:space="0" w:color="auto"/>
      </w:divBdr>
    </w:div>
    <w:div w:id="1742945301">
      <w:bodyDiv w:val="1"/>
      <w:marLeft w:val="0"/>
      <w:marRight w:val="0"/>
      <w:marTop w:val="0"/>
      <w:marBottom w:val="0"/>
      <w:divBdr>
        <w:top w:val="none" w:sz="0" w:space="0" w:color="auto"/>
        <w:left w:val="none" w:sz="0" w:space="0" w:color="auto"/>
        <w:bottom w:val="none" w:sz="0" w:space="0" w:color="auto"/>
        <w:right w:val="none" w:sz="0" w:space="0" w:color="auto"/>
      </w:divBdr>
    </w:div>
    <w:div w:id="1762869073">
      <w:bodyDiv w:val="1"/>
      <w:marLeft w:val="0"/>
      <w:marRight w:val="0"/>
      <w:marTop w:val="0"/>
      <w:marBottom w:val="0"/>
      <w:divBdr>
        <w:top w:val="none" w:sz="0" w:space="0" w:color="auto"/>
        <w:left w:val="none" w:sz="0" w:space="0" w:color="auto"/>
        <w:bottom w:val="none" w:sz="0" w:space="0" w:color="auto"/>
        <w:right w:val="none" w:sz="0" w:space="0" w:color="auto"/>
      </w:divBdr>
    </w:div>
    <w:div w:id="1770930047">
      <w:bodyDiv w:val="1"/>
      <w:marLeft w:val="0"/>
      <w:marRight w:val="0"/>
      <w:marTop w:val="0"/>
      <w:marBottom w:val="0"/>
      <w:divBdr>
        <w:top w:val="none" w:sz="0" w:space="0" w:color="auto"/>
        <w:left w:val="none" w:sz="0" w:space="0" w:color="auto"/>
        <w:bottom w:val="none" w:sz="0" w:space="0" w:color="auto"/>
        <w:right w:val="none" w:sz="0" w:space="0" w:color="auto"/>
      </w:divBdr>
    </w:div>
    <w:div w:id="1792506742">
      <w:bodyDiv w:val="1"/>
      <w:marLeft w:val="0"/>
      <w:marRight w:val="0"/>
      <w:marTop w:val="0"/>
      <w:marBottom w:val="0"/>
      <w:divBdr>
        <w:top w:val="none" w:sz="0" w:space="0" w:color="auto"/>
        <w:left w:val="none" w:sz="0" w:space="0" w:color="auto"/>
        <w:bottom w:val="none" w:sz="0" w:space="0" w:color="auto"/>
        <w:right w:val="none" w:sz="0" w:space="0" w:color="auto"/>
      </w:divBdr>
    </w:div>
    <w:div w:id="1796563780">
      <w:bodyDiv w:val="1"/>
      <w:marLeft w:val="0"/>
      <w:marRight w:val="0"/>
      <w:marTop w:val="0"/>
      <w:marBottom w:val="0"/>
      <w:divBdr>
        <w:top w:val="none" w:sz="0" w:space="0" w:color="auto"/>
        <w:left w:val="none" w:sz="0" w:space="0" w:color="auto"/>
        <w:bottom w:val="none" w:sz="0" w:space="0" w:color="auto"/>
        <w:right w:val="none" w:sz="0" w:space="0" w:color="auto"/>
      </w:divBdr>
    </w:div>
    <w:div w:id="1806392907">
      <w:bodyDiv w:val="1"/>
      <w:marLeft w:val="0"/>
      <w:marRight w:val="0"/>
      <w:marTop w:val="0"/>
      <w:marBottom w:val="0"/>
      <w:divBdr>
        <w:top w:val="none" w:sz="0" w:space="0" w:color="auto"/>
        <w:left w:val="none" w:sz="0" w:space="0" w:color="auto"/>
        <w:bottom w:val="none" w:sz="0" w:space="0" w:color="auto"/>
        <w:right w:val="none" w:sz="0" w:space="0" w:color="auto"/>
      </w:divBdr>
    </w:div>
    <w:div w:id="1819833890">
      <w:bodyDiv w:val="1"/>
      <w:marLeft w:val="0"/>
      <w:marRight w:val="0"/>
      <w:marTop w:val="0"/>
      <w:marBottom w:val="0"/>
      <w:divBdr>
        <w:top w:val="none" w:sz="0" w:space="0" w:color="auto"/>
        <w:left w:val="none" w:sz="0" w:space="0" w:color="auto"/>
        <w:bottom w:val="none" w:sz="0" w:space="0" w:color="auto"/>
        <w:right w:val="none" w:sz="0" w:space="0" w:color="auto"/>
      </w:divBdr>
      <w:divsChild>
        <w:div w:id="1711103530">
          <w:marLeft w:val="0"/>
          <w:marRight w:val="0"/>
          <w:marTop w:val="0"/>
          <w:marBottom w:val="0"/>
          <w:divBdr>
            <w:top w:val="none" w:sz="0" w:space="0" w:color="auto"/>
            <w:left w:val="none" w:sz="0" w:space="0" w:color="auto"/>
            <w:bottom w:val="none" w:sz="0" w:space="0" w:color="auto"/>
            <w:right w:val="none" w:sz="0" w:space="0" w:color="auto"/>
          </w:divBdr>
          <w:divsChild>
            <w:div w:id="5821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919618">
      <w:bodyDiv w:val="1"/>
      <w:marLeft w:val="0"/>
      <w:marRight w:val="0"/>
      <w:marTop w:val="0"/>
      <w:marBottom w:val="0"/>
      <w:divBdr>
        <w:top w:val="none" w:sz="0" w:space="0" w:color="auto"/>
        <w:left w:val="none" w:sz="0" w:space="0" w:color="auto"/>
        <w:bottom w:val="none" w:sz="0" w:space="0" w:color="auto"/>
        <w:right w:val="none" w:sz="0" w:space="0" w:color="auto"/>
      </w:divBdr>
    </w:div>
    <w:div w:id="1839418730">
      <w:bodyDiv w:val="1"/>
      <w:marLeft w:val="0"/>
      <w:marRight w:val="0"/>
      <w:marTop w:val="0"/>
      <w:marBottom w:val="0"/>
      <w:divBdr>
        <w:top w:val="none" w:sz="0" w:space="0" w:color="auto"/>
        <w:left w:val="none" w:sz="0" w:space="0" w:color="auto"/>
        <w:bottom w:val="none" w:sz="0" w:space="0" w:color="auto"/>
        <w:right w:val="none" w:sz="0" w:space="0" w:color="auto"/>
      </w:divBdr>
    </w:div>
    <w:div w:id="1866626403">
      <w:bodyDiv w:val="1"/>
      <w:marLeft w:val="0"/>
      <w:marRight w:val="0"/>
      <w:marTop w:val="0"/>
      <w:marBottom w:val="0"/>
      <w:divBdr>
        <w:top w:val="none" w:sz="0" w:space="0" w:color="auto"/>
        <w:left w:val="none" w:sz="0" w:space="0" w:color="auto"/>
        <w:bottom w:val="none" w:sz="0" w:space="0" w:color="auto"/>
        <w:right w:val="none" w:sz="0" w:space="0" w:color="auto"/>
      </w:divBdr>
    </w:div>
    <w:div w:id="1877622313">
      <w:bodyDiv w:val="1"/>
      <w:marLeft w:val="0"/>
      <w:marRight w:val="0"/>
      <w:marTop w:val="0"/>
      <w:marBottom w:val="0"/>
      <w:divBdr>
        <w:top w:val="none" w:sz="0" w:space="0" w:color="auto"/>
        <w:left w:val="none" w:sz="0" w:space="0" w:color="auto"/>
        <w:bottom w:val="none" w:sz="0" w:space="0" w:color="auto"/>
        <w:right w:val="none" w:sz="0" w:space="0" w:color="auto"/>
      </w:divBdr>
    </w:div>
    <w:div w:id="1878539408">
      <w:bodyDiv w:val="1"/>
      <w:marLeft w:val="0"/>
      <w:marRight w:val="0"/>
      <w:marTop w:val="0"/>
      <w:marBottom w:val="0"/>
      <w:divBdr>
        <w:top w:val="none" w:sz="0" w:space="0" w:color="auto"/>
        <w:left w:val="none" w:sz="0" w:space="0" w:color="auto"/>
        <w:bottom w:val="none" w:sz="0" w:space="0" w:color="auto"/>
        <w:right w:val="none" w:sz="0" w:space="0" w:color="auto"/>
      </w:divBdr>
    </w:div>
    <w:div w:id="1897665704">
      <w:bodyDiv w:val="1"/>
      <w:marLeft w:val="0"/>
      <w:marRight w:val="0"/>
      <w:marTop w:val="0"/>
      <w:marBottom w:val="0"/>
      <w:divBdr>
        <w:top w:val="none" w:sz="0" w:space="0" w:color="auto"/>
        <w:left w:val="none" w:sz="0" w:space="0" w:color="auto"/>
        <w:bottom w:val="none" w:sz="0" w:space="0" w:color="auto"/>
        <w:right w:val="none" w:sz="0" w:space="0" w:color="auto"/>
      </w:divBdr>
    </w:div>
    <w:div w:id="1898084899">
      <w:bodyDiv w:val="1"/>
      <w:marLeft w:val="0"/>
      <w:marRight w:val="0"/>
      <w:marTop w:val="0"/>
      <w:marBottom w:val="0"/>
      <w:divBdr>
        <w:top w:val="none" w:sz="0" w:space="0" w:color="auto"/>
        <w:left w:val="none" w:sz="0" w:space="0" w:color="auto"/>
        <w:bottom w:val="none" w:sz="0" w:space="0" w:color="auto"/>
        <w:right w:val="none" w:sz="0" w:space="0" w:color="auto"/>
      </w:divBdr>
    </w:div>
    <w:div w:id="1924531062">
      <w:bodyDiv w:val="1"/>
      <w:marLeft w:val="0"/>
      <w:marRight w:val="0"/>
      <w:marTop w:val="0"/>
      <w:marBottom w:val="0"/>
      <w:divBdr>
        <w:top w:val="none" w:sz="0" w:space="0" w:color="auto"/>
        <w:left w:val="none" w:sz="0" w:space="0" w:color="auto"/>
        <w:bottom w:val="none" w:sz="0" w:space="0" w:color="auto"/>
        <w:right w:val="none" w:sz="0" w:space="0" w:color="auto"/>
      </w:divBdr>
    </w:div>
    <w:div w:id="1930041499">
      <w:bodyDiv w:val="1"/>
      <w:marLeft w:val="0"/>
      <w:marRight w:val="0"/>
      <w:marTop w:val="0"/>
      <w:marBottom w:val="0"/>
      <w:divBdr>
        <w:top w:val="none" w:sz="0" w:space="0" w:color="auto"/>
        <w:left w:val="none" w:sz="0" w:space="0" w:color="auto"/>
        <w:bottom w:val="none" w:sz="0" w:space="0" w:color="auto"/>
        <w:right w:val="none" w:sz="0" w:space="0" w:color="auto"/>
      </w:divBdr>
    </w:div>
    <w:div w:id="1947034882">
      <w:bodyDiv w:val="1"/>
      <w:marLeft w:val="0"/>
      <w:marRight w:val="0"/>
      <w:marTop w:val="0"/>
      <w:marBottom w:val="0"/>
      <w:divBdr>
        <w:top w:val="none" w:sz="0" w:space="0" w:color="auto"/>
        <w:left w:val="none" w:sz="0" w:space="0" w:color="auto"/>
        <w:bottom w:val="none" w:sz="0" w:space="0" w:color="auto"/>
        <w:right w:val="none" w:sz="0" w:space="0" w:color="auto"/>
      </w:divBdr>
    </w:div>
    <w:div w:id="1947931456">
      <w:bodyDiv w:val="1"/>
      <w:marLeft w:val="0"/>
      <w:marRight w:val="0"/>
      <w:marTop w:val="0"/>
      <w:marBottom w:val="0"/>
      <w:divBdr>
        <w:top w:val="none" w:sz="0" w:space="0" w:color="auto"/>
        <w:left w:val="none" w:sz="0" w:space="0" w:color="auto"/>
        <w:bottom w:val="none" w:sz="0" w:space="0" w:color="auto"/>
        <w:right w:val="none" w:sz="0" w:space="0" w:color="auto"/>
      </w:divBdr>
      <w:divsChild>
        <w:div w:id="883906436">
          <w:marLeft w:val="0"/>
          <w:marRight w:val="0"/>
          <w:marTop w:val="0"/>
          <w:marBottom w:val="0"/>
          <w:divBdr>
            <w:top w:val="none" w:sz="0" w:space="0" w:color="auto"/>
            <w:left w:val="none" w:sz="0" w:space="0" w:color="auto"/>
            <w:bottom w:val="none" w:sz="0" w:space="0" w:color="auto"/>
            <w:right w:val="none" w:sz="0" w:space="0" w:color="auto"/>
          </w:divBdr>
          <w:divsChild>
            <w:div w:id="870385496">
              <w:marLeft w:val="0"/>
              <w:marRight w:val="0"/>
              <w:marTop w:val="0"/>
              <w:marBottom w:val="0"/>
              <w:divBdr>
                <w:top w:val="none" w:sz="0" w:space="0" w:color="auto"/>
                <w:left w:val="none" w:sz="0" w:space="0" w:color="auto"/>
                <w:bottom w:val="none" w:sz="0" w:space="0" w:color="auto"/>
                <w:right w:val="none" w:sz="0" w:space="0" w:color="auto"/>
              </w:divBdr>
              <w:divsChild>
                <w:div w:id="180047782">
                  <w:marLeft w:val="0"/>
                  <w:marRight w:val="0"/>
                  <w:marTop w:val="0"/>
                  <w:marBottom w:val="0"/>
                  <w:divBdr>
                    <w:top w:val="none" w:sz="0" w:space="0" w:color="auto"/>
                    <w:left w:val="none" w:sz="0" w:space="0" w:color="auto"/>
                    <w:bottom w:val="none" w:sz="0" w:space="0" w:color="auto"/>
                    <w:right w:val="none" w:sz="0" w:space="0" w:color="auto"/>
                  </w:divBdr>
                  <w:divsChild>
                    <w:div w:id="593706452">
                      <w:marLeft w:val="0"/>
                      <w:marRight w:val="0"/>
                      <w:marTop w:val="0"/>
                      <w:marBottom w:val="0"/>
                      <w:divBdr>
                        <w:top w:val="none" w:sz="0" w:space="0" w:color="auto"/>
                        <w:left w:val="none" w:sz="0" w:space="0" w:color="auto"/>
                        <w:bottom w:val="none" w:sz="0" w:space="0" w:color="auto"/>
                        <w:right w:val="none" w:sz="0" w:space="0" w:color="auto"/>
                      </w:divBdr>
                      <w:divsChild>
                        <w:div w:id="735666173">
                          <w:marLeft w:val="0"/>
                          <w:marRight w:val="0"/>
                          <w:marTop w:val="0"/>
                          <w:marBottom w:val="0"/>
                          <w:divBdr>
                            <w:top w:val="none" w:sz="0" w:space="0" w:color="auto"/>
                            <w:left w:val="none" w:sz="0" w:space="0" w:color="auto"/>
                            <w:bottom w:val="none" w:sz="0" w:space="0" w:color="auto"/>
                            <w:right w:val="none" w:sz="0" w:space="0" w:color="auto"/>
                          </w:divBdr>
                          <w:divsChild>
                            <w:div w:id="115942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3754486">
      <w:bodyDiv w:val="1"/>
      <w:marLeft w:val="0"/>
      <w:marRight w:val="0"/>
      <w:marTop w:val="0"/>
      <w:marBottom w:val="0"/>
      <w:divBdr>
        <w:top w:val="none" w:sz="0" w:space="0" w:color="auto"/>
        <w:left w:val="none" w:sz="0" w:space="0" w:color="auto"/>
        <w:bottom w:val="none" w:sz="0" w:space="0" w:color="auto"/>
        <w:right w:val="none" w:sz="0" w:space="0" w:color="auto"/>
      </w:divBdr>
    </w:div>
    <w:div w:id="1977493598">
      <w:bodyDiv w:val="1"/>
      <w:marLeft w:val="0"/>
      <w:marRight w:val="0"/>
      <w:marTop w:val="0"/>
      <w:marBottom w:val="0"/>
      <w:divBdr>
        <w:top w:val="none" w:sz="0" w:space="0" w:color="auto"/>
        <w:left w:val="none" w:sz="0" w:space="0" w:color="auto"/>
        <w:bottom w:val="none" w:sz="0" w:space="0" w:color="auto"/>
        <w:right w:val="none" w:sz="0" w:space="0" w:color="auto"/>
      </w:divBdr>
    </w:div>
    <w:div w:id="1985966417">
      <w:bodyDiv w:val="1"/>
      <w:marLeft w:val="0"/>
      <w:marRight w:val="0"/>
      <w:marTop w:val="0"/>
      <w:marBottom w:val="0"/>
      <w:divBdr>
        <w:top w:val="none" w:sz="0" w:space="0" w:color="auto"/>
        <w:left w:val="none" w:sz="0" w:space="0" w:color="auto"/>
        <w:bottom w:val="none" w:sz="0" w:space="0" w:color="auto"/>
        <w:right w:val="none" w:sz="0" w:space="0" w:color="auto"/>
      </w:divBdr>
      <w:divsChild>
        <w:div w:id="1340816893">
          <w:marLeft w:val="0"/>
          <w:marRight w:val="0"/>
          <w:marTop w:val="0"/>
          <w:marBottom w:val="0"/>
          <w:divBdr>
            <w:top w:val="none" w:sz="0" w:space="0" w:color="auto"/>
            <w:left w:val="none" w:sz="0" w:space="0" w:color="auto"/>
            <w:bottom w:val="none" w:sz="0" w:space="0" w:color="auto"/>
            <w:right w:val="none" w:sz="0" w:space="0" w:color="auto"/>
          </w:divBdr>
          <w:divsChild>
            <w:div w:id="100311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013958">
      <w:bodyDiv w:val="1"/>
      <w:marLeft w:val="0"/>
      <w:marRight w:val="0"/>
      <w:marTop w:val="0"/>
      <w:marBottom w:val="0"/>
      <w:divBdr>
        <w:top w:val="none" w:sz="0" w:space="0" w:color="auto"/>
        <w:left w:val="none" w:sz="0" w:space="0" w:color="auto"/>
        <w:bottom w:val="none" w:sz="0" w:space="0" w:color="auto"/>
        <w:right w:val="none" w:sz="0" w:space="0" w:color="auto"/>
      </w:divBdr>
    </w:div>
    <w:div w:id="2015842279">
      <w:bodyDiv w:val="1"/>
      <w:marLeft w:val="0"/>
      <w:marRight w:val="0"/>
      <w:marTop w:val="0"/>
      <w:marBottom w:val="0"/>
      <w:divBdr>
        <w:top w:val="none" w:sz="0" w:space="0" w:color="auto"/>
        <w:left w:val="none" w:sz="0" w:space="0" w:color="auto"/>
        <w:bottom w:val="none" w:sz="0" w:space="0" w:color="auto"/>
        <w:right w:val="none" w:sz="0" w:space="0" w:color="auto"/>
      </w:divBdr>
    </w:div>
    <w:div w:id="2032993473">
      <w:bodyDiv w:val="1"/>
      <w:marLeft w:val="0"/>
      <w:marRight w:val="0"/>
      <w:marTop w:val="0"/>
      <w:marBottom w:val="0"/>
      <w:divBdr>
        <w:top w:val="none" w:sz="0" w:space="0" w:color="auto"/>
        <w:left w:val="none" w:sz="0" w:space="0" w:color="auto"/>
        <w:bottom w:val="none" w:sz="0" w:space="0" w:color="auto"/>
        <w:right w:val="none" w:sz="0" w:space="0" w:color="auto"/>
      </w:divBdr>
    </w:div>
    <w:div w:id="2040544369">
      <w:bodyDiv w:val="1"/>
      <w:marLeft w:val="0"/>
      <w:marRight w:val="0"/>
      <w:marTop w:val="0"/>
      <w:marBottom w:val="0"/>
      <w:divBdr>
        <w:top w:val="none" w:sz="0" w:space="0" w:color="auto"/>
        <w:left w:val="none" w:sz="0" w:space="0" w:color="auto"/>
        <w:bottom w:val="none" w:sz="0" w:space="0" w:color="auto"/>
        <w:right w:val="none" w:sz="0" w:space="0" w:color="auto"/>
      </w:divBdr>
    </w:div>
    <w:div w:id="2040624651">
      <w:bodyDiv w:val="1"/>
      <w:marLeft w:val="0"/>
      <w:marRight w:val="0"/>
      <w:marTop w:val="0"/>
      <w:marBottom w:val="0"/>
      <w:divBdr>
        <w:top w:val="none" w:sz="0" w:space="0" w:color="auto"/>
        <w:left w:val="none" w:sz="0" w:space="0" w:color="auto"/>
        <w:bottom w:val="none" w:sz="0" w:space="0" w:color="auto"/>
        <w:right w:val="none" w:sz="0" w:space="0" w:color="auto"/>
      </w:divBdr>
    </w:div>
    <w:div w:id="2063288184">
      <w:bodyDiv w:val="1"/>
      <w:marLeft w:val="0"/>
      <w:marRight w:val="0"/>
      <w:marTop w:val="0"/>
      <w:marBottom w:val="0"/>
      <w:divBdr>
        <w:top w:val="none" w:sz="0" w:space="0" w:color="auto"/>
        <w:left w:val="none" w:sz="0" w:space="0" w:color="auto"/>
        <w:bottom w:val="none" w:sz="0" w:space="0" w:color="auto"/>
        <w:right w:val="none" w:sz="0" w:space="0" w:color="auto"/>
      </w:divBdr>
    </w:div>
    <w:div w:id="2067293086">
      <w:bodyDiv w:val="1"/>
      <w:marLeft w:val="0"/>
      <w:marRight w:val="0"/>
      <w:marTop w:val="0"/>
      <w:marBottom w:val="0"/>
      <w:divBdr>
        <w:top w:val="none" w:sz="0" w:space="0" w:color="auto"/>
        <w:left w:val="none" w:sz="0" w:space="0" w:color="auto"/>
        <w:bottom w:val="none" w:sz="0" w:space="0" w:color="auto"/>
        <w:right w:val="none" w:sz="0" w:space="0" w:color="auto"/>
      </w:divBdr>
      <w:divsChild>
        <w:div w:id="556942090">
          <w:marLeft w:val="0"/>
          <w:marRight w:val="0"/>
          <w:marTop w:val="0"/>
          <w:marBottom w:val="0"/>
          <w:divBdr>
            <w:top w:val="none" w:sz="0" w:space="0" w:color="auto"/>
            <w:left w:val="none" w:sz="0" w:space="0" w:color="auto"/>
            <w:bottom w:val="none" w:sz="0" w:space="0" w:color="auto"/>
            <w:right w:val="none" w:sz="0" w:space="0" w:color="auto"/>
          </w:divBdr>
          <w:divsChild>
            <w:div w:id="64955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027534">
      <w:bodyDiv w:val="1"/>
      <w:marLeft w:val="0"/>
      <w:marRight w:val="0"/>
      <w:marTop w:val="0"/>
      <w:marBottom w:val="0"/>
      <w:divBdr>
        <w:top w:val="none" w:sz="0" w:space="0" w:color="auto"/>
        <w:left w:val="none" w:sz="0" w:space="0" w:color="auto"/>
        <w:bottom w:val="none" w:sz="0" w:space="0" w:color="auto"/>
        <w:right w:val="none" w:sz="0" w:space="0" w:color="auto"/>
      </w:divBdr>
    </w:div>
    <w:div w:id="2086147825">
      <w:bodyDiv w:val="1"/>
      <w:marLeft w:val="0"/>
      <w:marRight w:val="0"/>
      <w:marTop w:val="0"/>
      <w:marBottom w:val="0"/>
      <w:divBdr>
        <w:top w:val="none" w:sz="0" w:space="0" w:color="auto"/>
        <w:left w:val="none" w:sz="0" w:space="0" w:color="auto"/>
        <w:bottom w:val="none" w:sz="0" w:space="0" w:color="auto"/>
        <w:right w:val="none" w:sz="0" w:space="0" w:color="auto"/>
      </w:divBdr>
    </w:div>
    <w:div w:id="2110735780">
      <w:bodyDiv w:val="1"/>
      <w:marLeft w:val="0"/>
      <w:marRight w:val="0"/>
      <w:marTop w:val="0"/>
      <w:marBottom w:val="0"/>
      <w:divBdr>
        <w:top w:val="none" w:sz="0" w:space="0" w:color="auto"/>
        <w:left w:val="none" w:sz="0" w:space="0" w:color="auto"/>
        <w:bottom w:val="none" w:sz="0" w:space="0" w:color="auto"/>
        <w:right w:val="none" w:sz="0" w:space="0" w:color="auto"/>
      </w:divBdr>
    </w:div>
    <w:div w:id="2133747764">
      <w:bodyDiv w:val="1"/>
      <w:marLeft w:val="0"/>
      <w:marRight w:val="0"/>
      <w:marTop w:val="0"/>
      <w:marBottom w:val="0"/>
      <w:divBdr>
        <w:top w:val="none" w:sz="0" w:space="0" w:color="auto"/>
        <w:left w:val="none" w:sz="0" w:space="0" w:color="auto"/>
        <w:bottom w:val="none" w:sz="0" w:space="0" w:color="auto"/>
        <w:right w:val="none" w:sz="0" w:space="0" w:color="auto"/>
      </w:divBdr>
      <w:divsChild>
        <w:div w:id="1446078286">
          <w:marLeft w:val="0"/>
          <w:marRight w:val="0"/>
          <w:marTop w:val="0"/>
          <w:marBottom w:val="0"/>
          <w:divBdr>
            <w:top w:val="none" w:sz="0" w:space="0" w:color="auto"/>
            <w:left w:val="none" w:sz="0" w:space="0" w:color="auto"/>
            <w:bottom w:val="none" w:sz="0" w:space="0" w:color="auto"/>
            <w:right w:val="none" w:sz="0" w:space="0" w:color="auto"/>
          </w:divBdr>
          <w:divsChild>
            <w:div w:id="1989430620">
              <w:marLeft w:val="0"/>
              <w:marRight w:val="0"/>
              <w:marTop w:val="0"/>
              <w:marBottom w:val="0"/>
              <w:divBdr>
                <w:top w:val="none" w:sz="0" w:space="0" w:color="auto"/>
                <w:left w:val="none" w:sz="0" w:space="0" w:color="auto"/>
                <w:bottom w:val="none" w:sz="0" w:space="0" w:color="auto"/>
                <w:right w:val="none" w:sz="0" w:space="0" w:color="auto"/>
              </w:divBdr>
            </w:div>
          </w:divsChild>
        </w:div>
        <w:div w:id="1893616122">
          <w:marLeft w:val="0"/>
          <w:marRight w:val="0"/>
          <w:marTop w:val="0"/>
          <w:marBottom w:val="0"/>
          <w:divBdr>
            <w:top w:val="none" w:sz="0" w:space="0" w:color="auto"/>
            <w:left w:val="none" w:sz="0" w:space="0" w:color="auto"/>
            <w:bottom w:val="none" w:sz="0" w:space="0" w:color="auto"/>
            <w:right w:val="none" w:sz="0" w:space="0" w:color="auto"/>
          </w:divBdr>
          <w:divsChild>
            <w:div w:id="1181551216">
              <w:marLeft w:val="0"/>
              <w:marRight w:val="0"/>
              <w:marTop w:val="0"/>
              <w:marBottom w:val="0"/>
              <w:divBdr>
                <w:top w:val="none" w:sz="0" w:space="0" w:color="auto"/>
                <w:left w:val="none" w:sz="0" w:space="0" w:color="auto"/>
                <w:bottom w:val="none" w:sz="0" w:space="0" w:color="auto"/>
                <w:right w:val="none" w:sz="0" w:space="0" w:color="auto"/>
              </w:divBdr>
            </w:div>
          </w:divsChild>
        </w:div>
        <w:div w:id="1992976399">
          <w:marLeft w:val="0"/>
          <w:marRight w:val="0"/>
          <w:marTop w:val="0"/>
          <w:marBottom w:val="0"/>
          <w:divBdr>
            <w:top w:val="none" w:sz="0" w:space="0" w:color="auto"/>
            <w:left w:val="none" w:sz="0" w:space="0" w:color="auto"/>
            <w:bottom w:val="none" w:sz="0" w:space="0" w:color="auto"/>
            <w:right w:val="none" w:sz="0" w:space="0" w:color="auto"/>
          </w:divBdr>
          <w:divsChild>
            <w:div w:id="69508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675391">
      <w:bodyDiv w:val="1"/>
      <w:marLeft w:val="0"/>
      <w:marRight w:val="0"/>
      <w:marTop w:val="0"/>
      <w:marBottom w:val="0"/>
      <w:divBdr>
        <w:top w:val="none" w:sz="0" w:space="0" w:color="auto"/>
        <w:left w:val="none" w:sz="0" w:space="0" w:color="auto"/>
        <w:bottom w:val="none" w:sz="0" w:space="0" w:color="auto"/>
        <w:right w:val="none" w:sz="0" w:space="0" w:color="auto"/>
      </w:divBdr>
    </w:div>
    <w:div w:id="2140222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1D608-4E69-4A89-9F0C-967EE141D3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242</Pages>
  <Words>69038</Words>
  <Characters>372810</Characters>
  <Application>Microsoft Office Word</Application>
  <DocSecurity>0</DocSecurity>
  <Lines>3106</Lines>
  <Paragraphs>881</Paragraphs>
  <ScaleCrop>false</ScaleCrop>
  <HeadingPairs>
    <vt:vector size="4" baseType="variant">
      <vt:variant>
        <vt:lpstr>Τίτλος</vt:lpstr>
      </vt:variant>
      <vt:variant>
        <vt:i4>1</vt:i4>
      </vt:variant>
      <vt:variant>
        <vt:lpstr>Επικεφαλίδες</vt:lpstr>
      </vt:variant>
      <vt:variant>
        <vt:i4>100</vt:i4>
      </vt:variant>
    </vt:vector>
  </HeadingPairs>
  <TitlesOfParts>
    <vt:vector size="101" baseType="lpstr">
      <vt:lpstr/>
      <vt:lpstr>    ECM failure as a systems problem</vt:lpstr>
      <vt:lpstr>    Fibrocytes and progenitor partners</vt:lpstr>
      <vt:lpstr>    An ERC/NEU1-aware molecular vantage point</vt:lpstr>
      <vt:lpstr>    From screening to measurement-driven discovery</vt:lpstr>
      <vt:lpstr>    Chemical starting points and botanical breadth</vt:lpstr>
      <vt:lpstr>    Why standard virtual screening under-delivers</vt:lpstr>
      <vt:lpstr>    A NISQ-aware calibration step</vt:lpstr>
      <vt:lpstr>    Headline outcome of the initial prioritisation</vt:lpstr>
      <vt:lpstr>2. Methods Overview</vt:lpstr>
      <vt:lpstr>    Pillar I — Information-preserving triage</vt:lpstr>
      <vt:lpstr>    Pillar II — Physics with non-polar burial restored</vt:lpstr>
      <vt:lpstr>    Pillar III — Geometry-aware pose/graph evolution (“Pharmacophoric-ODEs”)</vt:lpstr>
      <vt:lpstr>    Hybrid quantum learner and calibration</vt:lpstr>
      <vt:lpstr>    Targets, structures, and network context</vt:lpstr>
      <vt:lpstr>        </vt:lpstr>
      <vt:lpstr>3. Information-Theoretic Triage</vt:lpstr>
      <vt:lpstr>    3.1 Physically Grounded Non-Polar Energetics</vt:lpstr>
      <vt:lpstr>    3.2 Pharmacophoric-ODEs: A Geometry-Aware Search</vt:lpstr>
      <vt:lpstr>4. Systems-Level Readouts</vt:lpstr>
      <vt:lpstr>4.1 Network Geometry, Matter, and Abelian Gauge Fields</vt:lpstr>
      <vt:lpstr>4.2 Geometry as a Regularizer of Design</vt:lpstr>
      <vt:lpstr>4.3 Designed Chemotypes and the ERC/NEU1 Context</vt:lpstr>
      <vt:lpstr>5. Outlook</vt:lpstr>
      <vt:lpstr>5.1 Equation Index</vt:lpstr>
      <vt:lpstr>6. Methods</vt:lpstr>
      <vt:lpstr>    6.1 Accuracy–cost spectrum in structure-based design; integrated framework for E</vt:lpstr>
      <vt:lpstr>Integrated multi-scale pipeline for ERC/NEU1- and protease-focused design: an ex</vt:lpstr>
      <vt:lpstr>    (i) Wound transcriptomics (NanoString): anchoring targets and readouts in re-epi</vt:lpstr>
      <vt:lpstr>    (ii) Compartment-aware network mapping (CellNetVis): “where” signals originate a</vt:lpstr>
      <vt:lpstr>    (iii) Structural PPI annotation at atomic interfaces: bridging topology to pocke</vt:lpstr>
      <vt:lpstr>    (iv) Sequence patterns and gapped motif propensities: connecting residues to poc</vt:lpstr>
      <vt:lpstr>    Structure-based design core: consensus docking → short MD → MM-PB(GB)SA + explic</vt:lpstr>
      <vt:lpstr>    Pharmacophoric-ODEs: geometry-aware evolution of graphs and poses</vt:lpstr>
      <vt:lpstr>    Digitized-adiabatic GHZ calibration: a fidelity gate for NISQ-era quantum learne</vt:lpstr>
      <vt:lpstr>    Training after calibration: physics-conditioned, geometry-aware features into QA</vt:lpstr>
      <vt:lpstr>    Synthesis and rationale</vt:lpstr>
      <vt:lpstr>    Accuracy–cost spectrum in SBDD; integrated framework for ERC mapping, structural</vt:lpstr>
      <vt:lpstr>    Practical notes and limitations</vt:lpstr>
      <vt:lpstr>    A network you can navigate: from STRING-anchored maps to design constraints</vt:lpstr>
      <vt:lpstr>    Protecting diversity up front: information-theoretic library safeguards</vt:lpstr>
      <vt:lpstr>    When physics gets a vote: MM–PB(GB)SA with explicit burial</vt:lpstr>
      <vt:lpstr>    Why these hubs matter: wound-bed biology lines up with the map</vt:lpstr>
      <vt:lpstr>    From map to atoms to motifs: keeping spatial logic intact</vt:lpstr>
      <vt:lpstr>    Geometry-aware search: Pharmacophoric-ODEs (intuition)</vt:lpstr>
      <vt:lpstr>    Putting it all together (schematic)</vt:lpstr>
      <vt:lpstr>    Methods notes (software and resources)</vt:lpstr>
      <vt:lpstr>Geometry-aware “pharmacophoric ODE”: what it does and why it helps</vt:lpstr>
      <vt:lpstr>Binding physics with burial restored</vt:lpstr>
      <vt:lpstr>From local pockets to system readouts</vt:lpstr>
      <vt:lpstr>NISQ-aware calibration for the hybrid learner</vt:lpstr>
      <vt:lpstr>        To keep pose evolution faithful to both chemistry and pocket shape, I push candi</vt:lpstr>
      <vt:lpstr>        xt=(Gt,Pt,Πt)(8)\boxed{x_t=(G_t,P_t,\Pi_t)}\tag{8}xt​=(Gt​,Pt​,Πt​)​(8) </vt:lpstr>
      <vt:lpstr>        That state flows in continuous time under a neural ODE with parameters θ\thetaθ:</vt:lpstr>
      <vt:lpstr>        x˙t=fθ(xt,t)(9)\boxed{\dot{x}_t=f_\theta(x_t,t)}\tag{9}x˙t​=fθ​(xt​,t)​(9) </vt:lpstr>
      <vt:lpstr>        with per-step projections back to chemically valid states (valence, ring templat</vt:lpstr>
      <vt:lpstr>        H=12(κ1+κ2),K=κ1κ2(9a)\boxed{H=\tfrac{1}{2}(\kappa_1+\kappa_2)},\qquad \boxed{K=</vt:lpstr>
      <vt:lpstr>        encourage the flow toward concave, hydrated regions. Optimization minimizes a co</vt:lpstr>
      <vt:lpstr>        L=λphys ΔG^MM/GBSA+λph4 ℓph4+λinfo Sα+λchem ℓADMET/SA(10)\boxed{\mathcal{L}=\lam</vt:lpstr>
      <vt:lpstr>        The result is an optimizer that seeks “what works,” not just “what binds.”</vt:lpstr>
      <vt:lpstr>        All of this maps back onto the network that started the story. The STRING/PINA a</vt:lpstr>
      <vt:lpstr>        But a single binding score never decides a therapy. At the systems level, I quan</vt:lpstr>
      <vt:lpstr>        Epred=1−∏j(1−Ej),CSI=EobsEpred(11)\boxed{E_{\text{pred}}=1-\prod_{j}(1-E_j)},\qq</vt:lpstr>
      <vt:lpstr>        Values &gt;1&gt;1&gt;1 indicate supra-additivity. Cellular plasticity is tracked by Mean </vt:lpstr>
      <vt:lpstr>        MRH=Hbulk−μσ(12)\boxed{\text{MRH}=\frac{H_{\text{bulk}}-\mu}{\sigma}}\tag{12}MRH</vt:lpstr>
      <vt:lpstr>        Network signaling noise is summarized by graph structural entropy (with πv\pi_vπ</vt:lpstr>
      <vt:lpstr>        GSE=−∑vπvlog⁡πv,ΔGSE=GSEtreat−GSEctrl(13)\boxed{\mathrm{GSE}=-\sum_v \pi_v\log \</vt:lpstr>
      <vt:lpstr>        In wounds, the empirical MMP-1↔TIMP-1 balance, the KLK8–MKI67 proliferation link</vt:lpstr>
      <vt:lpstr>        Because my predictive layer includes a hybrid quantum learner, I also ask a hard</vt:lpstr>
      <vt:lpstr>        max⁡t∈[0,T] ∣⟨ε0(t) ∣ ∂tH(t) ∣ εm(t)⟩∣(εm(t)−ε0(t))2 ≪ 1∀m≠0(14)\boxed{\max_{t\i</vt:lpstr>
      <vt:lpstr>        Discretizing (Trotterization) an eight-step schedule from an x-field Hamiltonian</vt:lpstr>
      <vt:lpstr>        WGHZ=34 I−∣GHZ⟩⟨GHZ∣, with Tr(WGHZρ)&lt;0 ⇒ GHZ entanglement(15)\boxed{W_{\text{GHZ</vt:lpstr>
      <vt:lpstr>        On a clean Python reference, S(ρ)≈0S(\rho)\approx 0S(ρ)≈0; on real hardware/nois</vt:lpstr>
      <vt:lpstr>        Behind those diagnostics sit concrete choices: IBM backends (e.g., Sherbrooke, B</vt:lpstr>
      <vt:lpstr>        When you stitch the layers together—wound transcriptomics that name the players,</vt:lpstr>
      <vt:lpstr>        </vt:lpstr>
      <vt:lpstr>        Equation Notes (expanded context)</vt:lpstr>
      <vt:lpstr>        Eqs. (1)–(4) (library entropy/triage): classical information measures for catego</vt:lpstr>
      <vt:lpstr>        Eqs. (5)–(7) (binding energetics): MM–PBSA aggregates MM energy, implicit solvat</vt:lpstr>
      <vt:lpstr>        Eqs. (8)–(10) (Pharmacophoric-ODEs): represent a candidate by graph/pose/pharmac</vt:lpstr>
      <vt:lpstr>        Eqs. (11)–(13) (systems readouts): Bliss independence and combination-synergy in</vt:lpstr>
      <vt:lpstr>        Eqs. (14)–(15) (quantum calibration): adiabatic sufficiency check framed as a ma</vt:lpstr>
      <vt:lpstr>Motif-guided pharmacophoric ODE with quantum-calibrated safeguards </vt:lpstr>
      <vt:lpstr>        I treat gapped-motif discovery as a first-class steering signal for the Pharmaco</vt:lpstr>
      <vt:lpstr>        Across replicate GLAM2 runs (with a stricter early-stopping policy—twice the “it</vt:lpstr>
      <vt:lpstr>        [WR]P[WH][QA][VW][SP][LF][QM][YV]S[SL]Q[GL][SR]G[YG]H[TF]CG[GA][ST]LIAPN[WF]VM[T</vt:lpstr>
      <vt:lpstr>        A second family captures a compact protease-proximal core that repeatedly appear</vt:lpstr>
      <vt:lpstr>        Core: LFLVAAH[EQ]FGHA[ML]GL[ED]HS[QS][DV]P[GE]ALM[AY]P[IM]Y[TR][YF]T.{0,2}[KE][N</vt:lpstr>
      <vt:lpstr>        Prefix: A[NH][YF]DDD.*QGY (optional N-terminal add-on)</vt:lpstr>
      <vt:lpstr>        Gap: .{0,1}D?T[KE].{0,2} (optional internal micro-indel)</vt:lpstr>
      <vt:lpstr>        These protease-adjacent signatures map cleanly onto neutrophil elastase and rela</vt:lpstr>
      <vt:lpstr>        STVGGNSEGAPCVFPFTFLGNKYESCTSAGRSDGKMWCATTANYDDDRKW</vt:lpstr>
      <vt:lpstr>        I treat this as a localization/protease-exposure tag. When I assign compartment-</vt:lpstr>
      <vt:lpstr>        Those three motif classes—(i) the long ERC/NEU1-biased consensus, (ii) the elast</vt:lpstr>
      <vt:lpstr>        Because brute-force screening is both powerful and noisy—modern workflows can, i</vt:lpstr>
      <vt:lpstr>        A few practical details make this stick. Motif influence follows a simple anneal</vt:lpstr>
      <vt:lpstr>        The outcome of tying motifs to shape and energetics is not abstract: it directly</vt:lpstr>
      <vt:lpstr>        If the overall rhythm feels familiar, that’s intentional. The pipeline mirrors a</vt:lpstr>
      <vt:lpstr>6.2. Library entropy, subset selection, and fair sampling</vt:lpstr>
      <vt:lpstr/>
      <vt:lpstr>6.3. Docking, short MD, and MM-PBSA with an explicit Δ\DeltaΔSASA contribution</vt:lpstr>
    </vt:vector>
  </TitlesOfParts>
  <Company>HP</Company>
  <LinksUpToDate>false</LinksUpToDate>
  <CharactersWithSpaces>440967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Nikolaos</dc:creator>
  <cp:lastModifiedBy>Dr. Nikolaos</cp:lastModifiedBy>
  <cp:revision>2</cp:revision>
  <cp:lastPrinted>2025-09-28T22:55:00Z</cp:lastPrinted>
  <dcterms:created xsi:type="dcterms:W3CDTF">2025-10-02T22:24:00Z</dcterms:created>
  <dcterms:modified xsi:type="dcterms:W3CDTF">2025-10-02T22:24:00Z</dcterms:modified>
</cp:coreProperties>
</file>