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D370" w14:textId="77777777" w:rsidR="00317350" w:rsidRPr="00770EBA" w:rsidRDefault="00317350" w:rsidP="0031735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0EBA">
        <w:rPr>
          <w:rFonts w:ascii="Times New Roman" w:hAnsi="Times New Roman" w:cs="Times New Roman"/>
          <w:b/>
          <w:bCs/>
          <w:sz w:val="20"/>
          <w:szCs w:val="20"/>
        </w:rPr>
        <w:t>Supplementary information</w:t>
      </w:r>
    </w:p>
    <w:p w14:paraId="1D8E476E" w14:textId="77777777" w:rsidR="00317350" w:rsidRDefault="00317350" w:rsidP="003173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6571555" w14:textId="77777777" w:rsidR="00317350" w:rsidRPr="00132280" w:rsidRDefault="00317350" w:rsidP="0031735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en-ZA"/>
        </w:rPr>
      </w:pPr>
      <w:r>
        <w:rPr>
          <w:noProof/>
        </w:rPr>
        <w:drawing>
          <wp:inline distT="0" distB="0" distL="0" distR="0" wp14:anchorId="5A7508B7" wp14:editId="56DC4818">
            <wp:extent cx="5731510" cy="1891030"/>
            <wp:effectExtent l="0" t="0" r="2540" b="0"/>
            <wp:docPr id="873950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500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5DEF" w14:textId="77777777" w:rsidR="00317350" w:rsidRDefault="00317350" w:rsidP="00317350">
      <w:pPr>
        <w:pStyle w:val="Caption"/>
        <w:spacing w:line="360" w:lineRule="auto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S1 </w:t>
      </w:r>
      <w:r w:rsidRPr="003B1BF9">
        <w:rPr>
          <w:rFonts w:ascii="Times New Roman" w:hAnsi="Times New Roman"/>
          <w:color w:val="auto"/>
          <w:sz w:val="20"/>
          <w:szCs w:val="20"/>
        </w:rPr>
        <w:t>Figure 1</w:t>
      </w:r>
      <w:r w:rsidRPr="003B1BF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: </w:t>
      </w:r>
      <w:r w:rsidRPr="003B1BF9">
        <w:rPr>
          <w:rFonts w:ascii="Times New Roman" w:hAnsi="Times New Roman"/>
          <w:color w:val="auto"/>
          <w:sz w:val="20"/>
          <w:szCs w:val="20"/>
        </w:rPr>
        <w:t xml:space="preserve">(a) </w:t>
      </w:r>
      <w:r w:rsidRPr="003B1BF9">
        <w:rPr>
          <w:rFonts w:ascii="Times New Roman" w:hAnsi="Times New Roman"/>
          <w:b w:val="0"/>
          <w:bCs w:val="0"/>
          <w:color w:val="auto"/>
          <w:sz w:val="20"/>
          <w:szCs w:val="20"/>
        </w:rPr>
        <w:t>PCA plot illustrates no natural differentiation between TB-T2DM group and HC metabolic profiles, using all samples and metabolites.</w:t>
      </w:r>
      <w:r w:rsidRPr="003B1BF9">
        <w:rPr>
          <w:rFonts w:ascii="Times New Roman" w:hAnsi="Times New Roman"/>
          <w:color w:val="auto"/>
          <w:sz w:val="20"/>
          <w:szCs w:val="20"/>
        </w:rPr>
        <w:t xml:space="preserve"> (b) </w:t>
      </w:r>
      <w:r w:rsidRPr="003B1BF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A Venn diagram, illustrating the number of metabolites meeting each criterium and their overlaps of common metabolites forming the noise-reduced data set. </w:t>
      </w:r>
      <w:r w:rsidRPr="003B1BF9">
        <w:rPr>
          <w:rFonts w:ascii="Times New Roman" w:hAnsi="Times New Roman"/>
          <w:color w:val="auto"/>
          <w:sz w:val="20"/>
          <w:szCs w:val="20"/>
        </w:rPr>
        <w:t xml:space="preserve"> (c)</w:t>
      </w:r>
      <w:r w:rsidRPr="003B1BF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PCA plot of  noise-reduced dataset illustrates separation between the TB-T2DM and the HC group.</w:t>
      </w:r>
    </w:p>
    <w:p w14:paraId="25525DA3" w14:textId="77777777" w:rsidR="00317350" w:rsidRDefault="00317350"/>
    <w:sectPr w:rsidR="00317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50"/>
    <w:rsid w:val="00260C25"/>
    <w:rsid w:val="0031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6EE3"/>
  <w15:chartTrackingRefBased/>
  <w15:docId w15:val="{CA934306-8011-4CCE-8AC7-1BC985F0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50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3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3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3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3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3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3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3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3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31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3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317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3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317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350"/>
    <w:pPr>
      <w:spacing w:line="278" w:lineRule="auto"/>
      <w:ind w:left="720"/>
      <w:contextualSpacing/>
    </w:pPr>
    <w:rPr>
      <w:sz w:val="24"/>
      <w:szCs w:val="24"/>
      <w:lang w:val="en-ZA"/>
    </w:rPr>
  </w:style>
  <w:style w:type="character" w:styleId="IntenseEmphasis">
    <w:name w:val="Intense Emphasis"/>
    <w:basedOn w:val="DefaultParagraphFont"/>
    <w:uiPriority w:val="21"/>
    <w:qFormat/>
    <w:rsid w:val="00317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35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317350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156082" w:themeColor="accent1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31735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REINECKE</dc:creator>
  <cp:keywords/>
  <dc:description/>
  <cp:lastModifiedBy>KARLA REINECKE</cp:lastModifiedBy>
  <cp:revision>1</cp:revision>
  <dcterms:created xsi:type="dcterms:W3CDTF">2025-08-25T09:45:00Z</dcterms:created>
  <dcterms:modified xsi:type="dcterms:W3CDTF">2025-08-25T09:45:00Z</dcterms:modified>
</cp:coreProperties>
</file>