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26E76" w14:textId="77777777" w:rsidR="005F5AC1" w:rsidRDefault="005F5AC1" w:rsidP="005F5AC1">
      <w:pPr>
        <w:pStyle w:val="Heading2"/>
        <w:jc w:val="both"/>
      </w:pPr>
      <w:r>
        <w:t>Supplementary Information</w:t>
      </w:r>
    </w:p>
    <w:p w14:paraId="4F849F60" w14:textId="77777777" w:rsidR="005F5AC1" w:rsidRDefault="005F5AC1" w:rsidP="005F5AC1">
      <w:pPr>
        <w:jc w:val="both"/>
        <w:rPr>
          <w:b/>
          <w:bCs/>
        </w:rPr>
      </w:pPr>
      <w:r>
        <w:rPr>
          <w:b/>
          <w:bCs/>
        </w:rPr>
        <w:t xml:space="preserve">Diagnostic data from Elmore et al showing inter- and intra-pathologist </w:t>
      </w:r>
      <w:proofErr w:type="spellStart"/>
      <w:r>
        <w:rPr>
          <w:b/>
          <w:bCs/>
        </w:rPr>
        <w:t>MPATH</w:t>
      </w:r>
      <w:proofErr w:type="spellEnd"/>
      <w:r>
        <w:rPr>
          <w:b/>
          <w:bCs/>
        </w:rPr>
        <w:t>-Dx Class V diagnostic consistency.</w:t>
      </w:r>
    </w:p>
    <w:p w14:paraId="2DE2FF0B" w14:textId="77777777" w:rsidR="005F5AC1" w:rsidRDefault="005F5AC1" w:rsidP="005F5AC1">
      <w:pPr>
        <w:jc w:val="both"/>
        <w:rPr>
          <w:i/>
          <w:iCs/>
          <w:szCs w:val="22"/>
          <w:u w:val="single"/>
        </w:rPr>
      </w:pPr>
      <w:r>
        <w:rPr>
          <w:i/>
          <w:iCs/>
          <w:szCs w:val="22"/>
          <w:u w:val="single"/>
        </w:rPr>
        <w:t>Part 1: Intra-observer variation (same cases reviewed by same pathologist at different time point)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23"/>
        <w:gridCol w:w="573"/>
        <w:gridCol w:w="544"/>
        <w:gridCol w:w="560"/>
        <w:gridCol w:w="567"/>
        <w:gridCol w:w="544"/>
        <w:gridCol w:w="917"/>
        <w:gridCol w:w="220"/>
        <w:gridCol w:w="220"/>
        <w:gridCol w:w="216"/>
        <w:gridCol w:w="2020"/>
        <w:gridCol w:w="1256"/>
      </w:tblGrid>
      <w:tr w:rsidR="005F5AC1" w14:paraId="46199B23" w14:textId="77777777" w:rsidTr="005F5AC1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785F0250" w14:textId="77777777" w:rsidR="005F5AC1" w:rsidRDefault="005F5AC1">
            <w:pPr>
              <w:rPr>
                <w:i/>
                <w:iCs/>
                <w:szCs w:val="22"/>
                <w:u w:val="single"/>
              </w:rPr>
            </w:pPr>
          </w:p>
        </w:tc>
        <w:tc>
          <w:tcPr>
            <w:tcW w:w="1665" w:type="pct"/>
            <w:gridSpan w:val="5"/>
            <w:noWrap/>
            <w:vAlign w:val="center"/>
            <w:hideMark/>
          </w:tcPr>
          <w:p w14:paraId="6FE8B58A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Phase 2 diagnosis (No of paired interpretations)</w:t>
            </w:r>
          </w:p>
        </w:tc>
        <w:tc>
          <w:tcPr>
            <w:tcW w:w="356" w:type="pct"/>
            <w:noWrap/>
            <w:vAlign w:val="center"/>
            <w:hideMark/>
          </w:tcPr>
          <w:p w14:paraId="4D896059" w14:textId="77777777" w:rsidR="005F5AC1" w:rsidRDefault="005F5AC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078" w:type="pct"/>
            <w:gridSpan w:val="5"/>
            <w:noWrap/>
            <w:vAlign w:val="center"/>
          </w:tcPr>
          <w:p w14:paraId="2A4221DB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5F5AC1" w14:paraId="73E3E2EF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5F61599E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Phase 1 diagnosis</w:t>
            </w:r>
          </w:p>
        </w:tc>
        <w:tc>
          <w:tcPr>
            <w:tcW w:w="349" w:type="pct"/>
            <w:noWrap/>
            <w:vAlign w:val="center"/>
            <w:hideMark/>
          </w:tcPr>
          <w:p w14:paraId="34B7DC50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</w:t>
            </w:r>
          </w:p>
        </w:tc>
        <w:tc>
          <w:tcPr>
            <w:tcW w:w="329" w:type="pct"/>
            <w:noWrap/>
            <w:vAlign w:val="center"/>
            <w:hideMark/>
          </w:tcPr>
          <w:p w14:paraId="0C8BC1B5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</w:t>
            </w:r>
          </w:p>
        </w:tc>
        <w:tc>
          <w:tcPr>
            <w:tcW w:w="329" w:type="pct"/>
            <w:noWrap/>
            <w:vAlign w:val="center"/>
            <w:hideMark/>
          </w:tcPr>
          <w:p w14:paraId="6892EBA8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III</w:t>
            </w:r>
          </w:p>
        </w:tc>
        <w:tc>
          <w:tcPr>
            <w:tcW w:w="329" w:type="pct"/>
            <w:noWrap/>
            <w:vAlign w:val="center"/>
            <w:hideMark/>
          </w:tcPr>
          <w:p w14:paraId="676780FE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IV</w:t>
            </w:r>
          </w:p>
        </w:tc>
        <w:tc>
          <w:tcPr>
            <w:tcW w:w="329" w:type="pct"/>
            <w:noWrap/>
            <w:vAlign w:val="center"/>
            <w:hideMark/>
          </w:tcPr>
          <w:p w14:paraId="08CC7EDF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V</w:t>
            </w:r>
          </w:p>
        </w:tc>
        <w:tc>
          <w:tcPr>
            <w:tcW w:w="356" w:type="pct"/>
            <w:noWrap/>
            <w:vAlign w:val="center"/>
            <w:hideMark/>
          </w:tcPr>
          <w:p w14:paraId="282BE863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Total</w:t>
            </w:r>
          </w:p>
        </w:tc>
        <w:tc>
          <w:tcPr>
            <w:tcW w:w="226" w:type="pct"/>
            <w:noWrap/>
            <w:vAlign w:val="center"/>
            <w:hideMark/>
          </w:tcPr>
          <w:p w14:paraId="377EDA5C" w14:textId="77777777" w:rsidR="005F5AC1" w:rsidRDefault="005F5AC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0" w:type="pct"/>
            <w:noWrap/>
            <w:vAlign w:val="center"/>
          </w:tcPr>
          <w:p w14:paraId="188BBE56" w14:textId="77777777" w:rsidR="005F5AC1" w:rsidRDefault="005F5AC1">
            <w:pPr>
              <w:spacing w:before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  <w:tc>
          <w:tcPr>
            <w:tcW w:w="1742" w:type="pct"/>
            <w:gridSpan w:val="3"/>
            <w:noWrap/>
            <w:vAlign w:val="center"/>
            <w:hideMark/>
          </w:tcPr>
          <w:p w14:paraId="4411A496" w14:textId="77777777" w:rsidR="005F5AC1" w:rsidRDefault="005F5AC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</w:tr>
      <w:tr w:rsidR="005F5AC1" w14:paraId="1A69E7BA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0885DFDE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2E9F0A3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1155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33C15E67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188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C4F704F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119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E9446D7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27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096E6C2B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17</w:t>
            </w:r>
          </w:p>
        </w:tc>
        <w:tc>
          <w:tcPr>
            <w:tcW w:w="356" w:type="pct"/>
            <w:noWrap/>
            <w:vAlign w:val="center"/>
            <w:hideMark/>
          </w:tcPr>
          <w:p w14:paraId="6C385ABA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1506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48FD78BF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3F0E15DF" w14:textId="77777777" w:rsidR="005F5AC1" w:rsidRDefault="005F5AC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5F5AC1" w14:paraId="5F1CD403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6BEB8AA2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46324E4E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170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2F2DE14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227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0A3E73A5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182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8E73445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37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78CCFECC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28</w:t>
            </w:r>
          </w:p>
        </w:tc>
        <w:tc>
          <w:tcPr>
            <w:tcW w:w="356" w:type="pct"/>
            <w:noWrap/>
            <w:vAlign w:val="center"/>
            <w:hideMark/>
          </w:tcPr>
          <w:p w14:paraId="6B57E01A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644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253D395D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38CE5843" w14:textId="77777777" w:rsidR="005F5AC1" w:rsidRDefault="005F5AC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5F5AC1" w14:paraId="485C9B16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6FFE507A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III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0A624CEA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91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782D5265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120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7DBEDF07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653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E7F16F1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169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0C9FD7B9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58</w:t>
            </w:r>
          </w:p>
        </w:tc>
        <w:tc>
          <w:tcPr>
            <w:tcW w:w="356" w:type="pct"/>
            <w:noWrap/>
            <w:vAlign w:val="center"/>
            <w:hideMark/>
          </w:tcPr>
          <w:p w14:paraId="6B238236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1091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4C473FB0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64631655" w14:textId="77777777" w:rsidR="005F5AC1" w:rsidRDefault="005F5AC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5F5AC1" w14:paraId="45137FD4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23B67D86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IV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AFA520D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20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02A846D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37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5A274348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147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F4CFA66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531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372EDB58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105</w:t>
            </w:r>
          </w:p>
        </w:tc>
        <w:tc>
          <w:tcPr>
            <w:tcW w:w="356" w:type="pct"/>
            <w:noWrap/>
            <w:vAlign w:val="center"/>
            <w:hideMark/>
          </w:tcPr>
          <w:p w14:paraId="1BA192F7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840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208FD8F6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498316EE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  <w:t>Phase 1 class V cases classified as I-III by same pathologist in Phase 2</w:t>
            </w:r>
          </w:p>
        </w:tc>
      </w:tr>
      <w:tr w:rsidR="005F5AC1" w14:paraId="7F6360A6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181BB9EA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V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7AB80DF0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14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01FB986B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16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2C12E776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44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6C46623F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105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3340D8F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852</w:t>
            </w:r>
          </w:p>
        </w:tc>
        <w:tc>
          <w:tcPr>
            <w:tcW w:w="356" w:type="pct"/>
            <w:noWrap/>
            <w:vAlign w:val="center"/>
            <w:hideMark/>
          </w:tcPr>
          <w:p w14:paraId="5EF91EC2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1031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161DE354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13A6C1BE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7%</w:t>
            </w:r>
          </w:p>
        </w:tc>
      </w:tr>
      <w:tr w:rsidR="005F5AC1" w14:paraId="377F6ACF" w14:textId="77777777" w:rsidTr="005F5AC1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227FBD36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Total</w:t>
            </w:r>
          </w:p>
        </w:tc>
        <w:tc>
          <w:tcPr>
            <w:tcW w:w="349" w:type="pct"/>
            <w:noWrap/>
            <w:vAlign w:val="center"/>
            <w:hideMark/>
          </w:tcPr>
          <w:p w14:paraId="198A92AB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1450</w:t>
            </w:r>
          </w:p>
        </w:tc>
        <w:tc>
          <w:tcPr>
            <w:tcW w:w="329" w:type="pct"/>
            <w:noWrap/>
            <w:vAlign w:val="center"/>
            <w:hideMark/>
          </w:tcPr>
          <w:p w14:paraId="7429599F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588</w:t>
            </w:r>
          </w:p>
        </w:tc>
        <w:tc>
          <w:tcPr>
            <w:tcW w:w="329" w:type="pct"/>
            <w:noWrap/>
            <w:vAlign w:val="center"/>
            <w:hideMark/>
          </w:tcPr>
          <w:p w14:paraId="71602F1B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1145</w:t>
            </w:r>
          </w:p>
        </w:tc>
        <w:tc>
          <w:tcPr>
            <w:tcW w:w="329" w:type="pct"/>
            <w:noWrap/>
            <w:vAlign w:val="center"/>
            <w:hideMark/>
          </w:tcPr>
          <w:p w14:paraId="11FC12E0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869</w:t>
            </w:r>
          </w:p>
        </w:tc>
        <w:tc>
          <w:tcPr>
            <w:tcW w:w="329" w:type="pct"/>
            <w:noWrap/>
            <w:vAlign w:val="center"/>
            <w:hideMark/>
          </w:tcPr>
          <w:p w14:paraId="0E6CDCCA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1060</w:t>
            </w:r>
          </w:p>
        </w:tc>
        <w:tc>
          <w:tcPr>
            <w:tcW w:w="356" w:type="pct"/>
            <w:noWrap/>
            <w:vAlign w:val="center"/>
            <w:hideMark/>
          </w:tcPr>
          <w:p w14:paraId="015EFAD1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5112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33C8D7B4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3B07DB93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  <w:t>Phase 1 class V cases classified as I-IV by same pathologist in Phase 2</w:t>
            </w:r>
          </w:p>
        </w:tc>
      </w:tr>
      <w:tr w:rsidR="005F5AC1" w14:paraId="20CE5F67" w14:textId="77777777" w:rsidTr="005F5AC1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2E31659C" w14:textId="77777777" w:rsidR="005F5AC1" w:rsidRDefault="005F5AC1">
            <w:pP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349" w:type="pct"/>
            <w:noWrap/>
            <w:vAlign w:val="center"/>
            <w:hideMark/>
          </w:tcPr>
          <w:p w14:paraId="3813E66B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6E7B5B0E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0D610D2B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5F42DF72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2382F46E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56" w:type="pct"/>
            <w:noWrap/>
            <w:vAlign w:val="center"/>
            <w:hideMark/>
          </w:tcPr>
          <w:p w14:paraId="71E7D588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65F7BDBC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10" w:type="pct"/>
            <w:noWrap/>
            <w:vAlign w:val="center"/>
          </w:tcPr>
          <w:p w14:paraId="6C36D4E6" w14:textId="77777777" w:rsidR="005F5AC1" w:rsidRDefault="005F5AC1">
            <w:pPr>
              <w:spacing w:before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  <w:tc>
          <w:tcPr>
            <w:tcW w:w="1742" w:type="pct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0E926236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17%</w:t>
            </w:r>
          </w:p>
        </w:tc>
      </w:tr>
      <w:tr w:rsidR="005F5AC1" w14:paraId="716793B4" w14:textId="77777777" w:rsidTr="005F5AC1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282EA539" w14:textId="77777777" w:rsidR="005F5AC1" w:rsidRDefault="005F5AC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349" w:type="pct"/>
            <w:noWrap/>
            <w:vAlign w:val="center"/>
            <w:hideMark/>
          </w:tcPr>
          <w:p w14:paraId="20853508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315025A9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6AC18F3F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1EA14F56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2D6D5BDA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56" w:type="pct"/>
            <w:noWrap/>
            <w:vAlign w:val="center"/>
            <w:hideMark/>
          </w:tcPr>
          <w:p w14:paraId="57698A38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06E85FE3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10" w:type="pct"/>
            <w:noWrap/>
            <w:vAlign w:val="center"/>
            <w:hideMark/>
          </w:tcPr>
          <w:p w14:paraId="1BB33D44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742" w:type="pct"/>
            <w:gridSpan w:val="3"/>
            <w:noWrap/>
            <w:vAlign w:val="center"/>
            <w:hideMark/>
          </w:tcPr>
          <w:p w14:paraId="46421D37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</w:tr>
      <w:tr w:rsidR="005F5AC1" w14:paraId="167878F8" w14:textId="77777777" w:rsidTr="005F5AC1">
        <w:trPr>
          <w:trHeight w:val="292"/>
        </w:trPr>
        <w:tc>
          <w:tcPr>
            <w:tcW w:w="5000" w:type="pct"/>
            <w:gridSpan w:val="12"/>
            <w:noWrap/>
            <w:vAlign w:val="center"/>
            <w:hideMark/>
          </w:tcPr>
          <w:p w14:paraId="2D9A6098" w14:textId="77777777" w:rsidR="005F5AC1" w:rsidRDefault="005F5AC1">
            <w:pPr>
              <w:jc w:val="both"/>
              <w:rPr>
                <w:i/>
                <w:iCs/>
                <w:szCs w:val="22"/>
                <w:u w:val="single"/>
              </w:rPr>
            </w:pPr>
            <w:r>
              <w:rPr>
                <w:i/>
                <w:iCs/>
                <w:szCs w:val="22"/>
                <w:u w:val="single"/>
              </w:rPr>
              <w:t>Part 2: Inter-observer variation (pairs of individual pathologist diagnoses)</w:t>
            </w:r>
          </w:p>
        </w:tc>
      </w:tr>
      <w:tr w:rsidR="005F5AC1" w14:paraId="25C04580" w14:textId="77777777" w:rsidTr="005F5AC1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26C57C17" w14:textId="77777777" w:rsidR="005F5AC1" w:rsidRDefault="005F5AC1">
            <w:pPr>
              <w:rPr>
                <w:i/>
                <w:iCs/>
                <w:szCs w:val="22"/>
                <w:u w:val="single"/>
              </w:rPr>
            </w:pPr>
          </w:p>
        </w:tc>
        <w:tc>
          <w:tcPr>
            <w:tcW w:w="1665" w:type="pct"/>
            <w:gridSpan w:val="5"/>
            <w:noWrap/>
            <w:vAlign w:val="center"/>
            <w:hideMark/>
          </w:tcPr>
          <w:p w14:paraId="01364877" w14:textId="77777777" w:rsidR="005F5AC1" w:rsidRDefault="005F5AC1">
            <w:pPr>
              <w:spacing w:before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Second pathologist’s interpretation</w:t>
            </w:r>
          </w:p>
        </w:tc>
        <w:tc>
          <w:tcPr>
            <w:tcW w:w="356" w:type="pct"/>
            <w:noWrap/>
            <w:vAlign w:val="center"/>
            <w:hideMark/>
          </w:tcPr>
          <w:p w14:paraId="1A86A2FF" w14:textId="77777777" w:rsidR="005F5AC1" w:rsidRDefault="005F5AC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  <w:tc>
          <w:tcPr>
            <w:tcW w:w="2078" w:type="pct"/>
            <w:gridSpan w:val="5"/>
            <w:noWrap/>
            <w:vAlign w:val="center"/>
          </w:tcPr>
          <w:p w14:paraId="3A27D918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5F5AC1" w14:paraId="23230F4B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5C36FE23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First pathologist’s interpretation</w:t>
            </w:r>
          </w:p>
        </w:tc>
        <w:tc>
          <w:tcPr>
            <w:tcW w:w="349" w:type="pct"/>
            <w:noWrap/>
            <w:vAlign w:val="center"/>
            <w:hideMark/>
          </w:tcPr>
          <w:p w14:paraId="44C07F39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</w:t>
            </w:r>
          </w:p>
        </w:tc>
        <w:tc>
          <w:tcPr>
            <w:tcW w:w="329" w:type="pct"/>
            <w:noWrap/>
            <w:vAlign w:val="center"/>
            <w:hideMark/>
          </w:tcPr>
          <w:p w14:paraId="27DD86E0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</w:t>
            </w:r>
          </w:p>
        </w:tc>
        <w:tc>
          <w:tcPr>
            <w:tcW w:w="329" w:type="pct"/>
            <w:noWrap/>
            <w:vAlign w:val="center"/>
            <w:hideMark/>
          </w:tcPr>
          <w:p w14:paraId="788BF8B1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III</w:t>
            </w:r>
          </w:p>
        </w:tc>
        <w:tc>
          <w:tcPr>
            <w:tcW w:w="329" w:type="pct"/>
            <w:noWrap/>
            <w:vAlign w:val="center"/>
            <w:hideMark/>
          </w:tcPr>
          <w:p w14:paraId="2CD09CC8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IV</w:t>
            </w:r>
          </w:p>
        </w:tc>
        <w:tc>
          <w:tcPr>
            <w:tcW w:w="329" w:type="pct"/>
            <w:noWrap/>
            <w:vAlign w:val="center"/>
            <w:hideMark/>
          </w:tcPr>
          <w:p w14:paraId="5A1B6F82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V</w:t>
            </w:r>
          </w:p>
        </w:tc>
        <w:tc>
          <w:tcPr>
            <w:tcW w:w="356" w:type="pct"/>
            <w:noWrap/>
            <w:vAlign w:val="center"/>
            <w:hideMark/>
          </w:tcPr>
          <w:p w14:paraId="6991B9AC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Total</w:t>
            </w:r>
          </w:p>
        </w:tc>
        <w:tc>
          <w:tcPr>
            <w:tcW w:w="226" w:type="pct"/>
            <w:noWrap/>
            <w:vAlign w:val="center"/>
          </w:tcPr>
          <w:p w14:paraId="168CE775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0" w:type="pct"/>
            <w:noWrap/>
            <w:vAlign w:val="center"/>
          </w:tcPr>
          <w:p w14:paraId="36984387" w14:textId="77777777" w:rsidR="005F5AC1" w:rsidRDefault="005F5AC1">
            <w:pPr>
              <w:spacing w:before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  <w:tc>
          <w:tcPr>
            <w:tcW w:w="1742" w:type="pct"/>
            <w:gridSpan w:val="3"/>
            <w:noWrap/>
            <w:vAlign w:val="center"/>
            <w:hideMark/>
          </w:tcPr>
          <w:p w14:paraId="0A636B96" w14:textId="77777777" w:rsidR="005F5AC1" w:rsidRDefault="005F5AC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</w:tr>
      <w:tr w:rsidR="005F5AC1" w14:paraId="45CACBBF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130E73C2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C7BA634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64122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EA3F2BB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15082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2A3C19C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11223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F4730B3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2993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59241140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1773</w:t>
            </w:r>
          </w:p>
        </w:tc>
        <w:tc>
          <w:tcPr>
            <w:tcW w:w="356" w:type="pct"/>
            <w:noWrap/>
            <w:vAlign w:val="center"/>
            <w:hideMark/>
          </w:tcPr>
          <w:p w14:paraId="57B6B65D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95193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177F0021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7E34AC81" w14:textId="77777777" w:rsidR="005F5AC1" w:rsidRDefault="005F5AC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5F5AC1" w14:paraId="6B207E72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0FF73408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993E1FD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15082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59515A89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10366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10B1961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11028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41D96F63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3974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4D92F7F0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1903</w:t>
            </w:r>
          </w:p>
        </w:tc>
        <w:tc>
          <w:tcPr>
            <w:tcW w:w="356" w:type="pct"/>
            <w:noWrap/>
            <w:vAlign w:val="center"/>
            <w:hideMark/>
          </w:tcPr>
          <w:p w14:paraId="1A3E9D43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42353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6F23DC78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4DCDCC39" w14:textId="77777777" w:rsidR="005F5AC1" w:rsidRDefault="005F5AC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5F5AC1" w14:paraId="2BE5A47B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589FD027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III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06014203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11223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794E1865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11028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440ADA72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31326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F6B15B6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12675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7A2CE033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4494</w:t>
            </w:r>
          </w:p>
        </w:tc>
        <w:tc>
          <w:tcPr>
            <w:tcW w:w="356" w:type="pct"/>
            <w:noWrap/>
            <w:vAlign w:val="center"/>
            <w:hideMark/>
          </w:tcPr>
          <w:p w14:paraId="26A1F2C0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70746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2DEA6AB8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150CECD0" w14:textId="77777777" w:rsidR="005F5AC1" w:rsidRDefault="005F5AC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5F5AC1" w14:paraId="70ED9D13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23E3D003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IV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75AFC7F2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2993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73968C57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3974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7192E881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12675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BEE834B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22334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782F9368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8854</w:t>
            </w:r>
          </w:p>
        </w:tc>
        <w:tc>
          <w:tcPr>
            <w:tcW w:w="356" w:type="pct"/>
            <w:noWrap/>
            <w:vAlign w:val="center"/>
            <w:hideMark/>
          </w:tcPr>
          <w:p w14:paraId="543701B4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50830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5D493938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5D250996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  <w:t>pathologist A Class V cases classified as I-III by pathologist B</w:t>
            </w:r>
          </w:p>
        </w:tc>
      </w:tr>
      <w:tr w:rsidR="005F5AC1" w14:paraId="2C224002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66AFDD15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V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03C16026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1773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2C924C66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1903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0389C08C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4494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56AC6604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8854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ED29945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50926</w:t>
            </w:r>
          </w:p>
        </w:tc>
        <w:tc>
          <w:tcPr>
            <w:tcW w:w="356" w:type="pct"/>
            <w:noWrap/>
            <w:vAlign w:val="center"/>
            <w:hideMark/>
          </w:tcPr>
          <w:p w14:paraId="604EC288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67950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4889CCC6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69819AF3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12%</w:t>
            </w:r>
          </w:p>
        </w:tc>
      </w:tr>
      <w:tr w:rsidR="005F5AC1" w14:paraId="47958AB1" w14:textId="77777777" w:rsidTr="005F5AC1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38FE5D80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Total</w:t>
            </w:r>
          </w:p>
        </w:tc>
        <w:tc>
          <w:tcPr>
            <w:tcW w:w="349" w:type="pct"/>
            <w:noWrap/>
            <w:vAlign w:val="center"/>
            <w:hideMark/>
          </w:tcPr>
          <w:p w14:paraId="1155CA00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95193</w:t>
            </w:r>
          </w:p>
        </w:tc>
        <w:tc>
          <w:tcPr>
            <w:tcW w:w="329" w:type="pct"/>
            <w:noWrap/>
            <w:vAlign w:val="center"/>
            <w:hideMark/>
          </w:tcPr>
          <w:p w14:paraId="233314F4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42353</w:t>
            </w:r>
          </w:p>
        </w:tc>
        <w:tc>
          <w:tcPr>
            <w:tcW w:w="329" w:type="pct"/>
            <w:noWrap/>
            <w:vAlign w:val="center"/>
            <w:hideMark/>
          </w:tcPr>
          <w:p w14:paraId="79B79BE5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70746</w:t>
            </w:r>
          </w:p>
        </w:tc>
        <w:tc>
          <w:tcPr>
            <w:tcW w:w="329" w:type="pct"/>
            <w:noWrap/>
            <w:vAlign w:val="center"/>
            <w:hideMark/>
          </w:tcPr>
          <w:p w14:paraId="13E4966E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50830</w:t>
            </w:r>
          </w:p>
        </w:tc>
        <w:tc>
          <w:tcPr>
            <w:tcW w:w="329" w:type="pct"/>
            <w:noWrap/>
            <w:vAlign w:val="center"/>
            <w:hideMark/>
          </w:tcPr>
          <w:p w14:paraId="436BC5B7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67950</w:t>
            </w:r>
          </w:p>
        </w:tc>
        <w:tc>
          <w:tcPr>
            <w:tcW w:w="356" w:type="pct"/>
            <w:noWrap/>
            <w:vAlign w:val="center"/>
            <w:hideMark/>
          </w:tcPr>
          <w:p w14:paraId="188CC976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327072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6C196E62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26ACA07C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  <w:t>pathologist A Class V cases classified as I-IV by pathologist B</w:t>
            </w:r>
          </w:p>
        </w:tc>
      </w:tr>
      <w:tr w:rsidR="005F5AC1" w14:paraId="14291936" w14:textId="77777777" w:rsidTr="005F5AC1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4EF67361" w14:textId="77777777" w:rsidR="005F5AC1" w:rsidRDefault="005F5AC1">
            <w:pP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349" w:type="pct"/>
            <w:noWrap/>
            <w:vAlign w:val="center"/>
            <w:hideMark/>
          </w:tcPr>
          <w:p w14:paraId="5FB52A3A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4421D2AE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609C2E5B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62AB4E65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60EB63C3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56" w:type="pct"/>
            <w:noWrap/>
            <w:vAlign w:val="center"/>
            <w:hideMark/>
          </w:tcPr>
          <w:p w14:paraId="415F1F55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7941E481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10" w:type="pct"/>
            <w:noWrap/>
            <w:vAlign w:val="center"/>
            <w:hideMark/>
          </w:tcPr>
          <w:p w14:paraId="6FE826E4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742" w:type="pct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3828E6C0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25%</w:t>
            </w:r>
          </w:p>
        </w:tc>
      </w:tr>
      <w:tr w:rsidR="005F5AC1" w14:paraId="04D132C6" w14:textId="77777777" w:rsidTr="005F5AC1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07B8EEB5" w14:textId="77777777" w:rsidR="005F5AC1" w:rsidRDefault="005F5AC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349" w:type="pct"/>
            <w:noWrap/>
            <w:vAlign w:val="center"/>
            <w:hideMark/>
          </w:tcPr>
          <w:p w14:paraId="5CAA512C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0CF8E066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42C5739C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2BF0F73F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564A01FA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56" w:type="pct"/>
            <w:noWrap/>
            <w:vAlign w:val="center"/>
            <w:hideMark/>
          </w:tcPr>
          <w:p w14:paraId="703AC8B5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1A32AF62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10" w:type="pct"/>
            <w:noWrap/>
            <w:vAlign w:val="center"/>
            <w:hideMark/>
          </w:tcPr>
          <w:p w14:paraId="257EFE2C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742" w:type="pct"/>
            <w:gridSpan w:val="3"/>
            <w:noWrap/>
            <w:vAlign w:val="center"/>
            <w:hideMark/>
          </w:tcPr>
          <w:p w14:paraId="13E9A0F9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</w:tr>
      <w:tr w:rsidR="005F5AC1" w14:paraId="4A581CE1" w14:textId="77777777" w:rsidTr="005F5AC1">
        <w:trPr>
          <w:gridAfter w:val="1"/>
          <w:wAfter w:w="656" w:type="pct"/>
          <w:trHeight w:val="292"/>
        </w:trPr>
        <w:tc>
          <w:tcPr>
            <w:tcW w:w="4344" w:type="pct"/>
            <w:gridSpan w:val="11"/>
            <w:noWrap/>
            <w:vAlign w:val="center"/>
            <w:hideMark/>
          </w:tcPr>
          <w:p w14:paraId="68957FE3" w14:textId="77777777" w:rsidR="005F5AC1" w:rsidRDefault="005F5AC1">
            <w:pPr>
              <w:jc w:val="both"/>
              <w:rPr>
                <w:i/>
                <w:iCs/>
                <w:szCs w:val="22"/>
                <w:u w:val="single"/>
              </w:rPr>
            </w:pPr>
            <w:r>
              <w:rPr>
                <w:i/>
                <w:iCs/>
                <w:szCs w:val="22"/>
                <w:u w:val="single"/>
              </w:rPr>
              <w:t>Part 3: Inter-observer variation (individual pathologist vs consensus panel)</w:t>
            </w:r>
          </w:p>
        </w:tc>
      </w:tr>
      <w:tr w:rsidR="005F5AC1" w14:paraId="40F3D261" w14:textId="77777777" w:rsidTr="005F5AC1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3158AF6B" w14:textId="77777777" w:rsidR="005F5AC1" w:rsidRDefault="005F5AC1"/>
        </w:tc>
        <w:tc>
          <w:tcPr>
            <w:tcW w:w="349" w:type="pct"/>
            <w:noWrap/>
            <w:vAlign w:val="center"/>
            <w:hideMark/>
          </w:tcPr>
          <w:p w14:paraId="324E60E2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03E77CBF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62A9592B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15CE9FCA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32D4C1B4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56" w:type="pct"/>
            <w:noWrap/>
            <w:vAlign w:val="center"/>
            <w:hideMark/>
          </w:tcPr>
          <w:p w14:paraId="2717EE82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5C25BC14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10" w:type="pct"/>
            <w:noWrap/>
            <w:vAlign w:val="center"/>
            <w:hideMark/>
          </w:tcPr>
          <w:p w14:paraId="2EAD36B7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742" w:type="pct"/>
            <w:gridSpan w:val="3"/>
            <w:noWrap/>
            <w:vAlign w:val="center"/>
            <w:hideMark/>
          </w:tcPr>
          <w:p w14:paraId="4618D017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</w:tr>
      <w:tr w:rsidR="005F5AC1" w14:paraId="647B4A8C" w14:textId="77777777" w:rsidTr="005F5AC1">
        <w:trPr>
          <w:trHeight w:val="875"/>
        </w:trPr>
        <w:tc>
          <w:tcPr>
            <w:tcW w:w="901" w:type="pct"/>
            <w:noWrap/>
            <w:vAlign w:val="center"/>
            <w:hideMark/>
          </w:tcPr>
          <w:p w14:paraId="64DAACC7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665" w:type="pct"/>
            <w:gridSpan w:val="5"/>
            <w:noWrap/>
            <w:vAlign w:val="center"/>
            <w:hideMark/>
          </w:tcPr>
          <w:p w14:paraId="34232A75" w14:textId="77777777" w:rsidR="005F5AC1" w:rsidRDefault="005F5AC1">
            <w:pPr>
              <w:spacing w:before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Study pathologists’ interpretation</w:t>
            </w:r>
          </w:p>
        </w:tc>
        <w:tc>
          <w:tcPr>
            <w:tcW w:w="356" w:type="pct"/>
            <w:vAlign w:val="center"/>
            <w:hideMark/>
          </w:tcPr>
          <w:p w14:paraId="44208E04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 xml:space="preserve">Total interpretations </w:t>
            </w:r>
          </w:p>
        </w:tc>
        <w:tc>
          <w:tcPr>
            <w:tcW w:w="2078" w:type="pct"/>
            <w:gridSpan w:val="5"/>
            <w:noWrap/>
            <w:vAlign w:val="center"/>
          </w:tcPr>
          <w:p w14:paraId="2FF4FC2E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</w:tr>
      <w:tr w:rsidR="005F5AC1" w14:paraId="697CAAC5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68E7D4E4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Consensus reference diagnosis†</w:t>
            </w:r>
          </w:p>
        </w:tc>
        <w:tc>
          <w:tcPr>
            <w:tcW w:w="349" w:type="pct"/>
            <w:noWrap/>
            <w:vAlign w:val="center"/>
            <w:hideMark/>
          </w:tcPr>
          <w:p w14:paraId="20DF2E95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</w:t>
            </w:r>
          </w:p>
        </w:tc>
        <w:tc>
          <w:tcPr>
            <w:tcW w:w="329" w:type="pct"/>
            <w:noWrap/>
            <w:vAlign w:val="center"/>
            <w:hideMark/>
          </w:tcPr>
          <w:p w14:paraId="2D0AD85B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</w:t>
            </w:r>
          </w:p>
        </w:tc>
        <w:tc>
          <w:tcPr>
            <w:tcW w:w="329" w:type="pct"/>
            <w:noWrap/>
            <w:vAlign w:val="center"/>
            <w:hideMark/>
          </w:tcPr>
          <w:p w14:paraId="141AE6D0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III</w:t>
            </w:r>
          </w:p>
        </w:tc>
        <w:tc>
          <w:tcPr>
            <w:tcW w:w="329" w:type="pct"/>
            <w:noWrap/>
            <w:vAlign w:val="center"/>
            <w:hideMark/>
          </w:tcPr>
          <w:p w14:paraId="6715858A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IV</w:t>
            </w:r>
          </w:p>
        </w:tc>
        <w:tc>
          <w:tcPr>
            <w:tcW w:w="329" w:type="pct"/>
            <w:noWrap/>
            <w:vAlign w:val="center"/>
            <w:hideMark/>
          </w:tcPr>
          <w:p w14:paraId="3FB0E004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V</w:t>
            </w:r>
          </w:p>
        </w:tc>
        <w:tc>
          <w:tcPr>
            <w:tcW w:w="356" w:type="pct"/>
            <w:noWrap/>
            <w:vAlign w:val="center"/>
            <w:hideMark/>
          </w:tcPr>
          <w:p w14:paraId="7F8ECDF8" w14:textId="77777777" w:rsidR="005F5AC1" w:rsidRDefault="005F5AC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26" w:type="pct"/>
            <w:noWrap/>
            <w:vAlign w:val="center"/>
          </w:tcPr>
          <w:p w14:paraId="24809F1A" w14:textId="77777777" w:rsidR="005F5AC1" w:rsidRDefault="005F5AC1">
            <w:pPr>
              <w:spacing w:before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  <w:tc>
          <w:tcPr>
            <w:tcW w:w="110" w:type="pct"/>
            <w:noWrap/>
            <w:vAlign w:val="center"/>
          </w:tcPr>
          <w:p w14:paraId="75647398" w14:textId="77777777" w:rsidR="005F5AC1" w:rsidRDefault="005F5AC1">
            <w:pPr>
              <w:spacing w:before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  <w:tc>
          <w:tcPr>
            <w:tcW w:w="1742" w:type="pct"/>
            <w:gridSpan w:val="3"/>
            <w:noWrap/>
            <w:vAlign w:val="center"/>
            <w:hideMark/>
          </w:tcPr>
          <w:p w14:paraId="29B3958A" w14:textId="77777777" w:rsidR="005F5AC1" w:rsidRDefault="005F5AC1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AU"/>
              </w:rPr>
            </w:pPr>
          </w:p>
        </w:tc>
      </w:tr>
      <w:tr w:rsidR="005F5AC1" w14:paraId="17828D20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6EB02706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76D5FAC0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862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0A019569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50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79CD81C8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19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5BF8CF0A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329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732B965C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356" w:type="pct"/>
            <w:noWrap/>
            <w:vAlign w:val="center"/>
            <w:hideMark/>
          </w:tcPr>
          <w:p w14:paraId="6A343E8E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935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7150C698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42DF9C78" w14:textId="77777777" w:rsidR="005F5AC1" w:rsidRDefault="005F5AC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5F5AC1" w14:paraId="7838FB52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066CBCD3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494A6F9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843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5D65A67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331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B56E0E2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131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3EFE122C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26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340BF42F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</w:t>
            </w:r>
          </w:p>
        </w:tc>
        <w:tc>
          <w:tcPr>
            <w:tcW w:w="356" w:type="pct"/>
            <w:noWrap/>
            <w:vAlign w:val="center"/>
            <w:hideMark/>
          </w:tcPr>
          <w:p w14:paraId="49A36C84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1342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1D86DBB2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59A70A0A" w14:textId="77777777" w:rsidR="005F5AC1" w:rsidRDefault="005F5AC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5F5AC1" w14:paraId="395118C3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3D0E62E3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III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6BF48018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695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DE30C8F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520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2A659CE5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908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740D9F5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2DF63A89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</w:t>
            </w:r>
          </w:p>
        </w:tc>
        <w:tc>
          <w:tcPr>
            <w:tcW w:w="356" w:type="pct"/>
            <w:noWrap/>
            <w:vAlign w:val="center"/>
            <w:hideMark/>
          </w:tcPr>
          <w:p w14:paraId="5A306BE4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2247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0EA7E6AB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noWrap/>
            <w:vAlign w:val="center"/>
            <w:hideMark/>
          </w:tcPr>
          <w:p w14:paraId="5A48E39E" w14:textId="77777777" w:rsidR="005F5AC1" w:rsidRDefault="005F5AC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</w:tr>
      <w:tr w:rsidR="005F5AC1" w14:paraId="473EBAC7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772FCE0C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IV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0000A111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150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332FC2A6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176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4A4B19FF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717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3E311C09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928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7D0D5B49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198</w:t>
            </w:r>
          </w:p>
        </w:tc>
        <w:tc>
          <w:tcPr>
            <w:tcW w:w="356" w:type="pct"/>
            <w:noWrap/>
            <w:vAlign w:val="center"/>
            <w:hideMark/>
          </w:tcPr>
          <w:p w14:paraId="0473ED71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2169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6E68CD82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45A0DCAD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  <w:t>Consensus V cases classified as I-III by ind. pathologist</w:t>
            </w:r>
          </w:p>
        </w:tc>
      </w:tr>
      <w:tr w:rsidR="005F5AC1" w14:paraId="1862E06E" w14:textId="77777777" w:rsidTr="005F5AC1">
        <w:trPr>
          <w:trHeight w:val="300"/>
        </w:trPr>
        <w:tc>
          <w:tcPr>
            <w:tcW w:w="901" w:type="pct"/>
            <w:noWrap/>
            <w:vAlign w:val="center"/>
            <w:hideMark/>
          </w:tcPr>
          <w:p w14:paraId="4C904DA4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Class V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56FF7540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68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21420EF0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87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7E43DC3C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161</w:t>
            </w:r>
          </w:p>
        </w:tc>
        <w:tc>
          <w:tcPr>
            <w:tcW w:w="3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0C64DBD7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321</w:t>
            </w:r>
          </w:p>
        </w:tc>
        <w:tc>
          <w:tcPr>
            <w:tcW w:w="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E0B4"/>
            <w:noWrap/>
            <w:vAlign w:val="center"/>
            <w:hideMark/>
          </w:tcPr>
          <w:p w14:paraId="14528C44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1646</w:t>
            </w:r>
          </w:p>
        </w:tc>
        <w:tc>
          <w:tcPr>
            <w:tcW w:w="356" w:type="pct"/>
            <w:noWrap/>
            <w:vAlign w:val="center"/>
            <w:hideMark/>
          </w:tcPr>
          <w:p w14:paraId="3DDBD948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2283</w:t>
            </w:r>
          </w:p>
        </w:tc>
        <w:tc>
          <w:tcPr>
            <w:tcW w:w="339" w:type="pct"/>
            <w:gridSpan w:val="3"/>
            <w:noWrap/>
            <w:vAlign w:val="center"/>
          </w:tcPr>
          <w:p w14:paraId="362B6B0F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739" w:type="pct"/>
            <w:gridSpan w:val="2"/>
            <w:shd w:val="clear" w:color="auto" w:fill="F2F2F2" w:themeFill="background1" w:themeFillShade="F2"/>
            <w:noWrap/>
            <w:vAlign w:val="center"/>
            <w:hideMark/>
          </w:tcPr>
          <w:p w14:paraId="3AB6F85D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14%</w:t>
            </w:r>
          </w:p>
        </w:tc>
      </w:tr>
      <w:tr w:rsidR="005F5AC1" w14:paraId="0A6E3EAB" w14:textId="77777777" w:rsidTr="005F5AC1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24488ADE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Total</w:t>
            </w:r>
          </w:p>
        </w:tc>
        <w:tc>
          <w:tcPr>
            <w:tcW w:w="349" w:type="pct"/>
            <w:noWrap/>
            <w:vAlign w:val="center"/>
            <w:hideMark/>
          </w:tcPr>
          <w:p w14:paraId="0E043540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2618</w:t>
            </w:r>
          </w:p>
        </w:tc>
        <w:tc>
          <w:tcPr>
            <w:tcW w:w="329" w:type="pct"/>
            <w:noWrap/>
            <w:vAlign w:val="center"/>
            <w:hideMark/>
          </w:tcPr>
          <w:p w14:paraId="527BA07B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1164</w:t>
            </w:r>
          </w:p>
        </w:tc>
        <w:tc>
          <w:tcPr>
            <w:tcW w:w="329" w:type="pct"/>
            <w:noWrap/>
            <w:vAlign w:val="center"/>
            <w:hideMark/>
          </w:tcPr>
          <w:p w14:paraId="6BC86C6B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1936</w:t>
            </w:r>
          </w:p>
        </w:tc>
        <w:tc>
          <w:tcPr>
            <w:tcW w:w="329" w:type="pct"/>
            <w:noWrap/>
            <w:vAlign w:val="center"/>
            <w:hideMark/>
          </w:tcPr>
          <w:p w14:paraId="02F427A1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1391</w:t>
            </w:r>
          </w:p>
        </w:tc>
        <w:tc>
          <w:tcPr>
            <w:tcW w:w="329" w:type="pct"/>
            <w:noWrap/>
            <w:vAlign w:val="center"/>
            <w:hideMark/>
          </w:tcPr>
          <w:p w14:paraId="6BA10E8C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1867</w:t>
            </w:r>
          </w:p>
        </w:tc>
        <w:tc>
          <w:tcPr>
            <w:tcW w:w="356" w:type="pct"/>
            <w:noWrap/>
            <w:vAlign w:val="center"/>
            <w:hideMark/>
          </w:tcPr>
          <w:p w14:paraId="1CB80082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8976</w:t>
            </w:r>
          </w:p>
        </w:tc>
        <w:tc>
          <w:tcPr>
            <w:tcW w:w="226" w:type="pct"/>
            <w:noWrap/>
            <w:vAlign w:val="center"/>
            <w:hideMark/>
          </w:tcPr>
          <w:p w14:paraId="59F83824" w14:textId="77777777" w:rsidR="005F5AC1" w:rsidRDefault="005F5AC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10" w:type="pct"/>
            <w:noWrap/>
            <w:vAlign w:val="center"/>
            <w:hideMark/>
          </w:tcPr>
          <w:p w14:paraId="228EB0C5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742" w:type="pct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57203A6D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  <w:t>Consensus V cases classified as I-</w:t>
            </w:r>
            <w:proofErr w:type="gramStart"/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  <w:t>IV  by</w:t>
            </w:r>
            <w:proofErr w:type="gramEnd"/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  <w:t xml:space="preserve"> ind. pathologist</w:t>
            </w:r>
          </w:p>
        </w:tc>
      </w:tr>
      <w:tr w:rsidR="005F5AC1" w14:paraId="6285A1E7" w14:textId="77777777" w:rsidTr="005F5AC1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4266DC25" w14:textId="77777777" w:rsidR="005F5AC1" w:rsidRDefault="005F5AC1">
            <w:pP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349" w:type="pct"/>
            <w:noWrap/>
            <w:vAlign w:val="center"/>
            <w:hideMark/>
          </w:tcPr>
          <w:p w14:paraId="7F184FDA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62BC6B49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716CAA8E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70D7FE06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29391083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56" w:type="pct"/>
            <w:noWrap/>
            <w:vAlign w:val="center"/>
            <w:hideMark/>
          </w:tcPr>
          <w:p w14:paraId="0D3B2D76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324BC05D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10" w:type="pct"/>
            <w:noWrap/>
            <w:vAlign w:val="center"/>
            <w:hideMark/>
          </w:tcPr>
          <w:p w14:paraId="1F1F87FA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742" w:type="pct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17B053A5" w14:textId="77777777" w:rsidR="005F5AC1" w:rsidRDefault="005F5AC1">
            <w:pPr>
              <w:spacing w:before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28%</w:t>
            </w:r>
          </w:p>
        </w:tc>
      </w:tr>
      <w:tr w:rsidR="005F5AC1" w14:paraId="6DB6B4EC" w14:textId="77777777" w:rsidTr="005F5AC1">
        <w:trPr>
          <w:trHeight w:val="292"/>
        </w:trPr>
        <w:tc>
          <w:tcPr>
            <w:tcW w:w="901" w:type="pct"/>
            <w:noWrap/>
            <w:vAlign w:val="center"/>
            <w:hideMark/>
          </w:tcPr>
          <w:p w14:paraId="3BA10744" w14:textId="77777777" w:rsidR="005F5AC1" w:rsidRDefault="005F5AC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349" w:type="pct"/>
            <w:noWrap/>
            <w:vAlign w:val="center"/>
            <w:hideMark/>
          </w:tcPr>
          <w:p w14:paraId="2BA08835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48961E30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4210F579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1FA5FB3A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29" w:type="pct"/>
            <w:noWrap/>
            <w:vAlign w:val="center"/>
            <w:hideMark/>
          </w:tcPr>
          <w:p w14:paraId="3DA3927F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356" w:type="pct"/>
            <w:noWrap/>
            <w:vAlign w:val="center"/>
            <w:hideMark/>
          </w:tcPr>
          <w:p w14:paraId="4737F557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226" w:type="pct"/>
            <w:noWrap/>
            <w:vAlign w:val="center"/>
            <w:hideMark/>
          </w:tcPr>
          <w:p w14:paraId="48CBF754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10" w:type="pct"/>
            <w:noWrap/>
            <w:vAlign w:val="center"/>
            <w:hideMark/>
          </w:tcPr>
          <w:p w14:paraId="53DC1A7F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  <w:tc>
          <w:tcPr>
            <w:tcW w:w="1742" w:type="pct"/>
            <w:gridSpan w:val="3"/>
            <w:noWrap/>
            <w:vAlign w:val="center"/>
            <w:hideMark/>
          </w:tcPr>
          <w:p w14:paraId="3DF150D4" w14:textId="77777777" w:rsidR="005F5AC1" w:rsidRDefault="005F5AC1">
            <w:pPr>
              <w:spacing w:before="0" w:line="240" w:lineRule="auto"/>
              <w:rPr>
                <w:szCs w:val="20"/>
                <w:lang w:val="en-US"/>
              </w:rPr>
            </w:pPr>
          </w:p>
        </w:tc>
      </w:tr>
    </w:tbl>
    <w:p w14:paraId="1547AEC2" w14:textId="77777777" w:rsidR="005F5AC1" w:rsidRDefault="005F5AC1" w:rsidP="005F5AC1">
      <w:pPr>
        <w:jc w:val="both"/>
        <w:rPr>
          <w:rFonts w:ascii="Calibri" w:eastAsia="Calibri" w:hAnsi="Calibri" w:cs="Calibri"/>
          <w:iCs/>
          <w:color w:val="000000" w:themeColor="text1"/>
        </w:rPr>
      </w:pPr>
    </w:p>
    <w:p w14:paraId="685CC4B5" w14:textId="77777777" w:rsidR="005F5AC1" w:rsidRDefault="005F5AC1"/>
    <w:sectPr w:rsidR="005F5A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AC1"/>
    <w:rsid w:val="005F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4D70D"/>
  <w15:chartTrackingRefBased/>
  <w15:docId w15:val="{C58F6857-FE3D-43DE-9EA3-550724ECD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AC1"/>
    <w:pPr>
      <w:spacing w:before="120" w:after="0" w:line="360" w:lineRule="auto"/>
    </w:pPr>
    <w:rPr>
      <w:sz w:val="20"/>
      <w:szCs w:val="24"/>
      <w:lang w:val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5AC1"/>
    <w:pPr>
      <w:spacing w:before="2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5F5AC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24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2021-05-19T14:51:00Z</dcterms:created>
  <dcterms:modified xsi:type="dcterms:W3CDTF">2021-05-19T14:51:00Z</dcterms:modified>
</cp:coreProperties>
</file>